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FF8115" w14:textId="77777777" w:rsidR="001D4A2E" w:rsidRPr="001D4A2E" w:rsidRDefault="001D4A2E" w:rsidP="001D4A2E">
      <w:pPr>
        <w:widowControl/>
        <w:spacing w:line="450" w:lineRule="atLeast"/>
        <w:outlineLvl w:val="0"/>
        <w:rPr>
          <w:rFonts w:ascii="微软雅黑" w:eastAsia="微软雅黑" w:hAnsi="微软雅黑" w:cs="宋体"/>
          <w:b/>
          <w:bCs/>
          <w:kern w:val="36"/>
          <w:sz w:val="36"/>
          <w:szCs w:val="36"/>
        </w:rPr>
      </w:pPr>
      <w:r w:rsidRPr="001D4A2E">
        <w:rPr>
          <w:rFonts w:ascii="微软雅黑" w:eastAsia="微软雅黑" w:hAnsi="微软雅黑" w:cs="宋体"/>
          <w:b/>
          <w:bCs/>
          <w:kern w:val="36"/>
          <w:sz w:val="36"/>
          <w:szCs w:val="36"/>
        </w:rPr>
        <w:t>自噬和衰老促进ER阳性乳腺癌抗雌激素耐药性的发展</w:t>
      </w:r>
    </w:p>
    <w:p w14:paraId="5050AB1E" w14:textId="19CCE292" w:rsidR="001D4A2E" w:rsidRPr="001D4A2E" w:rsidRDefault="001D4A2E" w:rsidP="001D4A2E">
      <w:pPr>
        <w:widowControl/>
        <w:pBdr>
          <w:bottom w:val="single" w:sz="6" w:space="0" w:color="97B1C8"/>
        </w:pBdr>
        <w:spacing w:line="450" w:lineRule="atLeast"/>
        <w:outlineLvl w:val="1"/>
        <w:rPr>
          <w:rFonts w:ascii="微软雅黑" w:eastAsia="微软雅黑" w:hAnsi="微软雅黑" w:cs="宋体"/>
          <w:kern w:val="0"/>
          <w:sz w:val="34"/>
          <w:szCs w:val="34"/>
        </w:rPr>
      </w:pPr>
      <w:r w:rsidRPr="001D4A2E">
        <w:rPr>
          <w:rFonts w:ascii="微软雅黑" w:eastAsia="微软雅黑" w:hAnsi="微软雅黑" w:cs="宋体" w:hint="eastAsia"/>
          <w:kern w:val="0"/>
          <w:sz w:val="34"/>
          <w:szCs w:val="34"/>
        </w:rPr>
        <w:t>摘要</w:t>
      </w:r>
    </w:p>
    <w:p w14:paraId="41C1817A"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t>雌激素受体阳性（ER </w:t>
      </w:r>
      <w:r w:rsidRPr="001D4A2E">
        <w:rPr>
          <w:rFonts w:ascii="微软雅黑" w:eastAsia="微软雅黑" w:hAnsi="微软雅黑" w:cs="宋体"/>
          <w:kern w:val="0"/>
          <w:sz w:val="24"/>
          <w:szCs w:val="24"/>
          <w:vertAlign w:val="superscript"/>
        </w:rPr>
        <w:t>+</w:t>
      </w:r>
      <w:r w:rsidRPr="001D4A2E">
        <w:rPr>
          <w:rFonts w:ascii="微软雅黑" w:eastAsia="微软雅黑" w:hAnsi="微软雅黑" w:cs="宋体"/>
          <w:kern w:val="0"/>
          <w:sz w:val="24"/>
          <w:szCs w:val="24"/>
        </w:rPr>
        <w:t>）乳腺癌是美国每年诊断出的最常见乳腺癌类型，内分泌治疗是该亚型乳腺癌的标准治疗方案。内分泌治疗包括使用抗雌激素药物，例如选择性雌激素受体调节剂（SERMs）、选择性雌激素受体下调剂（SERDs）和芳香化酶抑制剂（AIs）。尽管这些治疗可以取得显著的缓解效果，但仍有相当一部分女性会出现原发肿瘤复发、随后发生转移，并最终死于该疾病。在这些病例中，乳腺癌细胞已对内分泌治疗产生耐药性，内分泌耐药性被认为是肿瘤内科医生和患者面临的主要障碍。为了对抗内分泌耐药性的发展，目前ER </w:t>
      </w:r>
      <w:r w:rsidRPr="001D4A2E">
        <w:rPr>
          <w:rFonts w:ascii="微软雅黑" w:eastAsia="微软雅黑" w:hAnsi="微软雅黑" w:cs="宋体"/>
          <w:kern w:val="0"/>
          <w:sz w:val="24"/>
          <w:szCs w:val="24"/>
          <w:vertAlign w:val="superscript"/>
        </w:rPr>
        <w:t>+</w:t>
      </w:r>
      <w:r w:rsidRPr="001D4A2E">
        <w:rPr>
          <w:rFonts w:ascii="微软雅黑" w:eastAsia="微软雅黑" w:hAnsi="微软雅黑" w:cs="宋体"/>
          <w:kern w:val="0"/>
          <w:sz w:val="24"/>
          <w:szCs w:val="24"/>
        </w:rPr>
        <w:t>、HER2阴性乳腺癌的治疗方案包括使用CDK4/6抑制剂作为抗雌激素治疗的辅助药物。除了 CDK4/6 活性失调外，还有大量遗传和生化机制被发现与内分泌耐药相关。这些机制是通过实验室研究（利用合适的乳腺癌细胞和动物模型）以及临床研究（通过基因表达谱鉴定候选内分泌耐药基因）发现的，本文将对此进行综述。此外，我们还将讨论目前与内分泌治疗联合使用的分子靶向策略，以对抗耐药性的产生</w:t>
      </w:r>
      <w:proofErr w:type="gramStart"/>
      <w:r w:rsidRPr="001D4A2E">
        <w:rPr>
          <w:rFonts w:ascii="微软雅黑" w:eastAsia="微软雅黑" w:hAnsi="微软雅黑" w:cs="宋体"/>
          <w:kern w:val="0"/>
          <w:sz w:val="24"/>
          <w:szCs w:val="24"/>
        </w:rPr>
        <w:t>或靶向</w:t>
      </w:r>
      <w:proofErr w:type="gramEnd"/>
      <w:r w:rsidRPr="001D4A2E">
        <w:rPr>
          <w:rFonts w:ascii="微软雅黑" w:eastAsia="微软雅黑" w:hAnsi="微软雅黑" w:cs="宋体"/>
          <w:kern w:val="0"/>
          <w:sz w:val="24"/>
          <w:szCs w:val="24"/>
        </w:rPr>
        <w:t>耐药乳腺癌细胞。在目前正在探索的提高内分泌治疗疗效和改善患者预后的方法中，自噬和“可逆性”衰老这两种适应性细胞存活机制被认为是分子靶点。大多数目前用于治疗 ER </w:t>
      </w:r>
      <w:r w:rsidRPr="001D4A2E">
        <w:rPr>
          <w:rFonts w:ascii="微软雅黑" w:eastAsia="微软雅黑" w:hAnsi="微软雅黑" w:cs="宋体"/>
          <w:kern w:val="0"/>
          <w:sz w:val="24"/>
          <w:szCs w:val="24"/>
          <w:vertAlign w:val="superscript"/>
        </w:rPr>
        <w:t>+</w:t>
      </w:r>
      <w:r w:rsidRPr="001D4A2E">
        <w:rPr>
          <w:rFonts w:ascii="微软雅黑" w:eastAsia="微软雅黑" w:hAnsi="微软雅黑" w:cs="宋体"/>
          <w:kern w:val="0"/>
          <w:sz w:val="24"/>
          <w:szCs w:val="24"/>
        </w:rPr>
        <w:t>乳腺癌的抗雌激素疗法均可诱导自噬和/或衰老，并且 CDK4/6 抑制剂也常可诱导这些机制。然而，目前尚未成功开发</w:t>
      </w:r>
      <w:proofErr w:type="gramStart"/>
      <w:r w:rsidRPr="001D4A2E">
        <w:rPr>
          <w:rFonts w:ascii="微软雅黑" w:eastAsia="微软雅黑" w:hAnsi="微软雅黑" w:cs="宋体"/>
          <w:kern w:val="0"/>
          <w:sz w:val="24"/>
          <w:szCs w:val="24"/>
        </w:rPr>
        <w:t>出靶向</w:t>
      </w:r>
      <w:proofErr w:type="gramEnd"/>
      <w:r w:rsidRPr="001D4A2E">
        <w:rPr>
          <w:rFonts w:ascii="微软雅黑" w:eastAsia="微软雅黑" w:hAnsi="微软雅黑" w:cs="宋体"/>
          <w:kern w:val="0"/>
          <w:sz w:val="24"/>
          <w:szCs w:val="24"/>
        </w:rPr>
        <w:t>这些细胞存活通路的有效策略。因此，迫切需要继续在临床相关的乳腺癌模型中研究自噬和“可逆”衰老，以期找到新的分子靶点，从而改善 ER </w:t>
      </w:r>
      <w:r w:rsidRPr="001D4A2E">
        <w:rPr>
          <w:rFonts w:ascii="微软雅黑" w:eastAsia="微软雅黑" w:hAnsi="微软雅黑" w:cs="宋体"/>
          <w:kern w:val="0"/>
          <w:sz w:val="24"/>
          <w:szCs w:val="24"/>
          <w:vertAlign w:val="superscript"/>
        </w:rPr>
        <w:t>+</w:t>
      </w:r>
      <w:r w:rsidRPr="001D4A2E">
        <w:rPr>
          <w:rFonts w:ascii="微软雅黑" w:eastAsia="微软雅黑" w:hAnsi="微软雅黑" w:cs="宋体"/>
          <w:kern w:val="0"/>
          <w:sz w:val="24"/>
          <w:szCs w:val="24"/>
        </w:rPr>
        <w:t>乳腺癌的治疗。</w:t>
      </w:r>
    </w:p>
    <w:p w14:paraId="37910E85"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b/>
          <w:bCs/>
          <w:kern w:val="0"/>
          <w:sz w:val="24"/>
          <w:szCs w:val="24"/>
        </w:rPr>
        <w:lastRenderedPageBreak/>
        <w:t>关键词：</w:t>
      </w:r>
      <w:r w:rsidRPr="001D4A2E">
        <w:rPr>
          <w:rFonts w:ascii="微软雅黑" w:eastAsia="微软雅黑" w:hAnsi="微软雅黑" w:cs="宋体"/>
          <w:kern w:val="0"/>
          <w:sz w:val="24"/>
          <w:szCs w:val="24"/>
        </w:rPr>
        <w:t>自噬、衰老、内分泌耐药、乳腺癌、选择性雌激素受体调节剂（SERMs）、选择性雌激素受体降解剂（SERDs）、芳香化酶抑制剂、CDK4/6抑制剂</w:t>
      </w:r>
    </w:p>
    <w:p w14:paraId="52E6DF0E" w14:textId="77777777" w:rsidR="001D4A2E" w:rsidRPr="001D4A2E" w:rsidRDefault="001D4A2E" w:rsidP="001D4A2E">
      <w:pPr>
        <w:widowControl/>
        <w:pBdr>
          <w:bottom w:val="single" w:sz="6" w:space="0" w:color="97B1C8"/>
        </w:pBdr>
        <w:spacing w:line="450" w:lineRule="atLeast"/>
        <w:outlineLvl w:val="1"/>
        <w:rPr>
          <w:rFonts w:ascii="微软雅黑" w:eastAsia="微软雅黑" w:hAnsi="微软雅黑" w:cs="宋体"/>
          <w:kern w:val="0"/>
          <w:sz w:val="34"/>
          <w:szCs w:val="34"/>
        </w:rPr>
      </w:pPr>
      <w:r w:rsidRPr="001D4A2E">
        <w:rPr>
          <w:rFonts w:ascii="微软雅黑" w:eastAsia="微软雅黑" w:hAnsi="微软雅黑" w:cs="宋体"/>
          <w:kern w:val="0"/>
          <w:sz w:val="34"/>
          <w:szCs w:val="34"/>
        </w:rPr>
        <w:t>1. 引言</w:t>
      </w:r>
    </w:p>
    <w:p w14:paraId="7E07F4A6"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t>据估计，2023年美国将有超过27.5万例女性浸润性乳腺癌病例和超过2500例男性浸润性乳腺癌病例( </w:t>
      </w:r>
      <w:hyperlink r:id="rId5" w:anchor="B1" w:history="1">
        <w:r w:rsidRPr="001D4A2E">
          <w:rPr>
            <w:rFonts w:ascii="微软雅黑" w:eastAsia="微软雅黑" w:hAnsi="微软雅黑" w:cs="宋体"/>
            <w:kern w:val="0"/>
            <w:sz w:val="24"/>
            <w:szCs w:val="24"/>
            <w:u w:val="single"/>
          </w:rPr>
          <w:t>1</w:t>
        </w:r>
      </w:hyperlink>
      <w:r w:rsidRPr="001D4A2E">
        <w:rPr>
          <w:rFonts w:ascii="微软雅黑" w:eastAsia="微软雅黑" w:hAnsi="微软雅黑" w:cs="宋体"/>
          <w:kern w:val="0"/>
          <w:sz w:val="24"/>
          <w:szCs w:val="24"/>
        </w:rPr>
        <w:t> )。在这些乳腺癌中，约70%被诊断为激素受体阳性(HR </w:t>
      </w:r>
      <w:r w:rsidRPr="001D4A2E">
        <w:rPr>
          <w:rFonts w:ascii="微软雅黑" w:eastAsia="微软雅黑" w:hAnsi="微软雅黑" w:cs="宋体"/>
          <w:kern w:val="0"/>
          <w:sz w:val="24"/>
          <w:szCs w:val="24"/>
          <w:vertAlign w:val="superscript"/>
        </w:rPr>
        <w:t>+</w:t>
      </w:r>
      <w:r w:rsidRPr="001D4A2E">
        <w:rPr>
          <w:rFonts w:ascii="微软雅黑" w:eastAsia="微软雅黑" w:hAnsi="微软雅黑" w:cs="宋体"/>
          <w:kern w:val="0"/>
          <w:sz w:val="24"/>
          <w:szCs w:val="24"/>
        </w:rPr>
        <w:t> )，这是基于雌激素受体α (ERα)和/或孕激素受体(PR)的可检测表达水平( </w:t>
      </w:r>
      <w:hyperlink r:id="rId6" w:anchor="B2" w:history="1">
        <w:r w:rsidRPr="001D4A2E">
          <w:rPr>
            <w:rFonts w:ascii="微软雅黑" w:eastAsia="微软雅黑" w:hAnsi="微软雅黑" w:cs="宋体"/>
            <w:kern w:val="0"/>
            <w:sz w:val="24"/>
            <w:szCs w:val="24"/>
            <w:u w:val="single"/>
          </w:rPr>
          <w:t>2</w:t>
        </w:r>
      </w:hyperlink>
      <w:r w:rsidRPr="001D4A2E">
        <w:rPr>
          <w:rFonts w:ascii="微软雅黑" w:eastAsia="微软雅黑" w:hAnsi="微软雅黑" w:cs="宋体"/>
          <w:kern w:val="0"/>
          <w:sz w:val="24"/>
          <w:szCs w:val="24"/>
        </w:rPr>
        <w:t> , </w:t>
      </w:r>
      <w:hyperlink r:id="rId7" w:anchor="B3" w:history="1">
        <w:r w:rsidRPr="001D4A2E">
          <w:rPr>
            <w:rFonts w:ascii="微软雅黑" w:eastAsia="微软雅黑" w:hAnsi="微软雅黑" w:cs="宋体"/>
            <w:kern w:val="0"/>
            <w:sz w:val="24"/>
            <w:szCs w:val="24"/>
            <w:u w:val="single"/>
          </w:rPr>
          <w:t>3</w:t>
        </w:r>
      </w:hyperlink>
      <w:r w:rsidRPr="001D4A2E">
        <w:rPr>
          <w:rFonts w:ascii="微软雅黑" w:eastAsia="微软雅黑" w:hAnsi="微软雅黑" w:cs="宋体"/>
          <w:kern w:val="0"/>
          <w:sz w:val="24"/>
          <w:szCs w:val="24"/>
        </w:rPr>
        <w:t> )。HR </w:t>
      </w:r>
      <w:r w:rsidRPr="001D4A2E">
        <w:rPr>
          <w:rFonts w:ascii="微软雅黑" w:eastAsia="微软雅黑" w:hAnsi="微软雅黑" w:cs="宋体"/>
          <w:kern w:val="0"/>
          <w:sz w:val="24"/>
          <w:szCs w:val="24"/>
          <w:vertAlign w:val="superscript"/>
        </w:rPr>
        <w:t>+</w:t>
      </w:r>
      <w:r w:rsidRPr="001D4A2E">
        <w:rPr>
          <w:rFonts w:ascii="微软雅黑" w:eastAsia="微软雅黑" w:hAnsi="微软雅黑" w:cs="宋体"/>
          <w:kern w:val="0"/>
          <w:sz w:val="24"/>
          <w:szCs w:val="24"/>
        </w:rPr>
        <w:t>乳腺癌细胞的生长和存活通常依赖于ER功能，这使得靶向内分泌治疗成为可能，也称为激素或抗雌激素治疗。HR </w:t>
      </w:r>
      <w:r w:rsidRPr="001D4A2E">
        <w:rPr>
          <w:rFonts w:ascii="微软雅黑" w:eastAsia="微软雅黑" w:hAnsi="微软雅黑" w:cs="宋体"/>
          <w:kern w:val="0"/>
          <w:sz w:val="24"/>
          <w:szCs w:val="24"/>
          <w:vertAlign w:val="superscript"/>
        </w:rPr>
        <w:t>+</w:t>
      </w:r>
      <w:r w:rsidRPr="001D4A2E">
        <w:rPr>
          <w:rFonts w:ascii="微软雅黑" w:eastAsia="微软雅黑" w:hAnsi="微软雅黑" w:cs="宋体"/>
          <w:kern w:val="0"/>
          <w:sz w:val="24"/>
          <w:szCs w:val="24"/>
        </w:rPr>
        <w:t>乳腺癌主要分为两个亚型：Luminal A型和Luminal B型( </w:t>
      </w:r>
      <w:hyperlink r:id="rId8" w:anchor="B4" w:history="1">
        <w:r w:rsidRPr="001D4A2E">
          <w:rPr>
            <w:rFonts w:ascii="微软雅黑" w:eastAsia="微软雅黑" w:hAnsi="微软雅黑" w:cs="宋体"/>
            <w:kern w:val="0"/>
            <w:sz w:val="24"/>
            <w:szCs w:val="24"/>
            <w:u w:val="single"/>
          </w:rPr>
          <w:t>4</w:t>
        </w:r>
      </w:hyperlink>
      <w:r w:rsidRPr="001D4A2E">
        <w:rPr>
          <w:rFonts w:ascii="微软雅黑" w:eastAsia="微软雅黑" w:hAnsi="微软雅黑" w:cs="宋体"/>
          <w:kern w:val="0"/>
          <w:sz w:val="24"/>
          <w:szCs w:val="24"/>
        </w:rPr>
        <w:t> )。 Luminal B型乳腺癌通常表达更高水平的增殖标志物Ki67（</w:t>
      </w:r>
      <w:hyperlink r:id="rId9" w:anchor="B5" w:history="1">
        <w:r w:rsidRPr="001D4A2E">
          <w:rPr>
            <w:rFonts w:ascii="微软雅黑" w:eastAsia="微软雅黑" w:hAnsi="微软雅黑" w:cs="宋体"/>
            <w:kern w:val="0"/>
            <w:sz w:val="24"/>
            <w:szCs w:val="24"/>
            <w:u w:val="single"/>
          </w:rPr>
          <w:t>5</w:t>
        </w:r>
      </w:hyperlink>
      <w:r w:rsidRPr="001D4A2E">
        <w:rPr>
          <w:rFonts w:ascii="微软雅黑" w:eastAsia="微软雅黑" w:hAnsi="微软雅黑" w:cs="宋体"/>
          <w:kern w:val="0"/>
          <w:sz w:val="24"/>
          <w:szCs w:val="24"/>
        </w:rPr>
        <w:t>），淋巴结转移率更高，预后更差，局部复发和生存率也高于Luminal A型乳腺癌患者（</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"B6"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6</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）。HER2/Neu阳性乳腺癌约占每年新增乳腺癌病例的20%（</w:t>
      </w:r>
      <w:hyperlink r:id="rId10" w:anchor="B7" w:history="1">
        <w:r w:rsidRPr="001D4A2E">
          <w:rPr>
            <w:rFonts w:ascii="微软雅黑" w:eastAsia="微软雅黑" w:hAnsi="微软雅黑" w:cs="宋体"/>
            <w:kern w:val="0"/>
            <w:sz w:val="24"/>
            <w:szCs w:val="24"/>
            <w:u w:val="single"/>
          </w:rPr>
          <w:t>7</w:t>
        </w:r>
      </w:hyperlink>
      <w:r w:rsidRPr="001D4A2E">
        <w:rPr>
          <w:rFonts w:ascii="微软雅黑" w:eastAsia="微软雅黑" w:hAnsi="微软雅黑" w:cs="宋体"/>
          <w:kern w:val="0"/>
          <w:sz w:val="24"/>
          <w:szCs w:val="24"/>
        </w:rPr>
        <w:t>）。HER2/Neu，即人表皮生长因子受体2（Erb-b2），在该类乳腺癌中发生基因扩增和过表达，这类乳腺癌通常对内分泌治疗不敏感（</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"B8"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8</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 , </w:t>
      </w:r>
      <w:hyperlink r:id="rId11" w:anchor="B9" w:history="1">
        <w:r w:rsidRPr="001D4A2E">
          <w:rPr>
            <w:rFonts w:ascii="微软雅黑" w:eastAsia="微软雅黑" w:hAnsi="微软雅黑" w:cs="宋体"/>
            <w:kern w:val="0"/>
            <w:sz w:val="24"/>
            <w:szCs w:val="24"/>
            <w:u w:val="single"/>
          </w:rPr>
          <w:t>9</w:t>
        </w:r>
      </w:hyperlink>
      <w:r w:rsidRPr="001D4A2E">
        <w:rPr>
          <w:rFonts w:ascii="微软雅黑" w:eastAsia="微软雅黑" w:hAnsi="微软雅黑" w:cs="宋体"/>
          <w:kern w:val="0"/>
          <w:sz w:val="24"/>
          <w:szCs w:val="24"/>
        </w:rPr>
        <w:t>）。目前已开发</w:t>
      </w:r>
      <w:proofErr w:type="gramStart"/>
      <w:r w:rsidRPr="001D4A2E">
        <w:rPr>
          <w:rFonts w:ascii="微软雅黑" w:eastAsia="微软雅黑" w:hAnsi="微软雅黑" w:cs="宋体"/>
          <w:kern w:val="0"/>
          <w:sz w:val="24"/>
          <w:szCs w:val="24"/>
        </w:rPr>
        <w:t>出靶向</w:t>
      </w:r>
      <w:proofErr w:type="gramEnd"/>
      <w:r w:rsidRPr="001D4A2E">
        <w:rPr>
          <w:rFonts w:ascii="微软雅黑" w:eastAsia="微软雅黑" w:hAnsi="微软雅黑" w:cs="宋体"/>
          <w:kern w:val="0"/>
          <w:sz w:val="24"/>
          <w:szCs w:val="24"/>
        </w:rPr>
        <w:t>抑制HER2/neu功能的小分子药物和/或抗体。三阴性乳腺癌（TNBC），也称为基底细胞型乳腺癌，是乳腺癌中发病率最低的（约15-17%），但侵袭性极强，近一半的患者会出现转移（</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"B10"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10</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）。三阴性乳腺癌（TNBC）不表达雌激素受体α（ERα）或孕激素受体（PR），也不发生HER2/Neu基因扩增。此外，TNBC具有高度异质性，至少已描述了六个亚型（</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"B11"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11</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 , </w:t>
      </w:r>
      <w:hyperlink r:id="rId12" w:anchor="B12" w:history="1">
        <w:r w:rsidRPr="001D4A2E">
          <w:rPr>
            <w:rFonts w:ascii="微软雅黑" w:eastAsia="微软雅黑" w:hAnsi="微软雅黑" w:cs="宋体"/>
            <w:kern w:val="0"/>
            <w:sz w:val="24"/>
            <w:szCs w:val="24"/>
            <w:u w:val="single"/>
          </w:rPr>
          <w:t>12</w:t>
        </w:r>
      </w:hyperlink>
      <w:r w:rsidRPr="001D4A2E">
        <w:rPr>
          <w:rFonts w:ascii="微软雅黑" w:eastAsia="微软雅黑" w:hAnsi="微软雅黑" w:cs="宋体"/>
          <w:kern w:val="0"/>
          <w:sz w:val="24"/>
          <w:szCs w:val="24"/>
        </w:rPr>
        <w:t>）。由于尚未发现可用于靶</w:t>
      </w:r>
      <w:proofErr w:type="gramStart"/>
      <w:r w:rsidRPr="001D4A2E">
        <w:rPr>
          <w:rFonts w:ascii="微软雅黑" w:eastAsia="微软雅黑" w:hAnsi="微软雅黑" w:cs="宋体"/>
          <w:kern w:val="0"/>
          <w:sz w:val="24"/>
          <w:szCs w:val="24"/>
        </w:rPr>
        <w:t>向治疗</w:t>
      </w:r>
      <w:proofErr w:type="gramEnd"/>
      <w:r w:rsidRPr="001D4A2E">
        <w:rPr>
          <w:rFonts w:ascii="微软雅黑" w:eastAsia="微软雅黑" w:hAnsi="微软雅黑" w:cs="宋体"/>
          <w:kern w:val="0"/>
          <w:sz w:val="24"/>
          <w:szCs w:val="24"/>
        </w:rPr>
        <w:t>的分子靶点，化疗仍然是TNBC的标准治疗方案。</w:t>
      </w:r>
    </w:p>
    <w:p w14:paraId="124178F9"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t>总体而言，乳腺癌是女性癌症死亡的第二大原因，每年死亡人数超过4万人（</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）。这些死亡病例大多发生在最初被诊断为激素受体阳性（HR </w:t>
      </w:r>
      <w:r w:rsidRPr="001D4A2E">
        <w:rPr>
          <w:rFonts w:ascii="微软雅黑" w:eastAsia="微软雅黑" w:hAnsi="微软雅黑" w:cs="宋体"/>
          <w:kern w:val="0"/>
          <w:sz w:val="24"/>
          <w:szCs w:val="24"/>
          <w:vertAlign w:val="superscript"/>
        </w:rPr>
        <w:t>+）</w:t>
      </w:r>
      <w:r w:rsidRPr="001D4A2E">
        <w:rPr>
          <w:rFonts w:ascii="微软雅黑" w:eastAsia="微软雅黑" w:hAnsi="微软雅黑" w:cs="宋体"/>
          <w:kern w:val="0"/>
          <w:sz w:val="24"/>
          <w:szCs w:val="24"/>
        </w:rPr>
        <w:t>乳腺癌的患者中，</w:t>
      </w:r>
      <w:r w:rsidRPr="001D4A2E">
        <w:rPr>
          <w:rFonts w:ascii="微软雅黑" w:eastAsia="微软雅黑" w:hAnsi="微软雅黑" w:cs="宋体"/>
          <w:kern w:val="0"/>
          <w:sz w:val="24"/>
          <w:szCs w:val="24"/>
        </w:rPr>
        <w:lastRenderedPageBreak/>
        <w:t>她们在接受多次内分泌治疗以及CDK4/6抑制剂或化疗等辅助治疗后，最终死于该疾病。HR </w:t>
      </w:r>
      <w:r w:rsidRPr="001D4A2E">
        <w:rPr>
          <w:rFonts w:ascii="微软雅黑" w:eastAsia="微软雅黑" w:hAnsi="微软雅黑" w:cs="宋体"/>
          <w:kern w:val="0"/>
          <w:sz w:val="24"/>
          <w:szCs w:val="24"/>
          <w:vertAlign w:val="superscript"/>
        </w:rPr>
        <w:t>+</w:t>
      </w:r>
      <w:r w:rsidRPr="001D4A2E">
        <w:rPr>
          <w:rFonts w:ascii="微软雅黑" w:eastAsia="微软雅黑" w:hAnsi="微软雅黑" w:cs="宋体"/>
          <w:kern w:val="0"/>
          <w:sz w:val="24"/>
          <w:szCs w:val="24"/>
        </w:rPr>
        <w:t>乳腺癌的死亡很大程度上是由于内分泌耐药。据估计，30%至40%的HR </w:t>
      </w:r>
      <w:r w:rsidRPr="001D4A2E">
        <w:rPr>
          <w:rFonts w:ascii="微软雅黑" w:eastAsia="微软雅黑" w:hAnsi="微软雅黑" w:cs="宋体"/>
          <w:kern w:val="0"/>
          <w:sz w:val="24"/>
          <w:szCs w:val="24"/>
          <w:vertAlign w:val="superscript"/>
        </w:rPr>
        <w:t>+</w:t>
      </w:r>
      <w:r w:rsidRPr="001D4A2E">
        <w:rPr>
          <w:rFonts w:ascii="微软雅黑" w:eastAsia="微软雅黑" w:hAnsi="微软雅黑" w:cs="宋体"/>
          <w:kern w:val="0"/>
          <w:sz w:val="24"/>
          <w:szCs w:val="24"/>
        </w:rPr>
        <w:t>乳腺癌患者在治疗过程中会在某个阶段出现内分泌耐药（</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"B13"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13</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本章将讨论多种激素耐药机制（以下统称为抗雌激素耐药），重点关注自噬和衰老作为乳腺癌细胞的生存机制，这些机制先于基因突变或表观遗传改变的发生，而这些改变是癌细胞逃避细胞周期阻滞、摆脱雌激素依赖和扩散（转移）所必需的。我们进一步讨论了这样一个概念：如果 HR </w:t>
      </w:r>
      <w:r w:rsidRPr="001D4A2E">
        <w:rPr>
          <w:rFonts w:ascii="微软雅黑" w:eastAsia="微软雅黑" w:hAnsi="微软雅黑" w:cs="宋体"/>
          <w:kern w:val="0"/>
          <w:sz w:val="24"/>
          <w:szCs w:val="24"/>
          <w:vertAlign w:val="superscript"/>
        </w:rPr>
        <w:t>+</w:t>
      </w:r>
      <w:r w:rsidRPr="001D4A2E">
        <w:rPr>
          <w:rFonts w:ascii="微软雅黑" w:eastAsia="微软雅黑" w:hAnsi="微软雅黑" w:cs="宋体"/>
          <w:kern w:val="0"/>
          <w:sz w:val="24"/>
          <w:szCs w:val="24"/>
        </w:rPr>
        <w:t>乳腺癌的一线治疗方案包括序贯治疗，即在乳腺癌细胞进入这些细胞存活模式后，对患者施用有效的自噬抑制剂和/或清除衰老细胞的衰老细胞清除剂，那么获得性抗雌激素耐药性将会大大降低。</w:t>
      </w:r>
    </w:p>
    <w:p w14:paraId="74CA94E3" w14:textId="77777777" w:rsidR="001D4A2E" w:rsidRPr="001D4A2E" w:rsidRDefault="001D4A2E" w:rsidP="001D4A2E">
      <w:pPr>
        <w:widowControl/>
        <w:pBdr>
          <w:bottom w:val="single" w:sz="6" w:space="0" w:color="97B1C8"/>
        </w:pBdr>
        <w:spacing w:line="450" w:lineRule="atLeast"/>
        <w:outlineLvl w:val="1"/>
        <w:rPr>
          <w:rFonts w:ascii="微软雅黑" w:eastAsia="微软雅黑" w:hAnsi="微软雅黑" w:cs="宋体"/>
          <w:kern w:val="0"/>
          <w:sz w:val="34"/>
          <w:szCs w:val="34"/>
        </w:rPr>
      </w:pPr>
      <w:r w:rsidRPr="001D4A2E">
        <w:rPr>
          <w:rFonts w:ascii="微软雅黑" w:eastAsia="微软雅黑" w:hAnsi="微软雅黑" w:cs="宋体"/>
          <w:kern w:val="0"/>
          <w:sz w:val="34"/>
          <w:szCs w:val="34"/>
        </w:rPr>
        <w:t>2. 针对雌激素受体功能的抗雌激素疗法</w:t>
      </w:r>
    </w:p>
    <w:p w14:paraId="1ABEBDA8"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vertAlign w:val="superscript"/>
        </w:rPr>
        <w:t>HR +</w:t>
      </w:r>
      <w:r w:rsidRPr="001D4A2E">
        <w:rPr>
          <w:rFonts w:ascii="微软雅黑" w:eastAsia="微软雅黑" w:hAnsi="微软雅黑" w:cs="宋体"/>
          <w:kern w:val="0"/>
          <w:sz w:val="24"/>
          <w:szCs w:val="24"/>
        </w:rPr>
        <w:t>乳腺癌的诊断基于肿瘤活检样本中至少1%的细胞可检测到ERα的表达（</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"B14"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14</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）。ERα的表达与乳腺癌细胞对雌激素的生长依赖性密切相关，尽管ER表达较低（占肿瘤细胞总数的1-10%）的乳腺癌可能不依赖雌激素生长（</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"B14"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14 ）。PR</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i/>
          <w:iCs/>
          <w:kern w:val="0"/>
          <w:sz w:val="24"/>
          <w:szCs w:val="24"/>
        </w:rPr>
        <w:t>的表达也需要分析，通常在ER </w:t>
      </w:r>
      <w:r w:rsidRPr="001D4A2E">
        <w:rPr>
          <w:rFonts w:ascii="微软雅黑" w:eastAsia="微软雅黑" w:hAnsi="微软雅黑" w:cs="宋体"/>
          <w:kern w:val="0"/>
          <w:sz w:val="24"/>
          <w:szCs w:val="24"/>
          <w:vertAlign w:val="superscript"/>
        </w:rPr>
        <w:t>+</w:t>
      </w:r>
      <w:r w:rsidRPr="001D4A2E">
        <w:rPr>
          <w:rFonts w:ascii="微软雅黑" w:eastAsia="微软雅黑" w:hAnsi="微软雅黑" w:cs="宋体"/>
          <w:kern w:val="0"/>
          <w:sz w:val="24"/>
          <w:szCs w:val="24"/>
        </w:rPr>
        <w:t>乳腺癌中可以检测到。</w:t>
      </w:r>
      <w:proofErr w:type="spellStart"/>
      <w:r w:rsidRPr="001D4A2E">
        <w:rPr>
          <w:rFonts w:ascii="微软雅黑" w:eastAsia="微软雅黑" w:hAnsi="微软雅黑" w:cs="宋体"/>
          <w:kern w:val="0"/>
          <w:sz w:val="24"/>
          <w:szCs w:val="24"/>
        </w:rPr>
        <w:t>PgR</w:t>
      </w:r>
      <w:proofErr w:type="spellEnd"/>
      <w:r w:rsidRPr="001D4A2E">
        <w:rPr>
          <w:rFonts w:ascii="微软雅黑" w:eastAsia="微软雅黑" w:hAnsi="微软雅黑" w:cs="宋体"/>
          <w:kern w:val="0"/>
          <w:sz w:val="24"/>
          <w:szCs w:val="24"/>
        </w:rPr>
        <w:t>基因编码PRA和PRB，即两种孕激素</w:t>
      </w:r>
      <w:proofErr w:type="gramStart"/>
      <w:r w:rsidRPr="001D4A2E">
        <w:rPr>
          <w:rFonts w:ascii="微软雅黑" w:eastAsia="微软雅黑" w:hAnsi="微软雅黑" w:cs="宋体"/>
          <w:kern w:val="0"/>
          <w:sz w:val="24"/>
          <w:szCs w:val="24"/>
        </w:rPr>
        <w:t>受体亚</w:t>
      </w:r>
      <w:proofErr w:type="gramEnd"/>
      <w:r w:rsidRPr="001D4A2E">
        <w:rPr>
          <w:rFonts w:ascii="微软雅黑" w:eastAsia="微软雅黑" w:hAnsi="微软雅黑" w:cs="宋体"/>
          <w:kern w:val="0"/>
          <w:sz w:val="24"/>
          <w:szCs w:val="24"/>
        </w:rPr>
        <w:t>型，</w:t>
      </w:r>
      <w:proofErr w:type="spellStart"/>
      <w:r w:rsidRPr="001D4A2E">
        <w:rPr>
          <w:rFonts w:ascii="微软雅黑" w:eastAsia="微软雅黑" w:hAnsi="微软雅黑" w:cs="宋体"/>
          <w:i/>
          <w:iCs/>
          <w:kern w:val="0"/>
          <w:sz w:val="24"/>
          <w:szCs w:val="24"/>
        </w:rPr>
        <w:t>PgR</w:t>
      </w:r>
      <w:proofErr w:type="spellEnd"/>
      <w:r w:rsidRPr="001D4A2E">
        <w:rPr>
          <w:rFonts w:ascii="微软雅黑" w:eastAsia="微软雅黑" w:hAnsi="微软雅黑" w:cs="宋体"/>
          <w:i/>
          <w:iCs/>
          <w:kern w:val="0"/>
          <w:sz w:val="24"/>
          <w:szCs w:val="24"/>
        </w:rPr>
        <w:t>的</w:t>
      </w:r>
      <w:r w:rsidRPr="001D4A2E">
        <w:rPr>
          <w:rFonts w:ascii="微软雅黑" w:eastAsia="微软雅黑" w:hAnsi="微软雅黑" w:cs="宋体"/>
          <w:kern w:val="0"/>
          <w:sz w:val="24"/>
          <w:szCs w:val="24"/>
        </w:rPr>
        <w:t>转录受雌激素结合的ERα调控（</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"B15"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15</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）。然而，在ERα表达缺失的情况下，PR也可能表达，这种情况可见于</w:t>
      </w:r>
      <w:proofErr w:type="gramStart"/>
      <w:r w:rsidRPr="001D4A2E">
        <w:rPr>
          <w:rFonts w:ascii="微软雅黑" w:eastAsia="微软雅黑" w:hAnsi="微软雅黑" w:cs="宋体"/>
          <w:kern w:val="0"/>
          <w:sz w:val="24"/>
          <w:szCs w:val="24"/>
        </w:rPr>
        <w:t>一</w:t>
      </w:r>
      <w:proofErr w:type="gramEnd"/>
      <w:r w:rsidRPr="001D4A2E">
        <w:rPr>
          <w:rFonts w:ascii="微软雅黑" w:eastAsia="微软雅黑" w:hAnsi="微软雅黑" w:cs="宋体"/>
          <w:kern w:val="0"/>
          <w:sz w:val="24"/>
          <w:szCs w:val="24"/>
        </w:rPr>
        <w:t>小部分HR </w:t>
      </w:r>
      <w:r w:rsidRPr="001D4A2E">
        <w:rPr>
          <w:rFonts w:ascii="微软雅黑" w:eastAsia="微软雅黑" w:hAnsi="微软雅黑" w:cs="宋体"/>
          <w:kern w:val="0"/>
          <w:sz w:val="24"/>
          <w:szCs w:val="24"/>
          <w:vertAlign w:val="superscript"/>
        </w:rPr>
        <w:t>+</w:t>
      </w:r>
      <w:r w:rsidRPr="001D4A2E">
        <w:rPr>
          <w:rFonts w:ascii="微软雅黑" w:eastAsia="微软雅黑" w:hAnsi="微软雅黑" w:cs="宋体"/>
          <w:kern w:val="0"/>
          <w:sz w:val="24"/>
          <w:szCs w:val="24"/>
        </w:rPr>
        <w:t>乳腺癌，这些乳腺癌通常比Luminal A或B型乳腺癌更具侵袭性，且通常对雌激素拮抗剂治疗不敏感（</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"B16"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16</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）。靶向PR是否能有效治疗这些乳腺癌尚不明确。值得注意的是，孕激素受体拮抗剂已上市（</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"B17"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17</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），一项近期临床试验（MIPRA；</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"https://clinicaltrials.gov/ct2/show/NCT02651844" \t "_blank"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NCT02651844</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）提供的证据表明，孕激素</w:t>
      </w:r>
      <w:proofErr w:type="gramStart"/>
      <w:r w:rsidRPr="001D4A2E">
        <w:rPr>
          <w:rFonts w:ascii="微软雅黑" w:eastAsia="微软雅黑" w:hAnsi="微软雅黑" w:cs="宋体"/>
          <w:kern w:val="0"/>
          <w:sz w:val="24"/>
          <w:szCs w:val="24"/>
        </w:rPr>
        <w:t>拮抗剂米非</w:t>
      </w:r>
      <w:proofErr w:type="gramEnd"/>
      <w:r w:rsidRPr="001D4A2E">
        <w:rPr>
          <w:rFonts w:ascii="微软雅黑" w:eastAsia="微软雅黑" w:hAnsi="微软雅黑" w:cs="宋体"/>
          <w:kern w:val="0"/>
          <w:sz w:val="24"/>
          <w:szCs w:val="24"/>
        </w:rPr>
        <w:t>司酮（RU486）可能对表达高PRA/PRB亚型比值的ER</w:t>
      </w:r>
      <w:r w:rsidRPr="001D4A2E">
        <w:rPr>
          <w:rFonts w:ascii="微软雅黑" w:eastAsia="微软雅黑" w:hAnsi="微软雅黑" w:cs="宋体"/>
          <w:kern w:val="0"/>
          <w:sz w:val="24"/>
          <w:szCs w:val="24"/>
          <w:vertAlign w:val="superscript"/>
        </w:rPr>
        <w:t>阳性</w:t>
      </w:r>
      <w:r w:rsidRPr="001D4A2E">
        <w:rPr>
          <w:rFonts w:ascii="微软雅黑" w:eastAsia="微软雅黑" w:hAnsi="微软雅黑" w:cs="宋体"/>
          <w:kern w:val="0"/>
          <w:sz w:val="24"/>
          <w:szCs w:val="24"/>
        </w:rPr>
        <w:t>乳腺癌患者有益；与基线相比，所有接受米非</w:t>
      </w:r>
      <w:r w:rsidRPr="001D4A2E">
        <w:rPr>
          <w:rFonts w:ascii="微软雅黑" w:eastAsia="微软雅黑" w:hAnsi="微软雅黑" w:cs="宋体"/>
          <w:kern w:val="0"/>
          <w:sz w:val="24"/>
          <w:szCs w:val="24"/>
        </w:rPr>
        <w:lastRenderedPageBreak/>
        <w:t>司酮治疗患者的手术标本中Ki67染色均降低了约50%（P = 0.0003）（</w:t>
      </w:r>
      <w:hyperlink r:id="rId13" w:anchor="B18" w:history="1">
        <w:r w:rsidRPr="001D4A2E">
          <w:rPr>
            <w:rFonts w:ascii="微软雅黑" w:eastAsia="微软雅黑" w:hAnsi="微软雅黑" w:cs="宋体"/>
            <w:kern w:val="0"/>
            <w:sz w:val="24"/>
            <w:szCs w:val="24"/>
            <w:u w:val="single"/>
          </w:rPr>
          <w:t>18</w:t>
        </w:r>
      </w:hyperlink>
      <w:r w:rsidRPr="001D4A2E">
        <w:rPr>
          <w:rFonts w:ascii="微软雅黑" w:eastAsia="微软雅黑" w:hAnsi="微软雅黑" w:cs="宋体"/>
          <w:kern w:val="0"/>
          <w:sz w:val="24"/>
          <w:szCs w:val="24"/>
        </w:rPr>
        <w:t>）。作者进一步提出，“米非司酮与雌激素受体调节剂的联合作用值得进行临床评估，以提高这些患者的内分泌治疗反应性。”这份最新报告支持了之前的研究（</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"B19"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19-21</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），包括我们实验室的临床前研究（</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"B22"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22 </w:t>
      </w:r>
      <w:r w:rsidRPr="001D4A2E">
        <w:rPr>
          <w:rFonts w:ascii="微软雅黑" w:eastAsia="微软雅黑" w:hAnsi="微软雅黑" w:cs="宋体"/>
          <w:kern w:val="0"/>
          <w:sz w:val="24"/>
          <w:szCs w:val="24"/>
        </w:rPr>
        <w:fldChar w:fldCharType="end"/>
      </w:r>
      <w:hyperlink r:id="rId14" w:anchor="B21" w:history="1">
        <w:r w:rsidRPr="001D4A2E">
          <w:rPr>
            <w:rFonts w:ascii="微软雅黑" w:eastAsia="微软雅黑" w:hAnsi="微软雅黑" w:cs="宋体"/>
            <w:kern w:val="0"/>
            <w:sz w:val="24"/>
            <w:szCs w:val="24"/>
            <w:u w:val="single"/>
          </w:rPr>
          <w:t>,</w:t>
        </w:r>
      </w:hyperlink>
      <w:r w:rsidRPr="001D4A2E">
        <w:rPr>
          <w:rFonts w:ascii="微软雅黑" w:eastAsia="微软雅黑" w:hAnsi="微软雅黑" w:cs="宋体"/>
          <w:kern w:val="0"/>
          <w:sz w:val="24"/>
          <w:szCs w:val="24"/>
        </w:rPr>
        <w:t> 23 ），这些研究提出联合使用抗雌激素和抗孕激素米非司</w:t>
      </w:r>
      <w:proofErr w:type="gramStart"/>
      <w:r w:rsidRPr="001D4A2E">
        <w:rPr>
          <w:rFonts w:ascii="微软雅黑" w:eastAsia="微软雅黑" w:hAnsi="微软雅黑" w:cs="宋体"/>
          <w:kern w:val="0"/>
          <w:sz w:val="24"/>
          <w:szCs w:val="24"/>
        </w:rPr>
        <w:t>酮可以</w:t>
      </w:r>
      <w:proofErr w:type="gramEnd"/>
      <w:r w:rsidRPr="001D4A2E">
        <w:rPr>
          <w:rFonts w:ascii="微软雅黑" w:eastAsia="微软雅黑" w:hAnsi="微软雅黑" w:cs="宋体"/>
          <w:kern w:val="0"/>
          <w:sz w:val="24"/>
          <w:szCs w:val="24"/>
        </w:rPr>
        <w:t>更有效地杀死乳腺癌细胞，并避免ER阳性</w:t>
      </w:r>
      <w:r w:rsidRPr="001D4A2E">
        <w:rPr>
          <w:rFonts w:ascii="微软雅黑" w:eastAsia="微软雅黑" w:hAnsi="微软雅黑" w:cs="宋体"/>
          <w:kern w:val="0"/>
          <w:sz w:val="24"/>
          <w:szCs w:val="24"/>
          <w:vertAlign w:val="superscript"/>
        </w:rPr>
        <w:t>乳腺癌产生抗雌激素耐药性。此外， </w:t>
      </w:r>
      <w:hyperlink r:id="rId15" w:anchor="B23" w:history="1">
        <w:r w:rsidRPr="001D4A2E">
          <w:rPr>
            <w:rFonts w:ascii="微软雅黑" w:eastAsia="微软雅黑" w:hAnsi="微软雅黑" w:cs="宋体"/>
            <w:kern w:val="0"/>
            <w:sz w:val="24"/>
            <w:szCs w:val="24"/>
            <w:u w:val="single"/>
          </w:rPr>
          <w:t>Shapiro</w:t>
        </w:r>
      </w:hyperlink>
      <w:r w:rsidRPr="001D4A2E">
        <w:rPr>
          <w:rFonts w:ascii="微软雅黑" w:eastAsia="微软雅黑" w:hAnsi="微软雅黑" w:cs="宋体"/>
          <w:kern w:val="0"/>
          <w:sz w:val="24"/>
          <w:szCs w:val="24"/>
        </w:rPr>
        <w:t>实验室的一项研究表明，孕激素可以刺激携带突变型ERα的乳腺癌细胞增殖，从而降低这些细胞对抗雌激素治疗的敏感性（</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"B24"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24</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），这进一步支持了抗孕激素治疗方案。雌激素受体β是另一种雌激素受体，其在乳腺癌中的功能尚不完全清楚（</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"B25"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25</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），病理学家通常不对其进行分析。</w:t>
      </w:r>
    </w:p>
    <w:p w14:paraId="227E8CCE" w14:textId="77777777" w:rsidR="001D4A2E" w:rsidRPr="001D4A2E" w:rsidRDefault="001D4A2E" w:rsidP="001D4A2E">
      <w:pPr>
        <w:widowControl/>
        <w:spacing w:line="450" w:lineRule="atLeast"/>
        <w:outlineLvl w:val="2"/>
        <w:rPr>
          <w:rFonts w:ascii="微软雅黑" w:eastAsia="微软雅黑" w:hAnsi="微软雅黑" w:cs="宋体"/>
          <w:kern w:val="0"/>
          <w:sz w:val="32"/>
          <w:szCs w:val="32"/>
        </w:rPr>
      </w:pPr>
      <w:r w:rsidRPr="001D4A2E">
        <w:rPr>
          <w:rFonts w:ascii="微软雅黑" w:eastAsia="微软雅黑" w:hAnsi="微软雅黑" w:cs="宋体"/>
          <w:kern w:val="0"/>
          <w:sz w:val="32"/>
          <w:szCs w:val="32"/>
        </w:rPr>
        <w:t>2.1. 选择性雌激素受体阻滞剂 (SERD)、选择性雌激素受体调节剂 (SERM) 和人工智能 (AI)</w:t>
      </w:r>
    </w:p>
    <w:p w14:paraId="6BEC8C35"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t>在临床上，用于靶向ERα的抗雌激素包括选择性雌激素受体调节剂（SERMs）和选择性雌激素受体下调剂（SERDs）（</w:t>
      </w:r>
      <w:hyperlink r:id="rId16" w:anchor="B3" w:history="1">
        <w:r w:rsidRPr="001D4A2E">
          <w:rPr>
            <w:rFonts w:ascii="微软雅黑" w:eastAsia="微软雅黑" w:hAnsi="微软雅黑" w:cs="宋体"/>
            <w:kern w:val="0"/>
            <w:sz w:val="24"/>
            <w:szCs w:val="24"/>
            <w:u w:val="single"/>
          </w:rPr>
          <w:t>3</w:t>
        </w:r>
      </w:hyperlink>
      <w:r w:rsidRPr="001D4A2E">
        <w:rPr>
          <w:rFonts w:ascii="微软雅黑" w:eastAsia="微软雅黑" w:hAnsi="微软雅黑" w:cs="宋体"/>
          <w:kern w:val="0"/>
          <w:sz w:val="24"/>
          <w:szCs w:val="24"/>
        </w:rPr>
        <w:t>）。SERMs和SERDs与ERα结合，阻断雌激素与该受体的结合。与雌激素结合的ERα进入细胞核，作为转录因子与超过200个基因启动子区域的雌激素反应元件（EREs）结合，其中包括孕激素受体（</w:t>
      </w:r>
      <w:proofErr w:type="spellStart"/>
      <w:r w:rsidRPr="001D4A2E">
        <w:rPr>
          <w:rFonts w:ascii="微软雅黑" w:eastAsia="微软雅黑" w:hAnsi="微软雅黑" w:cs="宋体"/>
          <w:i/>
          <w:iCs/>
          <w:kern w:val="0"/>
          <w:sz w:val="24"/>
          <w:szCs w:val="24"/>
        </w:rPr>
        <w:t>PgR</w:t>
      </w:r>
      <w:proofErr w:type="spellEnd"/>
      <w:r w:rsidRPr="001D4A2E">
        <w:rPr>
          <w:rFonts w:ascii="微软雅黑" w:eastAsia="微软雅黑" w:hAnsi="微软雅黑" w:cs="宋体"/>
          <w:i/>
          <w:iCs/>
          <w:kern w:val="0"/>
          <w:sz w:val="24"/>
          <w:szCs w:val="24"/>
        </w:rPr>
        <w:t xml:space="preserve"> ）的启动子。与EREs的结合驱动正常女性生殖细胞（ </w:t>
      </w:r>
      <w:hyperlink r:id="rId17" w:anchor="B26" w:history="1">
        <w:r w:rsidRPr="001D4A2E">
          <w:rPr>
            <w:rFonts w:ascii="微软雅黑" w:eastAsia="微软雅黑" w:hAnsi="微软雅黑" w:cs="宋体"/>
            <w:kern w:val="0"/>
            <w:sz w:val="24"/>
            <w:szCs w:val="24"/>
            <w:u w:val="single"/>
          </w:rPr>
          <w:t>26</w:t>
        </w:r>
      </w:hyperlink>
      <w:r w:rsidRPr="001D4A2E">
        <w:rPr>
          <w:rFonts w:ascii="微软雅黑" w:eastAsia="微软雅黑" w:hAnsi="微软雅黑" w:cs="宋体"/>
          <w:kern w:val="0"/>
          <w:sz w:val="24"/>
          <w:szCs w:val="24"/>
        </w:rPr>
        <w:t>）以及乳腺癌细胞（</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"B27"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27</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 ）中细胞周期进程所需基因的转录增加。ERα</w:t>
      </w:r>
      <w:proofErr w:type="gramStart"/>
      <w:r w:rsidRPr="001D4A2E">
        <w:rPr>
          <w:rFonts w:ascii="微软雅黑" w:eastAsia="微软雅黑" w:hAnsi="微软雅黑" w:cs="宋体"/>
          <w:kern w:val="0"/>
          <w:sz w:val="24"/>
          <w:szCs w:val="24"/>
        </w:rPr>
        <w:t>介</w:t>
      </w:r>
      <w:proofErr w:type="gramEnd"/>
      <w:r w:rsidRPr="001D4A2E">
        <w:rPr>
          <w:rFonts w:ascii="微软雅黑" w:eastAsia="微软雅黑" w:hAnsi="微软雅黑" w:cs="宋体"/>
          <w:kern w:val="0"/>
          <w:sz w:val="24"/>
          <w:szCs w:val="24"/>
        </w:rPr>
        <w:t>导的转录以及</w:t>
      </w:r>
      <w:proofErr w:type="gramStart"/>
      <w:r w:rsidRPr="001D4A2E">
        <w:rPr>
          <w:rFonts w:ascii="微软雅黑" w:eastAsia="微软雅黑" w:hAnsi="微软雅黑" w:cs="宋体"/>
          <w:kern w:val="0"/>
          <w:sz w:val="24"/>
          <w:szCs w:val="24"/>
        </w:rPr>
        <w:t>辅助共</w:t>
      </w:r>
      <w:proofErr w:type="gramEnd"/>
      <w:r w:rsidRPr="001D4A2E">
        <w:rPr>
          <w:rFonts w:ascii="微软雅黑" w:eastAsia="微软雅黑" w:hAnsi="微软雅黑" w:cs="宋体"/>
          <w:kern w:val="0"/>
          <w:sz w:val="24"/>
          <w:szCs w:val="24"/>
        </w:rPr>
        <w:t>激活因子和共抑制因子在正常细胞和乳腺癌细胞中的作用已于近期得到综述（</w:t>
      </w:r>
      <w:hyperlink r:id="rId18" w:anchor="B28" w:history="1">
        <w:r w:rsidRPr="001D4A2E">
          <w:rPr>
            <w:rFonts w:ascii="微软雅黑" w:eastAsia="微软雅黑" w:hAnsi="微软雅黑" w:cs="宋体"/>
            <w:kern w:val="0"/>
            <w:sz w:val="24"/>
            <w:szCs w:val="24"/>
            <w:u w:val="single"/>
          </w:rPr>
          <w:t>28</w:t>
        </w:r>
      </w:hyperlink>
      <w:r w:rsidRPr="001D4A2E">
        <w:rPr>
          <w:rFonts w:ascii="微软雅黑" w:eastAsia="微软雅黑" w:hAnsi="微软雅黑" w:cs="宋体"/>
          <w:kern w:val="0"/>
          <w:sz w:val="24"/>
          <w:szCs w:val="24"/>
        </w:rPr>
        <w:t>）。 SERM 和 SERD 的结合抑制了乳腺癌细胞中雌激素</w:t>
      </w:r>
      <w:proofErr w:type="gramStart"/>
      <w:r w:rsidRPr="001D4A2E">
        <w:rPr>
          <w:rFonts w:ascii="微软雅黑" w:eastAsia="微软雅黑" w:hAnsi="微软雅黑" w:cs="宋体"/>
          <w:kern w:val="0"/>
          <w:sz w:val="24"/>
          <w:szCs w:val="24"/>
        </w:rPr>
        <w:t>介</w:t>
      </w:r>
      <w:proofErr w:type="gramEnd"/>
      <w:r w:rsidRPr="001D4A2E">
        <w:rPr>
          <w:rFonts w:ascii="微软雅黑" w:eastAsia="微软雅黑" w:hAnsi="微软雅黑" w:cs="宋体"/>
          <w:kern w:val="0"/>
          <w:sz w:val="24"/>
          <w:szCs w:val="24"/>
        </w:rPr>
        <w:t>导的 ERα 功能/信号传导 ( </w:t>
      </w:r>
      <w:hyperlink r:id="rId19" w:anchor="B29" w:history="1">
        <w:r w:rsidRPr="001D4A2E">
          <w:rPr>
            <w:rFonts w:ascii="微软雅黑" w:eastAsia="微软雅黑" w:hAnsi="微软雅黑" w:cs="宋体"/>
            <w:kern w:val="0"/>
            <w:sz w:val="24"/>
            <w:szCs w:val="24"/>
            <w:u w:val="single"/>
          </w:rPr>
          <w:t>29</w:t>
        </w:r>
      </w:hyperlink>
      <w:r w:rsidRPr="001D4A2E">
        <w:rPr>
          <w:rFonts w:ascii="微软雅黑" w:eastAsia="微软雅黑" w:hAnsi="微软雅黑" w:cs="宋体"/>
          <w:kern w:val="0"/>
          <w:sz w:val="24"/>
          <w:szCs w:val="24"/>
        </w:rPr>
        <w:t> )。此外，SERD 的结合促进了 ERα 在蛋白酶体中的降解。</w:t>
      </w:r>
    </w:p>
    <w:p w14:paraId="6CCBB122"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lastRenderedPageBreak/>
        <w:t>尽管他</w:t>
      </w:r>
      <w:proofErr w:type="gramStart"/>
      <w:r w:rsidRPr="001D4A2E">
        <w:rPr>
          <w:rFonts w:ascii="微软雅黑" w:eastAsia="微软雅黑" w:hAnsi="微软雅黑" w:cs="宋体"/>
          <w:kern w:val="0"/>
          <w:sz w:val="24"/>
          <w:szCs w:val="24"/>
        </w:rPr>
        <w:t>莫昔芬</w:t>
      </w:r>
      <w:proofErr w:type="gramEnd"/>
      <w:r w:rsidRPr="001D4A2E">
        <w:rPr>
          <w:rFonts w:ascii="微软雅黑" w:eastAsia="微软雅黑" w:hAnsi="微软雅黑" w:cs="宋体"/>
          <w:kern w:val="0"/>
          <w:sz w:val="24"/>
          <w:szCs w:val="24"/>
        </w:rPr>
        <w:t>几十年来一直是使用最广泛的抗雌激素药物，但它在某些组织（例如子宫内膜）中也具有激动剂的作用，并可能导致子宫内膜病变，包括少数患者发生子宫内膜癌（</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"B30"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30</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）。因此，在临床实践中，</w:t>
      </w:r>
      <w:proofErr w:type="gramStart"/>
      <w:r w:rsidRPr="001D4A2E">
        <w:rPr>
          <w:rFonts w:ascii="微软雅黑" w:eastAsia="微软雅黑" w:hAnsi="微软雅黑" w:cs="宋体"/>
          <w:kern w:val="0"/>
          <w:sz w:val="24"/>
          <w:szCs w:val="24"/>
        </w:rPr>
        <w:t>氟维司群</w:t>
      </w:r>
      <w:proofErr w:type="gramEnd"/>
      <w:r w:rsidRPr="001D4A2E">
        <w:rPr>
          <w:rFonts w:ascii="微软雅黑" w:eastAsia="微软雅黑" w:hAnsi="微软雅黑" w:cs="宋体"/>
          <w:kern w:val="0"/>
          <w:sz w:val="24"/>
          <w:szCs w:val="24"/>
        </w:rPr>
        <w:t>和其他选择性雌激素受体拮抗剂（SERD）可能更受青睐，并常用于治疗绝经前乳腺癌患者（</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"B29"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29</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）。对于绝经后妇女，芳香化酶抑制剂（AI）正逐渐成为首选的标准治疗方案。这些抑制剂通过芳香化酶阻断雌激素的生成。芳香化</w:t>
      </w:r>
      <w:proofErr w:type="gramStart"/>
      <w:r w:rsidRPr="001D4A2E">
        <w:rPr>
          <w:rFonts w:ascii="微软雅黑" w:eastAsia="微软雅黑" w:hAnsi="微软雅黑" w:cs="宋体"/>
          <w:kern w:val="0"/>
          <w:sz w:val="24"/>
          <w:szCs w:val="24"/>
        </w:rPr>
        <w:t>酶分别</w:t>
      </w:r>
      <w:proofErr w:type="gramEnd"/>
      <w:r w:rsidRPr="001D4A2E">
        <w:rPr>
          <w:rFonts w:ascii="微软雅黑" w:eastAsia="微软雅黑" w:hAnsi="微软雅黑" w:cs="宋体"/>
          <w:kern w:val="0"/>
          <w:sz w:val="24"/>
          <w:szCs w:val="24"/>
        </w:rPr>
        <w:t>将雄烯二酮、睾酮和16α-羟基</w:t>
      </w:r>
      <w:proofErr w:type="gramStart"/>
      <w:r w:rsidRPr="001D4A2E">
        <w:rPr>
          <w:rFonts w:ascii="微软雅黑" w:eastAsia="微软雅黑" w:hAnsi="微软雅黑" w:cs="宋体"/>
          <w:kern w:val="0"/>
          <w:sz w:val="24"/>
          <w:szCs w:val="24"/>
        </w:rPr>
        <w:t>甾</w:t>
      </w:r>
      <w:proofErr w:type="gramEnd"/>
      <w:r w:rsidRPr="001D4A2E">
        <w:rPr>
          <w:rFonts w:ascii="微软雅黑" w:eastAsia="微软雅黑" w:hAnsi="微软雅黑" w:cs="宋体"/>
          <w:kern w:val="0"/>
          <w:sz w:val="24"/>
          <w:szCs w:val="24"/>
        </w:rPr>
        <w:t>酮转化为雌酮、雌二醇和雌三醇（</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"B31"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31</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）。目前，三种第三代芳香化酶抑制剂（AIs）常规用于治疗激素受体阳性（HR </w:t>
      </w:r>
      <w:r w:rsidRPr="001D4A2E">
        <w:rPr>
          <w:rFonts w:ascii="微软雅黑" w:eastAsia="微软雅黑" w:hAnsi="微软雅黑" w:cs="宋体"/>
          <w:kern w:val="0"/>
          <w:sz w:val="24"/>
          <w:szCs w:val="24"/>
          <w:vertAlign w:val="superscript"/>
        </w:rPr>
        <w:t>+）</w:t>
      </w:r>
      <w:r w:rsidRPr="001D4A2E">
        <w:rPr>
          <w:rFonts w:ascii="微软雅黑" w:eastAsia="微软雅黑" w:hAnsi="微软雅黑" w:cs="宋体"/>
          <w:kern w:val="0"/>
          <w:sz w:val="24"/>
          <w:szCs w:val="24"/>
        </w:rPr>
        <w:t>乳腺癌，分别是两种非</w:t>
      </w:r>
      <w:proofErr w:type="gramStart"/>
      <w:r w:rsidRPr="001D4A2E">
        <w:rPr>
          <w:rFonts w:ascii="微软雅黑" w:eastAsia="微软雅黑" w:hAnsi="微软雅黑" w:cs="宋体"/>
          <w:kern w:val="0"/>
          <w:sz w:val="24"/>
          <w:szCs w:val="24"/>
        </w:rPr>
        <w:t>甾</w:t>
      </w:r>
      <w:proofErr w:type="gramEnd"/>
      <w:r w:rsidRPr="001D4A2E">
        <w:rPr>
          <w:rFonts w:ascii="微软雅黑" w:eastAsia="微软雅黑" w:hAnsi="微软雅黑" w:cs="宋体"/>
          <w:kern w:val="0"/>
          <w:sz w:val="24"/>
          <w:szCs w:val="24"/>
        </w:rPr>
        <w:t>体类衍生物阿那曲</w:t>
      </w:r>
      <w:proofErr w:type="gramStart"/>
      <w:r w:rsidRPr="001D4A2E">
        <w:rPr>
          <w:rFonts w:ascii="微软雅黑" w:eastAsia="微软雅黑" w:hAnsi="微软雅黑" w:cs="宋体"/>
          <w:kern w:val="0"/>
          <w:sz w:val="24"/>
          <w:szCs w:val="24"/>
        </w:rPr>
        <w:t>唑</w:t>
      </w:r>
      <w:proofErr w:type="gramEnd"/>
      <w:r w:rsidRPr="001D4A2E">
        <w:rPr>
          <w:rFonts w:ascii="微软雅黑" w:eastAsia="微软雅黑" w:hAnsi="微软雅黑" w:cs="宋体"/>
          <w:kern w:val="0"/>
          <w:sz w:val="24"/>
          <w:szCs w:val="24"/>
        </w:rPr>
        <w:t>（Ana）和来曲</w:t>
      </w:r>
      <w:proofErr w:type="gramStart"/>
      <w:r w:rsidRPr="001D4A2E">
        <w:rPr>
          <w:rFonts w:ascii="微软雅黑" w:eastAsia="微软雅黑" w:hAnsi="微软雅黑" w:cs="宋体"/>
          <w:kern w:val="0"/>
          <w:sz w:val="24"/>
          <w:szCs w:val="24"/>
        </w:rPr>
        <w:t>唑</w:t>
      </w:r>
      <w:proofErr w:type="gramEnd"/>
      <w:r w:rsidRPr="001D4A2E">
        <w:rPr>
          <w:rFonts w:ascii="微软雅黑" w:eastAsia="微软雅黑" w:hAnsi="微软雅黑" w:cs="宋体"/>
          <w:kern w:val="0"/>
          <w:sz w:val="24"/>
          <w:szCs w:val="24"/>
        </w:rPr>
        <w:t>（Let），以及一种</w:t>
      </w:r>
      <w:proofErr w:type="gramStart"/>
      <w:r w:rsidRPr="001D4A2E">
        <w:rPr>
          <w:rFonts w:ascii="微软雅黑" w:eastAsia="微软雅黑" w:hAnsi="微软雅黑" w:cs="宋体"/>
          <w:kern w:val="0"/>
          <w:sz w:val="24"/>
          <w:szCs w:val="24"/>
        </w:rPr>
        <w:t>甾</w:t>
      </w:r>
      <w:proofErr w:type="gramEnd"/>
      <w:r w:rsidRPr="001D4A2E">
        <w:rPr>
          <w:rFonts w:ascii="微软雅黑" w:eastAsia="微软雅黑" w:hAnsi="微软雅黑" w:cs="宋体"/>
          <w:kern w:val="0"/>
          <w:sz w:val="24"/>
          <w:szCs w:val="24"/>
        </w:rPr>
        <w:t>体类衍生物依西美坦（Exe）（</w:t>
      </w:r>
      <w:hyperlink r:id="rId20" w:anchor="B32" w:history="1">
        <w:r w:rsidRPr="001D4A2E">
          <w:rPr>
            <w:rFonts w:ascii="微软雅黑" w:eastAsia="微软雅黑" w:hAnsi="微软雅黑" w:cs="宋体"/>
            <w:kern w:val="0"/>
            <w:sz w:val="24"/>
            <w:szCs w:val="24"/>
            <w:u w:val="single"/>
          </w:rPr>
          <w:t>32</w:t>
        </w:r>
      </w:hyperlink>
      <w:r w:rsidRPr="001D4A2E">
        <w:rPr>
          <w:rFonts w:ascii="微软雅黑" w:eastAsia="微软雅黑" w:hAnsi="微软雅黑" w:cs="宋体"/>
          <w:kern w:val="0"/>
          <w:sz w:val="24"/>
          <w:szCs w:val="24"/>
        </w:rPr>
        <w:t>）。AIs靶向人芳香化酶，该酶属于细胞色素P450家族，由位于15号染色体上的</w:t>
      </w:r>
      <w:r w:rsidRPr="001D4A2E">
        <w:rPr>
          <w:rFonts w:ascii="微软雅黑" w:eastAsia="微软雅黑" w:hAnsi="微软雅黑" w:cs="宋体"/>
          <w:i/>
          <w:iCs/>
          <w:kern w:val="0"/>
          <w:sz w:val="24"/>
          <w:szCs w:val="24"/>
        </w:rPr>
        <w:t>CYP19A1</w:t>
      </w:r>
      <w:r w:rsidRPr="001D4A2E">
        <w:rPr>
          <w:rFonts w:ascii="微软雅黑" w:eastAsia="微软雅黑" w:hAnsi="微软雅黑" w:cs="宋体"/>
          <w:kern w:val="0"/>
          <w:sz w:val="24"/>
          <w:szCs w:val="24"/>
        </w:rPr>
        <w:t>基因编码（</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"B33"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33</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）。芳香化酶在子宫内膜、骨骼、大脑和脂肪组织等器官中均有表达。此外，乳腺癌细胞自身也能表达芳香化酶（</w:t>
      </w:r>
      <w:hyperlink r:id="rId21" w:anchor="B34" w:history="1">
        <w:r w:rsidRPr="001D4A2E">
          <w:rPr>
            <w:rFonts w:ascii="微软雅黑" w:eastAsia="微软雅黑" w:hAnsi="微软雅黑" w:cs="宋体"/>
            <w:kern w:val="0"/>
            <w:sz w:val="24"/>
            <w:szCs w:val="24"/>
            <w:u w:val="single"/>
          </w:rPr>
          <w:t>34</w:t>
        </w:r>
      </w:hyperlink>
      <w:r w:rsidRPr="001D4A2E">
        <w:rPr>
          <w:rFonts w:ascii="微软雅黑" w:eastAsia="微软雅黑" w:hAnsi="微软雅黑" w:cs="宋体"/>
          <w:kern w:val="0"/>
          <w:sz w:val="24"/>
          <w:szCs w:val="24"/>
        </w:rPr>
        <w:t>），或者影响微环境中的细胞（例如脂肪细胞）以上调芳香化酶的表达（</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"B35"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35</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w:t>
      </w:r>
    </w:p>
    <w:p w14:paraId="5D574422" w14:textId="77777777" w:rsidR="001D4A2E" w:rsidRPr="001D4A2E" w:rsidRDefault="001D4A2E" w:rsidP="001D4A2E">
      <w:pPr>
        <w:widowControl/>
        <w:spacing w:line="450" w:lineRule="atLeast"/>
        <w:outlineLvl w:val="2"/>
        <w:rPr>
          <w:rFonts w:ascii="微软雅黑" w:eastAsia="微软雅黑" w:hAnsi="微软雅黑" w:cs="宋体"/>
          <w:kern w:val="0"/>
          <w:sz w:val="32"/>
          <w:szCs w:val="32"/>
        </w:rPr>
      </w:pPr>
      <w:r w:rsidRPr="001D4A2E">
        <w:rPr>
          <w:rFonts w:ascii="微软雅黑" w:eastAsia="微软雅黑" w:hAnsi="微软雅黑" w:cs="宋体"/>
          <w:kern w:val="0"/>
          <w:sz w:val="32"/>
          <w:szCs w:val="32"/>
        </w:rPr>
        <w:t>2.2. ER+ HER2 阴性乳腺癌的</w:t>
      </w:r>
      <w:proofErr w:type="gramStart"/>
      <w:r w:rsidRPr="001D4A2E">
        <w:rPr>
          <w:rFonts w:ascii="微软雅黑" w:eastAsia="微软雅黑" w:hAnsi="微软雅黑" w:cs="宋体"/>
          <w:kern w:val="0"/>
          <w:sz w:val="32"/>
          <w:szCs w:val="32"/>
        </w:rPr>
        <w:t>序贯抗雌激素</w:t>
      </w:r>
      <w:proofErr w:type="gramEnd"/>
      <w:r w:rsidRPr="001D4A2E">
        <w:rPr>
          <w:rFonts w:ascii="微软雅黑" w:eastAsia="微软雅黑" w:hAnsi="微软雅黑" w:cs="宋体"/>
          <w:kern w:val="0"/>
          <w:sz w:val="32"/>
          <w:szCs w:val="32"/>
        </w:rPr>
        <w:t>治疗</w:t>
      </w:r>
    </w:p>
    <w:p w14:paraId="77DDC402"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t>抗雌激素治疗是ER</w:t>
      </w:r>
      <w:r w:rsidRPr="001D4A2E">
        <w:rPr>
          <w:rFonts w:ascii="微软雅黑" w:eastAsia="微软雅黑" w:hAnsi="微软雅黑" w:cs="宋体"/>
          <w:kern w:val="0"/>
          <w:sz w:val="24"/>
          <w:szCs w:val="24"/>
          <w:vertAlign w:val="superscript"/>
        </w:rPr>
        <w:t>阳性</w:t>
      </w:r>
      <w:r w:rsidRPr="001D4A2E">
        <w:rPr>
          <w:rFonts w:ascii="微软雅黑" w:eastAsia="微软雅黑" w:hAnsi="微软雅黑" w:cs="宋体"/>
          <w:kern w:val="0"/>
          <w:sz w:val="24"/>
          <w:szCs w:val="24"/>
        </w:rPr>
        <w:t>乳腺癌的一种高效治疗方法（</w:t>
      </w:r>
      <w:hyperlink r:id="rId22" w:anchor="B36" w:history="1">
        <w:r w:rsidRPr="001D4A2E">
          <w:rPr>
            <w:rFonts w:ascii="微软雅黑" w:eastAsia="微软雅黑" w:hAnsi="微软雅黑" w:cs="宋体"/>
            <w:kern w:val="0"/>
            <w:sz w:val="24"/>
            <w:szCs w:val="24"/>
            <w:u w:val="single"/>
          </w:rPr>
          <w:t>36</w:t>
        </w:r>
      </w:hyperlink>
      <w:r w:rsidRPr="001D4A2E">
        <w:rPr>
          <w:rFonts w:ascii="微软雅黑" w:eastAsia="微软雅黑" w:hAnsi="微软雅黑" w:cs="宋体"/>
          <w:kern w:val="0"/>
          <w:sz w:val="24"/>
          <w:szCs w:val="24"/>
        </w:rPr>
        <w:t>）。然而，约30%的乳腺癌对抗雌激素治疗表现出内在耐药（原发性耐药）或获得性耐药（继发性耐药）。内在耐药在治疗早期即可识别，表现为乳腺癌细胞在治疗期间仍能持续增殖。获得性耐药则发生在治疗过程中，在乳腺癌细胞最初对抗雌激素治疗敏感之后。无论哪种情况，内分泌治疗耐药都是一项重大的临床挑战，需要深入了解内在耐药和获得性耐药的分子机制才能改善治疗效果。</w:t>
      </w:r>
    </w:p>
    <w:p w14:paraId="11B58401"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lastRenderedPageBreak/>
        <w:t>治疗抗雌激素耐药性乳腺癌的常用方法是更换所使用的抗雌激素药物。这种方法通常有效，因为对一种抗雌激素的耐药性并不一定会导致交叉耐药性（对其他抗雌激素的耐药性）。例如，对芳香化酶抑制剂耐药的乳腺癌细胞可以用</w:t>
      </w:r>
      <w:proofErr w:type="gramStart"/>
      <w:r w:rsidRPr="001D4A2E">
        <w:rPr>
          <w:rFonts w:ascii="微软雅黑" w:eastAsia="微软雅黑" w:hAnsi="微软雅黑" w:cs="宋体"/>
          <w:kern w:val="0"/>
          <w:sz w:val="24"/>
          <w:szCs w:val="24"/>
        </w:rPr>
        <w:t>氟维司群成功</w:t>
      </w:r>
      <w:proofErr w:type="gramEnd"/>
      <w:r w:rsidRPr="001D4A2E">
        <w:rPr>
          <w:rFonts w:ascii="微软雅黑" w:eastAsia="微软雅黑" w:hAnsi="微软雅黑" w:cs="宋体"/>
          <w:kern w:val="0"/>
          <w:sz w:val="24"/>
          <w:szCs w:val="24"/>
        </w:rPr>
        <w:t>治疗（</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"B37"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37 ）。这种通过更换抗雌激素药物来克服耐药性的序贯疗法（</w:t>
      </w:r>
      <w:r w:rsidRPr="001D4A2E">
        <w:rPr>
          <w:rFonts w:ascii="微软雅黑" w:eastAsia="微软雅黑" w:hAnsi="微软雅黑" w:cs="宋体"/>
          <w:kern w:val="0"/>
          <w:sz w:val="24"/>
          <w:szCs w:val="24"/>
        </w:rPr>
        <w:fldChar w:fldCharType="end"/>
      </w:r>
      <w:hyperlink r:id="rId23" w:anchor="f1" w:history="1">
        <w:r w:rsidRPr="001D4A2E">
          <w:rPr>
            <w:rFonts w:ascii="微软雅黑" w:eastAsia="微软雅黑" w:hAnsi="微软雅黑" w:cs="宋体"/>
            <w:b/>
            <w:bCs/>
            <w:kern w:val="0"/>
            <w:sz w:val="24"/>
            <w:szCs w:val="24"/>
            <w:u w:val="single"/>
          </w:rPr>
          <w:t>如图1</w:t>
        </w:r>
      </w:hyperlink>
      <w:r w:rsidRPr="001D4A2E">
        <w:rPr>
          <w:rFonts w:ascii="微软雅黑" w:eastAsia="微软雅黑" w:hAnsi="微软雅黑" w:cs="宋体"/>
          <w:kern w:val="0"/>
          <w:sz w:val="24"/>
          <w:szCs w:val="24"/>
        </w:rPr>
        <w:t>所示）在乳腺癌的治疗中取得了一定的成功，但往往无法治愈该疾病，复发通常难以避免。</w:t>
      </w:r>
    </w:p>
    <w:p w14:paraId="7B95D6D4" w14:textId="77777777" w:rsidR="001D4A2E" w:rsidRPr="001D4A2E" w:rsidRDefault="001D4A2E" w:rsidP="001D4A2E">
      <w:pPr>
        <w:widowControl/>
        <w:spacing w:line="450" w:lineRule="atLeast"/>
        <w:outlineLvl w:val="3"/>
        <w:rPr>
          <w:rFonts w:ascii="微软雅黑" w:eastAsia="微软雅黑" w:hAnsi="微软雅黑" w:cs="宋体"/>
          <w:kern w:val="0"/>
          <w:sz w:val="30"/>
          <w:szCs w:val="30"/>
        </w:rPr>
      </w:pPr>
      <w:r w:rsidRPr="001D4A2E">
        <w:rPr>
          <w:rFonts w:ascii="微软雅黑" w:eastAsia="微软雅黑" w:hAnsi="微软雅黑" w:cs="宋体"/>
          <w:kern w:val="0"/>
          <w:sz w:val="30"/>
          <w:szCs w:val="30"/>
        </w:rPr>
        <w:t>图1。</w:t>
      </w:r>
    </w:p>
    <w:p w14:paraId="3E5F7342" w14:textId="7595155C"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noProof/>
          <w:kern w:val="0"/>
          <w:sz w:val="24"/>
          <w:szCs w:val="24"/>
        </w:rPr>
        <w:drawing>
          <wp:inline distT="0" distB="0" distL="0" distR="0" wp14:anchorId="4D951A7E" wp14:editId="67C7C31D">
            <wp:extent cx="5274310" cy="1172210"/>
            <wp:effectExtent l="0" t="0" r="2540" b="8890"/>
            <wp:docPr id="3" name="图片 3" descr="图 1">
              <a:hlinkClick xmlns:a="http://schemas.openxmlformats.org/drawingml/2006/main" r:id="rId2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图 1">
                      <a:hlinkClick r:id="rId24" tgtFrame="&quot;_blank&quot;"/>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74310" cy="1172210"/>
                    </a:xfrm>
                    <a:prstGeom prst="rect">
                      <a:avLst/>
                    </a:prstGeom>
                    <a:noFill/>
                    <a:ln>
                      <a:noFill/>
                    </a:ln>
                  </pic:spPr>
                </pic:pic>
              </a:graphicData>
            </a:graphic>
          </wp:inline>
        </w:drawing>
      </w:r>
    </w:p>
    <w:p w14:paraId="10EA90E0"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在乳腺癌治疗中，</w:t>
      </w:r>
      <w:proofErr w:type="gramStart"/>
      <w:r w:rsidRPr="001D4A2E">
        <w:rPr>
          <w:rFonts w:ascii="微软雅黑" w:eastAsia="微软雅黑" w:hAnsi="微软雅黑" w:cs="宋体"/>
          <w:kern w:val="0"/>
          <w:sz w:val="24"/>
          <w:szCs w:val="24"/>
        </w:rPr>
        <w:t>序贯抗雌激素</w:t>
      </w:r>
      <w:proofErr w:type="gramEnd"/>
      <w:r w:rsidRPr="001D4A2E">
        <w:rPr>
          <w:rFonts w:ascii="微软雅黑" w:eastAsia="微软雅黑" w:hAnsi="微软雅黑" w:cs="宋体"/>
          <w:kern w:val="0"/>
          <w:sz w:val="24"/>
          <w:szCs w:val="24"/>
        </w:rPr>
        <w:t>治疗（AE）联合</w:t>
      </w:r>
      <w:proofErr w:type="spellStart"/>
      <w:r w:rsidRPr="001D4A2E">
        <w:rPr>
          <w:rFonts w:ascii="微软雅黑" w:eastAsia="微软雅黑" w:hAnsi="微软雅黑" w:cs="宋体"/>
          <w:kern w:val="0"/>
          <w:sz w:val="24"/>
          <w:szCs w:val="24"/>
        </w:rPr>
        <w:t>CDKi</w:t>
      </w:r>
      <w:proofErr w:type="spellEnd"/>
      <w:r w:rsidRPr="001D4A2E">
        <w:rPr>
          <w:rFonts w:ascii="微软雅黑" w:eastAsia="微软雅黑" w:hAnsi="微软雅黑" w:cs="宋体"/>
          <w:kern w:val="0"/>
          <w:sz w:val="24"/>
          <w:szCs w:val="24"/>
        </w:rPr>
        <w:t>作为辅助治疗，旨在延缓抗雌激素耐药的产生。作为一线治疗，ER</w:t>
      </w:r>
      <w:r w:rsidRPr="001D4A2E">
        <w:rPr>
          <w:rFonts w:ascii="微软雅黑" w:eastAsia="微软雅黑" w:hAnsi="微软雅黑" w:cs="宋体"/>
          <w:kern w:val="0"/>
          <w:sz w:val="24"/>
          <w:szCs w:val="24"/>
          <w:vertAlign w:val="superscript"/>
        </w:rPr>
        <w:t>阳性</w:t>
      </w:r>
      <w:r w:rsidRPr="001D4A2E">
        <w:rPr>
          <w:rFonts w:ascii="微软雅黑" w:eastAsia="微软雅黑" w:hAnsi="微软雅黑" w:cs="宋体"/>
          <w:kern w:val="0"/>
          <w:sz w:val="24"/>
          <w:szCs w:val="24"/>
        </w:rPr>
        <w:t>乳腺癌细胞经SERM、SERD或AI治疗后会产生抗雌激素耐药。此时，对已产生抗雌激素耐药的ER</w:t>
      </w:r>
      <w:r w:rsidRPr="001D4A2E">
        <w:rPr>
          <w:rFonts w:ascii="微软雅黑" w:eastAsia="微软雅黑" w:hAnsi="微软雅黑" w:cs="宋体"/>
          <w:kern w:val="0"/>
          <w:sz w:val="24"/>
          <w:szCs w:val="24"/>
          <w:vertAlign w:val="superscript"/>
        </w:rPr>
        <w:t>阳性</w:t>
      </w:r>
      <w:r w:rsidRPr="001D4A2E">
        <w:rPr>
          <w:rFonts w:ascii="微软雅黑" w:eastAsia="微软雅黑" w:hAnsi="微软雅黑" w:cs="宋体"/>
          <w:kern w:val="0"/>
          <w:sz w:val="24"/>
          <w:szCs w:val="24"/>
        </w:rPr>
        <w:t>乳腺癌细胞，需使用不同的SERM或SERD进行治疗。这种序</w:t>
      </w:r>
      <w:proofErr w:type="gramStart"/>
      <w:r w:rsidRPr="001D4A2E">
        <w:rPr>
          <w:rFonts w:ascii="微软雅黑" w:eastAsia="微软雅黑" w:hAnsi="微软雅黑" w:cs="宋体"/>
          <w:kern w:val="0"/>
          <w:sz w:val="24"/>
          <w:szCs w:val="24"/>
        </w:rPr>
        <w:t>贯使用</w:t>
      </w:r>
      <w:proofErr w:type="gramEnd"/>
      <w:r w:rsidRPr="001D4A2E">
        <w:rPr>
          <w:rFonts w:ascii="微软雅黑" w:eastAsia="微软雅黑" w:hAnsi="微软雅黑" w:cs="宋体"/>
          <w:kern w:val="0"/>
          <w:sz w:val="24"/>
          <w:szCs w:val="24"/>
        </w:rPr>
        <w:t>不同抗雌激素的治疗</w:t>
      </w:r>
      <w:r w:rsidRPr="001D4A2E">
        <w:rPr>
          <w:rFonts w:ascii="MS Gothic" w:eastAsia="MS Gothic" w:hAnsi="MS Gothic" w:cs="MS Gothic" w:hint="eastAsia"/>
          <w:kern w:val="0"/>
          <w:sz w:val="24"/>
          <w:szCs w:val="24"/>
        </w:rPr>
        <w:t>​​</w:t>
      </w:r>
      <w:r w:rsidRPr="001D4A2E">
        <w:rPr>
          <w:rFonts w:ascii="微软雅黑" w:eastAsia="微软雅黑" w:hAnsi="微软雅黑" w:cs="宋体"/>
          <w:kern w:val="0"/>
          <w:sz w:val="24"/>
          <w:szCs w:val="24"/>
        </w:rPr>
        <w:t>方案，作为三</w:t>
      </w:r>
      <w:r w:rsidRPr="001D4A2E">
        <w:rPr>
          <w:rFonts w:ascii="微软雅黑" w:eastAsia="微软雅黑" w:hAnsi="微软雅黑" w:cs="宋体"/>
          <w:kern w:val="0"/>
          <w:sz w:val="24"/>
          <w:szCs w:val="24"/>
          <w:vertAlign w:val="superscript"/>
        </w:rPr>
        <w:t>线</w:t>
      </w:r>
      <w:r w:rsidRPr="001D4A2E">
        <w:rPr>
          <w:rFonts w:ascii="微软雅黑" w:eastAsia="微软雅黑" w:hAnsi="微软雅黑" w:cs="宋体"/>
          <w:kern w:val="0"/>
          <w:sz w:val="24"/>
          <w:szCs w:val="24"/>
        </w:rPr>
        <w:t>和四</w:t>
      </w:r>
      <w:r w:rsidRPr="001D4A2E">
        <w:rPr>
          <w:rFonts w:ascii="微软雅黑" w:eastAsia="微软雅黑" w:hAnsi="微软雅黑" w:cs="宋体"/>
          <w:kern w:val="0"/>
          <w:sz w:val="24"/>
          <w:szCs w:val="24"/>
          <w:vertAlign w:val="superscript"/>
        </w:rPr>
        <w:t>线</w:t>
      </w:r>
      <w:r w:rsidRPr="001D4A2E">
        <w:rPr>
          <w:rFonts w:ascii="微软雅黑" w:eastAsia="微软雅黑" w:hAnsi="微软雅黑" w:cs="宋体"/>
          <w:kern w:val="0"/>
          <w:sz w:val="24"/>
          <w:szCs w:val="24"/>
        </w:rPr>
        <w:t>治疗，能够延缓复发，尤其是在抗雌激素联合</w:t>
      </w:r>
      <w:proofErr w:type="spellStart"/>
      <w:r w:rsidRPr="001D4A2E">
        <w:rPr>
          <w:rFonts w:ascii="微软雅黑" w:eastAsia="微软雅黑" w:hAnsi="微软雅黑" w:cs="宋体"/>
          <w:kern w:val="0"/>
          <w:sz w:val="24"/>
          <w:szCs w:val="24"/>
        </w:rPr>
        <w:t>CDKi</w:t>
      </w:r>
      <w:proofErr w:type="spellEnd"/>
      <w:r w:rsidRPr="001D4A2E">
        <w:rPr>
          <w:rFonts w:ascii="微软雅黑" w:eastAsia="微软雅黑" w:hAnsi="微软雅黑" w:cs="宋体"/>
          <w:kern w:val="0"/>
          <w:sz w:val="24"/>
          <w:szCs w:val="24"/>
        </w:rPr>
        <w:t>的情况下。抗雌激素耐药可能源于原发性异质性肿瘤细胞群（图中黄色部分）中预先存在的耐药乳腺癌细胞，也可能源于通过遗传或表观遗传事件获得耐药性的乳腺癌细胞亚群。</w:t>
      </w:r>
    </w:p>
    <w:p w14:paraId="11C4A470"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t>人们认识到根除乳腺癌需要了解内分泌耐药机制，因此开展了无数实验室研究（</w:t>
      </w:r>
      <w:hyperlink r:id="rId26" w:anchor="B38" w:history="1">
        <w:r w:rsidRPr="001D4A2E">
          <w:rPr>
            <w:rFonts w:ascii="微软雅黑" w:eastAsia="微软雅黑" w:hAnsi="微软雅黑" w:cs="宋体"/>
            <w:kern w:val="0"/>
            <w:sz w:val="24"/>
            <w:szCs w:val="24"/>
            <w:u w:val="single"/>
          </w:rPr>
          <w:t>38</w:t>
        </w:r>
      </w:hyperlink>
      <w:r w:rsidRPr="001D4A2E">
        <w:rPr>
          <w:rFonts w:ascii="微软雅黑" w:eastAsia="微软雅黑" w:hAnsi="微软雅黑" w:cs="宋体"/>
          <w:kern w:val="0"/>
          <w:sz w:val="24"/>
          <w:szCs w:val="24"/>
        </w:rPr>
        <w:t> , </w:t>
      </w:r>
      <w:hyperlink r:id="rId27" w:anchor="B39" w:history="1">
        <w:r w:rsidRPr="001D4A2E">
          <w:rPr>
            <w:rFonts w:ascii="微软雅黑" w:eastAsia="微软雅黑" w:hAnsi="微软雅黑" w:cs="宋体"/>
            <w:kern w:val="0"/>
            <w:sz w:val="24"/>
            <w:szCs w:val="24"/>
            <w:u w:val="single"/>
          </w:rPr>
          <w:t>39</w:t>
        </w:r>
      </w:hyperlink>
      <w:r w:rsidRPr="001D4A2E">
        <w:rPr>
          <w:rFonts w:ascii="微软雅黑" w:eastAsia="微软雅黑" w:hAnsi="微软雅黑" w:cs="宋体"/>
          <w:kern w:val="0"/>
          <w:sz w:val="24"/>
          <w:szCs w:val="24"/>
        </w:rPr>
        <w:t>），旨在建立和分析抗雌激素和芳香化酶抑制剂耐药的乳腺癌模型。这些研究已鉴定出多种耐药机制以及多个分子靶点（详见第7节），其中靶向</w:t>
      </w:r>
      <w:r w:rsidRPr="001D4A2E">
        <w:rPr>
          <w:rFonts w:ascii="微软雅黑" w:eastAsia="微软雅黑" w:hAnsi="微软雅黑" w:cs="宋体"/>
          <w:kern w:val="0"/>
          <w:sz w:val="24"/>
          <w:szCs w:val="24"/>
        </w:rPr>
        <w:lastRenderedPageBreak/>
        <w:t>CDK4/6（详见下文第3节）是ER </w:t>
      </w:r>
      <w:r w:rsidRPr="001D4A2E">
        <w:rPr>
          <w:rFonts w:ascii="微软雅黑" w:eastAsia="微软雅黑" w:hAnsi="微软雅黑" w:cs="宋体"/>
          <w:kern w:val="0"/>
          <w:sz w:val="24"/>
          <w:szCs w:val="24"/>
          <w:vertAlign w:val="superscript"/>
        </w:rPr>
        <w:t>+</w:t>
      </w:r>
      <w:r w:rsidRPr="001D4A2E">
        <w:rPr>
          <w:rFonts w:ascii="微软雅黑" w:eastAsia="微软雅黑" w:hAnsi="微软雅黑" w:cs="宋体"/>
          <w:kern w:val="0"/>
          <w:sz w:val="24"/>
          <w:szCs w:val="24"/>
        </w:rPr>
        <w:t>、HER2/NEU阴性乳腺癌治疗中最成功的改进之一（</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"B40"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40-42</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 ）。这种联合治疗方法可显著延缓复发；然而，即使抗雌激素与CDK4/6抑制剂（</w:t>
      </w:r>
      <w:proofErr w:type="spellStart"/>
      <w:r w:rsidRPr="001D4A2E">
        <w:rPr>
          <w:rFonts w:ascii="微软雅黑" w:eastAsia="微软雅黑" w:hAnsi="微软雅黑" w:cs="宋体"/>
          <w:kern w:val="0"/>
          <w:sz w:val="24"/>
          <w:szCs w:val="24"/>
        </w:rPr>
        <w:t>CDKi</w:t>
      </w:r>
      <w:proofErr w:type="spellEnd"/>
      <w:r w:rsidRPr="001D4A2E">
        <w:rPr>
          <w:rFonts w:ascii="微软雅黑" w:eastAsia="微软雅黑" w:hAnsi="微软雅黑" w:cs="宋体"/>
          <w:kern w:val="0"/>
          <w:sz w:val="24"/>
          <w:szCs w:val="24"/>
        </w:rPr>
        <w:t xml:space="preserve"> ）联合使用</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"B42"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仍可能出现耐药性（43-45 </w:t>
      </w:r>
      <w:hyperlink r:id="rId28" w:anchor="B45" w:history="1">
        <w:r w:rsidRPr="001D4A2E">
          <w:rPr>
            <w:rFonts w:ascii="微软雅黑" w:eastAsia="微软雅黑" w:hAnsi="微软雅黑" w:cs="宋体"/>
            <w:kern w:val="0"/>
            <w:sz w:val="24"/>
            <w:szCs w:val="24"/>
            <w:u w:val="single"/>
          </w:rPr>
          <w:t>）</w:t>
        </w:r>
      </w:hyperlink>
      <w:hyperlink r:id="rId29" w:anchor="B43" w:history="1">
        <w:r w:rsidRPr="001D4A2E">
          <w:rPr>
            <w:rFonts w:ascii="微软雅黑" w:eastAsia="微软雅黑" w:hAnsi="微软雅黑" w:cs="宋体"/>
            <w:kern w:val="0"/>
            <w:sz w:val="24"/>
            <w:szCs w:val="24"/>
            <w:u w:val="single"/>
          </w:rPr>
          <w:t>。</w:t>
        </w:r>
      </w:hyperlink>
    </w:p>
    <w:p w14:paraId="3FE525F8" w14:textId="77777777" w:rsidR="001D4A2E" w:rsidRPr="001D4A2E" w:rsidRDefault="001D4A2E" w:rsidP="001D4A2E">
      <w:pPr>
        <w:widowControl/>
        <w:pBdr>
          <w:bottom w:val="single" w:sz="6" w:space="0" w:color="97B1C8"/>
        </w:pBdr>
        <w:spacing w:line="450" w:lineRule="atLeast"/>
        <w:outlineLvl w:val="1"/>
        <w:rPr>
          <w:rFonts w:ascii="微软雅黑" w:eastAsia="微软雅黑" w:hAnsi="微软雅黑" w:cs="宋体"/>
          <w:kern w:val="0"/>
          <w:sz w:val="34"/>
          <w:szCs w:val="34"/>
        </w:rPr>
      </w:pPr>
      <w:r w:rsidRPr="001D4A2E">
        <w:rPr>
          <w:rFonts w:ascii="微软雅黑" w:eastAsia="微软雅黑" w:hAnsi="微软雅黑" w:cs="宋体"/>
          <w:kern w:val="0"/>
          <w:sz w:val="34"/>
          <w:szCs w:val="34"/>
        </w:rPr>
        <w:t xml:space="preserve">3. </w:t>
      </w:r>
      <w:proofErr w:type="spellStart"/>
      <w:r w:rsidRPr="001D4A2E">
        <w:rPr>
          <w:rFonts w:ascii="微软雅黑" w:eastAsia="微软雅黑" w:hAnsi="微软雅黑" w:cs="宋体"/>
          <w:kern w:val="0"/>
          <w:sz w:val="34"/>
          <w:szCs w:val="34"/>
        </w:rPr>
        <w:t>CDKi</w:t>
      </w:r>
      <w:proofErr w:type="spellEnd"/>
      <w:r w:rsidRPr="001D4A2E">
        <w:rPr>
          <w:rFonts w:ascii="微软雅黑" w:eastAsia="微软雅黑" w:hAnsi="微软雅黑" w:cs="宋体"/>
          <w:kern w:val="0"/>
          <w:sz w:val="34"/>
          <w:szCs w:val="34"/>
        </w:rPr>
        <w:t xml:space="preserve"> 作为抗雌激素疗法的辅助治疗</w:t>
      </w:r>
    </w:p>
    <w:p w14:paraId="54EE674B"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t>基础研究揭示了细胞周期蛋白D-CDK4/6-Rb轴在G1期向S期细胞周期转换中的作用，随后开展的转化和临床研究</w:t>
      </w:r>
      <w:proofErr w:type="gramStart"/>
      <w:r w:rsidRPr="001D4A2E">
        <w:rPr>
          <w:rFonts w:ascii="微软雅黑" w:eastAsia="微软雅黑" w:hAnsi="微软雅黑" w:cs="宋体"/>
          <w:kern w:val="0"/>
          <w:sz w:val="24"/>
          <w:szCs w:val="24"/>
        </w:rPr>
        <w:t>发现该轴与</w:t>
      </w:r>
      <w:proofErr w:type="gramEnd"/>
      <w:r w:rsidRPr="001D4A2E">
        <w:rPr>
          <w:rFonts w:ascii="微软雅黑" w:eastAsia="微软雅黑" w:hAnsi="微软雅黑" w:cs="宋体"/>
          <w:kern w:val="0"/>
          <w:sz w:val="24"/>
          <w:szCs w:val="24"/>
        </w:rPr>
        <w:t>乳腺癌进展和抗雌激素耐药性相关（</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"B46"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46</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 , </w:t>
      </w:r>
      <w:hyperlink r:id="rId30" w:anchor="B47" w:history="1">
        <w:r w:rsidRPr="001D4A2E">
          <w:rPr>
            <w:rFonts w:ascii="微软雅黑" w:eastAsia="微软雅黑" w:hAnsi="微软雅黑" w:cs="宋体"/>
            <w:kern w:val="0"/>
            <w:sz w:val="24"/>
            <w:szCs w:val="24"/>
            <w:u w:val="single"/>
          </w:rPr>
          <w:t>47</w:t>
        </w:r>
      </w:hyperlink>
      <w:r w:rsidRPr="001D4A2E">
        <w:rPr>
          <w:rFonts w:ascii="微软雅黑" w:eastAsia="微软雅黑" w:hAnsi="微软雅黑" w:cs="宋体"/>
          <w:kern w:val="0"/>
          <w:sz w:val="24"/>
          <w:szCs w:val="24"/>
        </w:rPr>
        <w:t>），最终促成了CDK抑制剂的研发，目前这些抑制剂与内分泌治疗联合用于ER阳性HER2阴性乳腺癌（</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"B48"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48</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目前用作抗雌激素辅助治疗的CDK4/6小分子抑制剂包括帕博西尼、瑞博西尼和阿贝西利。这些分子选择性地靶向CDK4/6，并激活视网膜母细胞瘤蛋白（Rb），Rb是一种肿瘤抑制因子，它能结合E2F转录因子，使细胞周期停滞在G1期。这些抑制剂的疗效已在多种实体瘤中得到证实，包括乳腺癌（</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"B40"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40</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）。在最初的II期（PALOMA-1）和III期（PALOMA-2和-3）试验中，帕博西尼联合</w:t>
      </w:r>
      <w:proofErr w:type="gramStart"/>
      <w:r w:rsidRPr="001D4A2E">
        <w:rPr>
          <w:rFonts w:ascii="微软雅黑" w:eastAsia="微软雅黑" w:hAnsi="微软雅黑" w:cs="宋体"/>
          <w:kern w:val="0"/>
          <w:sz w:val="24"/>
          <w:szCs w:val="24"/>
        </w:rPr>
        <w:t>氟维司群</w:t>
      </w:r>
      <w:proofErr w:type="gramEnd"/>
      <w:r w:rsidRPr="001D4A2E">
        <w:rPr>
          <w:rFonts w:ascii="微软雅黑" w:eastAsia="微软雅黑" w:hAnsi="微软雅黑" w:cs="宋体"/>
          <w:kern w:val="0"/>
          <w:sz w:val="24"/>
          <w:szCs w:val="24"/>
        </w:rPr>
        <w:t>或来曲</w:t>
      </w:r>
      <w:proofErr w:type="gramStart"/>
      <w:r w:rsidRPr="001D4A2E">
        <w:rPr>
          <w:rFonts w:ascii="微软雅黑" w:eastAsia="微软雅黑" w:hAnsi="微软雅黑" w:cs="宋体"/>
          <w:kern w:val="0"/>
          <w:sz w:val="24"/>
          <w:szCs w:val="24"/>
        </w:rPr>
        <w:t>唑</w:t>
      </w:r>
      <w:proofErr w:type="gramEnd"/>
      <w:r w:rsidRPr="001D4A2E">
        <w:rPr>
          <w:rFonts w:ascii="微软雅黑" w:eastAsia="微软雅黑" w:hAnsi="微软雅黑" w:cs="宋体"/>
          <w:kern w:val="0"/>
          <w:sz w:val="24"/>
          <w:szCs w:val="24"/>
        </w:rPr>
        <w:t>治疗ER阳性晚期乳腺癌的疗效优于</w:t>
      </w:r>
      <w:proofErr w:type="gramStart"/>
      <w:r w:rsidRPr="001D4A2E">
        <w:rPr>
          <w:rFonts w:ascii="微软雅黑" w:eastAsia="微软雅黑" w:hAnsi="微软雅黑" w:cs="宋体"/>
          <w:kern w:val="0"/>
          <w:sz w:val="24"/>
          <w:szCs w:val="24"/>
        </w:rPr>
        <w:t>单药抗雌激素</w:t>
      </w:r>
      <w:proofErr w:type="gramEnd"/>
      <w:r w:rsidRPr="001D4A2E">
        <w:rPr>
          <w:rFonts w:ascii="微软雅黑" w:eastAsia="微软雅黑" w:hAnsi="微软雅黑" w:cs="宋体"/>
          <w:kern w:val="0"/>
          <w:sz w:val="24"/>
          <w:szCs w:val="24"/>
        </w:rPr>
        <w:t>治疗，无进展生存期（PFS）延长了一倍（41, 42）；来曲</w:t>
      </w:r>
      <w:proofErr w:type="gramStart"/>
      <w:r w:rsidRPr="001D4A2E">
        <w:rPr>
          <w:rFonts w:ascii="微软雅黑" w:eastAsia="微软雅黑" w:hAnsi="微软雅黑" w:cs="宋体"/>
          <w:kern w:val="0"/>
          <w:sz w:val="24"/>
          <w:szCs w:val="24"/>
        </w:rPr>
        <w:t>唑</w:t>
      </w:r>
      <w:proofErr w:type="gramEnd"/>
      <w:r w:rsidRPr="001D4A2E">
        <w:rPr>
          <w:rFonts w:ascii="微软雅黑" w:eastAsia="微软雅黑" w:hAnsi="微软雅黑" w:cs="宋体"/>
          <w:kern w:val="0"/>
          <w:sz w:val="24"/>
          <w:szCs w:val="24"/>
        </w:rPr>
        <w:t>联</w:t>
      </w:r>
      <w:proofErr w:type="gramStart"/>
      <w:r w:rsidRPr="001D4A2E">
        <w:rPr>
          <w:rFonts w:ascii="微软雅黑" w:eastAsia="微软雅黑" w:hAnsi="微软雅黑" w:cs="宋体"/>
          <w:kern w:val="0"/>
          <w:sz w:val="24"/>
          <w:szCs w:val="24"/>
        </w:rPr>
        <w:t>合帕</w:t>
      </w:r>
      <w:proofErr w:type="gramEnd"/>
      <w:r w:rsidRPr="001D4A2E">
        <w:rPr>
          <w:rFonts w:ascii="微软雅黑" w:eastAsia="微软雅黑" w:hAnsi="微软雅黑" w:cs="宋体"/>
          <w:kern w:val="0"/>
          <w:sz w:val="24"/>
          <w:szCs w:val="24"/>
        </w:rPr>
        <w:t>博西</w:t>
      </w:r>
      <w:proofErr w:type="gramStart"/>
      <w:r w:rsidRPr="001D4A2E">
        <w:rPr>
          <w:rFonts w:ascii="微软雅黑" w:eastAsia="微软雅黑" w:hAnsi="微软雅黑" w:cs="宋体"/>
          <w:kern w:val="0"/>
          <w:sz w:val="24"/>
          <w:szCs w:val="24"/>
        </w:rPr>
        <w:t>尼治疗</w:t>
      </w:r>
      <w:proofErr w:type="gramEnd"/>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"B41"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组</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的</w:t>
      </w:r>
      <w:hyperlink r:id="rId31" w:anchor="B42" w:history="1">
        <w:r w:rsidRPr="001D4A2E">
          <w:rPr>
            <w:rFonts w:ascii="微软雅黑" w:eastAsia="微软雅黑" w:hAnsi="微软雅黑" w:cs="宋体"/>
            <w:kern w:val="0"/>
            <w:sz w:val="24"/>
            <w:szCs w:val="24"/>
            <w:u w:val="single"/>
          </w:rPr>
          <w:t>中</w:t>
        </w:r>
      </w:hyperlink>
      <w:r w:rsidRPr="001D4A2E">
        <w:rPr>
          <w:rFonts w:ascii="微软雅黑" w:eastAsia="微软雅黑" w:hAnsi="微软雅黑" w:cs="宋体"/>
          <w:kern w:val="0"/>
          <w:sz w:val="24"/>
          <w:szCs w:val="24"/>
        </w:rPr>
        <w:t>位PFS长达27.6个月，而单药来曲</w:t>
      </w:r>
      <w:proofErr w:type="gramStart"/>
      <w:r w:rsidRPr="001D4A2E">
        <w:rPr>
          <w:rFonts w:ascii="微软雅黑" w:eastAsia="微软雅黑" w:hAnsi="微软雅黑" w:cs="宋体"/>
          <w:kern w:val="0"/>
          <w:sz w:val="24"/>
          <w:szCs w:val="24"/>
        </w:rPr>
        <w:t>唑</w:t>
      </w:r>
      <w:proofErr w:type="gramEnd"/>
      <w:r w:rsidRPr="001D4A2E">
        <w:rPr>
          <w:rFonts w:ascii="微软雅黑" w:eastAsia="微软雅黑" w:hAnsi="微软雅黑" w:cs="宋体"/>
          <w:kern w:val="0"/>
          <w:sz w:val="24"/>
          <w:szCs w:val="24"/>
        </w:rPr>
        <w:t>治疗组为14.5个月。芳香化酶抑制剂与阿贝西利或瑞博西尼联合使用也显示出疗效提升（</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"B49"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49 ）。然而，约15-20%的ER</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vertAlign w:val="superscript"/>
        </w:rPr>
        <w:t>阳性</w:t>
      </w:r>
      <w:r w:rsidRPr="001D4A2E">
        <w:rPr>
          <w:rFonts w:ascii="微软雅黑" w:eastAsia="微软雅黑" w:hAnsi="微软雅黑" w:cs="宋体"/>
          <w:kern w:val="0"/>
          <w:sz w:val="24"/>
          <w:szCs w:val="24"/>
        </w:rPr>
        <w:t>HER2阴性乳腺癌患者出现了内在或获得性耐药（ </w:t>
      </w:r>
      <w:hyperlink r:id="rId32" w:anchor="B50" w:history="1">
        <w:r w:rsidRPr="001D4A2E">
          <w:rPr>
            <w:rFonts w:ascii="微软雅黑" w:eastAsia="微软雅黑" w:hAnsi="微软雅黑" w:cs="宋体"/>
            <w:kern w:val="0"/>
            <w:sz w:val="24"/>
            <w:szCs w:val="24"/>
            <w:u w:val="single"/>
          </w:rPr>
          <w:t>50</w:t>
        </w:r>
      </w:hyperlink>
      <w:r w:rsidRPr="001D4A2E">
        <w:rPr>
          <w:rFonts w:ascii="微软雅黑" w:eastAsia="微软雅黑" w:hAnsi="微软雅黑" w:cs="宋体"/>
          <w:kern w:val="0"/>
          <w:sz w:val="24"/>
          <w:szCs w:val="24"/>
        </w:rPr>
        <w:t>），部分患者还出现了不良反应，例如对瑞博西尼和帕博西尼治疗产生中性粒细胞减少症（</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"B51"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51</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 xml:space="preserve">）。目前，美国至少有 11 </w:t>
      </w:r>
      <w:proofErr w:type="gramStart"/>
      <w:r w:rsidRPr="001D4A2E">
        <w:rPr>
          <w:rFonts w:ascii="微软雅黑" w:eastAsia="微软雅黑" w:hAnsi="微软雅黑" w:cs="宋体"/>
          <w:kern w:val="0"/>
          <w:sz w:val="24"/>
          <w:szCs w:val="24"/>
        </w:rPr>
        <w:t>项活跃</w:t>
      </w:r>
      <w:proofErr w:type="gramEnd"/>
      <w:r w:rsidRPr="001D4A2E">
        <w:rPr>
          <w:rFonts w:ascii="微软雅黑" w:eastAsia="微软雅黑" w:hAnsi="微软雅黑" w:cs="宋体"/>
          <w:kern w:val="0"/>
          <w:sz w:val="24"/>
          <w:szCs w:val="24"/>
        </w:rPr>
        <w:t xml:space="preserve">的临床试验正在进一步评估 </w:t>
      </w:r>
      <w:proofErr w:type="spellStart"/>
      <w:r w:rsidRPr="001D4A2E">
        <w:rPr>
          <w:rFonts w:ascii="微软雅黑" w:eastAsia="微软雅黑" w:hAnsi="微软雅黑" w:cs="宋体"/>
          <w:kern w:val="0"/>
          <w:sz w:val="24"/>
          <w:szCs w:val="24"/>
        </w:rPr>
        <w:t>CDKi</w:t>
      </w:r>
      <w:proofErr w:type="spellEnd"/>
      <w:r w:rsidRPr="001D4A2E">
        <w:rPr>
          <w:rFonts w:ascii="微软雅黑" w:eastAsia="微软雅黑" w:hAnsi="微软雅黑" w:cs="宋体"/>
          <w:kern w:val="0"/>
          <w:sz w:val="24"/>
          <w:szCs w:val="24"/>
        </w:rPr>
        <w:t xml:space="preserve"> 与内分泌疗法联合治疗 ER </w:t>
      </w:r>
      <w:r w:rsidRPr="001D4A2E">
        <w:rPr>
          <w:rFonts w:ascii="微软雅黑" w:eastAsia="微软雅黑" w:hAnsi="微软雅黑" w:cs="宋体"/>
          <w:kern w:val="0"/>
          <w:sz w:val="24"/>
          <w:szCs w:val="24"/>
          <w:vertAlign w:val="superscript"/>
        </w:rPr>
        <w:t>+</w:t>
      </w:r>
      <w:r w:rsidRPr="001D4A2E">
        <w:rPr>
          <w:rFonts w:ascii="微软雅黑" w:eastAsia="微软雅黑" w:hAnsi="微软雅黑" w:cs="宋体"/>
          <w:kern w:val="0"/>
          <w:sz w:val="24"/>
          <w:szCs w:val="24"/>
        </w:rPr>
        <w:t> HER2 阴性乳腺癌的疗效（</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"T1"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b/>
          <w:bCs/>
          <w:kern w:val="0"/>
          <w:sz w:val="24"/>
          <w:szCs w:val="24"/>
          <w:u w:val="single"/>
        </w:rPr>
        <w:t>表 1</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w:t>
      </w:r>
    </w:p>
    <w:p w14:paraId="58FD9E08" w14:textId="77777777" w:rsidR="001D4A2E" w:rsidRPr="001D4A2E" w:rsidRDefault="001D4A2E" w:rsidP="001D4A2E">
      <w:pPr>
        <w:widowControl/>
        <w:spacing w:line="450" w:lineRule="atLeast"/>
        <w:outlineLvl w:val="2"/>
        <w:rPr>
          <w:rFonts w:ascii="微软雅黑" w:eastAsia="微软雅黑" w:hAnsi="微软雅黑" w:cs="宋体"/>
          <w:kern w:val="0"/>
          <w:sz w:val="30"/>
          <w:szCs w:val="30"/>
        </w:rPr>
      </w:pPr>
      <w:r w:rsidRPr="001D4A2E">
        <w:rPr>
          <w:rFonts w:ascii="微软雅黑" w:eastAsia="微软雅黑" w:hAnsi="微软雅黑" w:cs="宋体"/>
          <w:kern w:val="0"/>
          <w:sz w:val="30"/>
          <w:szCs w:val="30"/>
        </w:rPr>
        <w:lastRenderedPageBreak/>
        <w:t>表1。</w:t>
      </w:r>
    </w:p>
    <w:p w14:paraId="14A4876E"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美国正在进行的 CDK 抑制剂临床试验列表</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074"/>
        <w:gridCol w:w="2194"/>
        <w:gridCol w:w="458"/>
        <w:gridCol w:w="2570"/>
      </w:tblGrid>
      <w:tr w:rsidR="001D4A2E" w:rsidRPr="001D4A2E" w14:paraId="48F09602" w14:textId="77777777" w:rsidTr="001D4A2E">
        <w:trPr>
          <w:tblHeader/>
          <w:tblCellSpacing w:w="15" w:type="dxa"/>
        </w:trPr>
        <w:tc>
          <w:tcPr>
            <w:tcW w:w="1834" w:type="pct"/>
            <w:tcMar>
              <w:top w:w="56" w:type="dxa"/>
              <w:left w:w="56" w:type="dxa"/>
              <w:bottom w:w="56" w:type="dxa"/>
              <w:right w:w="56" w:type="dxa"/>
            </w:tcMar>
            <w:hideMark/>
          </w:tcPr>
          <w:p w14:paraId="06EC375E" w14:textId="77777777" w:rsidR="001D4A2E" w:rsidRPr="001D4A2E" w:rsidRDefault="001D4A2E" w:rsidP="001D4A2E">
            <w:pPr>
              <w:widowControl/>
              <w:rPr>
                <w:rFonts w:ascii="微软雅黑" w:eastAsia="微软雅黑" w:hAnsi="微软雅黑" w:cs="宋体"/>
                <w:b/>
                <w:bCs/>
                <w:kern w:val="0"/>
                <w:sz w:val="24"/>
                <w:szCs w:val="24"/>
              </w:rPr>
            </w:pPr>
            <w:r w:rsidRPr="001D4A2E">
              <w:rPr>
                <w:rFonts w:ascii="微软雅黑" w:eastAsia="微软雅黑" w:hAnsi="微软雅黑" w:cs="宋体"/>
                <w:b/>
                <w:bCs/>
                <w:kern w:val="0"/>
                <w:sz w:val="24"/>
                <w:szCs w:val="24"/>
              </w:rPr>
              <w:t>NCT（研究名称）</w:t>
            </w:r>
          </w:p>
        </w:tc>
        <w:tc>
          <w:tcPr>
            <w:tcW w:w="1310" w:type="pct"/>
            <w:tcMar>
              <w:top w:w="56" w:type="dxa"/>
              <w:left w:w="56" w:type="dxa"/>
              <w:bottom w:w="56" w:type="dxa"/>
              <w:right w:w="56" w:type="dxa"/>
            </w:tcMar>
            <w:hideMark/>
          </w:tcPr>
          <w:p w14:paraId="2F14D1AA" w14:textId="77777777" w:rsidR="001D4A2E" w:rsidRPr="001D4A2E" w:rsidRDefault="001D4A2E" w:rsidP="001D4A2E">
            <w:pPr>
              <w:widowControl/>
              <w:rPr>
                <w:rFonts w:ascii="微软雅黑" w:eastAsia="微软雅黑" w:hAnsi="微软雅黑" w:cs="宋体"/>
                <w:b/>
                <w:bCs/>
                <w:kern w:val="0"/>
                <w:sz w:val="24"/>
                <w:szCs w:val="24"/>
              </w:rPr>
            </w:pPr>
            <w:r w:rsidRPr="001D4A2E">
              <w:rPr>
                <w:rFonts w:ascii="微软雅黑" w:eastAsia="微软雅黑" w:hAnsi="微软雅黑" w:cs="宋体"/>
                <w:b/>
                <w:bCs/>
                <w:kern w:val="0"/>
                <w:sz w:val="24"/>
                <w:szCs w:val="24"/>
              </w:rPr>
              <w:t>干涉</w:t>
            </w:r>
          </w:p>
        </w:tc>
        <w:tc>
          <w:tcPr>
            <w:tcW w:w="259" w:type="pct"/>
            <w:tcMar>
              <w:top w:w="56" w:type="dxa"/>
              <w:left w:w="56" w:type="dxa"/>
              <w:bottom w:w="56" w:type="dxa"/>
              <w:right w:w="56" w:type="dxa"/>
            </w:tcMar>
            <w:hideMark/>
          </w:tcPr>
          <w:p w14:paraId="4CBC294B" w14:textId="77777777" w:rsidR="001D4A2E" w:rsidRPr="001D4A2E" w:rsidRDefault="001D4A2E" w:rsidP="001D4A2E">
            <w:pPr>
              <w:widowControl/>
              <w:rPr>
                <w:rFonts w:ascii="微软雅黑" w:eastAsia="微软雅黑" w:hAnsi="微软雅黑" w:cs="宋体"/>
                <w:b/>
                <w:bCs/>
                <w:kern w:val="0"/>
                <w:sz w:val="24"/>
                <w:szCs w:val="24"/>
              </w:rPr>
            </w:pPr>
            <w:r w:rsidRPr="001D4A2E">
              <w:rPr>
                <w:rFonts w:ascii="微软雅黑" w:eastAsia="微软雅黑" w:hAnsi="微软雅黑" w:cs="宋体"/>
                <w:b/>
                <w:bCs/>
                <w:kern w:val="0"/>
                <w:sz w:val="24"/>
                <w:szCs w:val="24"/>
              </w:rPr>
              <w:t>阶段</w:t>
            </w:r>
          </w:p>
        </w:tc>
        <w:tc>
          <w:tcPr>
            <w:tcW w:w="1529" w:type="pct"/>
            <w:tcMar>
              <w:top w:w="56" w:type="dxa"/>
              <w:left w:w="56" w:type="dxa"/>
              <w:bottom w:w="56" w:type="dxa"/>
              <w:right w:w="56" w:type="dxa"/>
            </w:tcMar>
            <w:hideMark/>
          </w:tcPr>
          <w:p w14:paraId="69890779" w14:textId="77777777" w:rsidR="001D4A2E" w:rsidRPr="001D4A2E" w:rsidRDefault="001D4A2E" w:rsidP="001D4A2E">
            <w:pPr>
              <w:widowControl/>
              <w:rPr>
                <w:rFonts w:ascii="微软雅黑" w:eastAsia="微软雅黑" w:hAnsi="微软雅黑" w:cs="宋体"/>
                <w:b/>
                <w:bCs/>
                <w:kern w:val="0"/>
                <w:sz w:val="24"/>
                <w:szCs w:val="24"/>
              </w:rPr>
            </w:pPr>
            <w:r w:rsidRPr="001D4A2E">
              <w:rPr>
                <w:rFonts w:ascii="微软雅黑" w:eastAsia="微软雅黑" w:hAnsi="微软雅黑" w:cs="宋体"/>
                <w:b/>
                <w:bCs/>
                <w:kern w:val="0"/>
                <w:sz w:val="24"/>
                <w:szCs w:val="24"/>
              </w:rPr>
              <w:t>主要终点</w:t>
            </w:r>
          </w:p>
        </w:tc>
      </w:tr>
      <w:tr w:rsidR="001D4A2E" w:rsidRPr="001D4A2E" w14:paraId="5AC59E05" w14:textId="77777777" w:rsidTr="001D4A2E">
        <w:trPr>
          <w:tblCellSpacing w:w="15" w:type="dxa"/>
        </w:trPr>
        <w:tc>
          <w:tcPr>
            <w:tcW w:w="1834" w:type="pct"/>
            <w:tcMar>
              <w:top w:w="56" w:type="dxa"/>
              <w:left w:w="56" w:type="dxa"/>
              <w:bottom w:w="56" w:type="dxa"/>
              <w:right w:w="56" w:type="dxa"/>
            </w:tcMar>
            <w:hideMark/>
          </w:tcPr>
          <w:p w14:paraId="50B79787" w14:textId="77777777" w:rsidR="001D4A2E" w:rsidRPr="001D4A2E" w:rsidRDefault="001D4A2E" w:rsidP="001D4A2E">
            <w:pPr>
              <w:widowControl/>
              <w:rPr>
                <w:rFonts w:ascii="微软雅黑" w:eastAsia="微软雅黑" w:hAnsi="微软雅黑" w:cs="宋体"/>
                <w:kern w:val="0"/>
                <w:sz w:val="24"/>
                <w:szCs w:val="24"/>
              </w:rPr>
            </w:pPr>
            <w:hyperlink r:id="rId33" w:tgtFrame="_blank" w:history="1">
              <w:r w:rsidRPr="001D4A2E">
                <w:rPr>
                  <w:rFonts w:ascii="微软雅黑" w:eastAsia="微软雅黑" w:hAnsi="微软雅黑" w:cs="宋体"/>
                  <w:kern w:val="0"/>
                  <w:sz w:val="24"/>
                  <w:szCs w:val="24"/>
                  <w:u w:val="single"/>
                </w:rPr>
                <w:t>NCT03285412</w:t>
              </w:r>
            </w:hyperlink>
            <w:r w:rsidRPr="001D4A2E">
              <w:rPr>
                <w:rFonts w:ascii="微软雅黑" w:eastAsia="微软雅黑" w:hAnsi="微软雅黑" w:cs="宋体"/>
                <w:kern w:val="0"/>
                <w:sz w:val="24"/>
                <w:szCs w:val="24"/>
              </w:rPr>
              <w:t>：CDK 4/6i、瑞博西尼联合辅助内分泌治疗ER阳性乳腺癌（LEADER）</w:t>
            </w:r>
          </w:p>
        </w:tc>
        <w:tc>
          <w:tcPr>
            <w:tcW w:w="1310" w:type="pct"/>
            <w:tcMar>
              <w:top w:w="56" w:type="dxa"/>
              <w:left w:w="56" w:type="dxa"/>
              <w:bottom w:w="56" w:type="dxa"/>
              <w:right w:w="56" w:type="dxa"/>
            </w:tcMar>
            <w:hideMark/>
          </w:tcPr>
          <w:p w14:paraId="2E3CF6DA"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核糖体 + ET</w:t>
            </w:r>
          </w:p>
        </w:tc>
        <w:tc>
          <w:tcPr>
            <w:tcW w:w="259" w:type="pct"/>
            <w:tcMar>
              <w:top w:w="56" w:type="dxa"/>
              <w:left w:w="56" w:type="dxa"/>
              <w:bottom w:w="56" w:type="dxa"/>
              <w:right w:w="56" w:type="dxa"/>
            </w:tcMar>
            <w:hideMark/>
          </w:tcPr>
          <w:p w14:paraId="73D6D6BE"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二</w:t>
            </w:r>
          </w:p>
        </w:tc>
        <w:tc>
          <w:tcPr>
            <w:tcW w:w="1529" w:type="pct"/>
            <w:tcMar>
              <w:top w:w="56" w:type="dxa"/>
              <w:left w:w="56" w:type="dxa"/>
              <w:bottom w:w="56" w:type="dxa"/>
              <w:right w:w="56" w:type="dxa"/>
            </w:tcMar>
            <w:hideMark/>
          </w:tcPr>
          <w:p w14:paraId="13F93727"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基于</w:t>
            </w:r>
            <w:proofErr w:type="spellStart"/>
            <w:r w:rsidRPr="001D4A2E">
              <w:rPr>
                <w:rFonts w:ascii="微软雅黑" w:eastAsia="微软雅黑" w:hAnsi="微软雅黑" w:cs="宋体"/>
                <w:kern w:val="0"/>
                <w:sz w:val="24"/>
                <w:szCs w:val="24"/>
              </w:rPr>
              <w:t>ctDNA</w:t>
            </w:r>
            <w:proofErr w:type="spellEnd"/>
            <w:r w:rsidRPr="001D4A2E">
              <w:rPr>
                <w:rFonts w:ascii="微软雅黑" w:eastAsia="微软雅黑" w:hAnsi="微软雅黑" w:cs="宋体"/>
                <w:kern w:val="0"/>
                <w:sz w:val="24"/>
                <w:szCs w:val="24"/>
              </w:rPr>
              <w:t>评估核糖体疗法对微小残留病患者的疗效。</w:t>
            </w:r>
          </w:p>
        </w:tc>
      </w:tr>
      <w:tr w:rsidR="001D4A2E" w:rsidRPr="001D4A2E" w14:paraId="1AE26993" w14:textId="77777777" w:rsidTr="001D4A2E">
        <w:trPr>
          <w:tblCellSpacing w:w="15" w:type="dxa"/>
        </w:trPr>
        <w:tc>
          <w:tcPr>
            <w:tcW w:w="1834" w:type="pct"/>
            <w:tcMar>
              <w:top w:w="56" w:type="dxa"/>
              <w:left w:w="56" w:type="dxa"/>
              <w:bottom w:w="56" w:type="dxa"/>
              <w:right w:w="56" w:type="dxa"/>
            </w:tcMar>
            <w:hideMark/>
          </w:tcPr>
          <w:p w14:paraId="6A4C1143" w14:textId="77777777" w:rsidR="001D4A2E" w:rsidRPr="001D4A2E" w:rsidRDefault="001D4A2E" w:rsidP="001D4A2E">
            <w:pPr>
              <w:widowControl/>
              <w:rPr>
                <w:rFonts w:ascii="微软雅黑" w:eastAsia="微软雅黑" w:hAnsi="微软雅黑" w:cs="宋体"/>
                <w:kern w:val="0"/>
                <w:sz w:val="24"/>
                <w:szCs w:val="24"/>
              </w:rPr>
            </w:pPr>
            <w:hyperlink r:id="rId34" w:tgtFrame="_blank" w:history="1">
              <w:r w:rsidRPr="001D4A2E">
                <w:rPr>
                  <w:rFonts w:ascii="微软雅黑" w:eastAsia="微软雅黑" w:hAnsi="微软雅黑" w:cs="宋体"/>
                  <w:kern w:val="0"/>
                  <w:sz w:val="24"/>
                  <w:szCs w:val="24"/>
                  <w:u w:val="single"/>
                </w:rPr>
                <w:t>NCT01709370</w:t>
              </w:r>
            </w:hyperlink>
            <w:r w:rsidRPr="001D4A2E">
              <w:rPr>
                <w:rFonts w:ascii="微软雅黑" w:eastAsia="微软雅黑" w:hAnsi="微软雅黑" w:cs="宋体"/>
                <w:kern w:val="0"/>
                <w:sz w:val="24"/>
                <w:szCs w:val="24"/>
              </w:rPr>
              <w:t>：来曲</w:t>
            </w:r>
            <w:proofErr w:type="gramStart"/>
            <w:r w:rsidRPr="001D4A2E">
              <w:rPr>
                <w:rFonts w:ascii="微软雅黑" w:eastAsia="微软雅黑" w:hAnsi="微软雅黑" w:cs="宋体"/>
                <w:kern w:val="0"/>
                <w:sz w:val="24"/>
                <w:szCs w:val="24"/>
              </w:rPr>
              <w:t>唑</w:t>
            </w:r>
            <w:proofErr w:type="gramEnd"/>
            <w:r w:rsidRPr="001D4A2E">
              <w:rPr>
                <w:rFonts w:ascii="微软雅黑" w:eastAsia="微软雅黑" w:hAnsi="微软雅黑" w:cs="宋体"/>
                <w:kern w:val="0"/>
                <w:sz w:val="24"/>
                <w:szCs w:val="24"/>
              </w:rPr>
              <w:t xml:space="preserve">和 </w:t>
            </w:r>
            <w:proofErr w:type="spellStart"/>
            <w:r w:rsidRPr="001D4A2E">
              <w:rPr>
                <w:rFonts w:ascii="微软雅黑" w:eastAsia="微软雅黑" w:hAnsi="微软雅黑" w:cs="宋体"/>
                <w:kern w:val="0"/>
                <w:sz w:val="24"/>
                <w:szCs w:val="24"/>
              </w:rPr>
              <w:t>CDKi</w:t>
            </w:r>
            <w:proofErr w:type="spellEnd"/>
            <w:r w:rsidRPr="001D4A2E">
              <w:rPr>
                <w:rFonts w:ascii="微软雅黑" w:eastAsia="微软雅黑" w:hAnsi="微软雅黑" w:cs="宋体"/>
                <w:kern w:val="0"/>
                <w:sz w:val="24"/>
                <w:szCs w:val="24"/>
              </w:rPr>
              <w:t xml:space="preserve"> 抑制剂治疗绝经后女性 ER 阳性、HER2 阴性乳腺癌</w:t>
            </w:r>
          </w:p>
        </w:tc>
        <w:tc>
          <w:tcPr>
            <w:tcW w:w="1310" w:type="pct"/>
            <w:tcMar>
              <w:top w:w="56" w:type="dxa"/>
              <w:left w:w="56" w:type="dxa"/>
              <w:bottom w:w="56" w:type="dxa"/>
              <w:right w:w="56" w:type="dxa"/>
            </w:tcMar>
            <w:hideMark/>
          </w:tcPr>
          <w:p w14:paraId="033F2351"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Pal + Let、</w:t>
            </w:r>
            <w:proofErr w:type="spellStart"/>
            <w:r w:rsidRPr="001D4A2E">
              <w:rPr>
                <w:rFonts w:ascii="微软雅黑" w:eastAsia="微软雅黑" w:hAnsi="微软雅黑" w:cs="宋体"/>
                <w:kern w:val="0"/>
                <w:sz w:val="24"/>
                <w:szCs w:val="24"/>
              </w:rPr>
              <w:t>Ribo</w:t>
            </w:r>
            <w:proofErr w:type="spellEnd"/>
            <w:r w:rsidRPr="001D4A2E">
              <w:rPr>
                <w:rFonts w:ascii="微软雅黑" w:eastAsia="微软雅黑" w:hAnsi="微软雅黑" w:cs="宋体"/>
                <w:kern w:val="0"/>
                <w:sz w:val="24"/>
                <w:szCs w:val="24"/>
              </w:rPr>
              <w:t xml:space="preserve"> + Let、Abe + Let</w:t>
            </w:r>
          </w:p>
        </w:tc>
        <w:tc>
          <w:tcPr>
            <w:tcW w:w="259" w:type="pct"/>
            <w:tcMar>
              <w:top w:w="56" w:type="dxa"/>
              <w:left w:w="56" w:type="dxa"/>
              <w:bottom w:w="56" w:type="dxa"/>
              <w:right w:w="56" w:type="dxa"/>
            </w:tcMar>
            <w:hideMark/>
          </w:tcPr>
          <w:p w14:paraId="283A8416"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二</w:t>
            </w:r>
          </w:p>
        </w:tc>
        <w:tc>
          <w:tcPr>
            <w:tcW w:w="1529" w:type="pct"/>
            <w:tcMar>
              <w:top w:w="56" w:type="dxa"/>
              <w:left w:w="56" w:type="dxa"/>
              <w:bottom w:w="56" w:type="dxa"/>
              <w:right w:w="56" w:type="dxa"/>
            </w:tcMar>
            <w:hideMark/>
          </w:tcPr>
          <w:p w14:paraId="67EA1988"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对三种 CDK4/6i 免疫调节剂进行直接比较。</w:t>
            </w:r>
          </w:p>
        </w:tc>
      </w:tr>
      <w:tr w:rsidR="001D4A2E" w:rsidRPr="001D4A2E" w14:paraId="02EB439A" w14:textId="77777777" w:rsidTr="001D4A2E">
        <w:trPr>
          <w:tblCellSpacing w:w="15" w:type="dxa"/>
        </w:trPr>
        <w:tc>
          <w:tcPr>
            <w:tcW w:w="1834" w:type="pct"/>
            <w:tcMar>
              <w:top w:w="56" w:type="dxa"/>
              <w:left w:w="56" w:type="dxa"/>
              <w:bottom w:w="56" w:type="dxa"/>
              <w:right w:w="56" w:type="dxa"/>
            </w:tcMar>
            <w:hideMark/>
          </w:tcPr>
          <w:p w14:paraId="7AF8E6D8" w14:textId="77777777" w:rsidR="001D4A2E" w:rsidRPr="001D4A2E" w:rsidRDefault="001D4A2E" w:rsidP="001D4A2E">
            <w:pPr>
              <w:widowControl/>
              <w:rPr>
                <w:rFonts w:ascii="微软雅黑" w:eastAsia="微软雅黑" w:hAnsi="微软雅黑" w:cs="宋体"/>
                <w:kern w:val="0"/>
                <w:sz w:val="24"/>
                <w:szCs w:val="24"/>
              </w:rPr>
            </w:pPr>
            <w:hyperlink r:id="rId35" w:tgtFrame="_blank" w:history="1">
              <w:r w:rsidRPr="001D4A2E">
                <w:rPr>
                  <w:rFonts w:ascii="微软雅黑" w:eastAsia="微软雅黑" w:hAnsi="微软雅黑" w:cs="宋体"/>
                  <w:kern w:val="0"/>
                  <w:sz w:val="24"/>
                  <w:szCs w:val="24"/>
                  <w:u w:val="single"/>
                </w:rPr>
                <w:t>NCT05766410</w:t>
              </w:r>
            </w:hyperlink>
            <w:r w:rsidRPr="001D4A2E">
              <w:rPr>
                <w:rFonts w:ascii="微软雅黑" w:eastAsia="微软雅黑" w:hAnsi="微软雅黑" w:cs="宋体"/>
                <w:kern w:val="0"/>
                <w:sz w:val="24"/>
                <w:szCs w:val="24"/>
              </w:rPr>
              <w:t xml:space="preserve">：一项比较 </w:t>
            </w:r>
            <w:proofErr w:type="spellStart"/>
            <w:r w:rsidRPr="001D4A2E">
              <w:rPr>
                <w:rFonts w:ascii="微软雅黑" w:eastAsia="微软雅黑" w:hAnsi="微软雅黑" w:cs="宋体"/>
                <w:kern w:val="0"/>
                <w:sz w:val="24"/>
                <w:szCs w:val="24"/>
              </w:rPr>
              <w:t>Ribociclib</w:t>
            </w:r>
            <w:proofErr w:type="spellEnd"/>
            <w:r w:rsidRPr="001D4A2E">
              <w:rPr>
                <w:rFonts w:ascii="微软雅黑" w:eastAsia="微软雅黑" w:hAnsi="微软雅黑" w:cs="宋体"/>
                <w:kern w:val="0"/>
                <w:sz w:val="24"/>
                <w:szCs w:val="24"/>
              </w:rPr>
              <w:t xml:space="preserve">、Palbociclib 和 </w:t>
            </w:r>
            <w:proofErr w:type="spellStart"/>
            <w:r w:rsidRPr="001D4A2E">
              <w:rPr>
                <w:rFonts w:ascii="微软雅黑" w:eastAsia="微软雅黑" w:hAnsi="微软雅黑" w:cs="宋体"/>
                <w:kern w:val="0"/>
                <w:sz w:val="24"/>
                <w:szCs w:val="24"/>
              </w:rPr>
              <w:t>Abemaciclib</w:t>
            </w:r>
            <w:proofErr w:type="spellEnd"/>
            <w:r w:rsidRPr="001D4A2E">
              <w:rPr>
                <w:rFonts w:ascii="微软雅黑" w:eastAsia="微软雅黑" w:hAnsi="微软雅黑" w:cs="宋体"/>
                <w:kern w:val="0"/>
                <w:sz w:val="24"/>
                <w:szCs w:val="24"/>
              </w:rPr>
              <w:t xml:space="preserve"> 在 ER+/HER2- EBC 中免疫调节作用的随机研究 (ORACLE-RIPA)</w:t>
            </w:r>
          </w:p>
        </w:tc>
        <w:tc>
          <w:tcPr>
            <w:tcW w:w="1310" w:type="pct"/>
            <w:tcMar>
              <w:top w:w="56" w:type="dxa"/>
              <w:left w:w="56" w:type="dxa"/>
              <w:bottom w:w="56" w:type="dxa"/>
              <w:right w:w="56" w:type="dxa"/>
            </w:tcMar>
            <w:hideMark/>
          </w:tcPr>
          <w:p w14:paraId="39BCE062"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Pal + G1T48 (SERD) 与单独使用 G1T48 相比</w:t>
            </w:r>
          </w:p>
        </w:tc>
        <w:tc>
          <w:tcPr>
            <w:tcW w:w="259" w:type="pct"/>
            <w:tcMar>
              <w:top w:w="56" w:type="dxa"/>
              <w:left w:w="56" w:type="dxa"/>
              <w:bottom w:w="56" w:type="dxa"/>
              <w:right w:w="56" w:type="dxa"/>
            </w:tcMar>
            <w:hideMark/>
          </w:tcPr>
          <w:p w14:paraId="1DF8E971"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我</w:t>
            </w:r>
          </w:p>
        </w:tc>
        <w:tc>
          <w:tcPr>
            <w:tcW w:w="1529" w:type="pct"/>
            <w:tcMar>
              <w:top w:w="56" w:type="dxa"/>
              <w:left w:w="56" w:type="dxa"/>
              <w:bottom w:w="56" w:type="dxa"/>
              <w:right w:w="56" w:type="dxa"/>
            </w:tcMar>
            <w:hideMark/>
          </w:tcPr>
          <w:p w14:paraId="712065B8"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研究 G1T48 ± Pal 的临床益处。</w:t>
            </w:r>
          </w:p>
        </w:tc>
      </w:tr>
      <w:tr w:rsidR="001D4A2E" w:rsidRPr="001D4A2E" w14:paraId="35F7067B" w14:textId="77777777" w:rsidTr="001D4A2E">
        <w:trPr>
          <w:tblCellSpacing w:w="15" w:type="dxa"/>
        </w:trPr>
        <w:tc>
          <w:tcPr>
            <w:tcW w:w="1834" w:type="pct"/>
            <w:tcMar>
              <w:top w:w="56" w:type="dxa"/>
              <w:left w:w="56" w:type="dxa"/>
              <w:bottom w:w="56" w:type="dxa"/>
              <w:right w:w="56" w:type="dxa"/>
            </w:tcMar>
            <w:hideMark/>
          </w:tcPr>
          <w:p w14:paraId="168D12E3" w14:textId="77777777" w:rsidR="001D4A2E" w:rsidRPr="001D4A2E" w:rsidRDefault="001D4A2E" w:rsidP="001D4A2E">
            <w:pPr>
              <w:widowControl/>
              <w:rPr>
                <w:rFonts w:ascii="微软雅黑" w:eastAsia="微软雅黑" w:hAnsi="微软雅黑" w:cs="宋体"/>
                <w:kern w:val="0"/>
                <w:sz w:val="24"/>
                <w:szCs w:val="24"/>
              </w:rPr>
            </w:pPr>
            <w:hyperlink r:id="rId36" w:tgtFrame="_blank" w:history="1">
              <w:r w:rsidRPr="001D4A2E">
                <w:rPr>
                  <w:rFonts w:ascii="微软雅黑" w:eastAsia="微软雅黑" w:hAnsi="微软雅黑" w:cs="宋体"/>
                  <w:kern w:val="0"/>
                  <w:sz w:val="24"/>
                  <w:szCs w:val="24"/>
                  <w:u w:val="single"/>
                </w:rPr>
                <w:t>NCT02917005</w:t>
              </w:r>
            </w:hyperlink>
            <w:r w:rsidRPr="001D4A2E">
              <w:rPr>
                <w:rFonts w:ascii="微软雅黑" w:eastAsia="微软雅黑" w:hAnsi="微软雅黑" w:cs="宋体"/>
                <w:kern w:val="0"/>
                <w:sz w:val="24"/>
                <w:szCs w:val="24"/>
              </w:rPr>
              <w:t>：一项针对绝经前ER阳性/HER-2阴性转移性乳腺癌患者的卵巢功</w:t>
            </w:r>
            <w:r w:rsidRPr="001D4A2E">
              <w:rPr>
                <w:rFonts w:ascii="微软雅黑" w:eastAsia="微软雅黑" w:hAnsi="微软雅黑" w:cs="宋体"/>
                <w:kern w:val="0"/>
                <w:sz w:val="24"/>
                <w:szCs w:val="24"/>
              </w:rPr>
              <w:lastRenderedPageBreak/>
              <w:t>能抑制联合依西美坦或不联</w:t>
            </w:r>
            <w:proofErr w:type="gramStart"/>
            <w:r w:rsidRPr="001D4A2E">
              <w:rPr>
                <w:rFonts w:ascii="微软雅黑" w:eastAsia="微软雅黑" w:hAnsi="微软雅黑" w:cs="宋体"/>
                <w:kern w:val="0"/>
                <w:sz w:val="24"/>
                <w:szCs w:val="24"/>
              </w:rPr>
              <w:t>合帕</w:t>
            </w:r>
            <w:proofErr w:type="gramEnd"/>
            <w:r w:rsidRPr="001D4A2E">
              <w:rPr>
                <w:rFonts w:ascii="微软雅黑" w:eastAsia="微软雅黑" w:hAnsi="微软雅黑" w:cs="宋体"/>
                <w:kern w:val="0"/>
                <w:sz w:val="24"/>
                <w:szCs w:val="24"/>
              </w:rPr>
              <w:t>博西</w:t>
            </w:r>
            <w:proofErr w:type="gramStart"/>
            <w:r w:rsidRPr="001D4A2E">
              <w:rPr>
                <w:rFonts w:ascii="微软雅黑" w:eastAsia="微软雅黑" w:hAnsi="微软雅黑" w:cs="宋体"/>
                <w:kern w:val="0"/>
                <w:sz w:val="24"/>
                <w:szCs w:val="24"/>
              </w:rPr>
              <w:t>尼治疗</w:t>
            </w:r>
            <w:proofErr w:type="gramEnd"/>
            <w:r w:rsidRPr="001D4A2E">
              <w:rPr>
                <w:rFonts w:ascii="微软雅黑" w:eastAsia="微软雅黑" w:hAnsi="微软雅黑" w:cs="宋体"/>
                <w:kern w:val="0"/>
                <w:sz w:val="24"/>
                <w:szCs w:val="24"/>
              </w:rPr>
              <w:t>的II期研究</w:t>
            </w:r>
          </w:p>
        </w:tc>
        <w:tc>
          <w:tcPr>
            <w:tcW w:w="1310" w:type="pct"/>
            <w:tcMar>
              <w:top w:w="56" w:type="dxa"/>
              <w:left w:w="56" w:type="dxa"/>
              <w:bottom w:w="56" w:type="dxa"/>
              <w:right w:w="56" w:type="dxa"/>
            </w:tcMar>
            <w:hideMark/>
          </w:tcPr>
          <w:p w14:paraId="3D1A3AD3"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lastRenderedPageBreak/>
              <w:t>Pal + Exe + OFS（Arm 1）或 Exe + OFS（Arm 2）</w:t>
            </w:r>
          </w:p>
        </w:tc>
        <w:tc>
          <w:tcPr>
            <w:tcW w:w="259" w:type="pct"/>
            <w:tcMar>
              <w:top w:w="56" w:type="dxa"/>
              <w:left w:w="56" w:type="dxa"/>
              <w:bottom w:w="56" w:type="dxa"/>
              <w:right w:w="56" w:type="dxa"/>
            </w:tcMar>
            <w:hideMark/>
          </w:tcPr>
          <w:p w14:paraId="324F8F83"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二</w:t>
            </w:r>
          </w:p>
        </w:tc>
        <w:tc>
          <w:tcPr>
            <w:tcW w:w="1529" w:type="pct"/>
            <w:tcMar>
              <w:top w:w="56" w:type="dxa"/>
              <w:left w:w="56" w:type="dxa"/>
              <w:bottom w:w="56" w:type="dxa"/>
              <w:right w:w="56" w:type="dxa"/>
            </w:tcMar>
            <w:hideMark/>
          </w:tcPr>
          <w:p w14:paraId="31416CC8"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评估 Pal + Exe + 卵巢功能抑制 (OFS) 与 OFS + Exe 的效果。</w:t>
            </w:r>
          </w:p>
        </w:tc>
      </w:tr>
      <w:tr w:rsidR="001D4A2E" w:rsidRPr="001D4A2E" w14:paraId="184DAD98" w14:textId="77777777" w:rsidTr="001D4A2E">
        <w:trPr>
          <w:tblCellSpacing w:w="15" w:type="dxa"/>
        </w:trPr>
        <w:tc>
          <w:tcPr>
            <w:tcW w:w="1834" w:type="pct"/>
            <w:tcMar>
              <w:top w:w="56" w:type="dxa"/>
              <w:left w:w="56" w:type="dxa"/>
              <w:bottom w:w="56" w:type="dxa"/>
              <w:right w:w="56" w:type="dxa"/>
            </w:tcMar>
            <w:hideMark/>
          </w:tcPr>
          <w:p w14:paraId="60C05DA5" w14:textId="77777777" w:rsidR="001D4A2E" w:rsidRPr="001D4A2E" w:rsidRDefault="001D4A2E" w:rsidP="001D4A2E">
            <w:pPr>
              <w:widowControl/>
              <w:rPr>
                <w:rFonts w:ascii="微软雅黑" w:eastAsia="微软雅黑" w:hAnsi="微软雅黑" w:cs="宋体"/>
                <w:kern w:val="0"/>
                <w:sz w:val="24"/>
                <w:szCs w:val="24"/>
              </w:rPr>
            </w:pPr>
            <w:hyperlink r:id="rId37" w:tgtFrame="_blank" w:history="1">
              <w:r w:rsidRPr="001D4A2E">
                <w:rPr>
                  <w:rFonts w:ascii="微软雅黑" w:eastAsia="微软雅黑" w:hAnsi="微软雅黑" w:cs="宋体"/>
                  <w:kern w:val="0"/>
                  <w:sz w:val="24"/>
                  <w:szCs w:val="24"/>
                  <w:u w:val="single"/>
                </w:rPr>
                <w:t>NCT05293964</w:t>
              </w:r>
            </w:hyperlink>
            <w:r w:rsidRPr="001D4A2E">
              <w:rPr>
                <w:rFonts w:ascii="微软雅黑" w:eastAsia="微软雅黑" w:hAnsi="微软雅黑" w:cs="宋体"/>
                <w:kern w:val="0"/>
                <w:sz w:val="24"/>
                <w:szCs w:val="24"/>
              </w:rPr>
              <w:t>：一项多中心、开放标签的I期临床研究，旨在评估SIM0270单药或联合用药在ER阳性、HER-2阴性局部晚期或转移性乳腺癌患者中的安全性、药代动力学和抗肿瘤疗效。</w:t>
            </w:r>
          </w:p>
        </w:tc>
        <w:tc>
          <w:tcPr>
            <w:tcW w:w="1310" w:type="pct"/>
            <w:tcMar>
              <w:top w:w="56" w:type="dxa"/>
              <w:left w:w="56" w:type="dxa"/>
              <w:bottom w:w="56" w:type="dxa"/>
              <w:right w:w="56" w:type="dxa"/>
            </w:tcMar>
            <w:hideMark/>
          </w:tcPr>
          <w:p w14:paraId="4ED56F4A"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SIM0270（SERD）+帕</w:t>
            </w:r>
            <w:proofErr w:type="gramStart"/>
            <w:r w:rsidRPr="001D4A2E">
              <w:rPr>
                <w:rFonts w:ascii="微软雅黑" w:eastAsia="微软雅黑" w:hAnsi="微软雅黑" w:cs="宋体"/>
                <w:kern w:val="0"/>
                <w:sz w:val="24"/>
                <w:szCs w:val="24"/>
              </w:rPr>
              <w:t>利昔单</w:t>
            </w:r>
            <w:proofErr w:type="gramEnd"/>
            <w:r w:rsidRPr="001D4A2E">
              <w:rPr>
                <w:rFonts w:ascii="微软雅黑" w:eastAsia="微软雅黑" w:hAnsi="微软雅黑" w:cs="宋体"/>
                <w:kern w:val="0"/>
                <w:sz w:val="24"/>
                <w:szCs w:val="24"/>
              </w:rPr>
              <w:t>抗或依维莫司（mTOR抑制剂）</w:t>
            </w:r>
          </w:p>
        </w:tc>
        <w:tc>
          <w:tcPr>
            <w:tcW w:w="259" w:type="pct"/>
            <w:tcMar>
              <w:top w:w="56" w:type="dxa"/>
              <w:left w:w="56" w:type="dxa"/>
              <w:bottom w:w="56" w:type="dxa"/>
              <w:right w:w="56" w:type="dxa"/>
            </w:tcMar>
            <w:hideMark/>
          </w:tcPr>
          <w:p w14:paraId="6D1B3662" w14:textId="77777777" w:rsidR="001D4A2E" w:rsidRPr="001D4A2E" w:rsidRDefault="001D4A2E" w:rsidP="001D4A2E">
            <w:pPr>
              <w:widowControl/>
              <w:rPr>
                <w:rFonts w:ascii="微软雅黑" w:eastAsia="微软雅黑" w:hAnsi="微软雅黑" w:cs="宋体"/>
                <w:kern w:val="0"/>
                <w:sz w:val="24"/>
                <w:szCs w:val="24"/>
              </w:rPr>
            </w:pPr>
            <w:proofErr w:type="spellStart"/>
            <w:r w:rsidRPr="001D4A2E">
              <w:rPr>
                <w:rFonts w:ascii="微软雅黑" w:eastAsia="微软雅黑" w:hAnsi="微软雅黑" w:cs="宋体"/>
                <w:kern w:val="0"/>
                <w:sz w:val="24"/>
                <w:szCs w:val="24"/>
              </w:rPr>
              <w:t>Ia</w:t>
            </w:r>
            <w:proofErr w:type="spellEnd"/>
            <w:r w:rsidRPr="001D4A2E">
              <w:rPr>
                <w:rFonts w:ascii="微软雅黑" w:eastAsia="微软雅黑" w:hAnsi="微软雅黑" w:cs="宋体"/>
                <w:kern w:val="0"/>
                <w:sz w:val="24"/>
                <w:szCs w:val="24"/>
              </w:rPr>
              <w:t xml:space="preserve"> + </w:t>
            </w:r>
            <w:proofErr w:type="spellStart"/>
            <w:r w:rsidRPr="001D4A2E">
              <w:rPr>
                <w:rFonts w:ascii="微软雅黑" w:eastAsia="微软雅黑" w:hAnsi="微软雅黑" w:cs="宋体"/>
                <w:kern w:val="0"/>
                <w:sz w:val="24"/>
                <w:szCs w:val="24"/>
              </w:rPr>
              <w:t>Ib</w:t>
            </w:r>
            <w:proofErr w:type="spellEnd"/>
          </w:p>
        </w:tc>
        <w:tc>
          <w:tcPr>
            <w:tcW w:w="1529" w:type="pct"/>
            <w:tcMar>
              <w:top w:w="56" w:type="dxa"/>
              <w:left w:w="56" w:type="dxa"/>
              <w:bottom w:w="56" w:type="dxa"/>
              <w:right w:w="56" w:type="dxa"/>
            </w:tcMar>
            <w:hideMark/>
          </w:tcPr>
          <w:p w14:paraId="480238E6" w14:textId="77777777" w:rsidR="001D4A2E" w:rsidRPr="001D4A2E" w:rsidRDefault="001D4A2E" w:rsidP="001D4A2E">
            <w:pPr>
              <w:widowControl/>
              <w:rPr>
                <w:rFonts w:ascii="微软雅黑" w:eastAsia="微软雅黑" w:hAnsi="微软雅黑" w:cs="宋体"/>
                <w:kern w:val="0"/>
                <w:sz w:val="24"/>
                <w:szCs w:val="24"/>
              </w:rPr>
            </w:pPr>
            <w:proofErr w:type="spellStart"/>
            <w:r w:rsidRPr="001D4A2E">
              <w:rPr>
                <w:rFonts w:ascii="微软雅黑" w:eastAsia="微软雅黑" w:hAnsi="微软雅黑" w:cs="宋体"/>
                <w:kern w:val="0"/>
                <w:sz w:val="24"/>
                <w:szCs w:val="24"/>
              </w:rPr>
              <w:t>Ia</w:t>
            </w:r>
            <w:proofErr w:type="spellEnd"/>
            <w:r w:rsidRPr="001D4A2E">
              <w:rPr>
                <w:rFonts w:ascii="微软雅黑" w:eastAsia="微软雅黑" w:hAnsi="微软雅黑" w:cs="宋体"/>
                <w:kern w:val="0"/>
                <w:sz w:val="24"/>
                <w:szCs w:val="24"/>
              </w:rPr>
              <w:t>- 评估 SIM0270 的安全性和有效性。</w:t>
            </w:r>
            <w:proofErr w:type="spellStart"/>
            <w:r w:rsidRPr="001D4A2E">
              <w:rPr>
                <w:rFonts w:ascii="微软雅黑" w:eastAsia="微软雅黑" w:hAnsi="微软雅黑" w:cs="宋体"/>
                <w:kern w:val="0"/>
                <w:sz w:val="24"/>
                <w:szCs w:val="24"/>
              </w:rPr>
              <w:t>Ib</w:t>
            </w:r>
            <w:proofErr w:type="spellEnd"/>
            <w:r w:rsidRPr="001D4A2E">
              <w:rPr>
                <w:rFonts w:ascii="微软雅黑" w:eastAsia="微软雅黑" w:hAnsi="微软雅黑" w:cs="宋体"/>
                <w:kern w:val="0"/>
                <w:sz w:val="24"/>
                <w:szCs w:val="24"/>
              </w:rPr>
              <w:t>-</w:t>
            </w:r>
            <w:r w:rsidRPr="001D4A2E">
              <w:rPr>
                <w:rFonts w:ascii="微软雅黑" w:eastAsia="微软雅黑" w:hAnsi="微软雅黑" w:cs="宋体"/>
                <w:kern w:val="0"/>
                <w:sz w:val="24"/>
                <w:szCs w:val="24"/>
              </w:rPr>
              <w:br/>
              <w:t>评估 SIM0270 单药或与帕利</w:t>
            </w:r>
            <w:proofErr w:type="gramStart"/>
            <w:r w:rsidRPr="001D4A2E">
              <w:rPr>
                <w:rFonts w:ascii="微软雅黑" w:eastAsia="微软雅黑" w:hAnsi="微软雅黑" w:cs="宋体"/>
                <w:kern w:val="0"/>
                <w:sz w:val="24"/>
                <w:szCs w:val="24"/>
              </w:rPr>
              <w:t>伐沙班</w:t>
            </w:r>
            <w:proofErr w:type="gramEnd"/>
            <w:r w:rsidRPr="001D4A2E">
              <w:rPr>
                <w:rFonts w:ascii="微软雅黑" w:eastAsia="微软雅黑" w:hAnsi="微软雅黑" w:cs="宋体"/>
                <w:kern w:val="0"/>
                <w:sz w:val="24"/>
                <w:szCs w:val="24"/>
              </w:rPr>
              <w:t>±依维莫司联合用药的剂量扩展、递增、安全性和有效性。</w:t>
            </w:r>
          </w:p>
        </w:tc>
      </w:tr>
      <w:tr w:rsidR="001D4A2E" w:rsidRPr="001D4A2E" w14:paraId="71F30028" w14:textId="77777777" w:rsidTr="001D4A2E">
        <w:trPr>
          <w:tblCellSpacing w:w="15" w:type="dxa"/>
        </w:trPr>
        <w:tc>
          <w:tcPr>
            <w:tcW w:w="1834" w:type="pct"/>
            <w:tcMar>
              <w:top w:w="56" w:type="dxa"/>
              <w:left w:w="56" w:type="dxa"/>
              <w:bottom w:w="56" w:type="dxa"/>
              <w:right w:w="56" w:type="dxa"/>
            </w:tcMar>
            <w:hideMark/>
          </w:tcPr>
          <w:p w14:paraId="7709521E" w14:textId="77777777" w:rsidR="001D4A2E" w:rsidRPr="001D4A2E" w:rsidRDefault="001D4A2E" w:rsidP="001D4A2E">
            <w:pPr>
              <w:widowControl/>
              <w:rPr>
                <w:rFonts w:ascii="微软雅黑" w:eastAsia="微软雅黑" w:hAnsi="微软雅黑" w:cs="宋体"/>
                <w:kern w:val="0"/>
                <w:sz w:val="24"/>
                <w:szCs w:val="24"/>
              </w:rPr>
            </w:pPr>
            <w:hyperlink r:id="rId38" w:tgtFrame="_blank" w:history="1">
              <w:r w:rsidRPr="001D4A2E">
                <w:rPr>
                  <w:rFonts w:ascii="微软雅黑" w:eastAsia="微软雅黑" w:hAnsi="微软雅黑" w:cs="宋体"/>
                  <w:kern w:val="0"/>
                  <w:sz w:val="24"/>
                  <w:szCs w:val="24"/>
                  <w:u w:val="single"/>
                </w:rPr>
                <w:t>NCT02297438</w:t>
              </w:r>
            </w:hyperlink>
            <w:r w:rsidRPr="001D4A2E">
              <w:rPr>
                <w:rFonts w:ascii="微软雅黑" w:eastAsia="微软雅黑" w:hAnsi="微软雅黑" w:cs="宋体"/>
                <w:kern w:val="0"/>
                <w:sz w:val="24"/>
                <w:szCs w:val="24"/>
              </w:rPr>
              <w:t>：帕博西尼（PD-0332991）+来曲</w:t>
            </w:r>
            <w:proofErr w:type="gramStart"/>
            <w:r w:rsidRPr="001D4A2E">
              <w:rPr>
                <w:rFonts w:ascii="微软雅黑" w:eastAsia="微软雅黑" w:hAnsi="微软雅黑" w:cs="宋体"/>
                <w:kern w:val="0"/>
                <w:sz w:val="24"/>
                <w:szCs w:val="24"/>
              </w:rPr>
              <w:t>唑</w:t>
            </w:r>
            <w:proofErr w:type="gramEnd"/>
            <w:r w:rsidRPr="001D4A2E">
              <w:rPr>
                <w:rFonts w:ascii="微软雅黑" w:eastAsia="微软雅黑" w:hAnsi="微软雅黑" w:cs="宋体"/>
                <w:kern w:val="0"/>
                <w:sz w:val="24"/>
                <w:szCs w:val="24"/>
              </w:rPr>
              <w:t>对比安慰剂+来曲</w:t>
            </w:r>
            <w:proofErr w:type="gramStart"/>
            <w:r w:rsidRPr="001D4A2E">
              <w:rPr>
                <w:rFonts w:ascii="微软雅黑" w:eastAsia="微软雅黑" w:hAnsi="微软雅黑" w:cs="宋体"/>
                <w:kern w:val="0"/>
                <w:sz w:val="24"/>
                <w:szCs w:val="24"/>
              </w:rPr>
              <w:t>唑</w:t>
            </w:r>
            <w:proofErr w:type="gramEnd"/>
            <w:r w:rsidRPr="001D4A2E">
              <w:rPr>
                <w:rFonts w:ascii="微软雅黑" w:eastAsia="微软雅黑" w:hAnsi="微软雅黑" w:cs="宋体"/>
                <w:kern w:val="0"/>
                <w:sz w:val="24"/>
                <w:szCs w:val="24"/>
              </w:rPr>
              <w:t>一线治疗亚洲绝经后ER+/HER2-晚期乳腺癌女性患者的研究（PALOMA-4）</w:t>
            </w:r>
          </w:p>
        </w:tc>
        <w:tc>
          <w:tcPr>
            <w:tcW w:w="1310" w:type="pct"/>
            <w:tcMar>
              <w:top w:w="56" w:type="dxa"/>
              <w:left w:w="56" w:type="dxa"/>
              <w:bottom w:w="56" w:type="dxa"/>
              <w:right w:w="56" w:type="dxa"/>
            </w:tcMar>
            <w:hideMark/>
          </w:tcPr>
          <w:p w14:paraId="3BA0480D"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安慰剂 + Let 对比 Let + Placebo</w:t>
            </w:r>
          </w:p>
        </w:tc>
        <w:tc>
          <w:tcPr>
            <w:tcW w:w="259" w:type="pct"/>
            <w:tcMar>
              <w:top w:w="56" w:type="dxa"/>
              <w:left w:w="56" w:type="dxa"/>
              <w:bottom w:w="56" w:type="dxa"/>
              <w:right w:w="56" w:type="dxa"/>
            </w:tcMar>
            <w:hideMark/>
          </w:tcPr>
          <w:p w14:paraId="0EF8FE02"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三</w:t>
            </w:r>
          </w:p>
        </w:tc>
        <w:tc>
          <w:tcPr>
            <w:tcW w:w="1529" w:type="pct"/>
            <w:tcMar>
              <w:top w:w="56" w:type="dxa"/>
              <w:left w:w="56" w:type="dxa"/>
              <w:bottom w:w="56" w:type="dxa"/>
              <w:right w:w="56" w:type="dxa"/>
            </w:tcMar>
            <w:hideMark/>
          </w:tcPr>
          <w:p w14:paraId="013539B2"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比较 Let + Pal 与 Let + 安慰剂的临床获益</w:t>
            </w:r>
          </w:p>
        </w:tc>
      </w:tr>
      <w:tr w:rsidR="001D4A2E" w:rsidRPr="001D4A2E" w14:paraId="2D7408D5" w14:textId="77777777" w:rsidTr="001D4A2E">
        <w:trPr>
          <w:tblCellSpacing w:w="15" w:type="dxa"/>
        </w:trPr>
        <w:tc>
          <w:tcPr>
            <w:tcW w:w="1834" w:type="pct"/>
            <w:tcMar>
              <w:top w:w="56" w:type="dxa"/>
              <w:left w:w="56" w:type="dxa"/>
              <w:bottom w:w="56" w:type="dxa"/>
              <w:right w:w="56" w:type="dxa"/>
            </w:tcMar>
            <w:hideMark/>
          </w:tcPr>
          <w:p w14:paraId="1259FBF7" w14:textId="77777777" w:rsidR="001D4A2E" w:rsidRPr="001D4A2E" w:rsidRDefault="001D4A2E" w:rsidP="001D4A2E">
            <w:pPr>
              <w:widowControl/>
              <w:rPr>
                <w:rFonts w:ascii="微软雅黑" w:eastAsia="微软雅黑" w:hAnsi="微软雅黑" w:cs="宋体"/>
                <w:kern w:val="0"/>
                <w:sz w:val="24"/>
                <w:szCs w:val="24"/>
              </w:rPr>
            </w:pPr>
            <w:hyperlink r:id="rId39" w:tgtFrame="_blank" w:history="1">
              <w:r w:rsidRPr="001D4A2E">
                <w:rPr>
                  <w:rFonts w:ascii="微软雅黑" w:eastAsia="微软雅黑" w:hAnsi="微软雅黑" w:cs="宋体"/>
                  <w:kern w:val="0"/>
                  <w:sz w:val="24"/>
                  <w:szCs w:val="24"/>
                  <w:u w:val="single"/>
                </w:rPr>
                <w:t>NCT05262400</w:t>
              </w:r>
            </w:hyperlink>
            <w:r w:rsidRPr="001D4A2E">
              <w:rPr>
                <w:rFonts w:ascii="微软雅黑" w:eastAsia="微软雅黑" w:hAnsi="微软雅黑" w:cs="宋体"/>
                <w:kern w:val="0"/>
                <w:sz w:val="24"/>
                <w:szCs w:val="24"/>
              </w:rPr>
              <w:t>：一项研究，旨在了解研究药物（PF-07220060 与 PF-07104091 联合使用）在乳腺癌和实体瘤患者中的疗效</w:t>
            </w:r>
          </w:p>
        </w:tc>
        <w:tc>
          <w:tcPr>
            <w:tcW w:w="1310" w:type="pct"/>
            <w:tcMar>
              <w:top w:w="56" w:type="dxa"/>
              <w:left w:w="56" w:type="dxa"/>
              <w:bottom w:w="56" w:type="dxa"/>
              <w:right w:w="56" w:type="dxa"/>
            </w:tcMar>
            <w:hideMark/>
          </w:tcPr>
          <w:p w14:paraId="2123F44C"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PF-07220060 + PF-07104091 +/- 满或空</w:t>
            </w:r>
          </w:p>
        </w:tc>
        <w:tc>
          <w:tcPr>
            <w:tcW w:w="259" w:type="pct"/>
            <w:tcMar>
              <w:top w:w="56" w:type="dxa"/>
              <w:left w:w="56" w:type="dxa"/>
              <w:bottom w:w="56" w:type="dxa"/>
              <w:right w:w="56" w:type="dxa"/>
            </w:tcMar>
            <w:hideMark/>
          </w:tcPr>
          <w:p w14:paraId="7B5FB89C" w14:textId="77777777" w:rsidR="001D4A2E" w:rsidRPr="001D4A2E" w:rsidRDefault="001D4A2E" w:rsidP="001D4A2E">
            <w:pPr>
              <w:widowControl/>
              <w:rPr>
                <w:rFonts w:ascii="微软雅黑" w:eastAsia="微软雅黑" w:hAnsi="微软雅黑" w:cs="宋体"/>
                <w:kern w:val="0"/>
                <w:sz w:val="24"/>
                <w:szCs w:val="24"/>
              </w:rPr>
            </w:pPr>
            <w:proofErr w:type="gramStart"/>
            <w:r w:rsidRPr="001D4A2E">
              <w:rPr>
                <w:rFonts w:ascii="微软雅黑" w:eastAsia="微软雅黑" w:hAnsi="微软雅黑" w:cs="宋体"/>
                <w:kern w:val="0"/>
                <w:sz w:val="24"/>
                <w:szCs w:val="24"/>
              </w:rPr>
              <w:t>一</w:t>
            </w:r>
            <w:proofErr w:type="gramEnd"/>
            <w:r w:rsidRPr="001D4A2E">
              <w:rPr>
                <w:rFonts w:ascii="微软雅黑" w:eastAsia="微软雅黑" w:hAnsi="微软雅黑" w:cs="宋体"/>
                <w:kern w:val="0"/>
                <w:sz w:val="24"/>
                <w:szCs w:val="24"/>
              </w:rPr>
              <w:t xml:space="preserve"> + 二</w:t>
            </w:r>
          </w:p>
        </w:tc>
        <w:tc>
          <w:tcPr>
            <w:tcW w:w="1529" w:type="pct"/>
            <w:tcMar>
              <w:top w:w="56" w:type="dxa"/>
              <w:left w:w="56" w:type="dxa"/>
              <w:bottom w:w="56" w:type="dxa"/>
              <w:right w:w="56" w:type="dxa"/>
            </w:tcMar>
            <w:hideMark/>
          </w:tcPr>
          <w:p w14:paraId="223A30EF"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 xml:space="preserve">评估 </w:t>
            </w:r>
            <w:proofErr w:type="spellStart"/>
            <w:r w:rsidRPr="001D4A2E">
              <w:rPr>
                <w:rFonts w:ascii="微软雅黑" w:eastAsia="微软雅黑" w:hAnsi="微软雅黑" w:cs="宋体"/>
                <w:kern w:val="0"/>
                <w:sz w:val="24"/>
                <w:szCs w:val="24"/>
              </w:rPr>
              <w:t>CDKi</w:t>
            </w:r>
            <w:proofErr w:type="spellEnd"/>
            <w:r w:rsidRPr="001D4A2E">
              <w:rPr>
                <w:rFonts w:ascii="微软雅黑" w:eastAsia="微软雅黑" w:hAnsi="微软雅黑" w:cs="宋体"/>
                <w:kern w:val="0"/>
                <w:sz w:val="24"/>
                <w:szCs w:val="24"/>
              </w:rPr>
              <w:t xml:space="preserve"> 研究药物 PF-07220060 和 PF-07104091 的安全性和有效性。</w:t>
            </w:r>
          </w:p>
        </w:tc>
      </w:tr>
      <w:tr w:rsidR="001D4A2E" w:rsidRPr="001D4A2E" w14:paraId="2FED0866" w14:textId="77777777" w:rsidTr="001D4A2E">
        <w:trPr>
          <w:tblCellSpacing w:w="15" w:type="dxa"/>
        </w:trPr>
        <w:tc>
          <w:tcPr>
            <w:tcW w:w="1834" w:type="pct"/>
            <w:tcMar>
              <w:top w:w="56" w:type="dxa"/>
              <w:left w:w="56" w:type="dxa"/>
              <w:bottom w:w="56" w:type="dxa"/>
              <w:right w:w="56" w:type="dxa"/>
            </w:tcMar>
            <w:hideMark/>
          </w:tcPr>
          <w:p w14:paraId="57839C35" w14:textId="77777777" w:rsidR="001D4A2E" w:rsidRPr="001D4A2E" w:rsidRDefault="001D4A2E" w:rsidP="001D4A2E">
            <w:pPr>
              <w:widowControl/>
              <w:rPr>
                <w:rFonts w:ascii="微软雅黑" w:eastAsia="微软雅黑" w:hAnsi="微软雅黑" w:cs="宋体"/>
                <w:kern w:val="0"/>
                <w:sz w:val="24"/>
                <w:szCs w:val="24"/>
              </w:rPr>
            </w:pPr>
            <w:hyperlink r:id="rId40" w:tgtFrame="_blank" w:history="1">
              <w:r w:rsidRPr="001D4A2E">
                <w:rPr>
                  <w:rFonts w:ascii="微软雅黑" w:eastAsia="微软雅黑" w:hAnsi="微软雅黑" w:cs="宋体"/>
                  <w:kern w:val="0"/>
                  <w:sz w:val="24"/>
                  <w:szCs w:val="24"/>
                  <w:u w:val="single"/>
                </w:rPr>
                <w:t>NCT01723774</w:t>
              </w:r>
            </w:hyperlink>
            <w:r w:rsidRPr="001D4A2E">
              <w:rPr>
                <w:rFonts w:ascii="微软雅黑" w:eastAsia="微软雅黑" w:hAnsi="微软雅黑" w:cs="宋体"/>
                <w:kern w:val="0"/>
                <w:sz w:val="24"/>
                <w:szCs w:val="24"/>
              </w:rPr>
              <w:t>：PD 0332991 联合阿那曲</w:t>
            </w:r>
            <w:proofErr w:type="gramStart"/>
            <w:r w:rsidRPr="001D4A2E">
              <w:rPr>
                <w:rFonts w:ascii="微软雅黑" w:eastAsia="微软雅黑" w:hAnsi="微软雅黑" w:cs="宋体"/>
                <w:kern w:val="0"/>
                <w:sz w:val="24"/>
                <w:szCs w:val="24"/>
              </w:rPr>
              <w:t>唑</w:t>
            </w:r>
            <w:proofErr w:type="gramEnd"/>
            <w:r w:rsidRPr="001D4A2E">
              <w:rPr>
                <w:rFonts w:ascii="微软雅黑" w:eastAsia="微软雅黑" w:hAnsi="微软雅黑" w:cs="宋体"/>
                <w:kern w:val="0"/>
                <w:sz w:val="24"/>
                <w:szCs w:val="24"/>
              </w:rPr>
              <w:t>治疗 II 期或 III 期雌激素受体阳性、HER2 阴性乳腺癌</w:t>
            </w:r>
          </w:p>
        </w:tc>
        <w:tc>
          <w:tcPr>
            <w:tcW w:w="1310" w:type="pct"/>
            <w:tcMar>
              <w:top w:w="56" w:type="dxa"/>
              <w:left w:w="56" w:type="dxa"/>
              <w:bottom w:w="56" w:type="dxa"/>
              <w:right w:w="56" w:type="dxa"/>
            </w:tcMar>
            <w:hideMark/>
          </w:tcPr>
          <w:p w14:paraId="6F0C8C5F"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Pal (PD0332991)、Ana、戈舍瑞林</w:t>
            </w:r>
          </w:p>
        </w:tc>
        <w:tc>
          <w:tcPr>
            <w:tcW w:w="259" w:type="pct"/>
            <w:tcMar>
              <w:top w:w="56" w:type="dxa"/>
              <w:left w:w="56" w:type="dxa"/>
              <w:bottom w:w="56" w:type="dxa"/>
              <w:right w:w="56" w:type="dxa"/>
            </w:tcMar>
            <w:hideMark/>
          </w:tcPr>
          <w:p w14:paraId="4F7200A9"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二</w:t>
            </w:r>
          </w:p>
        </w:tc>
        <w:tc>
          <w:tcPr>
            <w:tcW w:w="1529" w:type="pct"/>
            <w:tcMar>
              <w:top w:w="56" w:type="dxa"/>
              <w:left w:w="56" w:type="dxa"/>
              <w:bottom w:w="56" w:type="dxa"/>
              <w:right w:w="56" w:type="dxa"/>
            </w:tcMar>
            <w:hideMark/>
          </w:tcPr>
          <w:p w14:paraId="63903FD0"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探讨帕</w:t>
            </w:r>
            <w:proofErr w:type="gramStart"/>
            <w:r w:rsidRPr="001D4A2E">
              <w:rPr>
                <w:rFonts w:ascii="微软雅黑" w:eastAsia="微软雅黑" w:hAnsi="微软雅黑" w:cs="宋体"/>
                <w:kern w:val="0"/>
                <w:sz w:val="24"/>
                <w:szCs w:val="24"/>
              </w:rPr>
              <w:t>拉替尼联合阿那曲唑</w:t>
            </w:r>
            <w:proofErr w:type="gramEnd"/>
            <w:r w:rsidRPr="001D4A2E">
              <w:rPr>
                <w:rFonts w:ascii="微软雅黑" w:eastAsia="微软雅黑" w:hAnsi="微软雅黑" w:cs="宋体"/>
                <w:kern w:val="0"/>
                <w:sz w:val="24"/>
                <w:szCs w:val="24"/>
              </w:rPr>
              <w:t>治疗早期ER+/HER2-乳腺癌的疗效</w:t>
            </w:r>
          </w:p>
        </w:tc>
      </w:tr>
      <w:tr w:rsidR="001D4A2E" w:rsidRPr="001D4A2E" w14:paraId="15EE596A" w14:textId="77777777" w:rsidTr="001D4A2E">
        <w:trPr>
          <w:tblCellSpacing w:w="15" w:type="dxa"/>
        </w:trPr>
        <w:tc>
          <w:tcPr>
            <w:tcW w:w="1834" w:type="pct"/>
            <w:tcMar>
              <w:top w:w="56" w:type="dxa"/>
              <w:left w:w="56" w:type="dxa"/>
              <w:bottom w:w="56" w:type="dxa"/>
              <w:right w:w="56" w:type="dxa"/>
            </w:tcMar>
            <w:hideMark/>
          </w:tcPr>
          <w:p w14:paraId="3367F1DE" w14:textId="77777777" w:rsidR="001D4A2E" w:rsidRPr="001D4A2E" w:rsidRDefault="001D4A2E" w:rsidP="001D4A2E">
            <w:pPr>
              <w:widowControl/>
              <w:rPr>
                <w:rFonts w:ascii="微软雅黑" w:eastAsia="微软雅黑" w:hAnsi="微软雅黑" w:cs="宋体"/>
                <w:kern w:val="0"/>
                <w:sz w:val="24"/>
                <w:szCs w:val="24"/>
              </w:rPr>
            </w:pPr>
            <w:hyperlink r:id="rId41" w:tgtFrame="_blank" w:history="1">
              <w:r w:rsidRPr="001D4A2E">
                <w:rPr>
                  <w:rFonts w:ascii="微软雅黑" w:eastAsia="微软雅黑" w:hAnsi="微软雅黑" w:cs="宋体"/>
                  <w:kern w:val="0"/>
                  <w:sz w:val="24"/>
                  <w:szCs w:val="24"/>
                  <w:u w:val="single"/>
                </w:rPr>
                <w:t>NCT05305924</w:t>
              </w:r>
            </w:hyperlink>
            <w:r w:rsidRPr="001D4A2E">
              <w:rPr>
                <w:rFonts w:ascii="微软雅黑" w:eastAsia="微软雅黑" w:hAnsi="微软雅黑" w:cs="宋体"/>
                <w:kern w:val="0"/>
                <w:sz w:val="24"/>
                <w:szCs w:val="24"/>
              </w:rPr>
              <w:t>：在ER阳性、Her2阴性转移性乳腺癌中，</w:t>
            </w:r>
            <w:proofErr w:type="gramStart"/>
            <w:r w:rsidRPr="001D4A2E">
              <w:rPr>
                <w:rFonts w:ascii="微软雅黑" w:eastAsia="微软雅黑" w:hAnsi="微软雅黑" w:cs="宋体"/>
                <w:kern w:val="0"/>
                <w:sz w:val="24"/>
                <w:szCs w:val="24"/>
              </w:rPr>
              <w:t>氟维司群</w:t>
            </w:r>
            <w:proofErr w:type="gramEnd"/>
            <w:r w:rsidRPr="001D4A2E">
              <w:rPr>
                <w:rFonts w:ascii="微软雅黑" w:eastAsia="微软雅黑" w:hAnsi="微软雅黑" w:cs="宋体"/>
                <w:kern w:val="0"/>
                <w:sz w:val="24"/>
                <w:szCs w:val="24"/>
              </w:rPr>
              <w:t>联合阿贝西利治疗（有或无氟</w:t>
            </w:r>
            <w:proofErr w:type="gramStart"/>
            <w:r w:rsidRPr="001D4A2E">
              <w:rPr>
                <w:rFonts w:ascii="微软雅黑" w:eastAsia="微软雅黑" w:hAnsi="微软雅黑" w:cs="宋体"/>
                <w:kern w:val="0"/>
                <w:sz w:val="24"/>
                <w:szCs w:val="24"/>
              </w:rPr>
              <w:t>维司群</w:t>
            </w:r>
            <w:proofErr w:type="gramEnd"/>
            <w:r w:rsidRPr="001D4A2E">
              <w:rPr>
                <w:rFonts w:ascii="微软雅黑" w:eastAsia="微软雅黑" w:hAnsi="微软雅黑" w:cs="宋体"/>
                <w:kern w:val="0"/>
                <w:sz w:val="24"/>
                <w:szCs w:val="24"/>
              </w:rPr>
              <w:t>导入期）的疗效研究</w:t>
            </w:r>
          </w:p>
        </w:tc>
        <w:tc>
          <w:tcPr>
            <w:tcW w:w="1310" w:type="pct"/>
            <w:tcMar>
              <w:top w:w="56" w:type="dxa"/>
              <w:left w:w="56" w:type="dxa"/>
              <w:bottom w:w="56" w:type="dxa"/>
              <w:right w:w="56" w:type="dxa"/>
            </w:tcMar>
            <w:hideMark/>
          </w:tcPr>
          <w:p w14:paraId="35B6B00F"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Ful + Abe 有 vs 没有跑动 Ful</w:t>
            </w:r>
          </w:p>
        </w:tc>
        <w:tc>
          <w:tcPr>
            <w:tcW w:w="259" w:type="pct"/>
            <w:tcMar>
              <w:top w:w="56" w:type="dxa"/>
              <w:left w:w="56" w:type="dxa"/>
              <w:bottom w:w="56" w:type="dxa"/>
              <w:right w:w="56" w:type="dxa"/>
            </w:tcMar>
            <w:hideMark/>
          </w:tcPr>
          <w:p w14:paraId="3C8D0432"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二</w:t>
            </w:r>
          </w:p>
        </w:tc>
        <w:tc>
          <w:tcPr>
            <w:tcW w:w="1529" w:type="pct"/>
            <w:tcMar>
              <w:top w:w="56" w:type="dxa"/>
              <w:left w:w="56" w:type="dxa"/>
              <w:bottom w:w="56" w:type="dxa"/>
              <w:right w:w="56" w:type="dxa"/>
            </w:tcMar>
            <w:hideMark/>
          </w:tcPr>
          <w:p w14:paraId="08E6B65A"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 xml:space="preserve">比较 Ful 加 Abe 治疗失败的时间，无论是否进行 1 </w:t>
            </w:r>
            <w:proofErr w:type="gramStart"/>
            <w:r w:rsidRPr="001D4A2E">
              <w:rPr>
                <w:rFonts w:ascii="微软雅黑" w:eastAsia="微软雅黑" w:hAnsi="微软雅黑" w:cs="宋体"/>
                <w:kern w:val="0"/>
                <w:sz w:val="24"/>
                <w:szCs w:val="24"/>
              </w:rPr>
              <w:t>个</w:t>
            </w:r>
            <w:proofErr w:type="gramEnd"/>
            <w:r w:rsidRPr="001D4A2E">
              <w:rPr>
                <w:rFonts w:ascii="微软雅黑" w:eastAsia="微软雅黑" w:hAnsi="微软雅黑" w:cs="宋体"/>
                <w:kern w:val="0"/>
                <w:sz w:val="24"/>
                <w:szCs w:val="24"/>
              </w:rPr>
              <w:t>月的 Ful 导入期。</w:t>
            </w:r>
          </w:p>
        </w:tc>
      </w:tr>
      <w:tr w:rsidR="001D4A2E" w:rsidRPr="001D4A2E" w14:paraId="547C4198" w14:textId="77777777" w:rsidTr="001D4A2E">
        <w:trPr>
          <w:tblCellSpacing w:w="15" w:type="dxa"/>
        </w:trPr>
        <w:tc>
          <w:tcPr>
            <w:tcW w:w="1834" w:type="pct"/>
            <w:tcMar>
              <w:top w:w="56" w:type="dxa"/>
              <w:left w:w="56" w:type="dxa"/>
              <w:bottom w:w="56" w:type="dxa"/>
              <w:right w:w="56" w:type="dxa"/>
            </w:tcMar>
            <w:hideMark/>
          </w:tcPr>
          <w:p w14:paraId="73E8EC41" w14:textId="77777777" w:rsidR="001D4A2E" w:rsidRPr="001D4A2E" w:rsidRDefault="001D4A2E" w:rsidP="001D4A2E">
            <w:pPr>
              <w:widowControl/>
              <w:rPr>
                <w:rFonts w:ascii="微软雅黑" w:eastAsia="微软雅黑" w:hAnsi="微软雅黑" w:cs="宋体"/>
                <w:kern w:val="0"/>
                <w:sz w:val="24"/>
                <w:szCs w:val="24"/>
              </w:rPr>
            </w:pPr>
            <w:hyperlink r:id="rId42" w:tgtFrame="_blank" w:history="1">
              <w:r w:rsidRPr="001D4A2E">
                <w:rPr>
                  <w:rFonts w:ascii="微软雅黑" w:eastAsia="微软雅黑" w:hAnsi="微软雅黑" w:cs="宋体"/>
                  <w:kern w:val="0"/>
                  <w:sz w:val="24"/>
                  <w:szCs w:val="24"/>
                  <w:u w:val="single"/>
                </w:rPr>
                <w:t>NCT04964934</w:t>
              </w:r>
            </w:hyperlink>
            <w:r w:rsidRPr="001D4A2E">
              <w:rPr>
                <w:rFonts w:ascii="微软雅黑" w:eastAsia="微软雅黑" w:hAnsi="微软雅黑" w:cs="宋体"/>
                <w:kern w:val="0"/>
                <w:sz w:val="24"/>
                <w:szCs w:val="24"/>
              </w:rPr>
              <w:t>：评估 AZD9833+ CDK4/6i 在 HR+/HER2-MBC 中进展前可检测到 ESR1m 的 III 期研究 ( </w:t>
            </w:r>
            <w:r w:rsidRPr="001D4A2E">
              <w:rPr>
                <w:rFonts w:ascii="微软雅黑" w:eastAsia="微软雅黑" w:hAnsi="微软雅黑" w:cs="宋体"/>
                <w:b/>
                <w:bCs/>
                <w:kern w:val="0"/>
                <w:sz w:val="24"/>
                <w:szCs w:val="24"/>
              </w:rPr>
              <w:t>SERENA-6</w:t>
            </w:r>
            <w:r w:rsidRPr="001D4A2E">
              <w:rPr>
                <w:rFonts w:ascii="微软雅黑" w:eastAsia="微软雅黑" w:hAnsi="微软雅黑" w:cs="宋体"/>
                <w:kern w:val="0"/>
                <w:sz w:val="24"/>
                <w:szCs w:val="24"/>
              </w:rPr>
              <w:t> )</w:t>
            </w:r>
          </w:p>
        </w:tc>
        <w:tc>
          <w:tcPr>
            <w:tcW w:w="1310" w:type="pct"/>
            <w:tcMar>
              <w:top w:w="56" w:type="dxa"/>
              <w:left w:w="56" w:type="dxa"/>
              <w:bottom w:w="56" w:type="dxa"/>
              <w:right w:w="56" w:type="dxa"/>
            </w:tcMar>
            <w:hideMark/>
          </w:tcPr>
          <w:p w14:paraId="49BC7505"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AZD9833、AZD9833安慰剂、Ana、Ana安慰剂、Let、Let安慰剂、</w:t>
            </w:r>
            <w:r w:rsidRPr="001D4A2E">
              <w:rPr>
                <w:rFonts w:ascii="微软雅黑" w:eastAsia="微软雅黑" w:hAnsi="微软雅黑" w:cs="宋体"/>
                <w:kern w:val="0"/>
                <w:sz w:val="24"/>
                <w:szCs w:val="24"/>
              </w:rPr>
              <w:lastRenderedPageBreak/>
              <w:t>Pal、Abe、LHRH激动剂、</w:t>
            </w:r>
            <w:proofErr w:type="spellStart"/>
            <w:r w:rsidRPr="001D4A2E">
              <w:rPr>
                <w:rFonts w:ascii="微软雅黑" w:eastAsia="微软雅黑" w:hAnsi="微软雅黑" w:cs="宋体"/>
                <w:kern w:val="0"/>
                <w:sz w:val="24"/>
                <w:szCs w:val="24"/>
              </w:rPr>
              <w:t>Ribo</w:t>
            </w:r>
            <w:proofErr w:type="spellEnd"/>
          </w:p>
        </w:tc>
        <w:tc>
          <w:tcPr>
            <w:tcW w:w="259" w:type="pct"/>
            <w:tcMar>
              <w:top w:w="56" w:type="dxa"/>
              <w:left w:w="56" w:type="dxa"/>
              <w:bottom w:w="56" w:type="dxa"/>
              <w:right w:w="56" w:type="dxa"/>
            </w:tcMar>
            <w:hideMark/>
          </w:tcPr>
          <w:p w14:paraId="5DE220F3"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lastRenderedPageBreak/>
              <w:t>三</w:t>
            </w:r>
          </w:p>
        </w:tc>
        <w:tc>
          <w:tcPr>
            <w:tcW w:w="1529" w:type="pct"/>
            <w:tcMar>
              <w:top w:w="56" w:type="dxa"/>
              <w:left w:w="56" w:type="dxa"/>
              <w:bottom w:w="56" w:type="dxa"/>
              <w:right w:w="56" w:type="dxa"/>
            </w:tcMar>
            <w:hideMark/>
          </w:tcPr>
          <w:p w14:paraId="4716E5D7"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比较 AZD9833 加帕拉西坦、阿贝西坦或核苷（酸）类似物与阿那曲</w:t>
            </w:r>
            <w:proofErr w:type="gramStart"/>
            <w:r w:rsidRPr="001D4A2E">
              <w:rPr>
                <w:rFonts w:ascii="微软雅黑" w:eastAsia="微软雅黑" w:hAnsi="微软雅黑" w:cs="宋体"/>
                <w:kern w:val="0"/>
                <w:sz w:val="24"/>
                <w:szCs w:val="24"/>
              </w:rPr>
              <w:t>唑</w:t>
            </w:r>
            <w:proofErr w:type="gramEnd"/>
            <w:r w:rsidRPr="001D4A2E">
              <w:rPr>
                <w:rFonts w:ascii="微软雅黑" w:eastAsia="微软雅黑" w:hAnsi="微软雅黑" w:cs="宋体"/>
                <w:kern w:val="0"/>
                <w:sz w:val="24"/>
                <w:szCs w:val="24"/>
              </w:rPr>
              <w:t>/来曲</w:t>
            </w:r>
            <w:proofErr w:type="gramStart"/>
            <w:r w:rsidRPr="001D4A2E">
              <w:rPr>
                <w:rFonts w:ascii="微软雅黑" w:eastAsia="微软雅黑" w:hAnsi="微软雅黑" w:cs="宋体"/>
                <w:kern w:val="0"/>
                <w:sz w:val="24"/>
                <w:szCs w:val="24"/>
              </w:rPr>
              <w:t>唑</w:t>
            </w:r>
            <w:proofErr w:type="gramEnd"/>
            <w:r w:rsidRPr="001D4A2E">
              <w:rPr>
                <w:rFonts w:ascii="微软雅黑" w:eastAsia="微软雅黑" w:hAnsi="微软雅黑" w:cs="宋体"/>
                <w:kern w:val="0"/>
                <w:sz w:val="24"/>
                <w:szCs w:val="24"/>
              </w:rPr>
              <w:t>加帕拉西坦、阿贝西坦或核苷</w:t>
            </w:r>
            <w:r w:rsidRPr="001D4A2E">
              <w:rPr>
                <w:rFonts w:ascii="微软雅黑" w:eastAsia="微软雅黑" w:hAnsi="微软雅黑" w:cs="宋体"/>
                <w:kern w:val="0"/>
                <w:sz w:val="24"/>
                <w:szCs w:val="24"/>
              </w:rPr>
              <w:lastRenderedPageBreak/>
              <w:t xml:space="preserve">（酸）类似物的效果，看看这种新药是否比 </w:t>
            </w:r>
            <w:proofErr w:type="spellStart"/>
            <w:r w:rsidRPr="001D4A2E">
              <w:rPr>
                <w:rFonts w:ascii="微软雅黑" w:eastAsia="微软雅黑" w:hAnsi="微软雅黑" w:cs="宋体"/>
                <w:kern w:val="0"/>
                <w:sz w:val="24"/>
                <w:szCs w:val="24"/>
              </w:rPr>
              <w:t>CDKi</w:t>
            </w:r>
            <w:proofErr w:type="spellEnd"/>
            <w:r w:rsidRPr="001D4A2E">
              <w:rPr>
                <w:rFonts w:ascii="微软雅黑" w:eastAsia="微软雅黑" w:hAnsi="微软雅黑" w:cs="宋体"/>
                <w:kern w:val="0"/>
                <w:sz w:val="24"/>
                <w:szCs w:val="24"/>
              </w:rPr>
              <w:t xml:space="preserve"> 类 AI 更有效。</w:t>
            </w:r>
          </w:p>
        </w:tc>
      </w:tr>
      <w:tr w:rsidR="001D4A2E" w:rsidRPr="001D4A2E" w14:paraId="30DAF2BB" w14:textId="77777777" w:rsidTr="001D4A2E">
        <w:trPr>
          <w:tblCellSpacing w:w="15" w:type="dxa"/>
        </w:trPr>
        <w:tc>
          <w:tcPr>
            <w:tcW w:w="1834" w:type="pct"/>
            <w:tcMar>
              <w:top w:w="56" w:type="dxa"/>
              <w:left w:w="56" w:type="dxa"/>
              <w:bottom w:w="56" w:type="dxa"/>
              <w:right w:w="56" w:type="dxa"/>
            </w:tcMar>
            <w:hideMark/>
          </w:tcPr>
          <w:p w14:paraId="3DED51EA" w14:textId="77777777" w:rsidR="001D4A2E" w:rsidRPr="001D4A2E" w:rsidRDefault="001D4A2E" w:rsidP="001D4A2E">
            <w:pPr>
              <w:widowControl/>
              <w:rPr>
                <w:rFonts w:ascii="微软雅黑" w:eastAsia="微软雅黑" w:hAnsi="微软雅黑" w:cs="宋体"/>
                <w:kern w:val="0"/>
                <w:sz w:val="24"/>
                <w:szCs w:val="24"/>
              </w:rPr>
            </w:pPr>
            <w:hyperlink r:id="rId43" w:tgtFrame="_blank" w:history="1">
              <w:r w:rsidRPr="001D4A2E">
                <w:rPr>
                  <w:rFonts w:ascii="微软雅黑" w:eastAsia="微软雅黑" w:hAnsi="微软雅黑" w:cs="宋体"/>
                  <w:kern w:val="0"/>
                  <w:sz w:val="24"/>
                  <w:szCs w:val="24"/>
                  <w:u w:val="single"/>
                </w:rPr>
                <w:t>NCT03054363</w:t>
              </w:r>
            </w:hyperlink>
            <w:r w:rsidRPr="001D4A2E">
              <w:rPr>
                <w:rFonts w:ascii="微软雅黑" w:eastAsia="微软雅黑" w:hAnsi="微软雅黑" w:cs="宋体"/>
                <w:kern w:val="0"/>
                <w:sz w:val="24"/>
                <w:szCs w:val="24"/>
              </w:rPr>
              <w:t>：图卡替尼、帕博西尼和来曲</w:t>
            </w:r>
            <w:proofErr w:type="gramStart"/>
            <w:r w:rsidRPr="001D4A2E">
              <w:rPr>
                <w:rFonts w:ascii="微软雅黑" w:eastAsia="微软雅黑" w:hAnsi="微软雅黑" w:cs="宋体"/>
                <w:kern w:val="0"/>
                <w:sz w:val="24"/>
                <w:szCs w:val="24"/>
              </w:rPr>
              <w:t>唑</w:t>
            </w:r>
            <w:proofErr w:type="gramEnd"/>
            <w:r w:rsidRPr="001D4A2E">
              <w:rPr>
                <w:rFonts w:ascii="微软雅黑" w:eastAsia="微软雅黑" w:hAnsi="微软雅黑" w:cs="宋体"/>
                <w:kern w:val="0"/>
                <w:sz w:val="24"/>
                <w:szCs w:val="24"/>
              </w:rPr>
              <w:t>治疗转移性激素受体阳性和HER2阳性乳腺癌</w:t>
            </w:r>
          </w:p>
        </w:tc>
        <w:tc>
          <w:tcPr>
            <w:tcW w:w="1310" w:type="pct"/>
            <w:tcMar>
              <w:top w:w="56" w:type="dxa"/>
              <w:left w:w="56" w:type="dxa"/>
              <w:bottom w:w="56" w:type="dxa"/>
              <w:right w:w="56" w:type="dxa"/>
            </w:tcMar>
            <w:hideMark/>
          </w:tcPr>
          <w:p w14:paraId="546C54D9" w14:textId="77777777" w:rsidR="001D4A2E" w:rsidRPr="001D4A2E" w:rsidRDefault="001D4A2E" w:rsidP="001D4A2E">
            <w:pPr>
              <w:widowControl/>
              <w:rPr>
                <w:rFonts w:ascii="微软雅黑" w:eastAsia="微软雅黑" w:hAnsi="微软雅黑" w:cs="宋体"/>
                <w:kern w:val="0"/>
                <w:sz w:val="24"/>
                <w:szCs w:val="24"/>
              </w:rPr>
            </w:pPr>
            <w:proofErr w:type="gramStart"/>
            <w:r w:rsidRPr="001D4A2E">
              <w:rPr>
                <w:rFonts w:ascii="微软雅黑" w:eastAsia="微软雅黑" w:hAnsi="微软雅黑" w:cs="宋体"/>
                <w:kern w:val="0"/>
                <w:sz w:val="24"/>
                <w:szCs w:val="24"/>
              </w:rPr>
              <w:t>图卡替尼</w:t>
            </w:r>
            <w:proofErr w:type="gramEnd"/>
            <w:r w:rsidRPr="001D4A2E">
              <w:rPr>
                <w:rFonts w:ascii="微软雅黑" w:eastAsia="微软雅黑" w:hAnsi="微软雅黑" w:cs="宋体"/>
                <w:kern w:val="0"/>
                <w:sz w:val="24"/>
                <w:szCs w:val="24"/>
              </w:rPr>
              <w:t>+帕</w:t>
            </w:r>
            <w:proofErr w:type="gramStart"/>
            <w:r w:rsidRPr="001D4A2E">
              <w:rPr>
                <w:rFonts w:ascii="微软雅黑" w:eastAsia="微软雅黑" w:hAnsi="微软雅黑" w:cs="宋体"/>
                <w:kern w:val="0"/>
                <w:sz w:val="24"/>
                <w:szCs w:val="24"/>
              </w:rPr>
              <w:t>利珠单</w:t>
            </w:r>
            <w:proofErr w:type="gramEnd"/>
            <w:r w:rsidRPr="001D4A2E">
              <w:rPr>
                <w:rFonts w:ascii="微软雅黑" w:eastAsia="微软雅黑" w:hAnsi="微软雅黑" w:cs="宋体"/>
                <w:kern w:val="0"/>
                <w:sz w:val="24"/>
                <w:szCs w:val="24"/>
              </w:rPr>
              <w:t>抗+来曲</w:t>
            </w:r>
            <w:proofErr w:type="gramStart"/>
            <w:r w:rsidRPr="001D4A2E">
              <w:rPr>
                <w:rFonts w:ascii="微软雅黑" w:eastAsia="微软雅黑" w:hAnsi="微软雅黑" w:cs="宋体"/>
                <w:kern w:val="0"/>
                <w:sz w:val="24"/>
                <w:szCs w:val="24"/>
              </w:rPr>
              <w:t>唑</w:t>
            </w:r>
            <w:proofErr w:type="gramEnd"/>
          </w:p>
        </w:tc>
        <w:tc>
          <w:tcPr>
            <w:tcW w:w="259" w:type="pct"/>
            <w:tcMar>
              <w:top w:w="56" w:type="dxa"/>
              <w:left w:w="56" w:type="dxa"/>
              <w:bottom w:w="56" w:type="dxa"/>
              <w:right w:w="56" w:type="dxa"/>
            </w:tcMar>
            <w:hideMark/>
          </w:tcPr>
          <w:p w14:paraId="5AFFF6AD"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第一部分和第二部分</w:t>
            </w:r>
          </w:p>
        </w:tc>
        <w:tc>
          <w:tcPr>
            <w:tcW w:w="1529" w:type="pct"/>
            <w:tcMar>
              <w:top w:w="56" w:type="dxa"/>
              <w:left w:w="56" w:type="dxa"/>
              <w:bottom w:w="56" w:type="dxa"/>
              <w:right w:w="56" w:type="dxa"/>
            </w:tcMar>
            <w:hideMark/>
          </w:tcPr>
          <w:p w14:paraId="28A72FA1"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评估 Tucatinib 与 Pal 和 Let 联合用药的安全性和耐受性。</w:t>
            </w:r>
          </w:p>
        </w:tc>
      </w:tr>
    </w:tbl>
    <w:p w14:paraId="14B030A5"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NCT，ClinicalTrials.gov 标识符；AI，芳香化酶抑制剂；</w:t>
      </w:r>
      <w:proofErr w:type="spellStart"/>
      <w:r w:rsidRPr="001D4A2E">
        <w:rPr>
          <w:rFonts w:ascii="微软雅黑" w:eastAsia="微软雅黑" w:hAnsi="微软雅黑" w:cs="宋体"/>
          <w:kern w:val="0"/>
          <w:sz w:val="24"/>
          <w:szCs w:val="24"/>
        </w:rPr>
        <w:t>CDKi</w:t>
      </w:r>
      <w:proofErr w:type="spellEnd"/>
      <w:r w:rsidRPr="001D4A2E">
        <w:rPr>
          <w:rFonts w:ascii="微软雅黑" w:eastAsia="微软雅黑" w:hAnsi="微软雅黑" w:cs="宋体"/>
          <w:kern w:val="0"/>
          <w:sz w:val="24"/>
          <w:szCs w:val="24"/>
        </w:rPr>
        <w:t>，CDK 4/6 抑制剂；SERD，选择性受体降解剂；Pal，帕博西尼；</w:t>
      </w:r>
      <w:proofErr w:type="spellStart"/>
      <w:r w:rsidRPr="001D4A2E">
        <w:rPr>
          <w:rFonts w:ascii="微软雅黑" w:eastAsia="微软雅黑" w:hAnsi="微软雅黑" w:cs="宋体"/>
          <w:kern w:val="0"/>
          <w:sz w:val="24"/>
          <w:szCs w:val="24"/>
        </w:rPr>
        <w:t>Ribo</w:t>
      </w:r>
      <w:proofErr w:type="spellEnd"/>
      <w:r w:rsidRPr="001D4A2E">
        <w:rPr>
          <w:rFonts w:ascii="微软雅黑" w:eastAsia="微软雅黑" w:hAnsi="微软雅黑" w:cs="宋体"/>
          <w:kern w:val="0"/>
          <w:sz w:val="24"/>
          <w:szCs w:val="24"/>
        </w:rPr>
        <w:t>，瑞博西尼；Abe，阿贝西利；Let，来曲</w:t>
      </w:r>
      <w:proofErr w:type="gramStart"/>
      <w:r w:rsidRPr="001D4A2E">
        <w:rPr>
          <w:rFonts w:ascii="微软雅黑" w:eastAsia="微软雅黑" w:hAnsi="微软雅黑" w:cs="宋体"/>
          <w:kern w:val="0"/>
          <w:sz w:val="24"/>
          <w:szCs w:val="24"/>
        </w:rPr>
        <w:t>唑</w:t>
      </w:r>
      <w:proofErr w:type="gramEnd"/>
      <w:r w:rsidRPr="001D4A2E">
        <w:rPr>
          <w:rFonts w:ascii="微软雅黑" w:eastAsia="微软雅黑" w:hAnsi="微软雅黑" w:cs="宋体"/>
          <w:kern w:val="0"/>
          <w:sz w:val="24"/>
          <w:szCs w:val="24"/>
        </w:rPr>
        <w:t>；Ful，</w:t>
      </w:r>
      <w:proofErr w:type="gramStart"/>
      <w:r w:rsidRPr="001D4A2E">
        <w:rPr>
          <w:rFonts w:ascii="微软雅黑" w:eastAsia="微软雅黑" w:hAnsi="微软雅黑" w:cs="宋体"/>
          <w:kern w:val="0"/>
          <w:sz w:val="24"/>
          <w:szCs w:val="24"/>
        </w:rPr>
        <w:t>氟维司群</w:t>
      </w:r>
      <w:proofErr w:type="gramEnd"/>
      <w:r w:rsidRPr="001D4A2E">
        <w:rPr>
          <w:rFonts w:ascii="微软雅黑" w:eastAsia="微软雅黑" w:hAnsi="微软雅黑" w:cs="宋体"/>
          <w:kern w:val="0"/>
          <w:sz w:val="24"/>
          <w:szCs w:val="24"/>
        </w:rPr>
        <w:t>；Exe，依西美坦；OFS，卵巢功能抑制，</w:t>
      </w:r>
      <w:proofErr w:type="gramStart"/>
      <w:r w:rsidRPr="001D4A2E">
        <w:rPr>
          <w:rFonts w:ascii="微软雅黑" w:eastAsia="微软雅黑" w:hAnsi="微软雅黑" w:cs="宋体"/>
          <w:kern w:val="0"/>
          <w:sz w:val="24"/>
          <w:szCs w:val="24"/>
        </w:rPr>
        <w:t>亮丙瑞</w:t>
      </w:r>
      <w:proofErr w:type="gramEnd"/>
      <w:r w:rsidRPr="001D4A2E">
        <w:rPr>
          <w:rFonts w:ascii="微软雅黑" w:eastAsia="微软雅黑" w:hAnsi="微软雅黑" w:cs="宋体"/>
          <w:kern w:val="0"/>
          <w:sz w:val="24"/>
          <w:szCs w:val="24"/>
        </w:rPr>
        <w:t>林；LHRH，促黄体生成素释放激素；ET，内分泌治疗；MRD，微小残留病灶；Ana，阿那曲</w:t>
      </w:r>
      <w:proofErr w:type="gramStart"/>
      <w:r w:rsidRPr="001D4A2E">
        <w:rPr>
          <w:rFonts w:ascii="微软雅黑" w:eastAsia="微软雅黑" w:hAnsi="微软雅黑" w:cs="宋体"/>
          <w:kern w:val="0"/>
          <w:sz w:val="24"/>
          <w:szCs w:val="24"/>
        </w:rPr>
        <w:t>唑</w:t>
      </w:r>
      <w:proofErr w:type="gramEnd"/>
      <w:r w:rsidRPr="001D4A2E">
        <w:rPr>
          <w:rFonts w:ascii="微软雅黑" w:eastAsia="微软雅黑" w:hAnsi="微软雅黑" w:cs="宋体"/>
          <w:kern w:val="0"/>
          <w:sz w:val="24"/>
          <w:szCs w:val="24"/>
        </w:rPr>
        <w:t>；</w:t>
      </w:r>
      <w:proofErr w:type="spellStart"/>
      <w:r w:rsidRPr="001D4A2E">
        <w:rPr>
          <w:rFonts w:ascii="微软雅黑" w:eastAsia="微软雅黑" w:hAnsi="微软雅黑" w:cs="宋体"/>
          <w:kern w:val="0"/>
          <w:sz w:val="24"/>
          <w:szCs w:val="24"/>
        </w:rPr>
        <w:t>ctDNA</w:t>
      </w:r>
      <w:proofErr w:type="spellEnd"/>
      <w:r w:rsidRPr="001D4A2E">
        <w:rPr>
          <w:rFonts w:ascii="微软雅黑" w:eastAsia="微软雅黑" w:hAnsi="微软雅黑" w:cs="宋体"/>
          <w:kern w:val="0"/>
          <w:sz w:val="24"/>
          <w:szCs w:val="24"/>
        </w:rPr>
        <w:t>，循环肿瘤 DNA；mTOR，</w:t>
      </w:r>
      <w:proofErr w:type="gramStart"/>
      <w:r w:rsidRPr="001D4A2E">
        <w:rPr>
          <w:rFonts w:ascii="微软雅黑" w:eastAsia="微软雅黑" w:hAnsi="微软雅黑" w:cs="宋体"/>
          <w:kern w:val="0"/>
          <w:sz w:val="24"/>
          <w:szCs w:val="24"/>
        </w:rPr>
        <w:t>哺乳动物雷帕霉素</w:t>
      </w:r>
      <w:proofErr w:type="gramEnd"/>
      <w:r w:rsidRPr="001D4A2E">
        <w:rPr>
          <w:rFonts w:ascii="微软雅黑" w:eastAsia="微软雅黑" w:hAnsi="微软雅黑" w:cs="宋体"/>
          <w:kern w:val="0"/>
          <w:sz w:val="24"/>
          <w:szCs w:val="24"/>
        </w:rPr>
        <w:t>靶蛋白。</w:t>
      </w:r>
    </w:p>
    <w:p w14:paraId="4646E642" w14:textId="77777777" w:rsidR="001D4A2E" w:rsidRPr="001D4A2E" w:rsidRDefault="001D4A2E" w:rsidP="001D4A2E">
      <w:pPr>
        <w:widowControl/>
        <w:spacing w:line="450" w:lineRule="atLeast"/>
        <w:outlineLvl w:val="2"/>
        <w:rPr>
          <w:rFonts w:ascii="微软雅黑" w:eastAsia="微软雅黑" w:hAnsi="微软雅黑" w:cs="宋体"/>
          <w:kern w:val="0"/>
          <w:sz w:val="32"/>
          <w:szCs w:val="32"/>
        </w:rPr>
      </w:pPr>
      <w:r w:rsidRPr="001D4A2E">
        <w:rPr>
          <w:rFonts w:ascii="微软雅黑" w:eastAsia="微软雅黑" w:hAnsi="微软雅黑" w:cs="宋体"/>
          <w:kern w:val="0"/>
          <w:sz w:val="32"/>
          <w:szCs w:val="32"/>
        </w:rPr>
        <w:t xml:space="preserve">3.1. </w:t>
      </w:r>
      <w:proofErr w:type="spellStart"/>
      <w:r w:rsidRPr="001D4A2E">
        <w:rPr>
          <w:rFonts w:ascii="微软雅黑" w:eastAsia="微软雅黑" w:hAnsi="微软雅黑" w:cs="宋体"/>
          <w:kern w:val="0"/>
          <w:sz w:val="32"/>
          <w:szCs w:val="32"/>
        </w:rPr>
        <w:t>CDKi</w:t>
      </w:r>
      <w:proofErr w:type="spellEnd"/>
      <w:r w:rsidRPr="001D4A2E">
        <w:rPr>
          <w:rFonts w:ascii="微软雅黑" w:eastAsia="微软雅黑" w:hAnsi="微软雅黑" w:cs="宋体"/>
          <w:kern w:val="0"/>
          <w:sz w:val="32"/>
          <w:szCs w:val="32"/>
        </w:rPr>
        <w:t xml:space="preserve"> 耐药性和自噬</w:t>
      </w:r>
    </w:p>
    <w:p w14:paraId="28FC5449"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lastRenderedPageBreak/>
        <w:t>对帕博西尼等 CDK 抑制剂的耐药性并不一定预示着对瑞博西尼或阿贝西利的耐药性，这使得治疗方案中可以加入不同的 CDK 抑制剂。迄今为止，既没有生物标志物可以识别哪些患者能从特定的 CDK 抑制剂中获得最佳疗效，也没有表达</w:t>
      </w:r>
      <w:proofErr w:type="gramStart"/>
      <w:r w:rsidRPr="001D4A2E">
        <w:rPr>
          <w:rFonts w:ascii="微软雅黑" w:eastAsia="微软雅黑" w:hAnsi="微软雅黑" w:cs="宋体"/>
          <w:kern w:val="0"/>
          <w:sz w:val="24"/>
          <w:szCs w:val="24"/>
        </w:rPr>
        <w:t>谱可以</w:t>
      </w:r>
      <w:proofErr w:type="gramEnd"/>
      <w:r w:rsidRPr="001D4A2E">
        <w:rPr>
          <w:rFonts w:ascii="微软雅黑" w:eastAsia="微软雅黑" w:hAnsi="微软雅黑" w:cs="宋体"/>
          <w:kern w:val="0"/>
          <w:sz w:val="24"/>
          <w:szCs w:val="24"/>
        </w:rPr>
        <w:t>识别表达内在耐药性或更容易获得 CDK 抑制剂耐药性的乳腺癌细胞。然而，</w:t>
      </w:r>
      <w:proofErr w:type="spellStart"/>
      <w:r w:rsidRPr="001D4A2E">
        <w:rPr>
          <w:rFonts w:ascii="微软雅黑" w:eastAsia="微软雅黑" w:hAnsi="微软雅黑" w:cs="宋体"/>
          <w:kern w:val="0"/>
          <w:sz w:val="24"/>
          <w:szCs w:val="24"/>
        </w:rPr>
        <w:t>Vijayaraghavan</w:t>
      </w:r>
      <w:proofErr w:type="spellEnd"/>
      <w:r w:rsidRPr="001D4A2E">
        <w:rPr>
          <w:rFonts w:ascii="微软雅黑" w:eastAsia="微软雅黑" w:hAnsi="微软雅黑" w:cs="宋体"/>
          <w:kern w:val="0"/>
          <w:sz w:val="24"/>
          <w:szCs w:val="24"/>
        </w:rPr>
        <w:t xml:space="preserve"> 等人的研究发现，CDK 抑制剂帕博西尼可以诱导自噬和衰老 ( </w:t>
      </w:r>
      <w:hyperlink r:id="rId44" w:anchor="B52" w:history="1">
        <w:r w:rsidRPr="001D4A2E">
          <w:rPr>
            <w:rFonts w:ascii="微软雅黑" w:eastAsia="微软雅黑" w:hAnsi="微软雅黑" w:cs="宋体"/>
            <w:kern w:val="0"/>
            <w:sz w:val="24"/>
            <w:szCs w:val="24"/>
            <w:u w:val="single"/>
          </w:rPr>
          <w:t>52</w:t>
        </w:r>
      </w:hyperlink>
      <w:r w:rsidRPr="001D4A2E">
        <w:rPr>
          <w:rFonts w:ascii="微软雅黑" w:eastAsia="微软雅黑" w:hAnsi="微软雅黑" w:cs="宋体"/>
          <w:kern w:val="0"/>
          <w:sz w:val="24"/>
          <w:szCs w:val="24"/>
        </w:rPr>
        <w:t> )。自噬是正常细胞和癌细胞中高度保守的分解代谢途径，在多种应激（包括营养匮乏）下，自噬水平可以高于基础水平，在此过程中，大分子（底物）被回收利用以维持细胞稳态 ( </w:t>
      </w:r>
      <w:hyperlink r:id="rId45" w:anchor="B53" w:history="1">
        <w:r w:rsidRPr="001D4A2E">
          <w:rPr>
            <w:rFonts w:ascii="微软雅黑" w:eastAsia="微软雅黑" w:hAnsi="微软雅黑" w:cs="宋体"/>
            <w:kern w:val="0"/>
            <w:sz w:val="24"/>
            <w:szCs w:val="24"/>
            <w:u w:val="single"/>
          </w:rPr>
          <w:t>53</w:t>
        </w:r>
      </w:hyperlink>
      <w:r w:rsidRPr="001D4A2E">
        <w:rPr>
          <w:rFonts w:ascii="微软雅黑" w:eastAsia="微软雅黑" w:hAnsi="微软雅黑" w:cs="宋体"/>
          <w:kern w:val="0"/>
          <w:sz w:val="24"/>
          <w:szCs w:val="24"/>
        </w:rPr>
        <w:t> , </w:t>
      </w:r>
      <w:hyperlink r:id="rId46" w:anchor="B54" w:history="1">
        <w:r w:rsidRPr="001D4A2E">
          <w:rPr>
            <w:rFonts w:ascii="微软雅黑" w:eastAsia="微软雅黑" w:hAnsi="微软雅黑" w:cs="宋体"/>
            <w:kern w:val="0"/>
            <w:sz w:val="24"/>
            <w:szCs w:val="24"/>
            <w:u w:val="single"/>
          </w:rPr>
          <w:t>54</w:t>
        </w:r>
      </w:hyperlink>
      <w:r w:rsidRPr="001D4A2E">
        <w:rPr>
          <w:rFonts w:ascii="微软雅黑" w:eastAsia="微软雅黑" w:hAnsi="微软雅黑" w:cs="宋体"/>
          <w:kern w:val="0"/>
          <w:sz w:val="24"/>
          <w:szCs w:val="24"/>
        </w:rPr>
        <w:t> )。值得注意的是，帕博西尼联合自噬抑制剂（小分子和基因方法）治疗可协同诱导Rb阳性、细胞质细胞周期蛋白E阴性乳腺癌细胞衰老（</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"B52"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52</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）。因此，在该实验系统中，自噬似乎能够保护细胞免于衰老，尽管并非所有此类反应都如此（</w:t>
      </w:r>
      <w:hyperlink r:id="rId47" w:anchor="B55" w:history="1">
        <w:r w:rsidRPr="001D4A2E">
          <w:rPr>
            <w:rFonts w:ascii="微软雅黑" w:eastAsia="微软雅黑" w:hAnsi="微软雅黑" w:cs="宋体"/>
            <w:kern w:val="0"/>
            <w:sz w:val="24"/>
            <w:szCs w:val="24"/>
            <w:u w:val="single"/>
          </w:rPr>
          <w:t>55-57</w:t>
        </w:r>
      </w:hyperlink>
      <w:r w:rsidRPr="001D4A2E">
        <w:rPr>
          <w:rFonts w:ascii="微软雅黑" w:eastAsia="微软雅黑" w:hAnsi="微软雅黑" w:cs="宋体"/>
          <w:kern w:val="0"/>
          <w:sz w:val="24"/>
          <w:szCs w:val="24"/>
        </w:rPr>
        <w:t> ）。自噬抑制剂诱导的衰老似乎是一种不可逆的生长停滞状态，至少在研究期间是如此。然而，尚未确定衰老细胞是否表达衰老相关分泌表型（SASP）（</w:t>
      </w:r>
      <w:hyperlink r:id="rId48" w:anchor="B57" w:history="1">
        <w:r w:rsidRPr="001D4A2E">
          <w:rPr>
            <w:rFonts w:ascii="微软雅黑" w:eastAsia="微软雅黑" w:hAnsi="微软雅黑" w:cs="宋体"/>
            <w:kern w:val="0"/>
            <w:sz w:val="24"/>
            <w:szCs w:val="24"/>
            <w:u w:val="single"/>
          </w:rPr>
          <w:t>58 </w:t>
        </w:r>
      </w:hyperlink>
      <w:hyperlink r:id="rId49" w:anchor="B58" w:history="1">
        <w:r w:rsidRPr="001D4A2E">
          <w:rPr>
            <w:rFonts w:ascii="微软雅黑" w:eastAsia="微软雅黑" w:hAnsi="微软雅黑" w:cs="宋体"/>
            <w:kern w:val="0"/>
            <w:sz w:val="24"/>
            <w:szCs w:val="24"/>
            <w:u w:val="single"/>
          </w:rPr>
          <w:t>）</w:t>
        </w:r>
      </w:hyperlink>
      <w:r w:rsidRPr="001D4A2E">
        <w:rPr>
          <w:rFonts w:ascii="微软雅黑" w:eastAsia="微软雅黑" w:hAnsi="微软雅黑" w:cs="宋体"/>
          <w:kern w:val="0"/>
          <w:sz w:val="24"/>
          <w:szCs w:val="24"/>
        </w:rPr>
        <w:t>，而SASP在乳腺癌小鼠模型中与肿瘤复发和肿瘤进展（转移）相关（</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"B59"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59</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w:t>
      </w:r>
    </w:p>
    <w:p w14:paraId="733A33FB" w14:textId="77777777" w:rsidR="001D4A2E" w:rsidRPr="001D4A2E" w:rsidRDefault="001D4A2E" w:rsidP="001D4A2E">
      <w:pPr>
        <w:widowControl/>
        <w:pBdr>
          <w:bottom w:val="single" w:sz="6" w:space="0" w:color="97B1C8"/>
        </w:pBdr>
        <w:spacing w:line="450" w:lineRule="atLeast"/>
        <w:outlineLvl w:val="1"/>
        <w:rPr>
          <w:rFonts w:ascii="微软雅黑" w:eastAsia="微软雅黑" w:hAnsi="微软雅黑" w:cs="宋体"/>
          <w:kern w:val="0"/>
          <w:sz w:val="34"/>
          <w:szCs w:val="34"/>
        </w:rPr>
      </w:pPr>
      <w:r w:rsidRPr="001D4A2E">
        <w:rPr>
          <w:rFonts w:ascii="微软雅黑" w:eastAsia="微软雅黑" w:hAnsi="微软雅黑" w:cs="宋体"/>
          <w:kern w:val="0"/>
          <w:sz w:val="34"/>
          <w:szCs w:val="34"/>
        </w:rPr>
        <w:t>4. 自噬：ER+乳腺癌的潜在分子靶点</w:t>
      </w:r>
    </w:p>
    <w:p w14:paraId="1AE91E9E" w14:textId="77777777" w:rsidR="001D4A2E" w:rsidRPr="001D4A2E" w:rsidRDefault="001D4A2E" w:rsidP="001D4A2E">
      <w:pPr>
        <w:widowControl/>
        <w:spacing w:line="450" w:lineRule="atLeast"/>
        <w:outlineLvl w:val="2"/>
        <w:rPr>
          <w:rFonts w:ascii="微软雅黑" w:eastAsia="微软雅黑" w:hAnsi="微软雅黑" w:cs="宋体"/>
          <w:kern w:val="0"/>
          <w:sz w:val="32"/>
          <w:szCs w:val="32"/>
        </w:rPr>
      </w:pPr>
      <w:r w:rsidRPr="001D4A2E">
        <w:rPr>
          <w:rFonts w:ascii="微软雅黑" w:eastAsia="微软雅黑" w:hAnsi="微软雅黑" w:cs="宋体"/>
          <w:kern w:val="0"/>
          <w:sz w:val="32"/>
          <w:szCs w:val="32"/>
        </w:rPr>
        <w:t>4.1 自噬的类型</w:t>
      </w:r>
    </w:p>
    <w:p w14:paraId="7C4865BE"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t>自噬是一种细胞内途径，通过分解代谢降解细胞质中受损和/或错误折叠的蛋白质和细胞器，产生的生物大分子被回收利用，为细胞提供能量并支持重要的细胞功能（</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"B60"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60</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 , </w:t>
      </w:r>
      <w:hyperlink r:id="rId50" w:anchor="B61" w:history="1">
        <w:r w:rsidRPr="001D4A2E">
          <w:rPr>
            <w:rFonts w:ascii="微软雅黑" w:eastAsia="微软雅黑" w:hAnsi="微软雅黑" w:cs="宋体"/>
            <w:kern w:val="0"/>
            <w:sz w:val="24"/>
            <w:szCs w:val="24"/>
            <w:u w:val="single"/>
          </w:rPr>
          <w:t>61</w:t>
        </w:r>
      </w:hyperlink>
      <w:r w:rsidRPr="001D4A2E">
        <w:rPr>
          <w:rFonts w:ascii="微软雅黑" w:eastAsia="微软雅黑" w:hAnsi="微软雅黑" w:cs="宋体"/>
          <w:kern w:val="0"/>
          <w:sz w:val="24"/>
          <w:szCs w:val="24"/>
        </w:rPr>
        <w:t>）。作为一种常规的细胞维护机制，自噬能够清除细胞内的聚集蛋白、受损细胞器和病原体（</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"B62"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62</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）。目前公认的自噬形式有三种：巨自噬、微自噬和分子伴侣</w:t>
      </w:r>
      <w:proofErr w:type="gramStart"/>
      <w:r w:rsidRPr="001D4A2E">
        <w:rPr>
          <w:rFonts w:ascii="微软雅黑" w:eastAsia="微软雅黑" w:hAnsi="微软雅黑" w:cs="宋体"/>
          <w:kern w:val="0"/>
          <w:sz w:val="24"/>
          <w:szCs w:val="24"/>
        </w:rPr>
        <w:t>介</w:t>
      </w:r>
      <w:proofErr w:type="gramEnd"/>
      <w:r w:rsidRPr="001D4A2E">
        <w:rPr>
          <w:rFonts w:ascii="微软雅黑" w:eastAsia="微软雅黑" w:hAnsi="微软雅黑" w:cs="宋体"/>
          <w:kern w:val="0"/>
          <w:sz w:val="24"/>
          <w:szCs w:val="24"/>
        </w:rPr>
        <w:t>导的自噬（CMA）（</w:t>
      </w:r>
      <w:hyperlink r:id="rId51" w:anchor="B62" w:history="1">
        <w:r w:rsidRPr="001D4A2E">
          <w:rPr>
            <w:rFonts w:ascii="微软雅黑" w:eastAsia="微软雅黑" w:hAnsi="微软雅黑" w:cs="宋体"/>
            <w:kern w:val="0"/>
            <w:sz w:val="24"/>
            <w:szCs w:val="24"/>
            <w:u w:val="single"/>
          </w:rPr>
          <w:t>62</w:t>
        </w:r>
      </w:hyperlink>
      <w:r w:rsidRPr="001D4A2E">
        <w:rPr>
          <w:rFonts w:ascii="微软雅黑" w:eastAsia="微软雅黑" w:hAnsi="微软雅黑" w:cs="宋体"/>
          <w:kern w:val="0"/>
          <w:sz w:val="24"/>
          <w:szCs w:val="24"/>
        </w:rPr>
        <w:t>）。每种自噬模式的最终目标都是分解细</w:t>
      </w:r>
      <w:r w:rsidRPr="001D4A2E">
        <w:rPr>
          <w:rFonts w:ascii="微软雅黑" w:eastAsia="微软雅黑" w:hAnsi="微软雅黑" w:cs="宋体"/>
          <w:kern w:val="0"/>
          <w:sz w:val="24"/>
          <w:szCs w:val="24"/>
        </w:rPr>
        <w:lastRenderedPageBreak/>
        <w:t>胞内容物（例如，受损或衰老的蛋白质和细胞器），从而提供细胞功能所需的生物大分子（</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"B63"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63</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）。这些自噬过程可由多种应激因素（例如，缺氧、饥饿或感染）诱导（</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"B63"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63</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）。微自噬的特征是溶酶体通过膜内陷少量吞噬细胞内底物（</w:t>
      </w:r>
      <w:hyperlink r:id="rId52" w:anchor="B64" w:history="1">
        <w:r w:rsidRPr="001D4A2E">
          <w:rPr>
            <w:rFonts w:ascii="微软雅黑" w:eastAsia="微软雅黑" w:hAnsi="微软雅黑" w:cs="宋体"/>
            <w:kern w:val="0"/>
            <w:sz w:val="24"/>
            <w:szCs w:val="24"/>
            <w:u w:val="single"/>
          </w:rPr>
          <w:t>64</w:t>
        </w:r>
      </w:hyperlink>
      <w:r w:rsidRPr="001D4A2E">
        <w:rPr>
          <w:rFonts w:ascii="微软雅黑" w:eastAsia="微软雅黑" w:hAnsi="微软雅黑" w:cs="宋体"/>
          <w:kern w:val="0"/>
          <w:sz w:val="24"/>
          <w:szCs w:val="24"/>
        </w:rPr>
        <w:t>）。CMA 依赖于热休克蛋白（例如 HSC70 或 HSPA8）和辅助伴侣蛋白，将含有可识别的 KFERQ 基序的底物靶向溶酶体，并通过溶酶体相关膜蛋白 2A (LAMP-2A) 转运至溶酶体（</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"B65"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65</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）。巨自噬通过膜吞噬非选择性地分解大量细胞质内容物，或者根据受体蛋白（例如 p62（也称为 SQSTM1）、NBR1、optineurin (OPTN)、NDP52）的募集而选择性地分解特定底物。这些受体蛋白同时结合底物和泛素，并促进自噬的启动和膜募集。最近的一篇综述详细介绍了大量的选择性自噬途径和自噬受体（</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"B66"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66</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w:t>
      </w:r>
    </w:p>
    <w:p w14:paraId="00741BC5"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t>本文中统称为自噬的非选择性巨自噬途径与内分泌耐药性的发生发展密切相关，其调控和功能依赖于自噬相关基因（简称</w:t>
      </w:r>
      <w:r w:rsidRPr="001D4A2E">
        <w:rPr>
          <w:rFonts w:ascii="微软雅黑" w:eastAsia="微软雅黑" w:hAnsi="微软雅黑" w:cs="宋体"/>
          <w:i/>
          <w:iCs/>
          <w:kern w:val="0"/>
          <w:sz w:val="24"/>
          <w:szCs w:val="24"/>
        </w:rPr>
        <w:t>ATG）。</w:t>
      </w:r>
      <w:r w:rsidRPr="001D4A2E">
        <w:rPr>
          <w:rFonts w:ascii="微软雅黑" w:eastAsia="微软雅黑" w:hAnsi="微软雅黑" w:cs="宋体"/>
          <w:kern w:val="0"/>
          <w:sz w:val="24"/>
          <w:szCs w:val="24"/>
        </w:rPr>
        <w:t>近期一篇综述深入探讨了</w:t>
      </w:r>
      <w:r w:rsidRPr="001D4A2E">
        <w:rPr>
          <w:rFonts w:ascii="微软雅黑" w:eastAsia="微软雅黑" w:hAnsi="微软雅黑" w:cs="宋体"/>
          <w:i/>
          <w:iCs/>
          <w:kern w:val="0"/>
          <w:sz w:val="24"/>
          <w:szCs w:val="24"/>
        </w:rPr>
        <w:t>ATG</w:t>
      </w:r>
      <w:r w:rsidRPr="001D4A2E">
        <w:rPr>
          <w:rFonts w:ascii="微软雅黑" w:eastAsia="微软雅黑" w:hAnsi="微软雅黑" w:cs="宋体"/>
          <w:kern w:val="0"/>
          <w:sz w:val="24"/>
          <w:szCs w:val="24"/>
        </w:rPr>
        <w:t>基因及其在自噬体形成和功能中的作用（</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"B67"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67</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"f2"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b/>
          <w:bCs/>
          <w:kern w:val="0"/>
          <w:sz w:val="24"/>
          <w:szCs w:val="24"/>
          <w:u w:val="single"/>
        </w:rPr>
        <w:t>图2</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简要概述了自噬途径的基本核心机制，该机制同样适用于选择性自噬和非选择性自噬，在调节细胞能量稳态方面至关重要，并且可以被诱导至高于基础生理水平，以应对营养缺乏、缺氧、辐射、化疗和内分泌治疗等应激。</w:t>
      </w:r>
    </w:p>
    <w:p w14:paraId="0159FDDB" w14:textId="77777777" w:rsidR="001D4A2E" w:rsidRPr="001D4A2E" w:rsidRDefault="001D4A2E" w:rsidP="001D4A2E">
      <w:pPr>
        <w:widowControl/>
        <w:spacing w:line="450" w:lineRule="atLeast"/>
        <w:outlineLvl w:val="3"/>
        <w:rPr>
          <w:rFonts w:ascii="微软雅黑" w:eastAsia="微软雅黑" w:hAnsi="微软雅黑" w:cs="宋体"/>
          <w:kern w:val="0"/>
          <w:sz w:val="30"/>
          <w:szCs w:val="30"/>
        </w:rPr>
      </w:pPr>
      <w:r w:rsidRPr="001D4A2E">
        <w:rPr>
          <w:rFonts w:ascii="微软雅黑" w:eastAsia="微软雅黑" w:hAnsi="微软雅黑" w:cs="宋体"/>
          <w:kern w:val="0"/>
          <w:sz w:val="30"/>
          <w:szCs w:val="30"/>
        </w:rPr>
        <w:t>图2。</w:t>
      </w:r>
    </w:p>
    <w:p w14:paraId="746C7141" w14:textId="79CE1019"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noProof/>
          <w:kern w:val="0"/>
          <w:sz w:val="24"/>
          <w:szCs w:val="24"/>
        </w:rPr>
        <w:lastRenderedPageBreak/>
        <w:drawing>
          <wp:inline distT="0" distB="0" distL="0" distR="0" wp14:anchorId="6C263E0F" wp14:editId="2F08A5D1">
            <wp:extent cx="5274310" cy="3352800"/>
            <wp:effectExtent l="0" t="0" r="2540" b="0"/>
            <wp:docPr id="2" name="图片 2" descr="图 2">
              <a:hlinkClick xmlns:a="http://schemas.openxmlformats.org/drawingml/2006/main" r:id="rId5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图 2">
                      <a:hlinkClick r:id="rId53" tgtFrame="&quot;_blank&quot;"/>
                    </pic:cNvPr>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274310" cy="3352800"/>
                    </a:xfrm>
                    <a:prstGeom prst="rect">
                      <a:avLst/>
                    </a:prstGeom>
                    <a:noFill/>
                    <a:ln>
                      <a:noFill/>
                    </a:ln>
                  </pic:spPr>
                </pic:pic>
              </a:graphicData>
            </a:graphic>
          </wp:inline>
        </w:drawing>
      </w:r>
    </w:p>
    <w:p w14:paraId="1977856D"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图示为自噬分子机制的简化示意图，重点展示了可被溶酶体趋向剂（如氯喹 (CQ)、羟氯喹 (HCQ)、ATPase 抑制剂巴</w:t>
      </w:r>
      <w:proofErr w:type="gramStart"/>
      <w:r w:rsidRPr="001D4A2E">
        <w:rPr>
          <w:rFonts w:ascii="微软雅黑" w:eastAsia="微软雅黑" w:hAnsi="微软雅黑" w:cs="宋体"/>
          <w:kern w:val="0"/>
          <w:sz w:val="24"/>
          <w:szCs w:val="24"/>
        </w:rPr>
        <w:t>弗洛</w:t>
      </w:r>
      <w:proofErr w:type="gramEnd"/>
      <w:r w:rsidRPr="001D4A2E">
        <w:rPr>
          <w:rFonts w:ascii="微软雅黑" w:eastAsia="微软雅黑" w:hAnsi="微软雅黑" w:cs="宋体"/>
          <w:kern w:val="0"/>
          <w:sz w:val="24"/>
          <w:szCs w:val="24"/>
        </w:rPr>
        <w:t>霉素和氯化铵 (</w:t>
      </w:r>
      <w:proofErr w:type="spellStart"/>
      <w:r w:rsidRPr="001D4A2E">
        <w:rPr>
          <w:rFonts w:ascii="微软雅黑" w:eastAsia="微软雅黑" w:hAnsi="微软雅黑" w:cs="宋体"/>
          <w:kern w:val="0"/>
          <w:sz w:val="24"/>
          <w:szCs w:val="24"/>
        </w:rPr>
        <w:t>NH</w:t>
      </w:r>
      <w:r w:rsidRPr="001D4A2E">
        <w:rPr>
          <w:rFonts w:ascii="Cambria Math" w:eastAsia="微软雅黑" w:hAnsi="Cambria Math" w:cs="Cambria Math"/>
          <w:kern w:val="0"/>
          <w:sz w:val="24"/>
          <w:szCs w:val="24"/>
        </w:rPr>
        <w:t>₄</w:t>
      </w:r>
      <w:r w:rsidRPr="001D4A2E">
        <w:rPr>
          <w:rFonts w:ascii="微软雅黑" w:eastAsia="微软雅黑" w:hAnsi="微软雅黑" w:cs="宋体"/>
          <w:kern w:val="0"/>
          <w:sz w:val="24"/>
          <w:szCs w:val="24"/>
        </w:rPr>
        <w:t>Cl</w:t>
      </w:r>
      <w:proofErr w:type="spellEnd"/>
      <w:r w:rsidRPr="001D4A2E">
        <w:rPr>
          <w:rFonts w:ascii="微软雅黑" w:eastAsia="微软雅黑" w:hAnsi="微软雅黑" w:cs="宋体"/>
          <w:kern w:val="0"/>
          <w:sz w:val="24"/>
          <w:szCs w:val="24"/>
        </w:rPr>
        <w:t>)）抑制的步骤</w:t>
      </w:r>
      <w:r w:rsidRPr="001D4A2E">
        <w:rPr>
          <w:rFonts w:ascii="微软雅黑" w:eastAsia="微软雅黑" w:hAnsi="微软雅黑" w:cs="宋体"/>
          <w:kern w:val="0"/>
          <w:sz w:val="24"/>
          <w:szCs w:val="24"/>
          <w:vertAlign w:val="subscript"/>
        </w:rPr>
        <w:t>。</w:t>
      </w:r>
      <w:r w:rsidRPr="001D4A2E">
        <w:rPr>
          <w:rFonts w:ascii="微软雅黑" w:eastAsia="微软雅黑" w:hAnsi="微软雅黑" w:cs="宋体"/>
          <w:kern w:val="0"/>
          <w:sz w:val="24"/>
          <w:szCs w:val="24"/>
        </w:rPr>
        <w:t>自噬最常用的标志物是 LC3-II 的生成和 p62/SQSTM1 的降解，可通过免疫印迹或免疫荧光方法定量自噬通量 ( </w:t>
      </w:r>
      <w:hyperlink r:id="rId55" w:anchor="B68" w:history="1">
        <w:r w:rsidRPr="001D4A2E">
          <w:rPr>
            <w:rFonts w:ascii="微软雅黑" w:eastAsia="微软雅黑" w:hAnsi="微软雅黑" w:cs="宋体"/>
            <w:kern w:val="0"/>
            <w:sz w:val="24"/>
            <w:szCs w:val="24"/>
            <w:u w:val="single"/>
          </w:rPr>
          <w:t>68</w:t>
        </w:r>
      </w:hyperlink>
      <w:r w:rsidRPr="001D4A2E">
        <w:rPr>
          <w:rFonts w:ascii="微软雅黑" w:eastAsia="微软雅黑" w:hAnsi="微软雅黑" w:cs="宋体"/>
          <w:kern w:val="0"/>
          <w:sz w:val="24"/>
          <w:szCs w:val="24"/>
        </w:rPr>
        <w:t> )。ATG 编码蛋白几乎在自噬体形成和成熟的每个步骤中都提供了额外的抑制靶点。溶酶体趋向剂羟氯喹 (HCQ) 或氯喹 (CQ) 可</w:t>
      </w:r>
      <w:proofErr w:type="gramStart"/>
      <w:r w:rsidRPr="001D4A2E">
        <w:rPr>
          <w:rFonts w:ascii="微软雅黑" w:eastAsia="微软雅黑" w:hAnsi="微软雅黑" w:cs="宋体"/>
          <w:kern w:val="0"/>
          <w:sz w:val="24"/>
          <w:szCs w:val="24"/>
        </w:rPr>
        <w:t>破坏自</w:t>
      </w:r>
      <w:proofErr w:type="gramEnd"/>
      <w:r w:rsidRPr="001D4A2E">
        <w:rPr>
          <w:rFonts w:ascii="微软雅黑" w:eastAsia="微软雅黑" w:hAnsi="微软雅黑" w:cs="宋体"/>
          <w:kern w:val="0"/>
          <w:sz w:val="24"/>
          <w:szCs w:val="24"/>
        </w:rPr>
        <w:t>溶酶体周转所需的酸性 pH 值和/或直接阻断溶酶体与自噬体的融合，已获得 FDA 批准，并正在乳腺癌临床试验中使用（第 5 节，</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"T2"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b/>
          <w:bCs/>
          <w:kern w:val="0"/>
          <w:sz w:val="24"/>
          <w:szCs w:val="24"/>
          <w:u w:val="single"/>
        </w:rPr>
        <w:t>表 2</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w:t>
      </w:r>
    </w:p>
    <w:p w14:paraId="1946586D" w14:textId="77777777" w:rsidR="001D4A2E" w:rsidRPr="001D4A2E" w:rsidRDefault="001D4A2E" w:rsidP="001D4A2E">
      <w:pPr>
        <w:widowControl/>
        <w:spacing w:line="450" w:lineRule="atLeast"/>
        <w:outlineLvl w:val="2"/>
        <w:rPr>
          <w:rFonts w:ascii="微软雅黑" w:eastAsia="微软雅黑" w:hAnsi="微软雅黑" w:cs="宋体"/>
          <w:kern w:val="0"/>
          <w:sz w:val="32"/>
          <w:szCs w:val="32"/>
        </w:rPr>
      </w:pPr>
      <w:r w:rsidRPr="001D4A2E">
        <w:rPr>
          <w:rFonts w:ascii="微软雅黑" w:eastAsia="微软雅黑" w:hAnsi="微软雅黑" w:cs="宋体"/>
          <w:kern w:val="0"/>
          <w:sz w:val="32"/>
          <w:szCs w:val="32"/>
        </w:rPr>
        <w:t>4.2 吞噬泡的起始、延伸和闭合</w:t>
      </w:r>
    </w:p>
    <w:p w14:paraId="3ABB1F6C"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t>哺乳动物自噬始于吞噬泡的形成（</w:t>
      </w:r>
      <w:hyperlink r:id="rId56" w:anchor="f2" w:history="1">
        <w:r w:rsidRPr="001D4A2E">
          <w:rPr>
            <w:rFonts w:ascii="微软雅黑" w:eastAsia="微软雅黑" w:hAnsi="微软雅黑" w:cs="宋体"/>
            <w:b/>
            <w:bCs/>
            <w:kern w:val="0"/>
            <w:sz w:val="24"/>
            <w:szCs w:val="24"/>
            <w:u w:val="single"/>
          </w:rPr>
          <w:t>图2</w:t>
        </w:r>
      </w:hyperlink>
      <w:r w:rsidRPr="001D4A2E">
        <w:rPr>
          <w:rFonts w:ascii="微软雅黑" w:eastAsia="微软雅黑" w:hAnsi="微软雅黑" w:cs="宋体"/>
          <w:kern w:val="0"/>
          <w:sz w:val="24"/>
          <w:szCs w:val="24"/>
        </w:rPr>
        <w:t>）；然而，膜状内容物的来源及其相应的环境仍存在争议。目前的研究表明，内质网（ER）、反式高尔基网络（TGN）、晚期内体和质膜（PM）均对吞噬泡的形成有可重复的贡献（</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"B69"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69</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）。这些结构中跨膜蛋白含量相对较低，暗示可能利用胞质脂质进行</w:t>
      </w:r>
      <w:r w:rsidRPr="001D4A2E">
        <w:rPr>
          <w:rFonts w:ascii="微软雅黑" w:eastAsia="微软雅黑" w:hAnsi="微软雅黑" w:cs="宋体"/>
          <w:i/>
          <w:iCs/>
          <w:kern w:val="0"/>
          <w:sz w:val="24"/>
          <w:szCs w:val="24"/>
        </w:rPr>
        <w:t>从头合成（ </w:t>
      </w:r>
      <w:hyperlink r:id="rId57" w:anchor="B70" w:history="1">
        <w:r w:rsidRPr="001D4A2E">
          <w:rPr>
            <w:rFonts w:ascii="微软雅黑" w:eastAsia="微软雅黑" w:hAnsi="微软雅黑" w:cs="宋体"/>
            <w:kern w:val="0"/>
            <w:sz w:val="24"/>
            <w:szCs w:val="24"/>
            <w:u w:val="single"/>
          </w:rPr>
          <w:t>70</w:t>
        </w:r>
      </w:hyperlink>
      <w:r w:rsidRPr="001D4A2E">
        <w:rPr>
          <w:rFonts w:ascii="微软雅黑" w:eastAsia="微软雅黑" w:hAnsi="微软雅黑" w:cs="宋体"/>
          <w:kern w:val="0"/>
          <w:sz w:val="24"/>
          <w:szCs w:val="24"/>
        </w:rPr>
        <w:t>）。自噬起</w:t>
      </w:r>
      <w:r w:rsidRPr="001D4A2E">
        <w:rPr>
          <w:rFonts w:ascii="微软雅黑" w:eastAsia="微软雅黑" w:hAnsi="微软雅黑" w:cs="宋体"/>
          <w:kern w:val="0"/>
          <w:sz w:val="24"/>
          <w:szCs w:val="24"/>
        </w:rPr>
        <w:lastRenderedPageBreak/>
        <w:t>始步骤受</w:t>
      </w:r>
      <w:proofErr w:type="gramStart"/>
      <w:r w:rsidRPr="001D4A2E">
        <w:rPr>
          <w:rFonts w:ascii="微软雅黑" w:eastAsia="微软雅黑" w:hAnsi="微软雅黑" w:cs="宋体"/>
          <w:kern w:val="0"/>
          <w:sz w:val="24"/>
          <w:szCs w:val="24"/>
        </w:rPr>
        <w:t>哺乳动物雷帕霉素</w:t>
      </w:r>
      <w:proofErr w:type="gramEnd"/>
      <w:r w:rsidRPr="001D4A2E">
        <w:rPr>
          <w:rFonts w:ascii="微软雅黑" w:eastAsia="微软雅黑" w:hAnsi="微软雅黑" w:cs="宋体"/>
          <w:kern w:val="0"/>
          <w:sz w:val="24"/>
          <w:szCs w:val="24"/>
        </w:rPr>
        <w:t>靶蛋白复合物（mTORC1）的调控，mTORC</w:t>
      </w:r>
      <w:proofErr w:type="gramStart"/>
      <w:r w:rsidRPr="001D4A2E">
        <w:rPr>
          <w:rFonts w:ascii="微软雅黑" w:eastAsia="微软雅黑" w:hAnsi="微软雅黑" w:cs="宋体"/>
          <w:kern w:val="0"/>
          <w:sz w:val="24"/>
          <w:szCs w:val="24"/>
        </w:rPr>
        <w:t>1对雷帕霉素</w:t>
      </w:r>
      <w:proofErr w:type="gramEnd"/>
      <w:r w:rsidRPr="001D4A2E">
        <w:rPr>
          <w:rFonts w:ascii="微软雅黑" w:eastAsia="微软雅黑" w:hAnsi="微软雅黑" w:cs="宋体"/>
          <w:kern w:val="0"/>
          <w:sz w:val="24"/>
          <w:szCs w:val="24"/>
        </w:rPr>
        <w:t>抑制剂敏感，并能感知营养缺乏和氨基酸短缺（</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"B71"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71</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在这些细胞应激反应中，unc-51样自噬激活激酶（ULK1/2）在去磷酸化后与mTORC1解离。随后，ULK1/2发生自身磷酸化，并磷酸化ATG13和FIP200（它们被募集到ULK1/2复合物中）。当ULK1/2复合物与III类PI3K复合物成员（AMBRA1、BECN1、VPS15/34、UVRAG、ATG14和NRBF2）相互作用时，这种磷酸化级联反应继续进行。这些成员主要负责吞噬泡成核，在此过程中，复合物与膜结合，并以VPS34依赖的方式生成PI( </w:t>
      </w:r>
      <w:hyperlink r:id="rId58" w:anchor="B1" w:history="1">
        <w:r w:rsidRPr="001D4A2E">
          <w:rPr>
            <w:rFonts w:ascii="微软雅黑" w:eastAsia="微软雅黑" w:hAnsi="微软雅黑" w:cs="宋体"/>
            <w:kern w:val="0"/>
            <w:sz w:val="24"/>
            <w:szCs w:val="24"/>
            <w:u w:val="single"/>
          </w:rPr>
          <w:t>1</w:t>
        </w:r>
      </w:hyperlink>
      <w:r w:rsidRPr="001D4A2E">
        <w:rPr>
          <w:rFonts w:ascii="微软雅黑" w:eastAsia="微软雅黑" w:hAnsi="微软雅黑" w:cs="宋体"/>
          <w:kern w:val="0"/>
          <w:sz w:val="24"/>
          <w:szCs w:val="24"/>
        </w:rPr>
        <w:t> )P( </w:t>
      </w:r>
      <w:hyperlink r:id="rId59" w:anchor="B72" w:history="1">
        <w:r w:rsidRPr="001D4A2E">
          <w:rPr>
            <w:rFonts w:ascii="微软雅黑" w:eastAsia="微软雅黑" w:hAnsi="微软雅黑" w:cs="宋体"/>
            <w:kern w:val="0"/>
            <w:sz w:val="24"/>
            <w:szCs w:val="24"/>
            <w:u w:val="single"/>
          </w:rPr>
          <w:t>72</w:t>
        </w:r>
      </w:hyperlink>
      <w:r w:rsidRPr="001D4A2E">
        <w:rPr>
          <w:rFonts w:ascii="微软雅黑" w:eastAsia="微软雅黑" w:hAnsi="微软雅黑" w:cs="宋体"/>
          <w:kern w:val="0"/>
          <w:sz w:val="24"/>
          <w:szCs w:val="24"/>
        </w:rPr>
        <w:t> )。</w:t>
      </w:r>
    </w:p>
    <w:p w14:paraId="37B13333"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t>吞噬泡的延伸是通过ATG蛋白</w:t>
      </w:r>
      <w:proofErr w:type="gramStart"/>
      <w:r w:rsidRPr="001D4A2E">
        <w:rPr>
          <w:rFonts w:ascii="微软雅黑" w:eastAsia="微软雅黑" w:hAnsi="微软雅黑" w:cs="宋体"/>
          <w:kern w:val="0"/>
          <w:sz w:val="24"/>
          <w:szCs w:val="24"/>
        </w:rPr>
        <w:t>介</w:t>
      </w:r>
      <w:proofErr w:type="gramEnd"/>
      <w:r w:rsidRPr="001D4A2E">
        <w:rPr>
          <w:rFonts w:ascii="微软雅黑" w:eastAsia="微软雅黑" w:hAnsi="微软雅黑" w:cs="宋体"/>
          <w:kern w:val="0"/>
          <w:sz w:val="24"/>
          <w:szCs w:val="24"/>
        </w:rPr>
        <w:t>导的一系列步骤完成的。例如，ATG5/12复合物（由ATG16L连接）在延伸过程中起着关键作用，微管相关蛋白1A/1B轻链3B（本文中简称LC3，由</w:t>
      </w:r>
      <w:r w:rsidRPr="001D4A2E">
        <w:rPr>
          <w:rFonts w:ascii="微软雅黑" w:eastAsia="微软雅黑" w:hAnsi="微软雅黑" w:cs="宋体"/>
          <w:i/>
          <w:iCs/>
          <w:kern w:val="0"/>
          <w:sz w:val="24"/>
          <w:szCs w:val="24"/>
        </w:rPr>
        <w:t>ATG8</w:t>
      </w:r>
      <w:r w:rsidRPr="001D4A2E">
        <w:rPr>
          <w:rFonts w:ascii="微软雅黑" w:eastAsia="微软雅黑" w:hAnsi="微软雅黑" w:cs="宋体"/>
          <w:kern w:val="0"/>
          <w:sz w:val="24"/>
          <w:szCs w:val="24"/>
        </w:rPr>
        <w:t>编码）也同样如此（</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"B73"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73</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）。在初始步骤中，胞质LC3-I与磷脂酰乙醇胺（PE）结合，这一过程依赖于ATG4、ATG7、ATG3和ATG5/12复合物。在此过程中，LC3-I被ATG4(B)切割，暴露出C端甘氨酸残基，该残基是PE结合所必需的。脂化形式的 LC3-II 可以通过其 LC3 相互作用区 (LIR) 直接结合 p62/SQSTM1 和其他受体蛋白，将</w:t>
      </w:r>
      <w:proofErr w:type="gramStart"/>
      <w:r w:rsidRPr="001D4A2E">
        <w:rPr>
          <w:rFonts w:ascii="微软雅黑" w:eastAsia="微软雅黑" w:hAnsi="微软雅黑" w:cs="宋体"/>
          <w:kern w:val="0"/>
          <w:sz w:val="24"/>
          <w:szCs w:val="24"/>
        </w:rPr>
        <w:t>泛素化</w:t>
      </w:r>
      <w:proofErr w:type="gramEnd"/>
      <w:r w:rsidRPr="001D4A2E">
        <w:rPr>
          <w:rFonts w:ascii="微软雅黑" w:eastAsia="微软雅黑" w:hAnsi="微软雅黑" w:cs="宋体"/>
          <w:kern w:val="0"/>
          <w:sz w:val="24"/>
          <w:szCs w:val="24"/>
        </w:rPr>
        <w:t>蛋白等“特定”货物带到自噬体。</w:t>
      </w:r>
    </w:p>
    <w:p w14:paraId="2405F183" w14:textId="77777777" w:rsidR="001D4A2E" w:rsidRPr="001D4A2E" w:rsidRDefault="001D4A2E" w:rsidP="001D4A2E">
      <w:pPr>
        <w:widowControl/>
        <w:spacing w:line="450" w:lineRule="atLeast"/>
        <w:outlineLvl w:val="2"/>
        <w:rPr>
          <w:rFonts w:ascii="微软雅黑" w:eastAsia="微软雅黑" w:hAnsi="微软雅黑" w:cs="宋体"/>
          <w:kern w:val="0"/>
          <w:sz w:val="32"/>
          <w:szCs w:val="32"/>
        </w:rPr>
      </w:pPr>
      <w:r w:rsidRPr="001D4A2E">
        <w:rPr>
          <w:rFonts w:ascii="微软雅黑" w:eastAsia="微软雅黑" w:hAnsi="微软雅黑" w:cs="宋体"/>
          <w:kern w:val="0"/>
          <w:sz w:val="32"/>
          <w:szCs w:val="32"/>
        </w:rPr>
        <w:t>4.3 自噬溶酶体的形成和通量</w:t>
      </w:r>
    </w:p>
    <w:p w14:paraId="130EFB18"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t>吞噬泡扩张并加工成自噬体结构后，其水解活性依赖于与溶酶体的融合；这种融合生成自噬溶酶体（简称自溶酶体）。该融合由SNARE蛋白</w:t>
      </w:r>
      <w:proofErr w:type="gramStart"/>
      <w:r w:rsidRPr="001D4A2E">
        <w:rPr>
          <w:rFonts w:ascii="微软雅黑" w:eastAsia="微软雅黑" w:hAnsi="微软雅黑" w:cs="宋体"/>
          <w:kern w:val="0"/>
          <w:sz w:val="24"/>
          <w:szCs w:val="24"/>
        </w:rPr>
        <w:t>介</w:t>
      </w:r>
      <w:proofErr w:type="gramEnd"/>
      <w:r w:rsidRPr="001D4A2E">
        <w:rPr>
          <w:rFonts w:ascii="微软雅黑" w:eastAsia="微软雅黑" w:hAnsi="微软雅黑" w:cs="宋体"/>
          <w:kern w:val="0"/>
          <w:sz w:val="24"/>
          <w:szCs w:val="24"/>
        </w:rPr>
        <w:t>导，并涉及突触蛋白17 (STX17)、突触体相关蛋白29 (SNAP29) 和</w:t>
      </w:r>
      <w:proofErr w:type="gramStart"/>
      <w:r w:rsidRPr="001D4A2E">
        <w:rPr>
          <w:rFonts w:ascii="微软雅黑" w:eastAsia="微软雅黑" w:hAnsi="微软雅黑" w:cs="宋体"/>
          <w:kern w:val="0"/>
          <w:sz w:val="24"/>
          <w:szCs w:val="24"/>
        </w:rPr>
        <w:t>囊泡</w:t>
      </w:r>
      <w:proofErr w:type="gramEnd"/>
      <w:r w:rsidRPr="001D4A2E">
        <w:rPr>
          <w:rFonts w:ascii="微软雅黑" w:eastAsia="微软雅黑" w:hAnsi="微软雅黑" w:cs="宋体"/>
          <w:kern w:val="0"/>
          <w:sz w:val="24"/>
          <w:szCs w:val="24"/>
        </w:rPr>
        <w:t>相关膜蛋白8 (VAMP8) ( </w:t>
      </w:r>
      <w:hyperlink r:id="rId60" w:anchor="B74" w:history="1">
        <w:r w:rsidRPr="001D4A2E">
          <w:rPr>
            <w:rFonts w:ascii="微软雅黑" w:eastAsia="微软雅黑" w:hAnsi="微软雅黑" w:cs="宋体"/>
            <w:kern w:val="0"/>
            <w:sz w:val="24"/>
            <w:szCs w:val="24"/>
            <w:u w:val="single"/>
          </w:rPr>
          <w:t>74</w:t>
        </w:r>
      </w:hyperlink>
      <w:r w:rsidRPr="001D4A2E">
        <w:rPr>
          <w:rFonts w:ascii="微软雅黑" w:eastAsia="微软雅黑" w:hAnsi="微软雅黑" w:cs="宋体"/>
          <w:kern w:val="0"/>
          <w:sz w:val="24"/>
          <w:szCs w:val="24"/>
        </w:rPr>
        <w:t> )。自溶酶体融合的同时，其酸化激活多种水解酶，包括组织蛋白酶L和B，</w:t>
      </w:r>
      <w:r w:rsidRPr="001D4A2E">
        <w:rPr>
          <w:rFonts w:ascii="微软雅黑" w:eastAsia="微软雅黑" w:hAnsi="微软雅黑" w:cs="宋体"/>
          <w:kern w:val="0"/>
          <w:sz w:val="24"/>
          <w:szCs w:val="24"/>
        </w:rPr>
        <w:lastRenderedPageBreak/>
        <w:t>它们参与降解所有被吞噬的货物和自溶酶体自身，并导致LC3-II及其相关受体蛋白（如p62）的周转。</w:t>
      </w:r>
    </w:p>
    <w:p w14:paraId="40C38CA7" w14:textId="77777777" w:rsidR="001D4A2E" w:rsidRPr="001D4A2E" w:rsidRDefault="001D4A2E" w:rsidP="001D4A2E">
      <w:pPr>
        <w:widowControl/>
        <w:spacing w:line="450" w:lineRule="atLeast"/>
        <w:outlineLvl w:val="2"/>
        <w:rPr>
          <w:rFonts w:ascii="微软雅黑" w:eastAsia="微软雅黑" w:hAnsi="微软雅黑" w:cs="宋体"/>
          <w:kern w:val="0"/>
          <w:sz w:val="32"/>
          <w:szCs w:val="32"/>
        </w:rPr>
      </w:pPr>
      <w:r w:rsidRPr="001D4A2E">
        <w:rPr>
          <w:rFonts w:ascii="微软雅黑" w:eastAsia="微软雅黑" w:hAnsi="微软雅黑" w:cs="宋体"/>
          <w:kern w:val="0"/>
          <w:sz w:val="32"/>
          <w:szCs w:val="32"/>
        </w:rPr>
        <w:t>4.4. 刺激诱导的自噬：mTORC1 和 mTORC2</w:t>
      </w:r>
    </w:p>
    <w:p w14:paraId="28F7C0B4"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t>除了 mTORC1 之外，另一个</w:t>
      </w:r>
      <w:proofErr w:type="gramStart"/>
      <w:r w:rsidRPr="001D4A2E">
        <w:rPr>
          <w:rFonts w:ascii="微软雅黑" w:eastAsia="微软雅黑" w:hAnsi="微软雅黑" w:cs="宋体"/>
          <w:kern w:val="0"/>
          <w:sz w:val="24"/>
          <w:szCs w:val="24"/>
        </w:rPr>
        <w:t>对雷帕霉素</w:t>
      </w:r>
      <w:proofErr w:type="gramEnd"/>
      <w:r w:rsidRPr="001D4A2E">
        <w:rPr>
          <w:rFonts w:ascii="微软雅黑" w:eastAsia="微软雅黑" w:hAnsi="微软雅黑" w:cs="宋体"/>
          <w:kern w:val="0"/>
          <w:sz w:val="24"/>
          <w:szCs w:val="24"/>
        </w:rPr>
        <w:t>抑制不敏感的复合物 mTORC2 也参与自噬的调控 ( </w:t>
      </w:r>
      <w:hyperlink r:id="rId61" w:anchor="B75" w:history="1">
        <w:r w:rsidRPr="001D4A2E">
          <w:rPr>
            <w:rFonts w:ascii="微软雅黑" w:eastAsia="微软雅黑" w:hAnsi="微软雅黑" w:cs="宋体"/>
            <w:kern w:val="0"/>
            <w:sz w:val="24"/>
            <w:szCs w:val="24"/>
            <w:u w:val="single"/>
          </w:rPr>
          <w:t>75</w:t>
        </w:r>
      </w:hyperlink>
      <w:r w:rsidRPr="001D4A2E">
        <w:rPr>
          <w:rFonts w:ascii="微软雅黑" w:eastAsia="微软雅黑" w:hAnsi="微软雅黑" w:cs="宋体"/>
          <w:kern w:val="0"/>
          <w:sz w:val="24"/>
          <w:szCs w:val="24"/>
        </w:rPr>
        <w:t> )。这些复合物是调节细胞外生长信号与细胞内代谢过程的关键通道，mTORC1 和 mTORC2 的功能存在重叠。这两个复合物是细胞内自噬水平的关键调节因子，当 mTORC1 和 mTORC2 处于激活状态时，大分子的自噬循环通常会受到抑制。mTORC2 与 mTORC1 共同激活多种底物，这些底物通过蛋白质、核酸和脂质的合成、葡萄糖代谢以及线粒体代谢来调节细胞质量 ( </w:t>
      </w:r>
      <w:hyperlink r:id="rId62" w:anchor="B76" w:history="1">
        <w:r w:rsidRPr="001D4A2E">
          <w:rPr>
            <w:rFonts w:ascii="微软雅黑" w:eastAsia="微软雅黑" w:hAnsi="微软雅黑" w:cs="宋体"/>
            <w:kern w:val="0"/>
            <w:sz w:val="24"/>
            <w:szCs w:val="24"/>
            <w:u w:val="single"/>
          </w:rPr>
          <w:t>76</w:t>
        </w:r>
      </w:hyperlink>
      <w:r w:rsidRPr="001D4A2E">
        <w:rPr>
          <w:rFonts w:ascii="微软雅黑" w:eastAsia="微软雅黑" w:hAnsi="微软雅黑" w:cs="宋体"/>
          <w:kern w:val="0"/>
          <w:sz w:val="24"/>
          <w:szCs w:val="24"/>
        </w:rPr>
        <w:t> )。mTORC1 复合物通常通过 4E-BP1 和 S6K 调节蛋白质合成来响应营养物质的供应，而 mTORC2 则对生长因子和 PI3K 敏感。 mTORC1 和 mTORC2 复合物具有重叠的功能，它们相互调节以增强细胞稳态调节所需的反应。然而，也存在一些特异性激活 mTORC1 而非 mTORC2 的调控机制，例如，能量耗竭会调节 AMP 激活蛋白激酶 (AMP)，并通过 RICTOR 磷酸化上调 mTORC2 ( </w:t>
      </w:r>
      <w:hyperlink r:id="rId63" w:anchor="B77" w:history="1">
        <w:r w:rsidRPr="001D4A2E">
          <w:rPr>
            <w:rFonts w:ascii="微软雅黑" w:eastAsia="微软雅黑" w:hAnsi="微软雅黑" w:cs="宋体"/>
            <w:kern w:val="0"/>
            <w:sz w:val="24"/>
            <w:szCs w:val="24"/>
            <w:u w:val="single"/>
          </w:rPr>
          <w:t>77</w:t>
        </w:r>
      </w:hyperlink>
      <w:r w:rsidRPr="001D4A2E">
        <w:rPr>
          <w:rFonts w:ascii="微软雅黑" w:eastAsia="微软雅黑" w:hAnsi="微软雅黑" w:cs="宋体"/>
          <w:kern w:val="0"/>
          <w:sz w:val="24"/>
          <w:szCs w:val="24"/>
        </w:rPr>
        <w:t xml:space="preserve"> )。RICTOR（mTOR </w:t>
      </w:r>
      <w:proofErr w:type="gramStart"/>
      <w:r w:rsidRPr="001D4A2E">
        <w:rPr>
          <w:rFonts w:ascii="微软雅黑" w:eastAsia="微软雅黑" w:hAnsi="微软雅黑" w:cs="宋体"/>
          <w:kern w:val="0"/>
          <w:sz w:val="24"/>
          <w:szCs w:val="24"/>
        </w:rPr>
        <w:t>的雷帕霉素</w:t>
      </w:r>
      <w:proofErr w:type="gramEnd"/>
      <w:r w:rsidRPr="001D4A2E">
        <w:rPr>
          <w:rFonts w:ascii="微软雅黑" w:eastAsia="微软雅黑" w:hAnsi="微软雅黑" w:cs="宋体"/>
          <w:kern w:val="0"/>
          <w:sz w:val="24"/>
          <w:szCs w:val="24"/>
        </w:rPr>
        <w:t>不敏感伴侣蛋白）选择性地结合 mTORC2，就像 AMPK 激活一样。当 mTORC2 与磷酸化的 RICTOR 和 AMPK 结合时，它具有催化活性，并上调 AKT（蛋白激酶 B）以在急性能量耗竭的情况下抑制细胞凋亡 ( </w:t>
      </w:r>
      <w:hyperlink r:id="rId64" w:anchor="B78" w:history="1">
        <w:r w:rsidRPr="001D4A2E">
          <w:rPr>
            <w:rFonts w:ascii="微软雅黑" w:eastAsia="微软雅黑" w:hAnsi="微软雅黑" w:cs="宋体"/>
            <w:kern w:val="0"/>
            <w:sz w:val="24"/>
            <w:szCs w:val="24"/>
            <w:u w:val="single"/>
          </w:rPr>
          <w:t>78</w:t>
        </w:r>
      </w:hyperlink>
      <w:r w:rsidRPr="001D4A2E">
        <w:rPr>
          <w:rFonts w:ascii="微软雅黑" w:eastAsia="微软雅黑" w:hAnsi="微软雅黑" w:cs="宋体"/>
          <w:kern w:val="0"/>
          <w:sz w:val="24"/>
          <w:szCs w:val="24"/>
        </w:rPr>
        <w:t xml:space="preserve"> )。RAPTOR（mTOR </w:t>
      </w:r>
      <w:proofErr w:type="gramStart"/>
      <w:r w:rsidRPr="001D4A2E">
        <w:rPr>
          <w:rFonts w:ascii="微软雅黑" w:eastAsia="微软雅黑" w:hAnsi="微软雅黑" w:cs="宋体"/>
          <w:kern w:val="0"/>
          <w:sz w:val="24"/>
          <w:szCs w:val="24"/>
        </w:rPr>
        <w:t>的雷帕霉素</w:t>
      </w:r>
      <w:proofErr w:type="gramEnd"/>
      <w:r w:rsidRPr="001D4A2E">
        <w:rPr>
          <w:rFonts w:ascii="微软雅黑" w:eastAsia="微软雅黑" w:hAnsi="微软雅黑" w:cs="宋体"/>
          <w:kern w:val="0"/>
          <w:sz w:val="24"/>
          <w:szCs w:val="24"/>
        </w:rPr>
        <w:t>敏感蛋白）选择性地结合并激活 mTORC1 的催化活性，并引导 mTORC1 定位到溶酶体。除了 RICTOR 和 RAPTOR 结合外，还存在其他调控模式，这些模式已被全面</w:t>
      </w:r>
      <w:r w:rsidRPr="001D4A2E">
        <w:rPr>
          <w:rFonts w:ascii="微软雅黑" w:eastAsia="微软雅黑" w:hAnsi="微软雅黑" w:cs="宋体"/>
          <w:kern w:val="0"/>
          <w:sz w:val="24"/>
          <w:szCs w:val="24"/>
        </w:rPr>
        <w:lastRenderedPageBreak/>
        <w:t>综述 ( </w:t>
      </w:r>
      <w:hyperlink r:id="rId65" w:anchor="B77" w:history="1">
        <w:r w:rsidRPr="001D4A2E">
          <w:rPr>
            <w:rFonts w:ascii="微软雅黑" w:eastAsia="微软雅黑" w:hAnsi="微软雅黑" w:cs="宋体"/>
            <w:kern w:val="0"/>
            <w:sz w:val="24"/>
            <w:szCs w:val="24"/>
            <w:u w:val="single"/>
          </w:rPr>
          <w:t>77 )。</w:t>
        </w:r>
      </w:hyperlink>
      <w:hyperlink r:id="rId66" w:anchor="f3" w:history="1">
        <w:r w:rsidRPr="001D4A2E">
          <w:rPr>
            <w:rFonts w:ascii="微软雅黑" w:eastAsia="微软雅黑" w:hAnsi="微软雅黑" w:cs="宋体"/>
            <w:b/>
            <w:bCs/>
            <w:kern w:val="0"/>
            <w:sz w:val="24"/>
            <w:szCs w:val="24"/>
            <w:u w:val="single"/>
          </w:rPr>
          <w:t>图 3</w:t>
        </w:r>
      </w:hyperlink>
      <w:r w:rsidRPr="001D4A2E">
        <w:rPr>
          <w:rFonts w:ascii="微软雅黑" w:eastAsia="微软雅黑" w:hAnsi="微软雅黑" w:cs="宋体"/>
          <w:kern w:val="0"/>
          <w:sz w:val="24"/>
          <w:szCs w:val="24"/>
        </w:rPr>
        <w:t xml:space="preserve">中的示意图是 AMPK 参与 mTOR 调控的简化版本，包括 AMPK </w:t>
      </w:r>
      <w:proofErr w:type="gramStart"/>
      <w:r w:rsidRPr="001D4A2E">
        <w:rPr>
          <w:rFonts w:ascii="微软雅黑" w:eastAsia="微软雅黑" w:hAnsi="微软雅黑" w:cs="宋体"/>
          <w:kern w:val="0"/>
          <w:sz w:val="24"/>
          <w:szCs w:val="24"/>
        </w:rPr>
        <w:t>介</w:t>
      </w:r>
      <w:proofErr w:type="gramEnd"/>
      <w:r w:rsidRPr="001D4A2E">
        <w:rPr>
          <w:rFonts w:ascii="微软雅黑" w:eastAsia="微软雅黑" w:hAnsi="微软雅黑" w:cs="宋体"/>
          <w:kern w:val="0"/>
          <w:sz w:val="24"/>
          <w:szCs w:val="24"/>
        </w:rPr>
        <w:t xml:space="preserve">导的 </w:t>
      </w:r>
      <w:proofErr w:type="spellStart"/>
      <w:r w:rsidRPr="001D4A2E">
        <w:rPr>
          <w:rFonts w:ascii="微软雅黑" w:eastAsia="微软雅黑" w:hAnsi="微软雅黑" w:cs="宋体"/>
          <w:kern w:val="0"/>
          <w:sz w:val="24"/>
          <w:szCs w:val="24"/>
        </w:rPr>
        <w:t>mTORC</w:t>
      </w:r>
      <w:proofErr w:type="spellEnd"/>
      <w:r w:rsidRPr="001D4A2E">
        <w:rPr>
          <w:rFonts w:ascii="微软雅黑" w:eastAsia="微软雅黑" w:hAnsi="微软雅黑" w:cs="宋体"/>
          <w:kern w:val="0"/>
          <w:sz w:val="24"/>
          <w:szCs w:val="24"/>
        </w:rPr>
        <w:t xml:space="preserve"> 复合物的负调控 ( </w:t>
      </w:r>
      <w:hyperlink r:id="rId67" w:anchor="B78" w:history="1">
        <w:r w:rsidRPr="001D4A2E">
          <w:rPr>
            <w:rFonts w:ascii="微软雅黑" w:eastAsia="微软雅黑" w:hAnsi="微软雅黑" w:cs="宋体"/>
            <w:kern w:val="0"/>
            <w:sz w:val="24"/>
            <w:szCs w:val="24"/>
            <w:u w:val="single"/>
          </w:rPr>
          <w:t>78</w:t>
        </w:r>
      </w:hyperlink>
      <w:r w:rsidRPr="001D4A2E">
        <w:rPr>
          <w:rFonts w:ascii="微软雅黑" w:eastAsia="微软雅黑" w:hAnsi="微软雅黑" w:cs="宋体"/>
          <w:kern w:val="0"/>
          <w:sz w:val="24"/>
          <w:szCs w:val="24"/>
        </w:rPr>
        <w:t> ) 和正调控 ( </w:t>
      </w:r>
      <w:hyperlink r:id="rId68" w:anchor="B77" w:history="1">
        <w:r w:rsidRPr="001D4A2E">
          <w:rPr>
            <w:rFonts w:ascii="微软雅黑" w:eastAsia="微软雅黑" w:hAnsi="微软雅黑" w:cs="宋体"/>
            <w:kern w:val="0"/>
            <w:sz w:val="24"/>
            <w:szCs w:val="24"/>
            <w:u w:val="single"/>
          </w:rPr>
          <w:t>77</w:t>
        </w:r>
      </w:hyperlink>
      <w:r w:rsidRPr="001D4A2E">
        <w:rPr>
          <w:rFonts w:ascii="微软雅黑" w:eastAsia="微软雅黑" w:hAnsi="微软雅黑" w:cs="宋体"/>
          <w:kern w:val="0"/>
          <w:sz w:val="24"/>
          <w:szCs w:val="24"/>
        </w:rPr>
        <w:t> )。</w:t>
      </w:r>
    </w:p>
    <w:p w14:paraId="43A891A8" w14:textId="77777777" w:rsidR="001D4A2E" w:rsidRPr="001D4A2E" w:rsidRDefault="001D4A2E" w:rsidP="001D4A2E">
      <w:pPr>
        <w:widowControl/>
        <w:spacing w:line="450" w:lineRule="atLeast"/>
        <w:outlineLvl w:val="3"/>
        <w:rPr>
          <w:rFonts w:ascii="微软雅黑" w:eastAsia="微软雅黑" w:hAnsi="微软雅黑" w:cs="宋体"/>
          <w:kern w:val="0"/>
          <w:sz w:val="30"/>
          <w:szCs w:val="30"/>
        </w:rPr>
      </w:pPr>
      <w:r w:rsidRPr="001D4A2E">
        <w:rPr>
          <w:rFonts w:ascii="微软雅黑" w:eastAsia="微软雅黑" w:hAnsi="微软雅黑" w:cs="宋体"/>
          <w:kern w:val="0"/>
          <w:sz w:val="30"/>
          <w:szCs w:val="30"/>
        </w:rPr>
        <w:t>图 3。</w:t>
      </w:r>
    </w:p>
    <w:p w14:paraId="34E8B2D3" w14:textId="4B77454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noProof/>
          <w:kern w:val="0"/>
          <w:sz w:val="24"/>
          <w:szCs w:val="24"/>
        </w:rPr>
        <w:drawing>
          <wp:inline distT="0" distB="0" distL="0" distR="0" wp14:anchorId="1227A55C" wp14:editId="4E98801A">
            <wp:extent cx="5274310" cy="4210050"/>
            <wp:effectExtent l="0" t="0" r="2540" b="0"/>
            <wp:docPr id="1" name="图片 1" descr="图 3">
              <a:hlinkClick xmlns:a="http://schemas.openxmlformats.org/drawingml/2006/main" r:id="rId6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图 3">
                      <a:hlinkClick r:id="rId69" tgtFrame="&quot;_blank&quot;"/>
                    </pic:cNvPr>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274310" cy="4210050"/>
                    </a:xfrm>
                    <a:prstGeom prst="rect">
                      <a:avLst/>
                    </a:prstGeom>
                    <a:noFill/>
                    <a:ln>
                      <a:noFill/>
                    </a:ln>
                  </pic:spPr>
                </pic:pic>
              </a:graphicData>
            </a:graphic>
          </wp:inline>
        </w:drawing>
      </w:r>
    </w:p>
    <w:p w14:paraId="33DC9F7F"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AMPK对mTORC1和mTORC2的调控。示意图展示了生长因子</w:t>
      </w:r>
      <w:proofErr w:type="gramStart"/>
      <w:r w:rsidRPr="001D4A2E">
        <w:rPr>
          <w:rFonts w:ascii="微软雅黑" w:eastAsia="微软雅黑" w:hAnsi="微软雅黑" w:cs="宋体"/>
          <w:kern w:val="0"/>
          <w:sz w:val="24"/>
          <w:szCs w:val="24"/>
        </w:rPr>
        <w:t>介</w:t>
      </w:r>
      <w:proofErr w:type="gramEnd"/>
      <w:r w:rsidRPr="001D4A2E">
        <w:rPr>
          <w:rFonts w:ascii="微软雅黑" w:eastAsia="微软雅黑" w:hAnsi="微软雅黑" w:cs="宋体"/>
          <w:kern w:val="0"/>
          <w:sz w:val="24"/>
          <w:szCs w:val="24"/>
        </w:rPr>
        <w:t>导的mTORC1（通过</w:t>
      </w:r>
      <w:proofErr w:type="spellStart"/>
      <w:r w:rsidRPr="001D4A2E">
        <w:rPr>
          <w:rFonts w:ascii="微软雅黑" w:eastAsia="微软雅黑" w:hAnsi="微软雅黑" w:cs="宋体"/>
          <w:kern w:val="0"/>
          <w:sz w:val="24"/>
          <w:szCs w:val="24"/>
        </w:rPr>
        <w:t>Rheb</w:t>
      </w:r>
      <w:proofErr w:type="spellEnd"/>
      <w:r w:rsidRPr="001D4A2E">
        <w:rPr>
          <w:rFonts w:ascii="微软雅黑" w:eastAsia="微软雅黑" w:hAnsi="微软雅黑" w:cs="宋体"/>
          <w:kern w:val="0"/>
          <w:sz w:val="24"/>
          <w:szCs w:val="24"/>
        </w:rPr>
        <w:t>）和mTORC2（通过PI3K/核糖体相互作用）的激活（绿色箭头），以及AMPK的经典作用——抑制mTORC1和mTORC2。相反，在能量应激条件下，据报道AMPK选择性地激活mTORC2（虚线箭头）；mTORC2随后磷酸化AKT并促进细胞存活。AMPK、mTOR复合物成员（包括mLST8和mSIN1）、上游激活因子（如GTP:RHEB）以及下游效应因子S6K和4E-BP1的这些作用在近期的综述中已有详细讨论（</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"B76"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76</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 , </w:t>
      </w:r>
      <w:hyperlink r:id="rId71" w:anchor="B78" w:history="1">
        <w:r w:rsidRPr="001D4A2E">
          <w:rPr>
            <w:rFonts w:ascii="微软雅黑" w:eastAsia="微软雅黑" w:hAnsi="微软雅黑" w:cs="宋体"/>
            <w:kern w:val="0"/>
            <w:sz w:val="24"/>
            <w:szCs w:val="24"/>
            <w:u w:val="single"/>
          </w:rPr>
          <w:t>78</w:t>
        </w:r>
      </w:hyperlink>
      <w:r w:rsidRPr="001D4A2E">
        <w:rPr>
          <w:rFonts w:ascii="微软雅黑" w:eastAsia="微软雅黑" w:hAnsi="微软雅黑" w:cs="宋体"/>
          <w:kern w:val="0"/>
          <w:sz w:val="24"/>
          <w:szCs w:val="24"/>
        </w:rPr>
        <w:t>）。</w:t>
      </w:r>
    </w:p>
    <w:p w14:paraId="31DF941E" w14:textId="77777777" w:rsidR="001D4A2E" w:rsidRPr="001D4A2E" w:rsidRDefault="001D4A2E" w:rsidP="001D4A2E">
      <w:pPr>
        <w:widowControl/>
        <w:spacing w:line="450" w:lineRule="atLeast"/>
        <w:outlineLvl w:val="2"/>
        <w:rPr>
          <w:rFonts w:ascii="微软雅黑" w:eastAsia="微软雅黑" w:hAnsi="微软雅黑" w:cs="宋体"/>
          <w:kern w:val="0"/>
          <w:sz w:val="32"/>
          <w:szCs w:val="32"/>
        </w:rPr>
      </w:pPr>
      <w:r w:rsidRPr="001D4A2E">
        <w:rPr>
          <w:rFonts w:ascii="微软雅黑" w:eastAsia="微软雅黑" w:hAnsi="微软雅黑" w:cs="宋体"/>
          <w:kern w:val="0"/>
          <w:sz w:val="32"/>
          <w:szCs w:val="32"/>
        </w:rPr>
        <w:lastRenderedPageBreak/>
        <w:t>4.5 自噬水平和功能分析</w:t>
      </w:r>
    </w:p>
    <w:p w14:paraId="69421997"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t>利用荧光信号成像技术检测LC3-II斑点（通过GFP或抗体标记LC3-II），并结合p62和LC3-II水平的比较免疫印迹分析，通常可作为自噬体形成和功能性自噬通量定量分析的替代方法（</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"B68"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68</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 , </w:t>
      </w:r>
      <w:hyperlink r:id="rId72" w:anchor="B79" w:history="1">
        <w:r w:rsidRPr="001D4A2E">
          <w:rPr>
            <w:rFonts w:ascii="微软雅黑" w:eastAsia="微软雅黑" w:hAnsi="微软雅黑" w:cs="宋体"/>
            <w:kern w:val="0"/>
            <w:sz w:val="24"/>
            <w:szCs w:val="24"/>
            <w:u w:val="single"/>
          </w:rPr>
          <w:t>79</w:t>
        </w:r>
      </w:hyperlink>
      <w:r w:rsidRPr="001D4A2E">
        <w:rPr>
          <w:rFonts w:ascii="微软雅黑" w:eastAsia="微软雅黑" w:hAnsi="微软雅黑" w:cs="宋体"/>
          <w:kern w:val="0"/>
          <w:sz w:val="24"/>
          <w:szCs w:val="24"/>
        </w:rPr>
        <w:t>）。此类测量的准确性通常需要使用溶酶体亲和剂，例如氯喹（CQ），它能提高自溶酶体的pH值，从而损害其催化活性并</w:t>
      </w:r>
      <w:proofErr w:type="gramStart"/>
      <w:r w:rsidRPr="001D4A2E">
        <w:rPr>
          <w:rFonts w:ascii="微软雅黑" w:eastAsia="微软雅黑" w:hAnsi="微软雅黑" w:cs="宋体"/>
          <w:kern w:val="0"/>
          <w:sz w:val="24"/>
          <w:szCs w:val="24"/>
        </w:rPr>
        <w:t>抑制自</w:t>
      </w:r>
      <w:proofErr w:type="gramEnd"/>
      <w:r w:rsidRPr="001D4A2E">
        <w:rPr>
          <w:rFonts w:ascii="微软雅黑" w:eastAsia="微软雅黑" w:hAnsi="微软雅黑" w:cs="宋体"/>
          <w:kern w:val="0"/>
          <w:sz w:val="24"/>
          <w:szCs w:val="24"/>
        </w:rPr>
        <w:t>溶酶体通量。CQ、羟氯喹（HCQ）和氯化铵（</w:t>
      </w:r>
      <w:proofErr w:type="spellStart"/>
      <w:r w:rsidRPr="001D4A2E">
        <w:rPr>
          <w:rFonts w:ascii="微软雅黑" w:eastAsia="微软雅黑" w:hAnsi="微软雅黑" w:cs="宋体"/>
          <w:kern w:val="0"/>
          <w:sz w:val="24"/>
          <w:szCs w:val="24"/>
        </w:rPr>
        <w:t>NH</w:t>
      </w:r>
      <w:r w:rsidRPr="001D4A2E">
        <w:rPr>
          <w:rFonts w:ascii="Cambria Math" w:eastAsia="微软雅黑" w:hAnsi="Cambria Math" w:cs="Cambria Math"/>
          <w:kern w:val="0"/>
          <w:sz w:val="24"/>
          <w:szCs w:val="24"/>
        </w:rPr>
        <w:t>₄</w:t>
      </w:r>
      <w:r w:rsidRPr="001D4A2E">
        <w:rPr>
          <w:rFonts w:ascii="微软雅黑" w:eastAsia="微软雅黑" w:hAnsi="微软雅黑" w:cs="宋体"/>
          <w:kern w:val="0"/>
          <w:sz w:val="24"/>
          <w:szCs w:val="24"/>
        </w:rPr>
        <w:t>Cl</w:t>
      </w:r>
      <w:proofErr w:type="spellEnd"/>
      <w:r w:rsidRPr="001D4A2E">
        <w:rPr>
          <w:rFonts w:ascii="微软雅黑" w:eastAsia="微软雅黑" w:hAnsi="微软雅黑" w:cs="宋体" w:hint="eastAsia"/>
          <w:kern w:val="0"/>
          <w:sz w:val="24"/>
          <w:szCs w:val="24"/>
        </w:rPr>
        <w:t> </w:t>
      </w:r>
      <w:r w:rsidRPr="001D4A2E">
        <w:rPr>
          <w:rFonts w:ascii="微软雅黑" w:eastAsia="微软雅黑" w:hAnsi="微软雅黑" w:cs="宋体"/>
          <w:kern w:val="0"/>
          <w:sz w:val="24"/>
          <w:szCs w:val="24"/>
          <w:vertAlign w:val="subscript"/>
        </w:rPr>
        <w:t>）</w:t>
      </w:r>
      <w:r w:rsidRPr="001D4A2E">
        <w:rPr>
          <w:rFonts w:ascii="微软雅黑" w:eastAsia="微软雅黑" w:hAnsi="微软雅黑" w:cs="宋体"/>
          <w:kern w:val="0"/>
          <w:sz w:val="24"/>
          <w:szCs w:val="24"/>
        </w:rPr>
        <w:t>可导致溶酶体和自溶酶体碱化并损害自噬通量，而ATPase抑制剂巴</w:t>
      </w:r>
      <w:proofErr w:type="gramStart"/>
      <w:r w:rsidRPr="001D4A2E">
        <w:rPr>
          <w:rFonts w:ascii="微软雅黑" w:eastAsia="微软雅黑" w:hAnsi="微软雅黑" w:cs="宋体"/>
          <w:kern w:val="0"/>
          <w:sz w:val="24"/>
          <w:szCs w:val="24"/>
        </w:rPr>
        <w:t>弗洛</w:t>
      </w:r>
      <w:proofErr w:type="gramEnd"/>
      <w:r w:rsidRPr="001D4A2E">
        <w:rPr>
          <w:rFonts w:ascii="微软雅黑" w:eastAsia="微软雅黑" w:hAnsi="微软雅黑" w:cs="宋体"/>
          <w:kern w:val="0"/>
          <w:sz w:val="24"/>
          <w:szCs w:val="24"/>
        </w:rPr>
        <w:t>霉素则可阻断自噬体与溶酶体的融合（</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"B80"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80</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这些小分子均会损害自噬溶酶体的活性和周转，导致p62和LC3-II的积累。该方法能够测定这些蛋白的稳态水平，并将其与自噬溶酶体通量未被阻断的细胞中的水平进行比较。这种比较可以识别由生长条件、抗肿瘤治疗和/或疾病进程引起的自噬体功能（通量）变化（</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"B68"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68</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）。其他溶酶体靶</w:t>
      </w:r>
      <w:proofErr w:type="gramStart"/>
      <w:r w:rsidRPr="001D4A2E">
        <w:rPr>
          <w:rFonts w:ascii="微软雅黑" w:eastAsia="微软雅黑" w:hAnsi="微软雅黑" w:cs="宋体"/>
          <w:kern w:val="0"/>
          <w:sz w:val="24"/>
          <w:szCs w:val="24"/>
        </w:rPr>
        <w:t>向药物</w:t>
      </w:r>
      <w:proofErr w:type="gramEnd"/>
      <w:r w:rsidRPr="001D4A2E">
        <w:rPr>
          <w:rFonts w:ascii="微软雅黑" w:eastAsia="微软雅黑" w:hAnsi="微软雅黑" w:cs="宋体"/>
          <w:kern w:val="0"/>
          <w:sz w:val="24"/>
          <w:szCs w:val="24"/>
        </w:rPr>
        <w:t>也引起了人们的关注。值得注意的是，Lys05已被证实是一种更有效的溶酶体碱性诱导剂，因此也是更有效的自噬溶酶体功能破坏剂（</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"B81"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81</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）。迄今为止，仅有氯喹（CQ）和</w:t>
      </w:r>
      <w:proofErr w:type="gramStart"/>
      <w:r w:rsidRPr="001D4A2E">
        <w:rPr>
          <w:rFonts w:ascii="微软雅黑" w:eastAsia="微软雅黑" w:hAnsi="微软雅黑" w:cs="宋体"/>
          <w:kern w:val="0"/>
          <w:sz w:val="24"/>
          <w:szCs w:val="24"/>
        </w:rPr>
        <w:t>羟氯喹</w:t>
      </w:r>
      <w:proofErr w:type="gramEnd"/>
      <w:r w:rsidRPr="001D4A2E">
        <w:rPr>
          <w:rFonts w:ascii="微软雅黑" w:eastAsia="微软雅黑" w:hAnsi="微软雅黑" w:cs="宋体"/>
          <w:kern w:val="0"/>
          <w:sz w:val="24"/>
          <w:szCs w:val="24"/>
        </w:rPr>
        <w:t>（HCQ）被用于临床试验，以确定自噬在包括癌症在内的疾病进程中的作用。</w:t>
      </w:r>
    </w:p>
    <w:p w14:paraId="27DC95C4"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t>除了溶酶体靶向剂外，还使用了多种自噬靶向分子，例如ULK抑制剂、PI3K抑制剂、VPS34抑制剂、ATG抑制剂和溶酶体抑制剂（</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"B80"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80</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）。这些分子并非利用自噬溶酶体周转/通量所需的pH特异性，而是靶向自噬溶酶体发育的各个阶段，最早可追溯到初始吞噬泡的成核阶段（如ULK和PI3K抑制剂）。除了化学靶向外，大多数研究还采用siRNA或shRNA</w:t>
      </w:r>
      <w:proofErr w:type="gramStart"/>
      <w:r w:rsidRPr="001D4A2E">
        <w:rPr>
          <w:rFonts w:ascii="微软雅黑" w:eastAsia="微软雅黑" w:hAnsi="微软雅黑" w:cs="宋体"/>
          <w:kern w:val="0"/>
          <w:sz w:val="24"/>
          <w:szCs w:val="24"/>
        </w:rPr>
        <w:t>敲低选择性</w:t>
      </w:r>
      <w:proofErr w:type="gramEnd"/>
      <w:r w:rsidRPr="001D4A2E">
        <w:rPr>
          <w:rFonts w:ascii="微软雅黑" w:eastAsia="微软雅黑" w:hAnsi="微软雅黑" w:cs="宋体"/>
          <w:kern w:val="0"/>
          <w:sz w:val="24"/>
          <w:szCs w:val="24"/>
        </w:rPr>
        <w:t>ATG基因来抑制自噬活性（</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"B82"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82</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）。在癌细胞中靶向自噬通常对于确定抗肿瘤治疗诱导的自噬是细胞保护性</w:t>
      </w:r>
      <w:r w:rsidRPr="001D4A2E">
        <w:rPr>
          <w:rFonts w:ascii="微软雅黑" w:eastAsia="微软雅黑" w:hAnsi="微软雅黑" w:cs="宋体"/>
          <w:kern w:val="0"/>
          <w:sz w:val="24"/>
          <w:szCs w:val="24"/>
        </w:rPr>
        <w:lastRenderedPageBreak/>
        <w:t>（促进细胞存活）还是细胞毒性（诱导细胞死亡），以及在某些情况下是否具有保护作用，都至关重要。这些自噬模式近期已有综述，并且通常取决于细胞类型和具体环境（</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"B83"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83</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）。事实上，考虑到大多数癌细胞的凋亡机制存在缺陷，诱导自噬以破坏癌细胞（称为自噬性细胞死亡或ACD）是一种潜在的靶</w:t>
      </w:r>
      <w:proofErr w:type="gramStart"/>
      <w:r w:rsidRPr="001D4A2E">
        <w:rPr>
          <w:rFonts w:ascii="微软雅黑" w:eastAsia="微软雅黑" w:hAnsi="微软雅黑" w:cs="宋体"/>
          <w:kern w:val="0"/>
          <w:sz w:val="24"/>
          <w:szCs w:val="24"/>
        </w:rPr>
        <w:t>向治疗</w:t>
      </w:r>
      <w:proofErr w:type="gramEnd"/>
      <w:r w:rsidRPr="001D4A2E">
        <w:rPr>
          <w:rFonts w:ascii="微软雅黑" w:eastAsia="微软雅黑" w:hAnsi="微软雅黑" w:cs="宋体"/>
          <w:kern w:val="0"/>
          <w:sz w:val="24"/>
          <w:szCs w:val="24"/>
        </w:rPr>
        <w:t>途径。最近的一篇综述（</w:t>
      </w:r>
      <w:hyperlink r:id="rId73" w:anchor="B84" w:history="1">
        <w:r w:rsidRPr="001D4A2E">
          <w:rPr>
            <w:rFonts w:ascii="微软雅黑" w:eastAsia="微软雅黑" w:hAnsi="微软雅黑" w:cs="宋体"/>
            <w:kern w:val="0"/>
            <w:sz w:val="24"/>
            <w:szCs w:val="24"/>
            <w:u w:val="single"/>
          </w:rPr>
          <w:t>84</w:t>
        </w:r>
      </w:hyperlink>
      <w:r w:rsidRPr="001D4A2E">
        <w:rPr>
          <w:rFonts w:ascii="微软雅黑" w:eastAsia="微软雅黑" w:hAnsi="微软雅黑" w:cs="宋体"/>
          <w:kern w:val="0"/>
          <w:sz w:val="24"/>
          <w:szCs w:val="24"/>
        </w:rPr>
        <w:t>）强调了以下标准，以判断一种死亡机制是否属于自噬性细胞死亡：1）自噬通量升高，而非被治疗抑制；2）抑制自噬（药物或基因手段）可阻断治疗诱导的细胞死亡；3）细胞死亡独立于其他类型的程序性细胞死亡，例如凋亡。然而，也有报道指出，在癌细胞中自噬和凋亡同时发生，抑制自噬机制会抑制内在的凋亡途径。例如，有研究表明，</w:t>
      </w:r>
      <w:proofErr w:type="gramStart"/>
      <w:r w:rsidRPr="001D4A2E">
        <w:rPr>
          <w:rFonts w:ascii="微软雅黑" w:eastAsia="微软雅黑" w:hAnsi="微软雅黑" w:cs="宋体"/>
          <w:kern w:val="0"/>
          <w:sz w:val="24"/>
          <w:szCs w:val="24"/>
        </w:rPr>
        <w:t>溴结构域</w:t>
      </w:r>
      <w:proofErr w:type="gramEnd"/>
      <w:r w:rsidRPr="001D4A2E">
        <w:rPr>
          <w:rFonts w:ascii="微软雅黑" w:eastAsia="微软雅黑" w:hAnsi="微软雅黑" w:cs="宋体"/>
          <w:kern w:val="0"/>
          <w:sz w:val="24"/>
          <w:szCs w:val="24"/>
        </w:rPr>
        <w:t>蛋白（BET）抑制剂诱导的自噬对于后续的caspase 3依赖性凋亡至关重要（</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"B85"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85</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）。值得注意的是，</w:t>
      </w:r>
      <w:proofErr w:type="gramStart"/>
      <w:r w:rsidRPr="001D4A2E">
        <w:rPr>
          <w:rFonts w:ascii="微软雅黑" w:eastAsia="微软雅黑" w:hAnsi="微软雅黑" w:cs="宋体"/>
          <w:kern w:val="0"/>
          <w:sz w:val="24"/>
          <w:szCs w:val="24"/>
        </w:rPr>
        <w:t>除了促生存</w:t>
      </w:r>
      <w:proofErr w:type="gramEnd"/>
      <w:r w:rsidRPr="001D4A2E">
        <w:rPr>
          <w:rFonts w:ascii="微软雅黑" w:eastAsia="微软雅黑" w:hAnsi="微软雅黑" w:cs="宋体"/>
          <w:kern w:val="0"/>
          <w:sz w:val="24"/>
          <w:szCs w:val="24"/>
        </w:rPr>
        <w:t>和细胞破坏性（细胞毒性）自噬外，还发现了另外两种功能性自噬形式，相关内容已于近期综述（</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"B86"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86</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这两种形式包括非保护性自噬（在抗肿瘤药物（如化疗或放疗）的作用下似乎没有明显作用）和细胞抑制性自噬（可维持长期的生长抑制，降低克隆形成能力（丧失繁殖能力），但不诱导细胞凋亡或坏死）。目前尚不清楚这些自噬形式是否会导致乳腺癌细胞休眠或扩散（转移）。</w:t>
      </w:r>
    </w:p>
    <w:p w14:paraId="546A46DC" w14:textId="77777777" w:rsidR="001D4A2E" w:rsidRPr="001D4A2E" w:rsidRDefault="001D4A2E" w:rsidP="001D4A2E">
      <w:pPr>
        <w:widowControl/>
        <w:pBdr>
          <w:bottom w:val="single" w:sz="6" w:space="0" w:color="97B1C8"/>
        </w:pBdr>
        <w:spacing w:line="450" w:lineRule="atLeast"/>
        <w:outlineLvl w:val="1"/>
        <w:rPr>
          <w:rFonts w:ascii="微软雅黑" w:eastAsia="微软雅黑" w:hAnsi="微软雅黑" w:cs="宋体"/>
          <w:kern w:val="0"/>
          <w:sz w:val="34"/>
          <w:szCs w:val="34"/>
        </w:rPr>
      </w:pPr>
      <w:r w:rsidRPr="001D4A2E">
        <w:rPr>
          <w:rFonts w:ascii="微软雅黑" w:eastAsia="微软雅黑" w:hAnsi="微软雅黑" w:cs="宋体"/>
          <w:kern w:val="0"/>
          <w:sz w:val="34"/>
          <w:szCs w:val="34"/>
        </w:rPr>
        <w:t>5. 自噬与乳腺癌</w:t>
      </w:r>
    </w:p>
    <w:p w14:paraId="0C2D4AC7"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t>重要的是，自噬和/或衰老诱导已被证实是目前用于治疗ER阳性乳腺癌的大多数抗雌激素疗法和分子靶</w:t>
      </w:r>
      <w:proofErr w:type="gramStart"/>
      <w:r w:rsidRPr="001D4A2E">
        <w:rPr>
          <w:rFonts w:ascii="微软雅黑" w:eastAsia="微软雅黑" w:hAnsi="微软雅黑" w:cs="宋体"/>
          <w:kern w:val="0"/>
          <w:sz w:val="24"/>
          <w:szCs w:val="24"/>
        </w:rPr>
        <w:t>向治疗的促生存</w:t>
      </w:r>
      <w:proofErr w:type="gramEnd"/>
      <w:r w:rsidRPr="001D4A2E">
        <w:rPr>
          <w:rFonts w:ascii="微软雅黑" w:eastAsia="微软雅黑" w:hAnsi="微软雅黑" w:cs="宋体"/>
          <w:kern w:val="0"/>
          <w:sz w:val="24"/>
          <w:szCs w:val="24"/>
        </w:rPr>
        <w:t>反应。尽管衰老最初被认为是癌细胞的终末状态，</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"B89"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rPr>
        <w:t>但最近的研究表明，衰老是可逆的，因此，它是乳腺癌细胞逃避抗雌激素和化疗诱导应激的潜在机制（87-89</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"B87"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因此</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，这些“生存”反应通路通常先于逃避细胞停滞（可能导致肿瘤休眠）和激活功能性细胞周期所需的遗传和表</w:t>
      </w:r>
      <w:r w:rsidRPr="001D4A2E">
        <w:rPr>
          <w:rFonts w:ascii="微软雅黑" w:eastAsia="微软雅黑" w:hAnsi="微软雅黑" w:cs="宋体"/>
          <w:kern w:val="0"/>
          <w:sz w:val="24"/>
          <w:szCs w:val="24"/>
        </w:rPr>
        <w:lastRenderedPageBreak/>
        <w:t>观遗传改变，进而促进乳腺癌细胞增殖。此外，临床前</w:t>
      </w:r>
      <w:r w:rsidRPr="001D4A2E">
        <w:rPr>
          <w:rFonts w:ascii="微软雅黑" w:eastAsia="微软雅黑" w:hAnsi="微软雅黑" w:cs="宋体"/>
          <w:i/>
          <w:iCs/>
          <w:kern w:val="0"/>
          <w:sz w:val="24"/>
          <w:szCs w:val="24"/>
        </w:rPr>
        <w:t>体外</w:t>
      </w:r>
      <w:r w:rsidRPr="001D4A2E">
        <w:rPr>
          <w:rFonts w:ascii="微软雅黑" w:eastAsia="微软雅黑" w:hAnsi="微软雅黑" w:cs="宋体"/>
          <w:kern w:val="0"/>
          <w:sz w:val="24"/>
          <w:szCs w:val="24"/>
        </w:rPr>
        <w:t>和</w:t>
      </w:r>
      <w:r w:rsidRPr="001D4A2E">
        <w:rPr>
          <w:rFonts w:ascii="微软雅黑" w:eastAsia="微软雅黑" w:hAnsi="微软雅黑" w:cs="宋体"/>
          <w:i/>
          <w:iCs/>
          <w:kern w:val="0"/>
          <w:sz w:val="24"/>
          <w:szCs w:val="24"/>
        </w:rPr>
        <w:t>体内</w:t>
      </w:r>
      <w:r w:rsidRPr="001D4A2E">
        <w:rPr>
          <w:rFonts w:ascii="微软雅黑" w:eastAsia="微软雅黑" w:hAnsi="微软雅黑" w:cs="宋体"/>
          <w:kern w:val="0"/>
          <w:sz w:val="24"/>
          <w:szCs w:val="24"/>
        </w:rPr>
        <w:t>研究表明，自噬在转移性肿瘤复发之前促进休眠乳腺癌细胞的存活（</w:t>
      </w:r>
      <w:hyperlink r:id="rId74" w:anchor="B90" w:history="1">
        <w:r w:rsidRPr="001D4A2E">
          <w:rPr>
            <w:rFonts w:ascii="微软雅黑" w:eastAsia="微软雅黑" w:hAnsi="微软雅黑" w:cs="宋体"/>
            <w:kern w:val="0"/>
            <w:sz w:val="24"/>
            <w:szCs w:val="24"/>
            <w:u w:val="single"/>
          </w:rPr>
          <w:t>90</w:t>
        </w:r>
      </w:hyperlink>
      <w:r w:rsidRPr="001D4A2E">
        <w:rPr>
          <w:rFonts w:ascii="微软雅黑" w:eastAsia="微软雅黑" w:hAnsi="微软雅黑" w:cs="宋体"/>
          <w:kern w:val="0"/>
          <w:sz w:val="24"/>
          <w:szCs w:val="24"/>
        </w:rPr>
        <w:t>）。因此，接下来我们将讨论自噬在抗雌激素挑战的乳腺癌细胞中发挥</w:t>
      </w:r>
      <w:proofErr w:type="gramStart"/>
      <w:r w:rsidRPr="001D4A2E">
        <w:rPr>
          <w:rFonts w:ascii="微软雅黑" w:eastAsia="微软雅黑" w:hAnsi="微软雅黑" w:cs="宋体"/>
          <w:kern w:val="0"/>
          <w:sz w:val="24"/>
          <w:szCs w:val="24"/>
        </w:rPr>
        <w:t>促生存</w:t>
      </w:r>
      <w:proofErr w:type="gramEnd"/>
      <w:r w:rsidRPr="001D4A2E">
        <w:rPr>
          <w:rFonts w:ascii="微软雅黑" w:eastAsia="微软雅黑" w:hAnsi="微软雅黑" w:cs="宋体"/>
          <w:kern w:val="0"/>
          <w:sz w:val="24"/>
          <w:szCs w:val="24"/>
        </w:rPr>
        <w:t>作用的证据。</w:t>
      </w:r>
    </w:p>
    <w:p w14:paraId="409A7A80" w14:textId="77777777" w:rsidR="001D4A2E" w:rsidRPr="001D4A2E" w:rsidRDefault="001D4A2E" w:rsidP="001D4A2E">
      <w:pPr>
        <w:widowControl/>
        <w:spacing w:line="450" w:lineRule="atLeast"/>
        <w:outlineLvl w:val="2"/>
        <w:rPr>
          <w:rFonts w:ascii="微软雅黑" w:eastAsia="微软雅黑" w:hAnsi="微软雅黑" w:cs="宋体"/>
          <w:kern w:val="0"/>
          <w:sz w:val="32"/>
          <w:szCs w:val="32"/>
        </w:rPr>
      </w:pPr>
      <w:r w:rsidRPr="001D4A2E">
        <w:rPr>
          <w:rFonts w:ascii="微软雅黑" w:eastAsia="微软雅黑" w:hAnsi="微软雅黑" w:cs="宋体"/>
          <w:kern w:val="0"/>
          <w:sz w:val="32"/>
          <w:szCs w:val="32"/>
        </w:rPr>
        <w:t>5.1. SERM 和 SERD 疗法与</w:t>
      </w:r>
      <w:proofErr w:type="gramStart"/>
      <w:r w:rsidRPr="001D4A2E">
        <w:rPr>
          <w:rFonts w:ascii="微软雅黑" w:eastAsia="微软雅黑" w:hAnsi="微软雅黑" w:cs="宋体"/>
          <w:kern w:val="0"/>
          <w:sz w:val="32"/>
          <w:szCs w:val="32"/>
        </w:rPr>
        <w:t>促生存</w:t>
      </w:r>
      <w:proofErr w:type="gramEnd"/>
      <w:r w:rsidRPr="001D4A2E">
        <w:rPr>
          <w:rFonts w:ascii="微软雅黑" w:eastAsia="微软雅黑" w:hAnsi="微软雅黑" w:cs="宋体"/>
          <w:kern w:val="0"/>
          <w:sz w:val="32"/>
          <w:szCs w:val="32"/>
        </w:rPr>
        <w:t>自噬</w:t>
      </w:r>
    </w:p>
    <w:p w14:paraId="015A61E9"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t>自噬的适应性通路似乎对选择性雌激素受体调节剂（SERMs）（91-93）、选择性雌激素受体降解剂（SERDs）（94）以及可能的芳香化酶抑制剂（95）的耐药性发展至关重要。</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"B91"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在</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初步</w:t>
      </w:r>
      <w:hyperlink r:id="rId75" w:anchor="B94" w:history="1">
        <w:r w:rsidRPr="001D4A2E">
          <w:rPr>
            <w:rFonts w:ascii="微软雅黑" w:eastAsia="微软雅黑" w:hAnsi="微软雅黑" w:cs="宋体"/>
            <w:kern w:val="0"/>
            <w:sz w:val="24"/>
            <w:szCs w:val="24"/>
            <w:u w:val="single"/>
          </w:rPr>
          <w:t>研究</w:t>
        </w:r>
      </w:hyperlink>
      <w:hyperlink r:id="rId76" w:anchor="B93" w:history="1">
        <w:r w:rsidRPr="001D4A2E">
          <w:rPr>
            <w:rFonts w:ascii="微软雅黑" w:eastAsia="微软雅黑" w:hAnsi="微软雅黑" w:cs="宋体"/>
            <w:kern w:val="0"/>
            <w:sz w:val="24"/>
            <w:szCs w:val="24"/>
            <w:u w:val="single"/>
          </w:rPr>
          <w:t>中</w:t>
        </w:r>
      </w:hyperlink>
      <w:r w:rsidRPr="001D4A2E">
        <w:rPr>
          <w:rFonts w:ascii="微软雅黑" w:eastAsia="微软雅黑" w:hAnsi="微软雅黑" w:cs="宋体"/>
          <w:kern w:val="0"/>
          <w:sz w:val="24"/>
          <w:szCs w:val="24"/>
        </w:rPr>
        <w:t>，</w:t>
      </w:r>
      <w:hyperlink r:id="rId77" w:anchor="B95" w:history="1">
        <w:r w:rsidRPr="001D4A2E">
          <w:rPr>
            <w:rFonts w:ascii="微软雅黑" w:eastAsia="微软雅黑" w:hAnsi="微软雅黑" w:cs="宋体"/>
            <w:kern w:val="0"/>
            <w:sz w:val="24"/>
            <w:szCs w:val="24"/>
            <w:u w:val="single"/>
          </w:rPr>
          <w:t>ER</w:t>
        </w:r>
      </w:hyperlink>
      <w:r w:rsidRPr="001D4A2E">
        <w:rPr>
          <w:rFonts w:ascii="微软雅黑" w:eastAsia="微软雅黑" w:hAnsi="微软雅黑" w:cs="宋体"/>
          <w:kern w:val="0"/>
          <w:sz w:val="24"/>
          <w:szCs w:val="24"/>
        </w:rPr>
        <w:t> + </w:t>
      </w:r>
      <w:r w:rsidRPr="001D4A2E">
        <w:rPr>
          <w:rFonts w:ascii="微软雅黑" w:eastAsia="微软雅黑" w:hAnsi="微软雅黑" w:cs="宋体"/>
          <w:kern w:val="0"/>
          <w:sz w:val="24"/>
          <w:szCs w:val="24"/>
          <w:vertAlign w:val="superscript"/>
        </w:rPr>
        <w:t>MCF</w:t>
      </w:r>
      <w:r w:rsidRPr="001D4A2E">
        <w:rPr>
          <w:rFonts w:ascii="微软雅黑" w:eastAsia="微软雅黑" w:hAnsi="微软雅黑" w:cs="宋体"/>
          <w:kern w:val="0"/>
          <w:sz w:val="24"/>
          <w:szCs w:val="24"/>
        </w:rPr>
        <w:t> -7乳腺癌细胞暴露于浓度递增的4-羟基他</w:t>
      </w:r>
      <w:proofErr w:type="gramStart"/>
      <w:r w:rsidRPr="001D4A2E">
        <w:rPr>
          <w:rFonts w:ascii="微软雅黑" w:eastAsia="微软雅黑" w:hAnsi="微软雅黑" w:cs="宋体"/>
          <w:kern w:val="0"/>
          <w:sz w:val="24"/>
          <w:szCs w:val="24"/>
        </w:rPr>
        <w:t>莫昔芬</w:t>
      </w:r>
      <w:proofErr w:type="gramEnd"/>
      <w:r w:rsidRPr="001D4A2E">
        <w:rPr>
          <w:rFonts w:ascii="微软雅黑" w:eastAsia="微软雅黑" w:hAnsi="微软雅黑" w:cs="宋体"/>
          <w:kern w:val="0"/>
          <w:sz w:val="24"/>
          <w:szCs w:val="24"/>
        </w:rPr>
        <w:t>（4-OHT）中；4-OHT是他</w:t>
      </w:r>
      <w:proofErr w:type="gramStart"/>
      <w:r w:rsidRPr="001D4A2E">
        <w:rPr>
          <w:rFonts w:ascii="微软雅黑" w:eastAsia="微软雅黑" w:hAnsi="微软雅黑" w:cs="宋体"/>
          <w:kern w:val="0"/>
          <w:sz w:val="24"/>
          <w:szCs w:val="24"/>
        </w:rPr>
        <w:t>莫昔芬</w:t>
      </w:r>
      <w:proofErr w:type="gramEnd"/>
      <w:r w:rsidRPr="001D4A2E">
        <w:rPr>
          <w:rFonts w:ascii="微软雅黑" w:eastAsia="微软雅黑" w:hAnsi="微软雅黑" w:cs="宋体"/>
          <w:kern w:val="0"/>
          <w:sz w:val="24"/>
          <w:szCs w:val="24"/>
        </w:rPr>
        <w:t>的活性代谢产物，通常用于细胞培养研究。经4-OHT筛选的MCF-7细胞表现出更高的自噬水平，这已通过电镜观察和Western blotting检测LC3-II水平得到证实（</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"B92"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92</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）。经过数月的筛选，存活的细胞群对 4-OHT 和他</w:t>
      </w:r>
      <w:proofErr w:type="gramStart"/>
      <w:r w:rsidRPr="001D4A2E">
        <w:rPr>
          <w:rFonts w:ascii="微软雅黑" w:eastAsia="微软雅黑" w:hAnsi="微软雅黑" w:cs="宋体"/>
          <w:kern w:val="0"/>
          <w:sz w:val="24"/>
          <w:szCs w:val="24"/>
        </w:rPr>
        <w:t>莫昔芬均</w:t>
      </w:r>
      <w:proofErr w:type="gramEnd"/>
      <w:r w:rsidRPr="001D4A2E">
        <w:rPr>
          <w:rFonts w:ascii="微软雅黑" w:eastAsia="微软雅黑" w:hAnsi="微软雅黑" w:cs="宋体"/>
          <w:kern w:val="0"/>
          <w:sz w:val="24"/>
          <w:szCs w:val="24"/>
        </w:rPr>
        <w:t>产生耐药性，表达高水平的自噬体，并且如果使用氯喹、巴</w:t>
      </w:r>
      <w:proofErr w:type="gramStart"/>
      <w:r w:rsidRPr="001D4A2E">
        <w:rPr>
          <w:rFonts w:ascii="微软雅黑" w:eastAsia="微软雅黑" w:hAnsi="微软雅黑" w:cs="宋体"/>
          <w:kern w:val="0"/>
          <w:sz w:val="24"/>
          <w:szCs w:val="24"/>
        </w:rPr>
        <w:t>弗洛</w:t>
      </w:r>
      <w:proofErr w:type="gramEnd"/>
      <w:r w:rsidRPr="001D4A2E">
        <w:rPr>
          <w:rFonts w:ascii="微软雅黑" w:eastAsia="微软雅黑" w:hAnsi="微软雅黑" w:cs="宋体"/>
          <w:kern w:val="0"/>
          <w:sz w:val="24"/>
          <w:szCs w:val="24"/>
        </w:rPr>
        <w:t>霉素</w:t>
      </w:r>
      <w:proofErr w:type="gramStart"/>
      <w:r w:rsidRPr="001D4A2E">
        <w:rPr>
          <w:rFonts w:ascii="微软雅黑" w:eastAsia="微软雅黑" w:hAnsi="微软雅黑" w:cs="宋体"/>
          <w:kern w:val="0"/>
          <w:sz w:val="24"/>
          <w:szCs w:val="24"/>
        </w:rPr>
        <w:t>或靶向</w:t>
      </w:r>
      <w:proofErr w:type="gramEnd"/>
      <w:r w:rsidRPr="001D4A2E">
        <w:rPr>
          <w:rFonts w:ascii="微软雅黑" w:eastAsia="微软雅黑" w:hAnsi="微软雅黑" w:cs="宋体"/>
          <w:i/>
          <w:iCs/>
          <w:kern w:val="0"/>
          <w:sz w:val="24"/>
          <w:szCs w:val="24"/>
        </w:rPr>
        <w:t>Atg6</w:t>
      </w:r>
      <w:r w:rsidRPr="001D4A2E">
        <w:rPr>
          <w:rFonts w:ascii="微软雅黑" w:eastAsia="微软雅黑" w:hAnsi="微软雅黑" w:cs="宋体"/>
          <w:kern w:val="0"/>
          <w:sz w:val="24"/>
          <w:szCs w:val="24"/>
        </w:rPr>
        <w:t>（</w:t>
      </w:r>
      <w:proofErr w:type="spellStart"/>
      <w:r w:rsidRPr="001D4A2E">
        <w:rPr>
          <w:rFonts w:ascii="微软雅黑" w:eastAsia="微软雅黑" w:hAnsi="微软雅黑" w:cs="宋体"/>
          <w:kern w:val="0"/>
          <w:sz w:val="24"/>
          <w:szCs w:val="24"/>
        </w:rPr>
        <w:t>Beclin</w:t>
      </w:r>
      <w:proofErr w:type="spellEnd"/>
      <w:r w:rsidRPr="001D4A2E">
        <w:rPr>
          <w:rFonts w:ascii="微软雅黑" w:eastAsia="微软雅黑" w:hAnsi="微软雅黑" w:cs="宋体"/>
          <w:kern w:val="0"/>
          <w:sz w:val="24"/>
          <w:szCs w:val="24"/>
        </w:rPr>
        <w:t>）的 siRNA 来抑制自噬，则 4-OHT 筛选出的乳腺癌细胞的凋亡率会增加 ( </w:t>
      </w:r>
      <w:hyperlink r:id="rId78" w:anchor="B92" w:history="1">
        <w:r w:rsidRPr="001D4A2E">
          <w:rPr>
            <w:rFonts w:ascii="微软雅黑" w:eastAsia="微软雅黑" w:hAnsi="微软雅黑" w:cs="宋体"/>
            <w:kern w:val="0"/>
            <w:sz w:val="24"/>
            <w:szCs w:val="24"/>
            <w:u w:val="single"/>
          </w:rPr>
          <w:t>92</w:t>
        </w:r>
      </w:hyperlink>
      <w:r w:rsidRPr="001D4A2E">
        <w:rPr>
          <w:rFonts w:ascii="微软雅黑" w:eastAsia="微软雅黑" w:hAnsi="微软雅黑" w:cs="宋体"/>
          <w:kern w:val="0"/>
          <w:sz w:val="24"/>
          <w:szCs w:val="24"/>
        </w:rPr>
        <w:t> )。在另一项平行研究中，Gorski 实验室发现，抑制他</w:t>
      </w:r>
      <w:proofErr w:type="gramStart"/>
      <w:r w:rsidRPr="001D4A2E">
        <w:rPr>
          <w:rFonts w:ascii="微软雅黑" w:eastAsia="微软雅黑" w:hAnsi="微软雅黑" w:cs="宋体"/>
          <w:kern w:val="0"/>
          <w:sz w:val="24"/>
          <w:szCs w:val="24"/>
        </w:rPr>
        <w:t>莫昔芬处理</w:t>
      </w:r>
      <w:proofErr w:type="gramEnd"/>
      <w:r w:rsidRPr="001D4A2E">
        <w:rPr>
          <w:rFonts w:ascii="微软雅黑" w:eastAsia="微软雅黑" w:hAnsi="微软雅黑" w:cs="宋体"/>
          <w:kern w:val="0"/>
          <w:sz w:val="24"/>
          <w:szCs w:val="24"/>
        </w:rPr>
        <w:t>的 T-47D、MCF-7、HER2/Neu 过表达且对他</w:t>
      </w:r>
      <w:proofErr w:type="gramStart"/>
      <w:r w:rsidRPr="001D4A2E">
        <w:rPr>
          <w:rFonts w:ascii="微软雅黑" w:eastAsia="微软雅黑" w:hAnsi="微软雅黑" w:cs="宋体"/>
          <w:kern w:val="0"/>
          <w:sz w:val="24"/>
          <w:szCs w:val="24"/>
        </w:rPr>
        <w:t>莫昔芬</w:t>
      </w:r>
      <w:proofErr w:type="gramEnd"/>
      <w:r w:rsidRPr="001D4A2E">
        <w:rPr>
          <w:rFonts w:ascii="微软雅黑" w:eastAsia="微软雅黑" w:hAnsi="微软雅黑" w:cs="宋体"/>
          <w:kern w:val="0"/>
          <w:sz w:val="24"/>
          <w:szCs w:val="24"/>
        </w:rPr>
        <w:t>耐药的乳腺癌细胞的自噬会诱导线粒体去极化和细胞凋亡 ( </w:t>
      </w:r>
      <w:hyperlink r:id="rId79" w:anchor="B96" w:history="1">
        <w:r w:rsidRPr="001D4A2E">
          <w:rPr>
            <w:rFonts w:ascii="微软雅黑" w:eastAsia="微软雅黑" w:hAnsi="微软雅黑" w:cs="宋体"/>
            <w:kern w:val="0"/>
            <w:sz w:val="24"/>
            <w:szCs w:val="24"/>
            <w:u w:val="single"/>
          </w:rPr>
          <w:t>96</w:t>
        </w:r>
      </w:hyperlink>
      <w:r w:rsidRPr="001D4A2E">
        <w:rPr>
          <w:rFonts w:ascii="微软雅黑" w:eastAsia="微软雅黑" w:hAnsi="微软雅黑" w:cs="宋体"/>
          <w:kern w:val="0"/>
          <w:sz w:val="24"/>
          <w:szCs w:val="24"/>
        </w:rPr>
        <w:t> )。这些初步观察结果在后续的</w:t>
      </w:r>
      <w:r w:rsidRPr="001D4A2E">
        <w:rPr>
          <w:rFonts w:ascii="微软雅黑" w:eastAsia="微软雅黑" w:hAnsi="微软雅黑" w:cs="宋体"/>
          <w:i/>
          <w:iCs/>
          <w:kern w:val="0"/>
          <w:sz w:val="24"/>
          <w:szCs w:val="24"/>
        </w:rPr>
        <w:t>体外</w:t>
      </w:r>
      <w:r w:rsidRPr="001D4A2E">
        <w:rPr>
          <w:rFonts w:ascii="微软雅黑" w:eastAsia="微软雅黑" w:hAnsi="微软雅黑" w:cs="宋体"/>
          <w:kern w:val="0"/>
          <w:sz w:val="24"/>
          <w:szCs w:val="24"/>
        </w:rPr>
        <w:t>（</w:t>
      </w:r>
      <w:hyperlink r:id="rId80" w:anchor="B97" w:history="1">
        <w:r w:rsidRPr="001D4A2E">
          <w:rPr>
            <w:rFonts w:ascii="微软雅黑" w:eastAsia="微软雅黑" w:hAnsi="微软雅黑" w:cs="宋体"/>
            <w:kern w:val="0"/>
            <w:sz w:val="24"/>
            <w:szCs w:val="24"/>
            <w:u w:val="single"/>
          </w:rPr>
          <w:t>97-101</w:t>
        </w:r>
      </w:hyperlink>
      <w:r w:rsidRPr="001D4A2E">
        <w:rPr>
          <w:rFonts w:ascii="微软雅黑" w:eastAsia="微软雅黑" w:hAnsi="微软雅黑" w:cs="宋体"/>
          <w:kern w:val="0"/>
          <w:sz w:val="24"/>
          <w:szCs w:val="24"/>
        </w:rPr>
        <w:t>）和</w:t>
      </w:r>
      <w:r w:rsidRPr="001D4A2E">
        <w:rPr>
          <w:rFonts w:ascii="微软雅黑" w:eastAsia="微软雅黑" w:hAnsi="微软雅黑" w:cs="宋体"/>
          <w:i/>
          <w:iCs/>
          <w:kern w:val="0"/>
          <w:sz w:val="24"/>
          <w:szCs w:val="24"/>
        </w:rPr>
        <w:t>体内</w:t>
      </w:r>
      <w:r w:rsidRPr="001D4A2E">
        <w:rPr>
          <w:rFonts w:ascii="微软雅黑" w:eastAsia="微软雅黑" w:hAnsi="微软雅黑" w:cs="宋体"/>
          <w:kern w:val="0"/>
          <w:sz w:val="24"/>
          <w:szCs w:val="24"/>
        </w:rPr>
        <w:t>（荷瘤小鼠）（</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"B101"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91 </w:t>
      </w:r>
      <w:r w:rsidRPr="001D4A2E">
        <w:rPr>
          <w:rFonts w:ascii="微软雅黑" w:eastAsia="微软雅黑" w:hAnsi="微软雅黑" w:cs="宋体"/>
          <w:kern w:val="0"/>
          <w:sz w:val="24"/>
          <w:szCs w:val="24"/>
        </w:rPr>
        <w:fldChar w:fldCharType="end"/>
      </w:r>
      <w:hyperlink r:id="rId81" w:anchor="B91" w:history="1">
        <w:r w:rsidRPr="001D4A2E">
          <w:rPr>
            <w:rFonts w:ascii="微软雅黑" w:eastAsia="微软雅黑" w:hAnsi="微软雅黑" w:cs="宋体"/>
            <w:kern w:val="0"/>
            <w:sz w:val="24"/>
            <w:szCs w:val="24"/>
            <w:u w:val="single"/>
          </w:rPr>
          <w:t>）</w:t>
        </w:r>
      </w:hyperlink>
      <w:r w:rsidRPr="001D4A2E">
        <w:rPr>
          <w:rFonts w:ascii="微软雅黑" w:eastAsia="微软雅黑" w:hAnsi="微软雅黑" w:cs="宋体"/>
          <w:kern w:val="0"/>
          <w:sz w:val="24"/>
          <w:szCs w:val="24"/>
        </w:rPr>
        <w:t>研究中得到了扩展，进一步证实了自噬在选择性雌激素受体调节剂（他</w:t>
      </w:r>
      <w:proofErr w:type="gramStart"/>
      <w:r w:rsidRPr="001D4A2E">
        <w:rPr>
          <w:rFonts w:ascii="微软雅黑" w:eastAsia="微软雅黑" w:hAnsi="微软雅黑" w:cs="宋体"/>
          <w:kern w:val="0"/>
          <w:sz w:val="24"/>
          <w:szCs w:val="24"/>
        </w:rPr>
        <w:t>莫昔芬</w:t>
      </w:r>
      <w:proofErr w:type="gramEnd"/>
      <w:r w:rsidRPr="001D4A2E">
        <w:rPr>
          <w:rFonts w:ascii="微软雅黑" w:eastAsia="微软雅黑" w:hAnsi="微软雅黑" w:cs="宋体"/>
          <w:kern w:val="0"/>
          <w:sz w:val="24"/>
          <w:szCs w:val="24"/>
        </w:rPr>
        <w:t>）和选择性雌激素受体阻滞剂（</w:t>
      </w:r>
      <w:proofErr w:type="gramStart"/>
      <w:r w:rsidRPr="001D4A2E">
        <w:rPr>
          <w:rFonts w:ascii="微软雅黑" w:eastAsia="微软雅黑" w:hAnsi="微软雅黑" w:cs="宋体"/>
          <w:kern w:val="0"/>
          <w:sz w:val="24"/>
          <w:szCs w:val="24"/>
        </w:rPr>
        <w:t>氟维司群</w:t>
      </w:r>
      <w:proofErr w:type="gramEnd"/>
      <w:r w:rsidRPr="001D4A2E">
        <w:rPr>
          <w:rFonts w:ascii="微软雅黑" w:eastAsia="微软雅黑" w:hAnsi="微软雅黑" w:cs="宋体"/>
          <w:kern w:val="0"/>
          <w:sz w:val="24"/>
          <w:szCs w:val="24"/>
        </w:rPr>
        <w:t>）治疗的乳腺癌细胞中发挥细胞保护作用。在一些后续研究中，自噬的特定机制或分子调控因子被认为参与了</w:t>
      </w:r>
      <w:proofErr w:type="gramStart"/>
      <w:r w:rsidRPr="001D4A2E">
        <w:rPr>
          <w:rFonts w:ascii="微软雅黑" w:eastAsia="微软雅黑" w:hAnsi="微软雅黑" w:cs="宋体"/>
          <w:kern w:val="0"/>
          <w:sz w:val="24"/>
          <w:szCs w:val="24"/>
        </w:rPr>
        <w:t>促生存</w:t>
      </w:r>
      <w:proofErr w:type="gramEnd"/>
      <w:r w:rsidRPr="001D4A2E">
        <w:rPr>
          <w:rFonts w:ascii="微软雅黑" w:eastAsia="微软雅黑" w:hAnsi="微软雅黑" w:cs="宋体"/>
          <w:kern w:val="0"/>
          <w:sz w:val="24"/>
          <w:szCs w:val="24"/>
        </w:rPr>
        <w:t>过程，例如葡萄糖调节蛋白78 (GRP78) 的上调（</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"B100"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100</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 , </w:t>
      </w:r>
      <w:hyperlink r:id="rId82" w:anchor="B102" w:history="1">
        <w:r w:rsidRPr="001D4A2E">
          <w:rPr>
            <w:rFonts w:ascii="微软雅黑" w:eastAsia="微软雅黑" w:hAnsi="微软雅黑" w:cs="宋体"/>
            <w:kern w:val="0"/>
            <w:sz w:val="24"/>
            <w:szCs w:val="24"/>
            <w:u w:val="single"/>
          </w:rPr>
          <w:t>102</w:t>
        </w:r>
      </w:hyperlink>
      <w:r w:rsidRPr="001D4A2E">
        <w:rPr>
          <w:rFonts w:ascii="微软雅黑" w:eastAsia="微软雅黑" w:hAnsi="微软雅黑" w:cs="宋体"/>
          <w:kern w:val="0"/>
          <w:sz w:val="24"/>
          <w:szCs w:val="24"/>
        </w:rPr>
        <w:t>）、诱导溶酶体自噬以清除他</w:t>
      </w:r>
      <w:proofErr w:type="gramStart"/>
      <w:r w:rsidRPr="001D4A2E">
        <w:rPr>
          <w:rFonts w:ascii="微软雅黑" w:eastAsia="微软雅黑" w:hAnsi="微软雅黑" w:cs="宋体"/>
          <w:kern w:val="0"/>
          <w:sz w:val="24"/>
          <w:szCs w:val="24"/>
        </w:rPr>
        <w:t>莫昔芬介</w:t>
      </w:r>
      <w:proofErr w:type="gramEnd"/>
      <w:r w:rsidRPr="001D4A2E">
        <w:rPr>
          <w:rFonts w:ascii="微软雅黑" w:eastAsia="微软雅黑" w:hAnsi="微软雅黑" w:cs="宋体"/>
          <w:kern w:val="0"/>
          <w:sz w:val="24"/>
          <w:szCs w:val="24"/>
        </w:rPr>
        <w:t>导的溶酶体损伤（</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"B101"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101</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），以及在MCF-7他</w:t>
      </w:r>
      <w:proofErr w:type="gramStart"/>
      <w:r w:rsidRPr="001D4A2E">
        <w:rPr>
          <w:rFonts w:ascii="微软雅黑" w:eastAsia="微软雅黑" w:hAnsi="微软雅黑" w:cs="宋体"/>
          <w:kern w:val="0"/>
          <w:sz w:val="24"/>
          <w:szCs w:val="24"/>
        </w:rPr>
        <w:t>莫昔芬</w:t>
      </w:r>
      <w:proofErr w:type="gramEnd"/>
      <w:r w:rsidRPr="001D4A2E">
        <w:rPr>
          <w:rFonts w:ascii="微软雅黑" w:eastAsia="微软雅黑" w:hAnsi="微软雅黑" w:cs="宋体"/>
          <w:kern w:val="0"/>
          <w:sz w:val="24"/>
          <w:szCs w:val="24"/>
        </w:rPr>
        <w:t>耐药细胞（MCF-</w:t>
      </w:r>
      <w:r w:rsidRPr="001D4A2E">
        <w:rPr>
          <w:rFonts w:ascii="微软雅黑" w:eastAsia="微软雅黑" w:hAnsi="微软雅黑" w:cs="宋体"/>
          <w:kern w:val="0"/>
          <w:sz w:val="24"/>
          <w:szCs w:val="24"/>
        </w:rPr>
        <w:lastRenderedPageBreak/>
        <w:t>7/TAMR-1）和他</w:t>
      </w:r>
      <w:proofErr w:type="gramStart"/>
      <w:r w:rsidRPr="001D4A2E">
        <w:rPr>
          <w:rFonts w:ascii="微软雅黑" w:eastAsia="微软雅黑" w:hAnsi="微软雅黑" w:cs="宋体"/>
          <w:kern w:val="0"/>
          <w:sz w:val="24"/>
          <w:szCs w:val="24"/>
        </w:rPr>
        <w:t>莫昔芬</w:t>
      </w:r>
      <w:proofErr w:type="gramEnd"/>
      <w:r w:rsidRPr="001D4A2E">
        <w:rPr>
          <w:rFonts w:ascii="微软雅黑" w:eastAsia="微软雅黑" w:hAnsi="微软雅黑" w:cs="宋体"/>
          <w:kern w:val="0"/>
          <w:sz w:val="24"/>
          <w:szCs w:val="24"/>
        </w:rPr>
        <w:t>耐药乳腺癌临床样本中葡萄糖转运蛋白1 (GLUT1) 和LC3B的过表达（</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"B98"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98</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）。此外，GLUT1的下调增强了MCF-7/TAMR-1细胞对三苯氧胺的敏感性，并降低了自噬通量。这些数据表明自噬诱导与三苯氧</w:t>
      </w:r>
      <w:proofErr w:type="gramStart"/>
      <w:r w:rsidRPr="001D4A2E">
        <w:rPr>
          <w:rFonts w:ascii="微软雅黑" w:eastAsia="微软雅黑" w:hAnsi="微软雅黑" w:cs="宋体"/>
          <w:kern w:val="0"/>
          <w:sz w:val="24"/>
          <w:szCs w:val="24"/>
        </w:rPr>
        <w:t>胺</w:t>
      </w:r>
      <w:proofErr w:type="gramEnd"/>
      <w:r w:rsidRPr="001D4A2E">
        <w:rPr>
          <w:rFonts w:ascii="微软雅黑" w:eastAsia="微软雅黑" w:hAnsi="微软雅黑" w:cs="宋体"/>
          <w:kern w:val="0"/>
          <w:sz w:val="24"/>
          <w:szCs w:val="24"/>
        </w:rPr>
        <w:t>耐药性相关，并将GLUT1确定为延缓内分泌耐药性发展的潜在分子靶点。</w:t>
      </w:r>
    </w:p>
    <w:p w14:paraId="036AE038" w14:textId="77777777" w:rsidR="001D4A2E" w:rsidRPr="001D4A2E" w:rsidRDefault="001D4A2E" w:rsidP="001D4A2E">
      <w:pPr>
        <w:widowControl/>
        <w:spacing w:line="450" w:lineRule="atLeast"/>
        <w:outlineLvl w:val="2"/>
        <w:rPr>
          <w:rFonts w:ascii="微软雅黑" w:eastAsia="微软雅黑" w:hAnsi="微软雅黑" w:cs="宋体"/>
          <w:kern w:val="0"/>
          <w:sz w:val="32"/>
          <w:szCs w:val="32"/>
        </w:rPr>
      </w:pPr>
      <w:r w:rsidRPr="001D4A2E">
        <w:rPr>
          <w:rFonts w:ascii="微软雅黑" w:eastAsia="微软雅黑" w:hAnsi="微软雅黑" w:cs="宋体"/>
          <w:kern w:val="0"/>
          <w:sz w:val="32"/>
          <w:szCs w:val="32"/>
        </w:rPr>
        <w:t>5.2. AMPK和抗雌激素诱导的自噬与细胞死亡</w:t>
      </w:r>
    </w:p>
    <w:p w14:paraId="36287D24"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t>他</w:t>
      </w:r>
      <w:proofErr w:type="gramStart"/>
      <w:r w:rsidRPr="001D4A2E">
        <w:rPr>
          <w:rFonts w:ascii="微软雅黑" w:eastAsia="微软雅黑" w:hAnsi="微软雅黑" w:cs="宋体"/>
          <w:kern w:val="0"/>
          <w:sz w:val="24"/>
          <w:szCs w:val="24"/>
        </w:rPr>
        <w:t>莫昔芬</w:t>
      </w:r>
      <w:proofErr w:type="gramEnd"/>
      <w:r w:rsidRPr="001D4A2E">
        <w:rPr>
          <w:rFonts w:ascii="微软雅黑" w:eastAsia="微软雅黑" w:hAnsi="微软雅黑" w:cs="宋体"/>
          <w:kern w:val="0"/>
          <w:sz w:val="24"/>
          <w:szCs w:val="24"/>
        </w:rPr>
        <w:t>诱导的自噬与抗雌激素耐药性之间的关系也涉及AMPK的上调。如上文（4.4节）所述，AMPK是细胞内主要的能量感受器。当ATP水平较低时，AMP和/或ADP会与AMPK结合。这种结合会导致AMPK发生变构修饰，随后AMPK可被肝激酶B1（LKB1）和其他激酶磷酸化（</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"B103"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103</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）。通常，LKB1和AMPK被认为是肿瘤抑制因子；LKB1</w:t>
      </w:r>
      <w:proofErr w:type="gramStart"/>
      <w:r w:rsidRPr="001D4A2E">
        <w:rPr>
          <w:rFonts w:ascii="微软雅黑" w:eastAsia="微软雅黑" w:hAnsi="微软雅黑" w:cs="宋体"/>
          <w:kern w:val="0"/>
          <w:sz w:val="24"/>
          <w:szCs w:val="24"/>
        </w:rPr>
        <w:t>介</w:t>
      </w:r>
      <w:proofErr w:type="gramEnd"/>
      <w:r w:rsidRPr="001D4A2E">
        <w:rPr>
          <w:rFonts w:ascii="微软雅黑" w:eastAsia="微软雅黑" w:hAnsi="微软雅黑" w:cs="宋体"/>
          <w:kern w:val="0"/>
          <w:sz w:val="24"/>
          <w:szCs w:val="24"/>
        </w:rPr>
        <w:t>导的AMPK激活会诱导自噬，从而发挥抗肿瘤作用（抑制肿瘤生长）。然而，AMPK也能感知活性氧（ROS），并通过上调多种抗氧化基因（包括过氧化氢酶、Sod1、Sod2和Ucp2）来做出反应（</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"B104"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104</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）。在这方面，AMPK的激活可以保护乳腺癌细胞免受ROS诱导的细胞死亡。 AMPK 的这种保护作用，是自噬在癌症中作用的双</w:t>
      </w:r>
      <w:proofErr w:type="gramStart"/>
      <w:r w:rsidRPr="001D4A2E">
        <w:rPr>
          <w:rFonts w:ascii="微软雅黑" w:eastAsia="微软雅黑" w:hAnsi="微软雅黑" w:cs="宋体"/>
          <w:kern w:val="0"/>
          <w:sz w:val="24"/>
          <w:szCs w:val="24"/>
        </w:rPr>
        <w:t>刃</w:t>
      </w:r>
      <w:proofErr w:type="gramEnd"/>
      <w:r w:rsidRPr="001D4A2E">
        <w:rPr>
          <w:rFonts w:ascii="微软雅黑" w:eastAsia="微软雅黑" w:hAnsi="微软雅黑" w:cs="宋体"/>
          <w:kern w:val="0"/>
          <w:sz w:val="24"/>
          <w:szCs w:val="24"/>
        </w:rPr>
        <w:t>剑的一个例子，其中自噬的</w:t>
      </w:r>
      <w:proofErr w:type="gramStart"/>
      <w:r w:rsidRPr="001D4A2E">
        <w:rPr>
          <w:rFonts w:ascii="微软雅黑" w:eastAsia="微软雅黑" w:hAnsi="微软雅黑" w:cs="宋体"/>
          <w:kern w:val="0"/>
          <w:sz w:val="24"/>
          <w:szCs w:val="24"/>
        </w:rPr>
        <w:t>促生存</w:t>
      </w:r>
      <w:proofErr w:type="gramEnd"/>
      <w:r w:rsidRPr="001D4A2E">
        <w:rPr>
          <w:rFonts w:ascii="微软雅黑" w:eastAsia="微软雅黑" w:hAnsi="微软雅黑" w:cs="宋体"/>
          <w:kern w:val="0"/>
          <w:sz w:val="24"/>
          <w:szCs w:val="24"/>
        </w:rPr>
        <w:t>作用与抗肿瘤作用取决于背景和肿瘤阶段（</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"B105"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105</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w:t>
      </w:r>
    </w:p>
    <w:p w14:paraId="4A55A746"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t>Clarke实验室首先证实，在抗雌激素治疗的敏感和耐药乳腺癌细胞中均存在TSC2/AMPK</w:t>
      </w:r>
      <w:proofErr w:type="gramStart"/>
      <w:r w:rsidRPr="001D4A2E">
        <w:rPr>
          <w:rFonts w:ascii="微软雅黑" w:eastAsia="微软雅黑" w:hAnsi="微软雅黑" w:cs="宋体"/>
          <w:kern w:val="0"/>
          <w:sz w:val="24"/>
          <w:szCs w:val="24"/>
        </w:rPr>
        <w:t>介</w:t>
      </w:r>
      <w:proofErr w:type="gramEnd"/>
      <w:r w:rsidRPr="001D4A2E">
        <w:rPr>
          <w:rFonts w:ascii="微软雅黑" w:eastAsia="微软雅黑" w:hAnsi="微软雅黑" w:cs="宋体"/>
          <w:kern w:val="0"/>
          <w:sz w:val="24"/>
          <w:szCs w:val="24"/>
        </w:rPr>
        <w:t>导的mTOR抑制（</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"B100"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100</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w:t>
      </w:r>
      <w:proofErr w:type="spellStart"/>
      <w:r w:rsidRPr="001D4A2E">
        <w:rPr>
          <w:rFonts w:ascii="微软雅黑" w:eastAsia="微软雅黑" w:hAnsi="微软雅黑" w:cs="宋体"/>
          <w:kern w:val="0"/>
          <w:sz w:val="24"/>
          <w:szCs w:val="24"/>
        </w:rPr>
        <w:t>Koumenis</w:t>
      </w:r>
      <w:proofErr w:type="spellEnd"/>
      <w:r w:rsidRPr="001D4A2E">
        <w:rPr>
          <w:rFonts w:ascii="微软雅黑" w:eastAsia="微软雅黑" w:hAnsi="微软雅黑" w:cs="宋体"/>
          <w:kern w:val="0"/>
          <w:sz w:val="24"/>
          <w:szCs w:val="24"/>
        </w:rPr>
        <w:t>实验室的研究进一步阐明了AMPK的作用，该研究采用基因方法选择性地下调了AMPKα1和AMPKα2亚型（</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"B106"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106</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）。研究结果表明，AMPKα1是三苯氧</w:t>
      </w:r>
      <w:proofErr w:type="gramStart"/>
      <w:r w:rsidRPr="001D4A2E">
        <w:rPr>
          <w:rFonts w:ascii="微软雅黑" w:eastAsia="微软雅黑" w:hAnsi="微软雅黑" w:cs="宋体"/>
          <w:kern w:val="0"/>
          <w:sz w:val="24"/>
          <w:szCs w:val="24"/>
        </w:rPr>
        <w:t>胺</w:t>
      </w:r>
      <w:proofErr w:type="gramEnd"/>
      <w:r w:rsidRPr="001D4A2E">
        <w:rPr>
          <w:rFonts w:ascii="微软雅黑" w:eastAsia="微软雅黑" w:hAnsi="微软雅黑" w:cs="宋体"/>
          <w:kern w:val="0"/>
          <w:sz w:val="24"/>
          <w:szCs w:val="24"/>
        </w:rPr>
        <w:t>诱导细胞毒性所必需的，而AMPKα2</w:t>
      </w:r>
      <w:proofErr w:type="gramStart"/>
      <w:r w:rsidRPr="001D4A2E">
        <w:rPr>
          <w:rFonts w:ascii="微软雅黑" w:eastAsia="微软雅黑" w:hAnsi="微软雅黑" w:cs="宋体"/>
          <w:kern w:val="0"/>
          <w:sz w:val="24"/>
          <w:szCs w:val="24"/>
        </w:rPr>
        <w:t>介</w:t>
      </w:r>
      <w:proofErr w:type="gramEnd"/>
      <w:r w:rsidRPr="001D4A2E">
        <w:rPr>
          <w:rFonts w:ascii="微软雅黑" w:eastAsia="微软雅黑" w:hAnsi="微软雅黑" w:cs="宋体"/>
          <w:kern w:val="0"/>
          <w:sz w:val="24"/>
          <w:szCs w:val="24"/>
        </w:rPr>
        <w:t>导三苯氧</w:t>
      </w:r>
      <w:proofErr w:type="gramStart"/>
      <w:r w:rsidRPr="001D4A2E">
        <w:rPr>
          <w:rFonts w:ascii="微软雅黑" w:eastAsia="微软雅黑" w:hAnsi="微软雅黑" w:cs="宋体"/>
          <w:kern w:val="0"/>
          <w:sz w:val="24"/>
          <w:szCs w:val="24"/>
        </w:rPr>
        <w:t>胺</w:t>
      </w:r>
      <w:proofErr w:type="gramEnd"/>
      <w:r w:rsidRPr="001D4A2E">
        <w:rPr>
          <w:rFonts w:ascii="微软雅黑" w:eastAsia="微软雅黑" w:hAnsi="微软雅黑" w:cs="宋体"/>
          <w:kern w:val="0"/>
          <w:sz w:val="24"/>
          <w:szCs w:val="24"/>
        </w:rPr>
        <w:t>诱导的自噬。随后的临床研究发现，晚期乳腺癌中AMPKα1的下调与转移和不良临床预后相关（</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"B107"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107</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）。值得注意的是，AMPKα2</w:t>
      </w:r>
      <w:r w:rsidRPr="001D4A2E">
        <w:rPr>
          <w:rFonts w:ascii="微软雅黑" w:eastAsia="微软雅黑" w:hAnsi="微软雅黑" w:cs="宋体"/>
          <w:kern w:val="0"/>
          <w:sz w:val="24"/>
          <w:szCs w:val="24"/>
        </w:rPr>
        <w:lastRenderedPageBreak/>
        <w:t>在本组患者中未下调，可能通过其</w:t>
      </w:r>
      <w:proofErr w:type="gramStart"/>
      <w:r w:rsidRPr="001D4A2E">
        <w:rPr>
          <w:rFonts w:ascii="微软雅黑" w:eastAsia="微软雅黑" w:hAnsi="微软雅黑" w:cs="宋体"/>
          <w:kern w:val="0"/>
          <w:sz w:val="24"/>
          <w:szCs w:val="24"/>
        </w:rPr>
        <w:t>介</w:t>
      </w:r>
      <w:proofErr w:type="gramEnd"/>
      <w:r w:rsidRPr="001D4A2E">
        <w:rPr>
          <w:rFonts w:ascii="微软雅黑" w:eastAsia="微软雅黑" w:hAnsi="微软雅黑" w:cs="宋体"/>
          <w:kern w:val="0"/>
          <w:sz w:val="24"/>
          <w:szCs w:val="24"/>
        </w:rPr>
        <w:t>导自噬的作用促进了乳腺癌的侵袭性。显然，这些研究强调了分析 AMPK 同工型在乳腺癌细胞对所有抗雌激素治疗的反应中所起的作用的必要性，并确定选择性阻断 AMPKα2 是否是对抗</w:t>
      </w:r>
      <w:proofErr w:type="gramStart"/>
      <w:r w:rsidRPr="001D4A2E">
        <w:rPr>
          <w:rFonts w:ascii="微软雅黑" w:eastAsia="微软雅黑" w:hAnsi="微软雅黑" w:cs="宋体"/>
          <w:kern w:val="0"/>
          <w:sz w:val="24"/>
          <w:szCs w:val="24"/>
        </w:rPr>
        <w:t>抗</w:t>
      </w:r>
      <w:proofErr w:type="gramEnd"/>
      <w:r w:rsidRPr="001D4A2E">
        <w:rPr>
          <w:rFonts w:ascii="微软雅黑" w:eastAsia="微软雅黑" w:hAnsi="微软雅黑" w:cs="宋体"/>
          <w:kern w:val="0"/>
          <w:sz w:val="24"/>
          <w:szCs w:val="24"/>
        </w:rPr>
        <w:t>雌激素耐药性和延缓复发的可行分子方法。</w:t>
      </w:r>
    </w:p>
    <w:p w14:paraId="52FF172C" w14:textId="77777777" w:rsidR="001D4A2E" w:rsidRPr="001D4A2E" w:rsidRDefault="001D4A2E" w:rsidP="001D4A2E">
      <w:pPr>
        <w:widowControl/>
        <w:spacing w:line="450" w:lineRule="atLeast"/>
        <w:outlineLvl w:val="2"/>
        <w:rPr>
          <w:rFonts w:ascii="微软雅黑" w:eastAsia="微软雅黑" w:hAnsi="微软雅黑" w:cs="宋体"/>
          <w:kern w:val="0"/>
          <w:sz w:val="32"/>
          <w:szCs w:val="32"/>
        </w:rPr>
      </w:pPr>
      <w:r w:rsidRPr="001D4A2E">
        <w:rPr>
          <w:rFonts w:ascii="微软雅黑" w:eastAsia="微软雅黑" w:hAnsi="微软雅黑" w:cs="宋体"/>
          <w:kern w:val="0"/>
          <w:sz w:val="32"/>
          <w:szCs w:val="32"/>
        </w:rPr>
        <w:t>5.3.芳香化酶抑制剂疗法和</w:t>
      </w:r>
      <w:proofErr w:type="gramStart"/>
      <w:r w:rsidRPr="001D4A2E">
        <w:rPr>
          <w:rFonts w:ascii="微软雅黑" w:eastAsia="微软雅黑" w:hAnsi="微软雅黑" w:cs="宋体"/>
          <w:kern w:val="0"/>
          <w:sz w:val="32"/>
          <w:szCs w:val="32"/>
        </w:rPr>
        <w:t>促生存</w:t>
      </w:r>
      <w:proofErr w:type="gramEnd"/>
      <w:r w:rsidRPr="001D4A2E">
        <w:rPr>
          <w:rFonts w:ascii="微软雅黑" w:eastAsia="微软雅黑" w:hAnsi="微软雅黑" w:cs="宋体"/>
          <w:kern w:val="0"/>
          <w:sz w:val="32"/>
          <w:szCs w:val="32"/>
        </w:rPr>
        <w:t>自噬</w:t>
      </w:r>
    </w:p>
    <w:p w14:paraId="1F28DEA9"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t>依西美坦是一种</w:t>
      </w:r>
      <w:proofErr w:type="gramStart"/>
      <w:r w:rsidRPr="001D4A2E">
        <w:rPr>
          <w:rFonts w:ascii="微软雅黑" w:eastAsia="微软雅黑" w:hAnsi="微软雅黑" w:cs="宋体"/>
          <w:kern w:val="0"/>
          <w:sz w:val="24"/>
          <w:szCs w:val="24"/>
        </w:rPr>
        <w:t>甾</w:t>
      </w:r>
      <w:proofErr w:type="gramEnd"/>
      <w:r w:rsidRPr="001D4A2E">
        <w:rPr>
          <w:rFonts w:ascii="微软雅黑" w:eastAsia="微软雅黑" w:hAnsi="微软雅黑" w:cs="宋体"/>
          <w:kern w:val="0"/>
          <w:sz w:val="24"/>
          <w:szCs w:val="24"/>
        </w:rPr>
        <w:t>体类芳香化酶抑制剂，已被证实能够诱导表达芳香化酶的MCF-7细胞（命名为MCF-7aro）发生自噬（</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"B108"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108</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）。芳香化酶抑制剂阻断了mTOR的活性，mTOR是正常细胞和癌细胞中自噬通路的主要负调控因子（</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"f2"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b/>
          <w:bCs/>
          <w:kern w:val="0"/>
          <w:sz w:val="24"/>
          <w:szCs w:val="24"/>
          <w:u w:val="single"/>
        </w:rPr>
        <w:t>图2</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），从而激活了AMPK。AMPK是哺乳动物细胞中的关键能量传感器，当能量（ATP水平）降低而AMP水平升高时，AMPK会被激活（</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"B109"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109</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）。AMPK一旦被激活，通常会抑制在营养丰富的条件下活跃并促进细胞生长的mTOR复合物（</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"B78"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78</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）。然而值得注意的是，非</w:t>
      </w:r>
      <w:proofErr w:type="gramStart"/>
      <w:r w:rsidRPr="001D4A2E">
        <w:rPr>
          <w:rFonts w:ascii="微软雅黑" w:eastAsia="微软雅黑" w:hAnsi="微软雅黑" w:cs="宋体"/>
          <w:kern w:val="0"/>
          <w:sz w:val="24"/>
          <w:szCs w:val="24"/>
        </w:rPr>
        <w:t>甾</w:t>
      </w:r>
      <w:proofErr w:type="gramEnd"/>
      <w:r w:rsidRPr="001D4A2E">
        <w:rPr>
          <w:rFonts w:ascii="微软雅黑" w:eastAsia="微软雅黑" w:hAnsi="微软雅黑" w:cs="宋体"/>
          <w:kern w:val="0"/>
          <w:sz w:val="24"/>
          <w:szCs w:val="24"/>
        </w:rPr>
        <w:t>体类芳香化酶抑制剂（来曲</w:t>
      </w:r>
      <w:proofErr w:type="gramStart"/>
      <w:r w:rsidRPr="001D4A2E">
        <w:rPr>
          <w:rFonts w:ascii="微软雅黑" w:eastAsia="微软雅黑" w:hAnsi="微软雅黑" w:cs="宋体"/>
          <w:kern w:val="0"/>
          <w:sz w:val="24"/>
          <w:szCs w:val="24"/>
        </w:rPr>
        <w:t>唑</w:t>
      </w:r>
      <w:proofErr w:type="gramEnd"/>
      <w:r w:rsidRPr="001D4A2E">
        <w:rPr>
          <w:rFonts w:ascii="微软雅黑" w:eastAsia="微软雅黑" w:hAnsi="微软雅黑" w:cs="宋体"/>
          <w:kern w:val="0"/>
          <w:sz w:val="24"/>
          <w:szCs w:val="24"/>
        </w:rPr>
        <w:t>和阿那曲</w:t>
      </w:r>
      <w:proofErr w:type="gramStart"/>
      <w:r w:rsidRPr="001D4A2E">
        <w:rPr>
          <w:rFonts w:ascii="微软雅黑" w:eastAsia="微软雅黑" w:hAnsi="微软雅黑" w:cs="宋体"/>
          <w:kern w:val="0"/>
          <w:sz w:val="24"/>
          <w:szCs w:val="24"/>
        </w:rPr>
        <w:t>唑</w:t>
      </w:r>
      <w:proofErr w:type="gramEnd"/>
      <w:r w:rsidRPr="001D4A2E">
        <w:rPr>
          <w:rFonts w:ascii="微软雅黑" w:eastAsia="微软雅黑" w:hAnsi="微软雅黑" w:cs="宋体"/>
          <w:kern w:val="0"/>
          <w:sz w:val="24"/>
          <w:szCs w:val="24"/>
        </w:rPr>
        <w:t>）并未增加细胞中LC3-I/II的表达或抑制SQSTM1/p62的表达，表明这些药物可能不会诱导乳腺癌细胞发生自噬（</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"B73"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73</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）。相反，来曲</w:t>
      </w:r>
      <w:proofErr w:type="gramStart"/>
      <w:r w:rsidRPr="001D4A2E">
        <w:rPr>
          <w:rFonts w:ascii="微软雅黑" w:eastAsia="微软雅黑" w:hAnsi="微软雅黑" w:cs="宋体"/>
          <w:kern w:val="0"/>
          <w:sz w:val="24"/>
          <w:szCs w:val="24"/>
        </w:rPr>
        <w:t>唑</w:t>
      </w:r>
      <w:proofErr w:type="gramEnd"/>
      <w:r w:rsidRPr="001D4A2E">
        <w:rPr>
          <w:rFonts w:ascii="微软雅黑" w:eastAsia="微软雅黑" w:hAnsi="微软雅黑" w:cs="宋体"/>
          <w:kern w:val="0"/>
          <w:sz w:val="24"/>
          <w:szCs w:val="24"/>
        </w:rPr>
        <w:t>和阿那曲</w:t>
      </w:r>
      <w:proofErr w:type="gramStart"/>
      <w:r w:rsidRPr="001D4A2E">
        <w:rPr>
          <w:rFonts w:ascii="微软雅黑" w:eastAsia="微软雅黑" w:hAnsi="微软雅黑" w:cs="宋体"/>
          <w:kern w:val="0"/>
          <w:sz w:val="24"/>
          <w:szCs w:val="24"/>
        </w:rPr>
        <w:t>唑</w:t>
      </w:r>
      <w:proofErr w:type="gramEnd"/>
      <w:r w:rsidRPr="001D4A2E">
        <w:rPr>
          <w:rFonts w:ascii="微软雅黑" w:eastAsia="微软雅黑" w:hAnsi="微软雅黑" w:cs="宋体"/>
          <w:kern w:val="0"/>
          <w:sz w:val="24"/>
          <w:szCs w:val="24"/>
        </w:rPr>
        <w:t>可增加MCF-7aro细胞的衰老，并可检测到Yippee样蛋白3 ( </w:t>
      </w:r>
      <w:r w:rsidRPr="001D4A2E">
        <w:rPr>
          <w:rFonts w:ascii="微软雅黑" w:eastAsia="微软雅黑" w:hAnsi="微软雅黑" w:cs="宋体"/>
          <w:i/>
          <w:iCs/>
          <w:kern w:val="0"/>
          <w:sz w:val="24"/>
          <w:szCs w:val="24"/>
        </w:rPr>
        <w:t>YPEL3)</w:t>
      </w:r>
      <w:r w:rsidRPr="001D4A2E">
        <w:rPr>
          <w:rFonts w:ascii="微软雅黑" w:eastAsia="微软雅黑" w:hAnsi="微软雅黑" w:cs="宋体"/>
          <w:kern w:val="0"/>
          <w:sz w:val="24"/>
          <w:szCs w:val="24"/>
        </w:rPr>
        <w:t>的上调，YPEL3是一种与他</w:t>
      </w:r>
      <w:proofErr w:type="gramStart"/>
      <w:r w:rsidRPr="001D4A2E">
        <w:rPr>
          <w:rFonts w:ascii="微软雅黑" w:eastAsia="微软雅黑" w:hAnsi="微软雅黑" w:cs="宋体"/>
          <w:kern w:val="0"/>
          <w:sz w:val="24"/>
          <w:szCs w:val="24"/>
        </w:rPr>
        <w:t>莫昔芬</w:t>
      </w:r>
      <w:proofErr w:type="gramEnd"/>
      <w:r w:rsidRPr="001D4A2E">
        <w:rPr>
          <w:rFonts w:ascii="微软雅黑" w:eastAsia="微软雅黑" w:hAnsi="微软雅黑" w:cs="宋体"/>
          <w:kern w:val="0"/>
          <w:sz w:val="24"/>
          <w:szCs w:val="24"/>
        </w:rPr>
        <w:t>诱导衰老相关的基因( </w:t>
      </w:r>
      <w:hyperlink r:id="rId83" w:anchor="B110" w:history="1">
        <w:r w:rsidRPr="001D4A2E">
          <w:rPr>
            <w:rFonts w:ascii="微软雅黑" w:eastAsia="微软雅黑" w:hAnsi="微软雅黑" w:cs="宋体"/>
            <w:kern w:val="0"/>
            <w:sz w:val="24"/>
            <w:szCs w:val="24"/>
            <w:u w:val="single"/>
          </w:rPr>
          <w:t>110</w:t>
        </w:r>
      </w:hyperlink>
      <w:r w:rsidRPr="001D4A2E">
        <w:rPr>
          <w:rFonts w:ascii="微软雅黑" w:eastAsia="微软雅黑" w:hAnsi="微软雅黑" w:cs="宋体"/>
          <w:kern w:val="0"/>
          <w:sz w:val="24"/>
          <w:szCs w:val="24"/>
        </w:rPr>
        <w:t> )。此外，在激素丰富的环境中，非</w:t>
      </w:r>
      <w:proofErr w:type="gramStart"/>
      <w:r w:rsidRPr="001D4A2E">
        <w:rPr>
          <w:rFonts w:ascii="微软雅黑" w:eastAsia="微软雅黑" w:hAnsi="微软雅黑" w:cs="宋体"/>
          <w:kern w:val="0"/>
          <w:sz w:val="24"/>
          <w:szCs w:val="24"/>
        </w:rPr>
        <w:t>甾</w:t>
      </w:r>
      <w:proofErr w:type="gramEnd"/>
      <w:r w:rsidRPr="001D4A2E">
        <w:rPr>
          <w:rFonts w:ascii="微软雅黑" w:eastAsia="微软雅黑" w:hAnsi="微软雅黑" w:cs="宋体"/>
          <w:kern w:val="0"/>
          <w:sz w:val="24"/>
          <w:szCs w:val="24"/>
        </w:rPr>
        <w:t>体类芳香化酶抑制剂(AIs)可上调ERα，同时阻断雌激素信号传导；而依西美坦则下调ERα。具有潜在临床意义的是，在激素缺乏的情况下，研究发现雄激素受体(AR)和ERα之间存在相互作用，增强了依西美坦的雌激素效应，提示在将依西美坦作为二线内分泌治疗时应谨慎</w:t>
      </w:r>
      <w:r w:rsidRPr="001D4A2E">
        <w:rPr>
          <w:rFonts w:ascii="微软雅黑" w:eastAsia="微软雅黑" w:hAnsi="微软雅黑" w:cs="宋体"/>
          <w:kern w:val="0"/>
          <w:sz w:val="24"/>
          <w:szCs w:val="24"/>
          <w:vertAlign w:val="superscript"/>
        </w:rPr>
        <w:t>(</w:t>
      </w:r>
      <w:r w:rsidRPr="001D4A2E">
        <w:rPr>
          <w:rFonts w:ascii="微软雅黑" w:eastAsia="微软雅黑" w:hAnsi="微软雅黑" w:cs="宋体"/>
          <w:kern w:val="0"/>
          <w:sz w:val="24"/>
          <w:szCs w:val="24"/>
        </w:rPr>
        <w:t> 110 </w:t>
      </w:r>
      <w:hyperlink r:id="rId84" w:anchor="B110" w:history="1">
        <w:r w:rsidRPr="001D4A2E">
          <w:rPr>
            <w:rFonts w:ascii="微软雅黑" w:eastAsia="微软雅黑" w:hAnsi="微软雅黑" w:cs="宋体"/>
            <w:kern w:val="0"/>
            <w:sz w:val="24"/>
            <w:szCs w:val="24"/>
            <w:u w:val="single"/>
          </w:rPr>
          <w:t>)</w:t>
        </w:r>
      </w:hyperlink>
      <w:r w:rsidRPr="001D4A2E">
        <w:rPr>
          <w:rFonts w:ascii="微软雅黑" w:eastAsia="微软雅黑" w:hAnsi="微软雅黑" w:cs="宋体"/>
          <w:kern w:val="0"/>
          <w:sz w:val="24"/>
          <w:szCs w:val="24"/>
        </w:rPr>
        <w:t>。这些由AIs</w:t>
      </w:r>
      <w:proofErr w:type="gramStart"/>
      <w:r w:rsidRPr="001D4A2E">
        <w:rPr>
          <w:rFonts w:ascii="微软雅黑" w:eastAsia="微软雅黑" w:hAnsi="微软雅黑" w:cs="宋体"/>
          <w:kern w:val="0"/>
          <w:sz w:val="24"/>
          <w:szCs w:val="24"/>
        </w:rPr>
        <w:t>介</w:t>
      </w:r>
      <w:proofErr w:type="gramEnd"/>
      <w:r w:rsidRPr="001D4A2E">
        <w:rPr>
          <w:rFonts w:ascii="微软雅黑" w:eastAsia="微软雅黑" w:hAnsi="微软雅黑" w:cs="宋体"/>
          <w:kern w:val="0"/>
          <w:sz w:val="24"/>
          <w:szCs w:val="24"/>
        </w:rPr>
        <w:t>导的不同结果与其在乳腺癌细胞中作用机制的不同方面相一致，并凸显了开展更深入研究的必要性。</w:t>
      </w:r>
    </w:p>
    <w:p w14:paraId="7DF2AD8B" w14:textId="77777777" w:rsidR="001D4A2E" w:rsidRPr="001D4A2E" w:rsidRDefault="001D4A2E" w:rsidP="001D4A2E">
      <w:pPr>
        <w:widowControl/>
        <w:spacing w:line="450" w:lineRule="atLeast"/>
        <w:outlineLvl w:val="2"/>
        <w:rPr>
          <w:rFonts w:ascii="微软雅黑" w:eastAsia="微软雅黑" w:hAnsi="微软雅黑" w:cs="宋体"/>
          <w:kern w:val="0"/>
          <w:sz w:val="32"/>
          <w:szCs w:val="32"/>
        </w:rPr>
      </w:pPr>
      <w:r w:rsidRPr="001D4A2E">
        <w:rPr>
          <w:rFonts w:ascii="微软雅黑" w:eastAsia="微软雅黑" w:hAnsi="微软雅黑" w:cs="宋体"/>
          <w:kern w:val="0"/>
          <w:sz w:val="32"/>
          <w:szCs w:val="32"/>
        </w:rPr>
        <w:lastRenderedPageBreak/>
        <w:t>5.4. 乳腺癌临床试验与自噬抑制</w:t>
      </w:r>
    </w:p>
    <w:p w14:paraId="61F89785"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t>近期有研究综述了靶向自噬以提高抗肿瘤药物疗效和降低癌细胞活力的研究（</w:t>
      </w:r>
      <w:hyperlink r:id="rId85" w:anchor="B111" w:history="1">
        <w:r w:rsidRPr="001D4A2E">
          <w:rPr>
            <w:rFonts w:ascii="微软雅黑" w:eastAsia="微软雅黑" w:hAnsi="微软雅黑" w:cs="宋体"/>
            <w:kern w:val="0"/>
            <w:sz w:val="24"/>
            <w:szCs w:val="24"/>
            <w:u w:val="single"/>
          </w:rPr>
          <w:t>111</w:t>
        </w:r>
      </w:hyperlink>
      <w:r w:rsidRPr="001D4A2E">
        <w:rPr>
          <w:rFonts w:ascii="微软雅黑" w:eastAsia="微软雅黑" w:hAnsi="微软雅黑" w:cs="宋体"/>
          <w:kern w:val="0"/>
          <w:sz w:val="24"/>
          <w:szCs w:val="24"/>
        </w:rPr>
        <w:t>）。这些试验通常使用溶酶体趋向性药物</w:t>
      </w:r>
      <w:proofErr w:type="gramStart"/>
      <w:r w:rsidRPr="001D4A2E">
        <w:rPr>
          <w:rFonts w:ascii="微软雅黑" w:eastAsia="微软雅黑" w:hAnsi="微软雅黑" w:cs="宋体"/>
          <w:kern w:val="0"/>
          <w:sz w:val="24"/>
          <w:szCs w:val="24"/>
        </w:rPr>
        <w:t>羟</w:t>
      </w:r>
      <w:proofErr w:type="gramEnd"/>
      <w:r w:rsidRPr="001D4A2E">
        <w:rPr>
          <w:rFonts w:ascii="微软雅黑" w:eastAsia="微软雅黑" w:hAnsi="微软雅黑" w:cs="宋体"/>
          <w:kern w:val="0"/>
          <w:sz w:val="24"/>
          <w:szCs w:val="24"/>
        </w:rPr>
        <w:t>氯喹（HCQ）和氯喹（CQ），这两种药物是目前仅有的两种获得FDA批准的自噬抑制剂，相关信息可在clinicaltrials.gov网站上查询。</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"T2"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b/>
          <w:bCs/>
          <w:kern w:val="0"/>
          <w:sz w:val="24"/>
          <w:szCs w:val="24"/>
          <w:u w:val="single"/>
        </w:rPr>
        <w:t>表2</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列出了正在进行的ER</w:t>
      </w:r>
      <w:r w:rsidRPr="001D4A2E">
        <w:rPr>
          <w:rFonts w:ascii="微软雅黑" w:eastAsia="微软雅黑" w:hAnsi="微软雅黑" w:cs="宋体"/>
          <w:kern w:val="0"/>
          <w:sz w:val="24"/>
          <w:szCs w:val="24"/>
          <w:vertAlign w:val="superscript"/>
        </w:rPr>
        <w:t>阳性</w:t>
      </w:r>
      <w:r w:rsidRPr="001D4A2E">
        <w:rPr>
          <w:rFonts w:ascii="微软雅黑" w:eastAsia="微软雅黑" w:hAnsi="微软雅黑" w:cs="宋体"/>
          <w:kern w:val="0"/>
          <w:sz w:val="24"/>
          <w:szCs w:val="24"/>
        </w:rPr>
        <w:t>乳腺癌临床试验，这些试验将HCQ和CQ与标准内分泌治疗、抗雌激素联合CDK4/6抑制剂或化疗联合应用。一项已发表的随机、双盲临床试验（</w:t>
      </w:r>
      <w:hyperlink r:id="rId86" w:tgtFrame="_blank" w:history="1">
        <w:r w:rsidRPr="001D4A2E">
          <w:rPr>
            <w:rFonts w:ascii="微软雅黑" w:eastAsia="微软雅黑" w:hAnsi="微软雅黑" w:cs="宋体"/>
            <w:kern w:val="0"/>
            <w:sz w:val="24"/>
            <w:szCs w:val="24"/>
            <w:u w:val="single"/>
          </w:rPr>
          <w:t>NCT02333890</w:t>
        </w:r>
      </w:hyperlink>
      <w:r w:rsidRPr="001D4A2E">
        <w:rPr>
          <w:rFonts w:ascii="微软雅黑" w:eastAsia="微软雅黑" w:hAnsi="微软雅黑" w:cs="宋体"/>
          <w:kern w:val="0"/>
          <w:sz w:val="24"/>
          <w:szCs w:val="24"/>
        </w:rPr>
        <w:t>）结果显示，术前6周内单药使用CQ（每日500 mg）未观察到明显的抗肿瘤作用，且术前用药存在毒性反应（</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"B112"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112</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）。尽管这些结果令人失望，但并不一定能预测当羟氯喹（HCQ）和氯喹（CQ）与其他能诱导ER</w:t>
      </w:r>
      <w:r w:rsidRPr="001D4A2E">
        <w:rPr>
          <w:rFonts w:ascii="微软雅黑" w:eastAsia="微软雅黑" w:hAnsi="微软雅黑" w:cs="宋体"/>
          <w:kern w:val="0"/>
          <w:sz w:val="24"/>
          <w:szCs w:val="24"/>
          <w:vertAlign w:val="superscript"/>
        </w:rPr>
        <w:t>阳性</w:t>
      </w:r>
      <w:r w:rsidRPr="001D4A2E">
        <w:rPr>
          <w:rFonts w:ascii="微软雅黑" w:eastAsia="微软雅黑" w:hAnsi="微软雅黑" w:cs="宋体"/>
          <w:kern w:val="0"/>
          <w:sz w:val="24"/>
          <w:szCs w:val="24"/>
        </w:rPr>
        <w:t>乳腺癌细胞发生</w:t>
      </w:r>
      <w:proofErr w:type="gramStart"/>
      <w:r w:rsidRPr="001D4A2E">
        <w:rPr>
          <w:rFonts w:ascii="微软雅黑" w:eastAsia="微软雅黑" w:hAnsi="微软雅黑" w:cs="宋体"/>
          <w:kern w:val="0"/>
          <w:sz w:val="24"/>
          <w:szCs w:val="24"/>
        </w:rPr>
        <w:t>促生存</w:t>
      </w:r>
      <w:proofErr w:type="gramEnd"/>
      <w:r w:rsidRPr="001D4A2E">
        <w:rPr>
          <w:rFonts w:ascii="微软雅黑" w:eastAsia="微软雅黑" w:hAnsi="微软雅黑" w:cs="宋体"/>
          <w:kern w:val="0"/>
          <w:sz w:val="24"/>
          <w:szCs w:val="24"/>
        </w:rPr>
        <w:t>自噬的治疗方式联合应用时的疗效。在其他癌症中，HCQ和CQ联合化疗或放疗已显示出可衡量的临床获益（</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"B113"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113</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）。此外，一项近期完成的</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"https://clinicaltrials.gov/ct2/show/NCT01446016" \t "_blank"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NCT01446016</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试验表明，将紫杉烷类和类紫杉烷类化疗药物（紫杉醇、多</w:t>
      </w:r>
      <w:proofErr w:type="gramStart"/>
      <w:r w:rsidRPr="001D4A2E">
        <w:rPr>
          <w:rFonts w:ascii="微软雅黑" w:eastAsia="微软雅黑" w:hAnsi="微软雅黑" w:cs="宋体"/>
          <w:kern w:val="0"/>
          <w:sz w:val="24"/>
          <w:szCs w:val="24"/>
        </w:rPr>
        <w:t>西他赛</w:t>
      </w:r>
      <w:proofErr w:type="gramEnd"/>
      <w:r w:rsidRPr="001D4A2E">
        <w:rPr>
          <w:rFonts w:ascii="微软雅黑" w:eastAsia="微软雅黑" w:hAnsi="微软雅黑" w:cs="宋体"/>
          <w:kern w:val="0"/>
          <w:sz w:val="24"/>
          <w:szCs w:val="24"/>
        </w:rPr>
        <w:t>、白蛋白结合型紫杉醇和伊</w:t>
      </w:r>
      <w:proofErr w:type="gramStart"/>
      <w:r w:rsidRPr="001D4A2E">
        <w:rPr>
          <w:rFonts w:ascii="微软雅黑" w:eastAsia="微软雅黑" w:hAnsi="微软雅黑" w:cs="宋体"/>
          <w:kern w:val="0"/>
          <w:sz w:val="24"/>
          <w:szCs w:val="24"/>
        </w:rPr>
        <w:t>沙匹隆</w:t>
      </w:r>
      <w:proofErr w:type="gramEnd"/>
      <w:r w:rsidRPr="001D4A2E">
        <w:rPr>
          <w:rFonts w:ascii="微软雅黑" w:eastAsia="微软雅黑" w:hAnsi="微软雅黑" w:cs="宋体"/>
          <w:kern w:val="0"/>
          <w:sz w:val="24"/>
          <w:szCs w:val="24"/>
        </w:rPr>
        <w:t>）与HCQ联合应用，对既往接受过</w:t>
      </w:r>
      <w:proofErr w:type="gramStart"/>
      <w:r w:rsidRPr="001D4A2E">
        <w:rPr>
          <w:rFonts w:ascii="微软雅黑" w:eastAsia="微软雅黑" w:hAnsi="微软雅黑" w:cs="宋体"/>
          <w:kern w:val="0"/>
          <w:sz w:val="24"/>
          <w:szCs w:val="24"/>
        </w:rPr>
        <w:t>蒽</w:t>
      </w:r>
      <w:proofErr w:type="gramEnd"/>
      <w:r w:rsidRPr="001D4A2E">
        <w:rPr>
          <w:rFonts w:ascii="微软雅黑" w:eastAsia="微软雅黑" w:hAnsi="微软雅黑" w:cs="宋体"/>
          <w:kern w:val="0"/>
          <w:sz w:val="24"/>
          <w:szCs w:val="24"/>
        </w:rPr>
        <w:t>环类化疗的晚期和转移性乳腺癌患者有效（</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"B114"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114</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）。目前正在进行的CQ或HCQ联合抗雌激素和CDK4/6抑制剂的临床试验（</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"T1"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b/>
          <w:bCs/>
          <w:kern w:val="0"/>
          <w:sz w:val="24"/>
          <w:szCs w:val="24"/>
          <w:u w:val="single"/>
        </w:rPr>
        <w:t>表1</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）至关重要，有望更好地阐明自噬在乳腺癌生存中的作用。需要注意的是，CQ/HCQ与其他药物的给药顺序必须考虑在内。氯喹 (CQ) 和</w:t>
      </w:r>
      <w:proofErr w:type="gramStart"/>
      <w:r w:rsidRPr="001D4A2E">
        <w:rPr>
          <w:rFonts w:ascii="微软雅黑" w:eastAsia="微软雅黑" w:hAnsi="微软雅黑" w:cs="宋体"/>
          <w:kern w:val="0"/>
          <w:sz w:val="24"/>
          <w:szCs w:val="24"/>
        </w:rPr>
        <w:t>羟氯喹</w:t>
      </w:r>
      <w:proofErr w:type="gramEnd"/>
      <w:r w:rsidRPr="001D4A2E">
        <w:rPr>
          <w:rFonts w:ascii="微软雅黑" w:eastAsia="微软雅黑" w:hAnsi="微软雅黑" w:cs="宋体"/>
          <w:kern w:val="0"/>
          <w:sz w:val="24"/>
          <w:szCs w:val="24"/>
        </w:rPr>
        <w:t xml:space="preserve"> (HCQ) 可能在标准治疗诱导自噬后疗效更佳。此外，如果自噬在抗雌激素和 CDK 抑制剂的抗肿瘤作用中发挥作用，那么靶</w:t>
      </w:r>
      <w:proofErr w:type="gramStart"/>
      <w:r w:rsidRPr="001D4A2E">
        <w:rPr>
          <w:rFonts w:ascii="微软雅黑" w:eastAsia="微软雅黑" w:hAnsi="微软雅黑" w:cs="宋体"/>
          <w:kern w:val="0"/>
          <w:sz w:val="24"/>
          <w:szCs w:val="24"/>
        </w:rPr>
        <w:t>向治疗</w:t>
      </w:r>
      <w:proofErr w:type="gramEnd"/>
      <w:r w:rsidRPr="001D4A2E">
        <w:rPr>
          <w:rFonts w:ascii="微软雅黑" w:eastAsia="微软雅黑" w:hAnsi="微软雅黑" w:cs="宋体"/>
          <w:kern w:val="0"/>
          <w:sz w:val="24"/>
          <w:szCs w:val="24"/>
        </w:rPr>
        <w:t>的时机可能对获得有效疗效至关重要。自噬在癌细胞生物学中的复杂性（阴阳两面性）近期已有综述 ( </w:t>
      </w:r>
      <w:hyperlink r:id="rId87" w:anchor="B115" w:history="1">
        <w:r w:rsidRPr="001D4A2E">
          <w:rPr>
            <w:rFonts w:ascii="微软雅黑" w:eastAsia="微软雅黑" w:hAnsi="微软雅黑" w:cs="宋体"/>
            <w:kern w:val="0"/>
            <w:sz w:val="24"/>
            <w:szCs w:val="24"/>
            <w:u w:val="single"/>
          </w:rPr>
          <w:t>115</w:t>
        </w:r>
      </w:hyperlink>
      <w:r w:rsidRPr="001D4A2E">
        <w:rPr>
          <w:rFonts w:ascii="微软雅黑" w:eastAsia="微软雅黑" w:hAnsi="微软雅黑" w:cs="宋体"/>
          <w:kern w:val="0"/>
          <w:sz w:val="24"/>
          <w:szCs w:val="24"/>
        </w:rPr>
        <w:t> )。</w:t>
      </w:r>
    </w:p>
    <w:p w14:paraId="18D9A40F" w14:textId="77777777" w:rsidR="001D4A2E" w:rsidRPr="001D4A2E" w:rsidRDefault="001D4A2E" w:rsidP="001D4A2E">
      <w:pPr>
        <w:widowControl/>
        <w:spacing w:line="450" w:lineRule="atLeast"/>
        <w:outlineLvl w:val="3"/>
        <w:rPr>
          <w:rFonts w:ascii="微软雅黑" w:eastAsia="微软雅黑" w:hAnsi="微软雅黑" w:cs="宋体"/>
          <w:kern w:val="0"/>
          <w:sz w:val="30"/>
          <w:szCs w:val="30"/>
        </w:rPr>
      </w:pPr>
      <w:r w:rsidRPr="001D4A2E">
        <w:rPr>
          <w:rFonts w:ascii="微软雅黑" w:eastAsia="微软雅黑" w:hAnsi="微软雅黑" w:cs="宋体"/>
          <w:kern w:val="0"/>
          <w:sz w:val="30"/>
          <w:szCs w:val="30"/>
        </w:rPr>
        <w:lastRenderedPageBreak/>
        <w:t>表2。</w:t>
      </w:r>
    </w:p>
    <w:p w14:paraId="707785A6"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美国正在进行的羟氯喹或氯喹治疗乳腺癌的临床试验列表。</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573"/>
        <w:gridCol w:w="1127"/>
        <w:gridCol w:w="402"/>
        <w:gridCol w:w="3194"/>
      </w:tblGrid>
      <w:tr w:rsidR="001D4A2E" w:rsidRPr="001D4A2E" w14:paraId="59B1C936" w14:textId="77777777" w:rsidTr="001D4A2E">
        <w:trPr>
          <w:tblHeader/>
          <w:tblCellSpacing w:w="15" w:type="dxa"/>
        </w:trPr>
        <w:tc>
          <w:tcPr>
            <w:tcW w:w="2147" w:type="pct"/>
            <w:tcMar>
              <w:top w:w="56" w:type="dxa"/>
              <w:left w:w="56" w:type="dxa"/>
              <w:bottom w:w="56" w:type="dxa"/>
              <w:right w:w="56" w:type="dxa"/>
            </w:tcMar>
            <w:hideMark/>
          </w:tcPr>
          <w:p w14:paraId="344F25F8" w14:textId="77777777" w:rsidR="001D4A2E" w:rsidRPr="001D4A2E" w:rsidRDefault="001D4A2E" w:rsidP="001D4A2E">
            <w:pPr>
              <w:widowControl/>
              <w:rPr>
                <w:rFonts w:ascii="微软雅黑" w:eastAsia="微软雅黑" w:hAnsi="微软雅黑" w:cs="宋体"/>
                <w:b/>
                <w:bCs/>
                <w:kern w:val="0"/>
                <w:sz w:val="24"/>
                <w:szCs w:val="24"/>
              </w:rPr>
            </w:pPr>
            <w:r w:rsidRPr="001D4A2E">
              <w:rPr>
                <w:rFonts w:ascii="微软雅黑" w:eastAsia="微软雅黑" w:hAnsi="微软雅黑" w:cs="宋体"/>
                <w:b/>
                <w:bCs/>
                <w:kern w:val="0"/>
                <w:sz w:val="24"/>
                <w:szCs w:val="24"/>
              </w:rPr>
              <w:t>NCT（研究名称）</w:t>
            </w:r>
          </w:p>
        </w:tc>
        <w:tc>
          <w:tcPr>
            <w:tcW w:w="676" w:type="pct"/>
            <w:tcMar>
              <w:top w:w="56" w:type="dxa"/>
              <w:left w:w="56" w:type="dxa"/>
              <w:bottom w:w="56" w:type="dxa"/>
              <w:right w:w="56" w:type="dxa"/>
            </w:tcMar>
            <w:hideMark/>
          </w:tcPr>
          <w:p w14:paraId="5B706DE3" w14:textId="77777777" w:rsidR="001D4A2E" w:rsidRPr="001D4A2E" w:rsidRDefault="001D4A2E" w:rsidP="001D4A2E">
            <w:pPr>
              <w:widowControl/>
              <w:rPr>
                <w:rFonts w:ascii="微软雅黑" w:eastAsia="微软雅黑" w:hAnsi="微软雅黑" w:cs="宋体"/>
                <w:b/>
                <w:bCs/>
                <w:kern w:val="0"/>
                <w:sz w:val="24"/>
                <w:szCs w:val="24"/>
              </w:rPr>
            </w:pPr>
            <w:r w:rsidRPr="001D4A2E">
              <w:rPr>
                <w:rFonts w:ascii="微软雅黑" w:eastAsia="微软雅黑" w:hAnsi="微软雅黑" w:cs="宋体"/>
                <w:b/>
                <w:bCs/>
                <w:kern w:val="0"/>
                <w:sz w:val="24"/>
                <w:szCs w:val="24"/>
              </w:rPr>
              <w:t>干涉</w:t>
            </w:r>
          </w:p>
        </w:tc>
        <w:tc>
          <w:tcPr>
            <w:tcW w:w="191" w:type="pct"/>
            <w:tcMar>
              <w:top w:w="56" w:type="dxa"/>
              <w:left w:w="56" w:type="dxa"/>
              <w:bottom w:w="56" w:type="dxa"/>
              <w:right w:w="56" w:type="dxa"/>
            </w:tcMar>
            <w:hideMark/>
          </w:tcPr>
          <w:p w14:paraId="033492A8" w14:textId="77777777" w:rsidR="001D4A2E" w:rsidRPr="001D4A2E" w:rsidRDefault="001D4A2E" w:rsidP="001D4A2E">
            <w:pPr>
              <w:widowControl/>
              <w:rPr>
                <w:rFonts w:ascii="微软雅黑" w:eastAsia="微软雅黑" w:hAnsi="微软雅黑" w:cs="宋体"/>
                <w:b/>
                <w:bCs/>
                <w:kern w:val="0"/>
                <w:sz w:val="24"/>
                <w:szCs w:val="24"/>
              </w:rPr>
            </w:pPr>
            <w:r w:rsidRPr="001D4A2E">
              <w:rPr>
                <w:rFonts w:ascii="微软雅黑" w:eastAsia="微软雅黑" w:hAnsi="微软雅黑" w:cs="宋体"/>
                <w:b/>
                <w:bCs/>
                <w:kern w:val="0"/>
                <w:sz w:val="24"/>
                <w:szCs w:val="24"/>
              </w:rPr>
              <w:t>阶段</w:t>
            </w:r>
          </w:p>
        </w:tc>
        <w:tc>
          <w:tcPr>
            <w:tcW w:w="1918" w:type="pct"/>
            <w:tcMar>
              <w:top w:w="56" w:type="dxa"/>
              <w:left w:w="56" w:type="dxa"/>
              <w:bottom w:w="56" w:type="dxa"/>
              <w:right w:w="56" w:type="dxa"/>
            </w:tcMar>
            <w:hideMark/>
          </w:tcPr>
          <w:p w14:paraId="12EAEDCF" w14:textId="77777777" w:rsidR="001D4A2E" w:rsidRPr="001D4A2E" w:rsidRDefault="001D4A2E" w:rsidP="001D4A2E">
            <w:pPr>
              <w:widowControl/>
              <w:rPr>
                <w:rFonts w:ascii="微软雅黑" w:eastAsia="微软雅黑" w:hAnsi="微软雅黑" w:cs="宋体"/>
                <w:b/>
                <w:bCs/>
                <w:kern w:val="0"/>
                <w:sz w:val="24"/>
                <w:szCs w:val="24"/>
              </w:rPr>
            </w:pPr>
            <w:r w:rsidRPr="001D4A2E">
              <w:rPr>
                <w:rFonts w:ascii="微软雅黑" w:eastAsia="微软雅黑" w:hAnsi="微软雅黑" w:cs="宋体"/>
                <w:b/>
                <w:bCs/>
                <w:kern w:val="0"/>
                <w:sz w:val="24"/>
                <w:szCs w:val="24"/>
              </w:rPr>
              <w:t>主要终点</w:t>
            </w:r>
          </w:p>
        </w:tc>
      </w:tr>
      <w:tr w:rsidR="001D4A2E" w:rsidRPr="001D4A2E" w14:paraId="6B4ADC04" w14:textId="77777777" w:rsidTr="001D4A2E">
        <w:trPr>
          <w:tblCellSpacing w:w="15" w:type="dxa"/>
        </w:trPr>
        <w:tc>
          <w:tcPr>
            <w:tcW w:w="2147" w:type="pct"/>
            <w:tcMar>
              <w:top w:w="56" w:type="dxa"/>
              <w:left w:w="56" w:type="dxa"/>
              <w:bottom w:w="56" w:type="dxa"/>
              <w:right w:w="56" w:type="dxa"/>
            </w:tcMar>
            <w:hideMark/>
          </w:tcPr>
          <w:p w14:paraId="1480F124" w14:textId="77777777" w:rsidR="001D4A2E" w:rsidRPr="001D4A2E" w:rsidRDefault="001D4A2E" w:rsidP="001D4A2E">
            <w:pPr>
              <w:widowControl/>
              <w:rPr>
                <w:rFonts w:ascii="微软雅黑" w:eastAsia="微软雅黑" w:hAnsi="微软雅黑" w:cs="宋体"/>
                <w:kern w:val="0"/>
                <w:sz w:val="24"/>
                <w:szCs w:val="24"/>
              </w:rPr>
            </w:pPr>
            <w:hyperlink r:id="rId88" w:tgtFrame="_blank" w:history="1">
              <w:r w:rsidRPr="001D4A2E">
                <w:rPr>
                  <w:rFonts w:ascii="微软雅黑" w:eastAsia="微软雅黑" w:hAnsi="微软雅黑" w:cs="宋体"/>
                  <w:kern w:val="0"/>
                  <w:sz w:val="24"/>
                  <w:szCs w:val="24"/>
                  <w:u w:val="single"/>
                </w:rPr>
                <w:t>NCT03774472</w:t>
              </w:r>
            </w:hyperlink>
            <w:r w:rsidRPr="001D4A2E">
              <w:rPr>
                <w:rFonts w:ascii="微软雅黑" w:eastAsia="微软雅黑" w:hAnsi="微软雅黑" w:cs="宋体"/>
                <w:kern w:val="0"/>
                <w:sz w:val="24"/>
                <w:szCs w:val="24"/>
              </w:rPr>
              <w:t>：</w:t>
            </w:r>
            <w:proofErr w:type="gramStart"/>
            <w:r w:rsidRPr="001D4A2E">
              <w:rPr>
                <w:rFonts w:ascii="微软雅黑" w:eastAsia="微软雅黑" w:hAnsi="微软雅黑" w:cs="宋体"/>
                <w:kern w:val="0"/>
                <w:sz w:val="24"/>
                <w:szCs w:val="24"/>
              </w:rPr>
              <w:t>羟</w:t>
            </w:r>
            <w:proofErr w:type="gramEnd"/>
            <w:r w:rsidRPr="001D4A2E">
              <w:rPr>
                <w:rFonts w:ascii="微软雅黑" w:eastAsia="微软雅黑" w:hAnsi="微软雅黑" w:cs="宋体"/>
                <w:kern w:val="0"/>
                <w:sz w:val="24"/>
                <w:szCs w:val="24"/>
              </w:rPr>
              <w:t>氯喹、帕博西尼和来曲</w:t>
            </w:r>
            <w:proofErr w:type="gramStart"/>
            <w:r w:rsidRPr="001D4A2E">
              <w:rPr>
                <w:rFonts w:ascii="微软雅黑" w:eastAsia="微软雅黑" w:hAnsi="微软雅黑" w:cs="宋体"/>
                <w:kern w:val="0"/>
                <w:sz w:val="24"/>
                <w:szCs w:val="24"/>
              </w:rPr>
              <w:t>唑</w:t>
            </w:r>
            <w:proofErr w:type="gramEnd"/>
            <w:r w:rsidRPr="001D4A2E">
              <w:rPr>
                <w:rFonts w:ascii="微软雅黑" w:eastAsia="微软雅黑" w:hAnsi="微软雅黑" w:cs="宋体"/>
                <w:kern w:val="0"/>
                <w:sz w:val="24"/>
                <w:szCs w:val="24"/>
              </w:rPr>
              <w:t>在术前治疗雌激素受体阳性、HER2阴性乳腺癌患者</w:t>
            </w:r>
          </w:p>
        </w:tc>
        <w:tc>
          <w:tcPr>
            <w:tcW w:w="676" w:type="pct"/>
            <w:tcMar>
              <w:top w:w="56" w:type="dxa"/>
              <w:left w:w="56" w:type="dxa"/>
              <w:bottom w:w="56" w:type="dxa"/>
              <w:right w:w="56" w:type="dxa"/>
            </w:tcMar>
            <w:hideMark/>
          </w:tcPr>
          <w:p w14:paraId="31AFA15C" w14:textId="77777777" w:rsidR="001D4A2E" w:rsidRPr="001D4A2E" w:rsidRDefault="001D4A2E" w:rsidP="001D4A2E">
            <w:pPr>
              <w:widowControl/>
              <w:rPr>
                <w:rFonts w:ascii="微软雅黑" w:eastAsia="微软雅黑" w:hAnsi="微软雅黑" w:cs="宋体"/>
                <w:kern w:val="0"/>
                <w:sz w:val="24"/>
                <w:szCs w:val="24"/>
              </w:rPr>
            </w:pPr>
            <w:proofErr w:type="gramStart"/>
            <w:r w:rsidRPr="001D4A2E">
              <w:rPr>
                <w:rFonts w:ascii="微软雅黑" w:eastAsia="微软雅黑" w:hAnsi="微软雅黑" w:cs="宋体"/>
                <w:kern w:val="0"/>
                <w:sz w:val="24"/>
                <w:szCs w:val="24"/>
              </w:rPr>
              <w:t>羟</w:t>
            </w:r>
            <w:proofErr w:type="gramEnd"/>
            <w:r w:rsidRPr="001D4A2E">
              <w:rPr>
                <w:rFonts w:ascii="微软雅黑" w:eastAsia="微软雅黑" w:hAnsi="微软雅黑" w:cs="宋体"/>
                <w:kern w:val="0"/>
                <w:sz w:val="24"/>
                <w:szCs w:val="24"/>
              </w:rPr>
              <w:t>氯喹+帕利</w:t>
            </w:r>
            <w:proofErr w:type="gramStart"/>
            <w:r w:rsidRPr="001D4A2E">
              <w:rPr>
                <w:rFonts w:ascii="微软雅黑" w:eastAsia="微软雅黑" w:hAnsi="微软雅黑" w:cs="宋体"/>
                <w:kern w:val="0"/>
                <w:sz w:val="24"/>
                <w:szCs w:val="24"/>
              </w:rPr>
              <w:t>哌</w:t>
            </w:r>
            <w:proofErr w:type="gramEnd"/>
            <w:r w:rsidRPr="001D4A2E">
              <w:rPr>
                <w:rFonts w:ascii="微软雅黑" w:eastAsia="微软雅黑" w:hAnsi="微软雅黑" w:cs="宋体"/>
                <w:kern w:val="0"/>
                <w:sz w:val="24"/>
                <w:szCs w:val="24"/>
              </w:rPr>
              <w:t>酮+来曲</w:t>
            </w:r>
            <w:proofErr w:type="gramStart"/>
            <w:r w:rsidRPr="001D4A2E">
              <w:rPr>
                <w:rFonts w:ascii="微软雅黑" w:eastAsia="微软雅黑" w:hAnsi="微软雅黑" w:cs="宋体"/>
                <w:kern w:val="0"/>
                <w:sz w:val="24"/>
                <w:szCs w:val="24"/>
              </w:rPr>
              <w:t>唑</w:t>
            </w:r>
            <w:proofErr w:type="gramEnd"/>
          </w:p>
        </w:tc>
        <w:tc>
          <w:tcPr>
            <w:tcW w:w="191" w:type="pct"/>
            <w:tcMar>
              <w:top w:w="56" w:type="dxa"/>
              <w:left w:w="56" w:type="dxa"/>
              <w:bottom w:w="56" w:type="dxa"/>
              <w:right w:w="56" w:type="dxa"/>
            </w:tcMar>
            <w:hideMark/>
          </w:tcPr>
          <w:p w14:paraId="39CE1180"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二</w:t>
            </w:r>
          </w:p>
        </w:tc>
        <w:tc>
          <w:tcPr>
            <w:tcW w:w="1918" w:type="pct"/>
            <w:tcMar>
              <w:top w:w="56" w:type="dxa"/>
              <w:left w:w="56" w:type="dxa"/>
              <w:bottom w:w="56" w:type="dxa"/>
              <w:right w:w="56" w:type="dxa"/>
            </w:tcMar>
            <w:hideMark/>
          </w:tcPr>
          <w:p w14:paraId="3182357D"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评价</w:t>
            </w:r>
            <w:proofErr w:type="gramStart"/>
            <w:r w:rsidRPr="001D4A2E">
              <w:rPr>
                <w:rFonts w:ascii="微软雅黑" w:eastAsia="微软雅黑" w:hAnsi="微软雅黑" w:cs="宋体"/>
                <w:kern w:val="0"/>
                <w:sz w:val="24"/>
                <w:szCs w:val="24"/>
              </w:rPr>
              <w:t>羟</w:t>
            </w:r>
            <w:proofErr w:type="gramEnd"/>
            <w:r w:rsidRPr="001D4A2E">
              <w:rPr>
                <w:rFonts w:ascii="微软雅黑" w:eastAsia="微软雅黑" w:hAnsi="微软雅黑" w:cs="宋体"/>
                <w:kern w:val="0"/>
                <w:sz w:val="24"/>
                <w:szCs w:val="24"/>
              </w:rPr>
              <w:t>氯喹联</w:t>
            </w:r>
            <w:proofErr w:type="gramStart"/>
            <w:r w:rsidRPr="001D4A2E">
              <w:rPr>
                <w:rFonts w:ascii="微软雅黑" w:eastAsia="微软雅黑" w:hAnsi="微软雅黑" w:cs="宋体"/>
                <w:kern w:val="0"/>
                <w:sz w:val="24"/>
                <w:szCs w:val="24"/>
              </w:rPr>
              <w:t>合帕</w:t>
            </w:r>
            <w:proofErr w:type="gramEnd"/>
            <w:r w:rsidRPr="001D4A2E">
              <w:rPr>
                <w:rFonts w:ascii="微软雅黑" w:eastAsia="微软雅黑" w:hAnsi="微软雅黑" w:cs="宋体"/>
                <w:kern w:val="0"/>
                <w:sz w:val="24"/>
                <w:szCs w:val="24"/>
              </w:rPr>
              <w:t>拉</w:t>
            </w:r>
            <w:proofErr w:type="gramStart"/>
            <w:r w:rsidRPr="001D4A2E">
              <w:rPr>
                <w:rFonts w:ascii="微软雅黑" w:eastAsia="微软雅黑" w:hAnsi="微软雅黑" w:cs="宋体"/>
                <w:kern w:val="0"/>
                <w:sz w:val="24"/>
                <w:szCs w:val="24"/>
              </w:rPr>
              <w:t>唑</w:t>
            </w:r>
            <w:proofErr w:type="gramEnd"/>
            <w:r w:rsidRPr="001D4A2E">
              <w:rPr>
                <w:rFonts w:ascii="微软雅黑" w:eastAsia="微软雅黑" w:hAnsi="微软雅黑" w:cs="宋体"/>
                <w:kern w:val="0"/>
                <w:sz w:val="24"/>
                <w:szCs w:val="24"/>
              </w:rPr>
              <w:t>+来曲</w:t>
            </w:r>
            <w:proofErr w:type="gramStart"/>
            <w:r w:rsidRPr="001D4A2E">
              <w:rPr>
                <w:rFonts w:ascii="微软雅黑" w:eastAsia="微软雅黑" w:hAnsi="微软雅黑" w:cs="宋体"/>
                <w:kern w:val="0"/>
                <w:sz w:val="24"/>
                <w:szCs w:val="24"/>
              </w:rPr>
              <w:t>唑</w:t>
            </w:r>
            <w:proofErr w:type="gramEnd"/>
            <w:r w:rsidRPr="001D4A2E">
              <w:rPr>
                <w:rFonts w:ascii="微软雅黑" w:eastAsia="微软雅黑" w:hAnsi="微软雅黑" w:cs="宋体"/>
                <w:kern w:val="0"/>
                <w:sz w:val="24"/>
                <w:szCs w:val="24"/>
              </w:rPr>
              <w:t>的疗效和安全性。</w:t>
            </w:r>
          </w:p>
        </w:tc>
      </w:tr>
      <w:tr w:rsidR="001D4A2E" w:rsidRPr="001D4A2E" w14:paraId="5089BE54" w14:textId="77777777" w:rsidTr="001D4A2E">
        <w:trPr>
          <w:tblCellSpacing w:w="15" w:type="dxa"/>
        </w:trPr>
        <w:tc>
          <w:tcPr>
            <w:tcW w:w="2147" w:type="pct"/>
            <w:tcMar>
              <w:top w:w="56" w:type="dxa"/>
              <w:left w:w="56" w:type="dxa"/>
              <w:bottom w:w="56" w:type="dxa"/>
              <w:right w:w="56" w:type="dxa"/>
            </w:tcMar>
            <w:hideMark/>
          </w:tcPr>
          <w:p w14:paraId="31E77CF7" w14:textId="77777777" w:rsidR="001D4A2E" w:rsidRPr="001D4A2E" w:rsidRDefault="001D4A2E" w:rsidP="001D4A2E">
            <w:pPr>
              <w:widowControl/>
              <w:rPr>
                <w:rFonts w:ascii="微软雅黑" w:eastAsia="微软雅黑" w:hAnsi="微软雅黑" w:cs="宋体"/>
                <w:kern w:val="0"/>
                <w:sz w:val="24"/>
                <w:szCs w:val="24"/>
              </w:rPr>
            </w:pPr>
            <w:hyperlink r:id="rId89" w:tgtFrame="_blank" w:history="1">
              <w:r w:rsidRPr="001D4A2E">
                <w:rPr>
                  <w:rFonts w:ascii="微软雅黑" w:eastAsia="微软雅黑" w:hAnsi="微软雅黑" w:cs="宋体"/>
                  <w:kern w:val="0"/>
                  <w:sz w:val="24"/>
                  <w:szCs w:val="24"/>
                  <w:u w:val="single"/>
                </w:rPr>
                <w:t>NCT04523857</w:t>
              </w:r>
            </w:hyperlink>
            <w:r w:rsidRPr="001D4A2E">
              <w:rPr>
                <w:rFonts w:ascii="微软雅黑" w:eastAsia="微软雅黑" w:hAnsi="微软雅黑" w:cs="宋体"/>
                <w:kern w:val="0"/>
                <w:sz w:val="24"/>
                <w:szCs w:val="24"/>
              </w:rPr>
              <w:t>：阿贝西利或阿贝西利联合</w:t>
            </w:r>
            <w:proofErr w:type="gramStart"/>
            <w:r w:rsidRPr="001D4A2E">
              <w:rPr>
                <w:rFonts w:ascii="微软雅黑" w:eastAsia="微软雅黑" w:hAnsi="微软雅黑" w:cs="宋体"/>
                <w:kern w:val="0"/>
                <w:sz w:val="24"/>
                <w:szCs w:val="24"/>
              </w:rPr>
              <w:t>羟</w:t>
            </w:r>
            <w:proofErr w:type="gramEnd"/>
            <w:r w:rsidRPr="001D4A2E">
              <w:rPr>
                <w:rFonts w:ascii="微软雅黑" w:eastAsia="微软雅黑" w:hAnsi="微软雅黑" w:cs="宋体"/>
                <w:kern w:val="0"/>
                <w:sz w:val="24"/>
                <w:szCs w:val="24"/>
              </w:rPr>
              <w:t>氯喹靶</w:t>
            </w:r>
            <w:proofErr w:type="gramStart"/>
            <w:r w:rsidRPr="001D4A2E">
              <w:rPr>
                <w:rFonts w:ascii="微软雅黑" w:eastAsia="微软雅黑" w:hAnsi="微软雅黑" w:cs="宋体"/>
                <w:kern w:val="0"/>
                <w:sz w:val="24"/>
                <w:szCs w:val="24"/>
              </w:rPr>
              <w:t>向治疗</w:t>
            </w:r>
            <w:proofErr w:type="gramEnd"/>
            <w:r w:rsidRPr="001D4A2E">
              <w:rPr>
                <w:rFonts w:ascii="微软雅黑" w:eastAsia="微软雅黑" w:hAnsi="微软雅黑" w:cs="宋体"/>
                <w:kern w:val="0"/>
                <w:sz w:val="24"/>
                <w:szCs w:val="24"/>
              </w:rPr>
              <w:t>乳腺癌微小残留病灶（ABBY）</w:t>
            </w:r>
          </w:p>
        </w:tc>
        <w:tc>
          <w:tcPr>
            <w:tcW w:w="676" w:type="pct"/>
            <w:tcMar>
              <w:top w:w="56" w:type="dxa"/>
              <w:left w:w="56" w:type="dxa"/>
              <w:bottom w:w="56" w:type="dxa"/>
              <w:right w:w="56" w:type="dxa"/>
            </w:tcMar>
            <w:hideMark/>
          </w:tcPr>
          <w:p w14:paraId="18B1DEC8" w14:textId="77777777" w:rsidR="001D4A2E" w:rsidRPr="001D4A2E" w:rsidRDefault="001D4A2E" w:rsidP="001D4A2E">
            <w:pPr>
              <w:widowControl/>
              <w:rPr>
                <w:rFonts w:ascii="微软雅黑" w:eastAsia="微软雅黑" w:hAnsi="微软雅黑" w:cs="宋体"/>
                <w:kern w:val="0"/>
                <w:sz w:val="24"/>
                <w:szCs w:val="24"/>
              </w:rPr>
            </w:pPr>
            <w:proofErr w:type="spellStart"/>
            <w:r w:rsidRPr="001D4A2E">
              <w:rPr>
                <w:rFonts w:ascii="微软雅黑" w:eastAsia="微软雅黑" w:hAnsi="微软雅黑" w:cs="宋体"/>
                <w:kern w:val="0"/>
                <w:sz w:val="24"/>
                <w:szCs w:val="24"/>
              </w:rPr>
              <w:t>Abema</w:t>
            </w:r>
            <w:proofErr w:type="spellEnd"/>
            <w:r w:rsidRPr="001D4A2E">
              <w:rPr>
                <w:rFonts w:ascii="微软雅黑" w:eastAsia="微软雅黑" w:hAnsi="微软雅黑" w:cs="宋体"/>
                <w:kern w:val="0"/>
                <w:sz w:val="24"/>
                <w:szCs w:val="24"/>
              </w:rPr>
              <w:t xml:space="preserve"> + 羟氯喹</w:t>
            </w:r>
          </w:p>
        </w:tc>
        <w:tc>
          <w:tcPr>
            <w:tcW w:w="191" w:type="pct"/>
            <w:tcMar>
              <w:top w:w="56" w:type="dxa"/>
              <w:left w:w="56" w:type="dxa"/>
              <w:bottom w:w="56" w:type="dxa"/>
              <w:right w:w="56" w:type="dxa"/>
            </w:tcMar>
            <w:hideMark/>
          </w:tcPr>
          <w:p w14:paraId="7ABC6A55"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二</w:t>
            </w:r>
          </w:p>
        </w:tc>
        <w:tc>
          <w:tcPr>
            <w:tcW w:w="1918" w:type="pct"/>
            <w:tcMar>
              <w:top w:w="56" w:type="dxa"/>
              <w:left w:w="56" w:type="dxa"/>
              <w:bottom w:w="56" w:type="dxa"/>
              <w:right w:w="56" w:type="dxa"/>
            </w:tcMar>
            <w:hideMark/>
          </w:tcPr>
          <w:p w14:paraId="29482A41"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评估使用 HCQ +</w:t>
            </w:r>
            <w:proofErr w:type="spellStart"/>
            <w:r w:rsidRPr="001D4A2E">
              <w:rPr>
                <w:rFonts w:ascii="微软雅黑" w:eastAsia="微软雅黑" w:hAnsi="微软雅黑" w:cs="宋体"/>
                <w:kern w:val="0"/>
                <w:sz w:val="24"/>
                <w:szCs w:val="24"/>
              </w:rPr>
              <w:t>Abema</w:t>
            </w:r>
            <w:proofErr w:type="spellEnd"/>
            <w:r w:rsidRPr="001D4A2E">
              <w:rPr>
                <w:rFonts w:ascii="微软雅黑" w:eastAsia="微软雅黑" w:hAnsi="微软雅黑" w:cs="宋体"/>
                <w:kern w:val="0"/>
                <w:sz w:val="24"/>
                <w:szCs w:val="24"/>
              </w:rPr>
              <w:t xml:space="preserve"> 治疗播散性骨肿瘤细胞的疗效。</w:t>
            </w:r>
          </w:p>
        </w:tc>
      </w:tr>
      <w:tr w:rsidR="001D4A2E" w:rsidRPr="001D4A2E" w14:paraId="08E8D944" w14:textId="77777777" w:rsidTr="001D4A2E">
        <w:trPr>
          <w:tblCellSpacing w:w="15" w:type="dxa"/>
        </w:trPr>
        <w:tc>
          <w:tcPr>
            <w:tcW w:w="2147" w:type="pct"/>
            <w:tcMar>
              <w:top w:w="56" w:type="dxa"/>
              <w:left w:w="56" w:type="dxa"/>
              <w:bottom w:w="56" w:type="dxa"/>
              <w:right w:w="56" w:type="dxa"/>
            </w:tcMar>
            <w:hideMark/>
          </w:tcPr>
          <w:p w14:paraId="4F5777A1" w14:textId="77777777" w:rsidR="001D4A2E" w:rsidRPr="001D4A2E" w:rsidRDefault="001D4A2E" w:rsidP="001D4A2E">
            <w:pPr>
              <w:widowControl/>
              <w:rPr>
                <w:rFonts w:ascii="微软雅黑" w:eastAsia="微软雅黑" w:hAnsi="微软雅黑" w:cs="宋体"/>
                <w:kern w:val="0"/>
                <w:sz w:val="24"/>
                <w:szCs w:val="24"/>
              </w:rPr>
            </w:pPr>
            <w:hyperlink r:id="rId90" w:tgtFrame="_blank" w:history="1">
              <w:r w:rsidRPr="001D4A2E">
                <w:rPr>
                  <w:rFonts w:ascii="微软雅黑" w:eastAsia="微软雅黑" w:hAnsi="微软雅黑" w:cs="宋体"/>
                  <w:kern w:val="0"/>
                  <w:sz w:val="24"/>
                  <w:szCs w:val="24"/>
                  <w:u w:val="single"/>
                </w:rPr>
                <w:t>NCT04841148</w:t>
              </w:r>
            </w:hyperlink>
            <w:r w:rsidRPr="001D4A2E">
              <w:rPr>
                <w:rFonts w:ascii="微软雅黑" w:eastAsia="微软雅黑" w:hAnsi="微软雅黑" w:cs="宋体"/>
                <w:kern w:val="0"/>
                <w:sz w:val="24"/>
                <w:szCs w:val="24"/>
              </w:rPr>
              <w:t>：阿</w:t>
            </w:r>
            <w:proofErr w:type="gramStart"/>
            <w:r w:rsidRPr="001D4A2E">
              <w:rPr>
                <w:rFonts w:ascii="微软雅黑" w:eastAsia="微软雅黑" w:hAnsi="微软雅黑" w:cs="宋体"/>
                <w:kern w:val="0"/>
                <w:sz w:val="24"/>
                <w:szCs w:val="24"/>
              </w:rPr>
              <w:t>维鲁单</w:t>
            </w:r>
            <w:proofErr w:type="gramEnd"/>
            <w:r w:rsidRPr="001D4A2E">
              <w:rPr>
                <w:rFonts w:ascii="微软雅黑" w:eastAsia="微软雅黑" w:hAnsi="微软雅黑" w:cs="宋体"/>
                <w:kern w:val="0"/>
                <w:sz w:val="24"/>
                <w:szCs w:val="24"/>
              </w:rPr>
              <w:t>抗或羟氯喹联合或不联</w:t>
            </w:r>
            <w:proofErr w:type="gramStart"/>
            <w:r w:rsidRPr="001D4A2E">
              <w:rPr>
                <w:rFonts w:ascii="微软雅黑" w:eastAsia="微软雅黑" w:hAnsi="微软雅黑" w:cs="宋体"/>
                <w:kern w:val="0"/>
                <w:sz w:val="24"/>
                <w:szCs w:val="24"/>
              </w:rPr>
              <w:t>合帕</w:t>
            </w:r>
            <w:proofErr w:type="gramEnd"/>
            <w:r w:rsidRPr="001D4A2E">
              <w:rPr>
                <w:rFonts w:ascii="微软雅黑" w:eastAsia="微软雅黑" w:hAnsi="微软雅黑" w:cs="宋体"/>
                <w:kern w:val="0"/>
                <w:sz w:val="24"/>
                <w:szCs w:val="24"/>
              </w:rPr>
              <w:t>博西</w:t>
            </w:r>
            <w:proofErr w:type="gramStart"/>
            <w:r w:rsidRPr="001D4A2E">
              <w:rPr>
                <w:rFonts w:ascii="微软雅黑" w:eastAsia="微软雅黑" w:hAnsi="微软雅黑" w:cs="宋体"/>
                <w:kern w:val="0"/>
                <w:sz w:val="24"/>
                <w:szCs w:val="24"/>
              </w:rPr>
              <w:t>尼治疗</w:t>
            </w:r>
            <w:proofErr w:type="gramEnd"/>
            <w:r w:rsidRPr="001D4A2E">
              <w:rPr>
                <w:rFonts w:ascii="微软雅黑" w:eastAsia="微软雅黑" w:hAnsi="微软雅黑" w:cs="宋体"/>
                <w:kern w:val="0"/>
                <w:sz w:val="24"/>
                <w:szCs w:val="24"/>
              </w:rPr>
              <w:t>休眠乳腺癌（PALAVY）</w:t>
            </w:r>
          </w:p>
        </w:tc>
        <w:tc>
          <w:tcPr>
            <w:tcW w:w="676" w:type="pct"/>
            <w:tcMar>
              <w:top w:w="56" w:type="dxa"/>
              <w:left w:w="56" w:type="dxa"/>
              <w:bottom w:w="56" w:type="dxa"/>
              <w:right w:w="56" w:type="dxa"/>
            </w:tcMar>
            <w:hideMark/>
          </w:tcPr>
          <w:p w14:paraId="69953088" w14:textId="77777777" w:rsidR="001D4A2E" w:rsidRPr="001D4A2E" w:rsidRDefault="001D4A2E" w:rsidP="001D4A2E">
            <w:pPr>
              <w:widowControl/>
              <w:rPr>
                <w:rFonts w:ascii="微软雅黑" w:eastAsia="微软雅黑" w:hAnsi="微软雅黑" w:cs="宋体"/>
                <w:kern w:val="0"/>
                <w:sz w:val="24"/>
                <w:szCs w:val="24"/>
              </w:rPr>
            </w:pPr>
            <w:proofErr w:type="gramStart"/>
            <w:r w:rsidRPr="001D4A2E">
              <w:rPr>
                <w:rFonts w:ascii="微软雅黑" w:eastAsia="微软雅黑" w:hAnsi="微软雅黑" w:cs="宋体"/>
                <w:kern w:val="0"/>
                <w:sz w:val="24"/>
                <w:szCs w:val="24"/>
              </w:rPr>
              <w:t>羟</w:t>
            </w:r>
            <w:proofErr w:type="gramEnd"/>
            <w:r w:rsidRPr="001D4A2E">
              <w:rPr>
                <w:rFonts w:ascii="微软雅黑" w:eastAsia="微软雅黑" w:hAnsi="微软雅黑" w:cs="宋体"/>
                <w:kern w:val="0"/>
                <w:sz w:val="24"/>
                <w:szCs w:val="24"/>
              </w:rPr>
              <w:t>氯喹</w:t>
            </w:r>
            <w:r w:rsidRPr="001D4A2E">
              <w:rPr>
                <w:rFonts w:ascii="微软雅黑" w:eastAsia="微软雅黑" w:hAnsi="微软雅黑" w:cs="宋体"/>
                <w:kern w:val="0"/>
                <w:sz w:val="24"/>
                <w:szCs w:val="24"/>
              </w:rPr>
              <w:br/>
              <w:t>阿</w:t>
            </w:r>
            <w:proofErr w:type="gramStart"/>
            <w:r w:rsidRPr="001D4A2E">
              <w:rPr>
                <w:rFonts w:ascii="微软雅黑" w:eastAsia="微软雅黑" w:hAnsi="微软雅黑" w:cs="宋体"/>
                <w:kern w:val="0"/>
                <w:sz w:val="24"/>
                <w:szCs w:val="24"/>
              </w:rPr>
              <w:t>维鲁单</w:t>
            </w:r>
            <w:proofErr w:type="gramEnd"/>
            <w:r w:rsidRPr="001D4A2E">
              <w:rPr>
                <w:rFonts w:ascii="微软雅黑" w:eastAsia="微软雅黑" w:hAnsi="微软雅黑" w:cs="宋体"/>
                <w:kern w:val="0"/>
                <w:sz w:val="24"/>
                <w:szCs w:val="24"/>
              </w:rPr>
              <w:t>抗</w:t>
            </w:r>
            <w:r w:rsidRPr="001D4A2E">
              <w:rPr>
                <w:rFonts w:ascii="微软雅黑" w:eastAsia="微软雅黑" w:hAnsi="微软雅黑" w:cs="宋体"/>
                <w:kern w:val="0"/>
                <w:sz w:val="24"/>
                <w:szCs w:val="24"/>
              </w:rPr>
              <w:br/>
              <w:t>帕</w:t>
            </w:r>
            <w:proofErr w:type="gramStart"/>
            <w:r w:rsidRPr="001D4A2E">
              <w:rPr>
                <w:rFonts w:ascii="微软雅黑" w:eastAsia="微软雅黑" w:hAnsi="微软雅黑" w:cs="宋体"/>
                <w:kern w:val="0"/>
                <w:sz w:val="24"/>
                <w:szCs w:val="24"/>
              </w:rPr>
              <w:t>洛</w:t>
            </w:r>
            <w:proofErr w:type="gramEnd"/>
            <w:r w:rsidRPr="001D4A2E">
              <w:rPr>
                <w:rFonts w:ascii="微软雅黑" w:eastAsia="微软雅黑" w:hAnsi="微软雅黑" w:cs="宋体"/>
                <w:kern w:val="0"/>
                <w:sz w:val="24"/>
                <w:szCs w:val="24"/>
              </w:rPr>
              <w:t>尔+</w:t>
            </w:r>
            <w:proofErr w:type="gramStart"/>
            <w:r w:rsidRPr="001D4A2E">
              <w:rPr>
                <w:rFonts w:ascii="微软雅黑" w:eastAsia="微软雅黑" w:hAnsi="微软雅黑" w:cs="宋体"/>
                <w:kern w:val="0"/>
                <w:sz w:val="24"/>
                <w:szCs w:val="24"/>
              </w:rPr>
              <w:t>阿维鲁</w:t>
            </w:r>
            <w:proofErr w:type="gramEnd"/>
            <w:r w:rsidRPr="001D4A2E">
              <w:rPr>
                <w:rFonts w:ascii="微软雅黑" w:eastAsia="微软雅黑" w:hAnsi="微软雅黑" w:cs="宋体"/>
                <w:kern w:val="0"/>
                <w:sz w:val="24"/>
                <w:szCs w:val="24"/>
              </w:rPr>
              <w:br/>
              <w:t>单抗帕</w:t>
            </w:r>
            <w:proofErr w:type="gramStart"/>
            <w:r w:rsidRPr="001D4A2E">
              <w:rPr>
                <w:rFonts w:ascii="微软雅黑" w:eastAsia="微软雅黑" w:hAnsi="微软雅黑" w:cs="宋体"/>
                <w:kern w:val="0"/>
                <w:sz w:val="24"/>
                <w:szCs w:val="24"/>
              </w:rPr>
              <w:t>洛</w:t>
            </w:r>
            <w:proofErr w:type="gramEnd"/>
            <w:r w:rsidRPr="001D4A2E">
              <w:rPr>
                <w:rFonts w:ascii="微软雅黑" w:eastAsia="微软雅黑" w:hAnsi="微软雅黑" w:cs="宋体"/>
                <w:kern w:val="0"/>
                <w:sz w:val="24"/>
                <w:szCs w:val="24"/>
              </w:rPr>
              <w:t>尔+羟氯喹</w:t>
            </w:r>
          </w:p>
        </w:tc>
        <w:tc>
          <w:tcPr>
            <w:tcW w:w="191" w:type="pct"/>
            <w:tcMar>
              <w:top w:w="56" w:type="dxa"/>
              <w:left w:w="56" w:type="dxa"/>
              <w:bottom w:w="56" w:type="dxa"/>
              <w:right w:w="56" w:type="dxa"/>
            </w:tcMar>
            <w:hideMark/>
          </w:tcPr>
          <w:p w14:paraId="1B73B178"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二</w:t>
            </w:r>
          </w:p>
        </w:tc>
        <w:tc>
          <w:tcPr>
            <w:tcW w:w="1918" w:type="pct"/>
            <w:tcMar>
              <w:top w:w="56" w:type="dxa"/>
              <w:left w:w="56" w:type="dxa"/>
              <w:bottom w:w="56" w:type="dxa"/>
              <w:right w:w="56" w:type="dxa"/>
            </w:tcMar>
            <w:hideMark/>
          </w:tcPr>
          <w:p w14:paraId="406BF6D3"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确定</w:t>
            </w:r>
            <w:proofErr w:type="gramStart"/>
            <w:r w:rsidRPr="001D4A2E">
              <w:rPr>
                <w:rFonts w:ascii="微软雅黑" w:eastAsia="微软雅黑" w:hAnsi="微软雅黑" w:cs="宋体"/>
                <w:kern w:val="0"/>
                <w:sz w:val="24"/>
                <w:szCs w:val="24"/>
              </w:rPr>
              <w:t>羟</w:t>
            </w:r>
            <w:proofErr w:type="gramEnd"/>
            <w:r w:rsidRPr="001D4A2E">
              <w:rPr>
                <w:rFonts w:ascii="微软雅黑" w:eastAsia="微软雅黑" w:hAnsi="微软雅黑" w:cs="宋体"/>
                <w:kern w:val="0"/>
                <w:sz w:val="24"/>
                <w:szCs w:val="24"/>
              </w:rPr>
              <w:t>氯喹或阿</w:t>
            </w:r>
            <w:proofErr w:type="gramStart"/>
            <w:r w:rsidRPr="001D4A2E">
              <w:rPr>
                <w:rFonts w:ascii="微软雅黑" w:eastAsia="微软雅黑" w:hAnsi="微软雅黑" w:cs="宋体"/>
                <w:kern w:val="0"/>
                <w:sz w:val="24"/>
                <w:szCs w:val="24"/>
              </w:rPr>
              <w:t>维鲁单抗在</w:t>
            </w:r>
            <w:proofErr w:type="gramEnd"/>
            <w:r w:rsidRPr="001D4A2E">
              <w:rPr>
                <w:rFonts w:ascii="微软雅黑" w:eastAsia="微软雅黑" w:hAnsi="微软雅黑" w:cs="宋体"/>
                <w:kern w:val="0"/>
                <w:sz w:val="24"/>
                <w:szCs w:val="24"/>
              </w:rPr>
              <w:t>清除骨髓播散性肿瘤细胞方面的疗效。</w:t>
            </w:r>
          </w:p>
        </w:tc>
      </w:tr>
      <w:tr w:rsidR="001D4A2E" w:rsidRPr="001D4A2E" w14:paraId="58DABB31" w14:textId="77777777" w:rsidTr="001D4A2E">
        <w:trPr>
          <w:tblCellSpacing w:w="15" w:type="dxa"/>
        </w:trPr>
        <w:tc>
          <w:tcPr>
            <w:tcW w:w="2147" w:type="pct"/>
            <w:tcMar>
              <w:top w:w="56" w:type="dxa"/>
              <w:left w:w="56" w:type="dxa"/>
              <w:bottom w:w="56" w:type="dxa"/>
              <w:right w:w="56" w:type="dxa"/>
            </w:tcMar>
            <w:hideMark/>
          </w:tcPr>
          <w:p w14:paraId="67E3CCA8" w14:textId="77777777" w:rsidR="001D4A2E" w:rsidRPr="001D4A2E" w:rsidRDefault="001D4A2E" w:rsidP="001D4A2E">
            <w:pPr>
              <w:widowControl/>
              <w:rPr>
                <w:rFonts w:ascii="微软雅黑" w:eastAsia="微软雅黑" w:hAnsi="微软雅黑" w:cs="宋体"/>
                <w:kern w:val="0"/>
                <w:sz w:val="24"/>
                <w:szCs w:val="24"/>
              </w:rPr>
            </w:pPr>
            <w:hyperlink r:id="rId91" w:tgtFrame="_blank" w:history="1">
              <w:r w:rsidRPr="001D4A2E">
                <w:rPr>
                  <w:rFonts w:ascii="微软雅黑" w:eastAsia="微软雅黑" w:hAnsi="微软雅黑" w:cs="宋体"/>
                  <w:kern w:val="0"/>
                  <w:sz w:val="24"/>
                  <w:szCs w:val="24"/>
                  <w:u w:val="single"/>
                </w:rPr>
                <w:t>NCT03032406</w:t>
              </w:r>
            </w:hyperlink>
            <w:r w:rsidRPr="001D4A2E">
              <w:rPr>
                <w:rFonts w:ascii="微软雅黑" w:eastAsia="微软雅黑" w:hAnsi="微软雅黑" w:cs="宋体"/>
                <w:kern w:val="0"/>
                <w:sz w:val="24"/>
                <w:szCs w:val="24"/>
              </w:rPr>
              <w:t>：CLEVER 试点试验：</w:t>
            </w:r>
            <w:proofErr w:type="gramStart"/>
            <w:r w:rsidRPr="001D4A2E">
              <w:rPr>
                <w:rFonts w:ascii="微软雅黑" w:eastAsia="微软雅黑" w:hAnsi="微软雅黑" w:cs="宋体"/>
                <w:kern w:val="0"/>
                <w:sz w:val="24"/>
                <w:szCs w:val="24"/>
              </w:rPr>
              <w:t>羟</w:t>
            </w:r>
            <w:proofErr w:type="gramEnd"/>
            <w:r w:rsidRPr="001D4A2E">
              <w:rPr>
                <w:rFonts w:ascii="微软雅黑" w:eastAsia="微软雅黑" w:hAnsi="微软雅黑" w:cs="宋体"/>
                <w:kern w:val="0"/>
                <w:sz w:val="24"/>
                <w:szCs w:val="24"/>
              </w:rPr>
              <w:t>氯喹、依维莫司或二者</w:t>
            </w:r>
            <w:r w:rsidRPr="001D4A2E">
              <w:rPr>
                <w:rFonts w:ascii="微软雅黑" w:eastAsia="微软雅黑" w:hAnsi="微软雅黑" w:cs="宋体"/>
                <w:kern w:val="0"/>
                <w:sz w:val="24"/>
                <w:szCs w:val="24"/>
              </w:rPr>
              <w:lastRenderedPageBreak/>
              <w:t xml:space="preserve">联合用药预防复发性乳腺癌的 II </w:t>
            </w:r>
            <w:proofErr w:type="gramStart"/>
            <w:r w:rsidRPr="001D4A2E">
              <w:rPr>
                <w:rFonts w:ascii="微软雅黑" w:eastAsia="微软雅黑" w:hAnsi="微软雅黑" w:cs="宋体"/>
                <w:kern w:val="0"/>
                <w:sz w:val="24"/>
                <w:szCs w:val="24"/>
              </w:rPr>
              <w:t>期试点</w:t>
            </w:r>
            <w:proofErr w:type="gramEnd"/>
            <w:r w:rsidRPr="001D4A2E">
              <w:rPr>
                <w:rFonts w:ascii="微软雅黑" w:eastAsia="微软雅黑" w:hAnsi="微软雅黑" w:cs="宋体"/>
                <w:kern w:val="0"/>
                <w:sz w:val="24"/>
                <w:szCs w:val="24"/>
              </w:rPr>
              <w:t>试验</w:t>
            </w:r>
          </w:p>
        </w:tc>
        <w:tc>
          <w:tcPr>
            <w:tcW w:w="676" w:type="pct"/>
            <w:tcMar>
              <w:top w:w="56" w:type="dxa"/>
              <w:left w:w="56" w:type="dxa"/>
              <w:bottom w:w="56" w:type="dxa"/>
              <w:right w:w="56" w:type="dxa"/>
            </w:tcMar>
            <w:hideMark/>
          </w:tcPr>
          <w:p w14:paraId="292F49C3"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lastRenderedPageBreak/>
              <w:t>HCQ</w:t>
            </w:r>
            <w:r w:rsidRPr="001D4A2E">
              <w:rPr>
                <w:rFonts w:ascii="微软雅黑" w:eastAsia="微软雅黑" w:hAnsi="微软雅黑" w:cs="宋体"/>
                <w:kern w:val="0"/>
                <w:sz w:val="24"/>
                <w:szCs w:val="24"/>
              </w:rPr>
              <w:br/>
              <w:t>夏娃</w:t>
            </w:r>
          </w:p>
        </w:tc>
        <w:tc>
          <w:tcPr>
            <w:tcW w:w="191" w:type="pct"/>
            <w:tcMar>
              <w:top w:w="56" w:type="dxa"/>
              <w:left w:w="56" w:type="dxa"/>
              <w:bottom w:w="56" w:type="dxa"/>
              <w:right w:w="56" w:type="dxa"/>
            </w:tcMar>
            <w:hideMark/>
          </w:tcPr>
          <w:p w14:paraId="162D7391"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二</w:t>
            </w:r>
          </w:p>
        </w:tc>
        <w:tc>
          <w:tcPr>
            <w:tcW w:w="1918" w:type="pct"/>
            <w:tcMar>
              <w:top w:w="56" w:type="dxa"/>
              <w:left w:w="56" w:type="dxa"/>
              <w:bottom w:w="56" w:type="dxa"/>
              <w:right w:w="56" w:type="dxa"/>
            </w:tcMar>
            <w:hideMark/>
          </w:tcPr>
          <w:p w14:paraId="68B73E37"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评估对已完成乳腺癌一线治疗且骨髓中存在播散性肿瘤</w:t>
            </w:r>
            <w:r w:rsidRPr="001D4A2E">
              <w:rPr>
                <w:rFonts w:ascii="微软雅黑" w:eastAsia="微软雅黑" w:hAnsi="微软雅黑" w:cs="宋体"/>
                <w:kern w:val="0"/>
                <w:sz w:val="24"/>
                <w:szCs w:val="24"/>
              </w:rPr>
              <w:lastRenderedPageBreak/>
              <w:t>细胞的患者使用 HCQ、EVE 或二者联合治疗的可行性。</w:t>
            </w:r>
          </w:p>
        </w:tc>
      </w:tr>
      <w:tr w:rsidR="001D4A2E" w:rsidRPr="001D4A2E" w14:paraId="1EF8BBBF" w14:textId="77777777" w:rsidTr="001D4A2E">
        <w:trPr>
          <w:tblCellSpacing w:w="15" w:type="dxa"/>
        </w:trPr>
        <w:tc>
          <w:tcPr>
            <w:tcW w:w="2147" w:type="pct"/>
            <w:tcMar>
              <w:top w:w="56" w:type="dxa"/>
              <w:left w:w="56" w:type="dxa"/>
              <w:bottom w:w="56" w:type="dxa"/>
              <w:right w:w="56" w:type="dxa"/>
            </w:tcMar>
            <w:hideMark/>
          </w:tcPr>
          <w:p w14:paraId="5A4C2044" w14:textId="77777777" w:rsidR="001D4A2E" w:rsidRPr="001D4A2E" w:rsidRDefault="001D4A2E" w:rsidP="001D4A2E">
            <w:pPr>
              <w:widowControl/>
              <w:rPr>
                <w:rFonts w:ascii="微软雅黑" w:eastAsia="微软雅黑" w:hAnsi="微软雅黑" w:cs="宋体"/>
                <w:kern w:val="0"/>
                <w:sz w:val="24"/>
                <w:szCs w:val="24"/>
              </w:rPr>
            </w:pPr>
            <w:hyperlink r:id="rId92" w:tgtFrame="_blank" w:history="1">
              <w:r w:rsidRPr="001D4A2E">
                <w:rPr>
                  <w:rFonts w:ascii="微软雅黑" w:eastAsia="微软雅黑" w:hAnsi="微软雅黑" w:cs="宋体"/>
                  <w:kern w:val="0"/>
                  <w:sz w:val="24"/>
                  <w:szCs w:val="24"/>
                  <w:u w:val="single"/>
                </w:rPr>
                <w:t>NCT05953350</w:t>
              </w:r>
            </w:hyperlink>
            <w:r w:rsidRPr="001D4A2E">
              <w:rPr>
                <w:rFonts w:ascii="微软雅黑" w:eastAsia="微软雅黑" w:hAnsi="微软雅黑" w:cs="宋体"/>
                <w:kern w:val="0"/>
                <w:sz w:val="24"/>
                <w:szCs w:val="24"/>
              </w:rPr>
              <w:t xml:space="preserve">：一项 </w:t>
            </w:r>
            <w:proofErr w:type="spellStart"/>
            <w:r w:rsidRPr="001D4A2E">
              <w:rPr>
                <w:rFonts w:ascii="微软雅黑" w:eastAsia="微软雅黑" w:hAnsi="微软雅黑" w:cs="宋体"/>
                <w:kern w:val="0"/>
                <w:sz w:val="24"/>
                <w:szCs w:val="24"/>
              </w:rPr>
              <w:t>Ib</w:t>
            </w:r>
            <w:proofErr w:type="spellEnd"/>
            <w:r w:rsidRPr="001D4A2E">
              <w:rPr>
                <w:rFonts w:ascii="微软雅黑" w:eastAsia="微软雅黑" w:hAnsi="微软雅黑" w:cs="宋体"/>
                <w:kern w:val="0"/>
                <w:sz w:val="24"/>
                <w:szCs w:val="24"/>
              </w:rPr>
              <w:t>/II 期研究证实，抑制自噬可增强高剂量 CDK4/6i 的抗肿瘤作用。</w:t>
            </w:r>
          </w:p>
        </w:tc>
        <w:tc>
          <w:tcPr>
            <w:tcW w:w="676" w:type="pct"/>
            <w:tcMar>
              <w:top w:w="56" w:type="dxa"/>
              <w:left w:w="56" w:type="dxa"/>
              <w:bottom w:w="56" w:type="dxa"/>
              <w:right w:w="56" w:type="dxa"/>
            </w:tcMar>
            <w:hideMark/>
          </w:tcPr>
          <w:p w14:paraId="357EA5E6"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帕金森氏菌+羟氯喹</w:t>
            </w:r>
          </w:p>
        </w:tc>
        <w:tc>
          <w:tcPr>
            <w:tcW w:w="191" w:type="pct"/>
            <w:tcMar>
              <w:top w:w="56" w:type="dxa"/>
              <w:left w:w="56" w:type="dxa"/>
              <w:bottom w:w="56" w:type="dxa"/>
              <w:right w:w="56" w:type="dxa"/>
            </w:tcMar>
            <w:hideMark/>
          </w:tcPr>
          <w:p w14:paraId="56AF302F"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二</w:t>
            </w:r>
          </w:p>
        </w:tc>
        <w:tc>
          <w:tcPr>
            <w:tcW w:w="1918" w:type="pct"/>
            <w:tcMar>
              <w:top w:w="56" w:type="dxa"/>
              <w:left w:w="56" w:type="dxa"/>
              <w:bottom w:w="56" w:type="dxa"/>
              <w:right w:w="56" w:type="dxa"/>
            </w:tcMar>
            <w:hideMark/>
          </w:tcPr>
          <w:p w14:paraId="19D86DCB"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探讨不同剂量帕博西尼联合</w:t>
            </w:r>
            <w:proofErr w:type="gramStart"/>
            <w:r w:rsidRPr="001D4A2E">
              <w:rPr>
                <w:rFonts w:ascii="微软雅黑" w:eastAsia="微软雅黑" w:hAnsi="微软雅黑" w:cs="宋体"/>
                <w:kern w:val="0"/>
                <w:sz w:val="24"/>
                <w:szCs w:val="24"/>
              </w:rPr>
              <w:t>羟</w:t>
            </w:r>
            <w:proofErr w:type="gramEnd"/>
            <w:r w:rsidRPr="001D4A2E">
              <w:rPr>
                <w:rFonts w:ascii="微软雅黑" w:eastAsia="微软雅黑" w:hAnsi="微软雅黑" w:cs="宋体"/>
                <w:kern w:val="0"/>
                <w:sz w:val="24"/>
                <w:szCs w:val="24"/>
              </w:rPr>
              <w:t>氯喹的安全性和抗肿瘤疗效</w:t>
            </w:r>
          </w:p>
        </w:tc>
      </w:tr>
    </w:tbl>
    <w:p w14:paraId="1593B77E" w14:textId="77777777" w:rsidR="001D4A2E" w:rsidRPr="001D4A2E" w:rsidRDefault="001D4A2E" w:rsidP="001D4A2E">
      <w:pPr>
        <w:widowControl/>
        <w:rPr>
          <w:rFonts w:ascii="微软雅黑" w:eastAsia="微软雅黑" w:hAnsi="微软雅黑" w:cs="宋体"/>
          <w:kern w:val="0"/>
          <w:sz w:val="24"/>
          <w:szCs w:val="24"/>
        </w:rPr>
      </w:pPr>
      <w:r w:rsidRPr="001D4A2E">
        <w:rPr>
          <w:rFonts w:ascii="微软雅黑" w:eastAsia="微软雅黑" w:hAnsi="微软雅黑" w:cs="宋体"/>
          <w:kern w:val="0"/>
          <w:sz w:val="24"/>
          <w:szCs w:val="24"/>
        </w:rPr>
        <w:t>NCT，ClinicalTrials.gov 标识符；HCQ，羟氯喹；Eve，依维莫司；Pal，帕博西尼；Let，来曲</w:t>
      </w:r>
      <w:proofErr w:type="gramStart"/>
      <w:r w:rsidRPr="001D4A2E">
        <w:rPr>
          <w:rFonts w:ascii="微软雅黑" w:eastAsia="微软雅黑" w:hAnsi="微软雅黑" w:cs="宋体"/>
          <w:kern w:val="0"/>
          <w:sz w:val="24"/>
          <w:szCs w:val="24"/>
        </w:rPr>
        <w:t>唑</w:t>
      </w:r>
      <w:proofErr w:type="gramEnd"/>
      <w:r w:rsidRPr="001D4A2E">
        <w:rPr>
          <w:rFonts w:ascii="微软雅黑" w:eastAsia="微软雅黑" w:hAnsi="微软雅黑" w:cs="宋体"/>
          <w:kern w:val="0"/>
          <w:sz w:val="24"/>
          <w:szCs w:val="24"/>
        </w:rPr>
        <w:t>；Ful，</w:t>
      </w:r>
      <w:proofErr w:type="gramStart"/>
      <w:r w:rsidRPr="001D4A2E">
        <w:rPr>
          <w:rFonts w:ascii="微软雅黑" w:eastAsia="微软雅黑" w:hAnsi="微软雅黑" w:cs="宋体"/>
          <w:kern w:val="0"/>
          <w:sz w:val="24"/>
          <w:szCs w:val="24"/>
        </w:rPr>
        <w:t>氟维司群</w:t>
      </w:r>
      <w:proofErr w:type="gramEnd"/>
      <w:r w:rsidRPr="001D4A2E">
        <w:rPr>
          <w:rFonts w:ascii="微软雅黑" w:eastAsia="微软雅黑" w:hAnsi="微软雅黑" w:cs="宋体"/>
          <w:kern w:val="0"/>
          <w:sz w:val="24"/>
          <w:szCs w:val="24"/>
        </w:rPr>
        <w:t>；</w:t>
      </w:r>
      <w:proofErr w:type="spellStart"/>
      <w:r w:rsidRPr="001D4A2E">
        <w:rPr>
          <w:rFonts w:ascii="微软雅黑" w:eastAsia="微软雅黑" w:hAnsi="微软雅黑" w:cs="宋体"/>
          <w:kern w:val="0"/>
          <w:sz w:val="24"/>
          <w:szCs w:val="24"/>
        </w:rPr>
        <w:t>Abema</w:t>
      </w:r>
      <w:proofErr w:type="spellEnd"/>
      <w:r w:rsidRPr="001D4A2E">
        <w:rPr>
          <w:rFonts w:ascii="微软雅黑" w:eastAsia="微软雅黑" w:hAnsi="微软雅黑" w:cs="宋体"/>
          <w:kern w:val="0"/>
          <w:sz w:val="24"/>
          <w:szCs w:val="24"/>
        </w:rPr>
        <w:t>，阿贝西利。</w:t>
      </w:r>
    </w:p>
    <w:p w14:paraId="5EF3163E" w14:textId="77777777" w:rsidR="001D4A2E" w:rsidRPr="001D4A2E" w:rsidRDefault="001D4A2E" w:rsidP="001D4A2E">
      <w:pPr>
        <w:widowControl/>
        <w:pBdr>
          <w:bottom w:val="single" w:sz="6" w:space="0" w:color="97B1C8"/>
        </w:pBdr>
        <w:spacing w:line="450" w:lineRule="atLeast"/>
        <w:outlineLvl w:val="1"/>
        <w:rPr>
          <w:rFonts w:ascii="微软雅黑" w:eastAsia="微软雅黑" w:hAnsi="微软雅黑" w:cs="宋体"/>
          <w:kern w:val="0"/>
          <w:sz w:val="34"/>
          <w:szCs w:val="34"/>
        </w:rPr>
      </w:pPr>
      <w:r w:rsidRPr="001D4A2E">
        <w:rPr>
          <w:rFonts w:ascii="微软雅黑" w:eastAsia="微软雅黑" w:hAnsi="微软雅黑" w:cs="宋体"/>
          <w:kern w:val="0"/>
          <w:sz w:val="34"/>
          <w:szCs w:val="34"/>
        </w:rPr>
        <w:t>6. 衰老与乳腺癌细胞存活</w:t>
      </w:r>
    </w:p>
    <w:p w14:paraId="2EA92E94"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t>衰老诱导是乳腺癌细胞的一种存活方式，由于研究表明可逆性衰老可能作为肿瘤休眠机制发挥作用（</w:t>
      </w:r>
      <w:hyperlink r:id="rId93" w:anchor="B88" w:history="1">
        <w:r w:rsidRPr="001D4A2E">
          <w:rPr>
            <w:rFonts w:ascii="微软雅黑" w:eastAsia="微软雅黑" w:hAnsi="微软雅黑" w:cs="宋体"/>
            <w:kern w:val="0"/>
            <w:sz w:val="24"/>
            <w:szCs w:val="24"/>
            <w:u w:val="single"/>
          </w:rPr>
          <w:t>88</w:t>
        </w:r>
      </w:hyperlink>
      <w:r w:rsidRPr="001D4A2E">
        <w:rPr>
          <w:rFonts w:ascii="微软雅黑" w:eastAsia="微软雅黑" w:hAnsi="微软雅黑" w:cs="宋体"/>
          <w:kern w:val="0"/>
          <w:sz w:val="24"/>
          <w:szCs w:val="24"/>
        </w:rPr>
        <w:t> , </w:t>
      </w:r>
      <w:hyperlink r:id="rId94" w:anchor="B116" w:history="1">
        <w:r w:rsidRPr="001D4A2E">
          <w:rPr>
            <w:rFonts w:ascii="微软雅黑" w:eastAsia="微软雅黑" w:hAnsi="微软雅黑" w:cs="宋体"/>
            <w:kern w:val="0"/>
            <w:sz w:val="24"/>
            <w:szCs w:val="24"/>
            <w:u w:val="single"/>
          </w:rPr>
          <w:t>116-119 ） </w:t>
        </w:r>
      </w:hyperlink>
      <w:hyperlink r:id="rId95" w:anchor="B119" w:history="1">
        <w:r w:rsidRPr="001D4A2E">
          <w:rPr>
            <w:rFonts w:ascii="微软雅黑" w:eastAsia="微软雅黑" w:hAnsi="微软雅黑" w:cs="宋体"/>
            <w:kern w:val="0"/>
            <w:sz w:val="24"/>
            <w:szCs w:val="24"/>
            <w:u w:val="single"/>
          </w:rPr>
          <w:t>，</w:t>
        </w:r>
      </w:hyperlink>
      <w:r w:rsidRPr="001D4A2E">
        <w:rPr>
          <w:rFonts w:ascii="微软雅黑" w:eastAsia="微软雅黑" w:hAnsi="微软雅黑" w:cs="宋体"/>
          <w:kern w:val="0"/>
          <w:sz w:val="24"/>
          <w:szCs w:val="24"/>
        </w:rPr>
        <w:t>因此正受到越来越多的关注。尽管衰老与抗雌激素耐药性之间的关系尚未完全明确，但已知衰老能够支持休眠肿瘤细胞的存活（</w:t>
      </w:r>
      <w:hyperlink r:id="rId96" w:anchor="B120" w:history="1">
        <w:r w:rsidRPr="001D4A2E">
          <w:rPr>
            <w:rFonts w:ascii="微软雅黑" w:eastAsia="微软雅黑" w:hAnsi="微软雅黑" w:cs="宋体"/>
            <w:kern w:val="0"/>
            <w:sz w:val="24"/>
            <w:szCs w:val="24"/>
            <w:u w:val="single"/>
          </w:rPr>
          <w:t>120</w:t>
        </w:r>
      </w:hyperlink>
      <w:r w:rsidRPr="001D4A2E">
        <w:rPr>
          <w:rFonts w:ascii="微软雅黑" w:eastAsia="微软雅黑" w:hAnsi="微软雅黑" w:cs="宋体"/>
          <w:kern w:val="0"/>
          <w:sz w:val="24"/>
          <w:szCs w:val="24"/>
        </w:rPr>
        <w:t>），并有助于细胞凋亡抵抗（</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"B121"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121</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）、维持细胞干性、增强肿瘤侵袭性（</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"B122"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122</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）以及促进转移微环境的形成（</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"B123"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123</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）。因此，通过衰老实现的存活可能为乳腺癌细胞提供获得遗传和表观遗传改变的机会，从而使其能够重新进入细胞周期、增殖，并最终增加扩散（转移）。已有文献记载，乳腺癌细胞在化疗（</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"B124"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124</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）和放疗（</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"B125"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125</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）后会进入衰老状态。在本节中，我们将描述衰老表型，并回顾现有数据，以支持衰老在乳腺癌患者接受抗雌激素+</w:t>
      </w:r>
      <w:proofErr w:type="spellStart"/>
      <w:r w:rsidRPr="001D4A2E">
        <w:rPr>
          <w:rFonts w:ascii="微软雅黑" w:eastAsia="微软雅黑" w:hAnsi="微软雅黑" w:cs="宋体"/>
          <w:kern w:val="0"/>
          <w:sz w:val="24"/>
          <w:szCs w:val="24"/>
        </w:rPr>
        <w:t>CDKi</w:t>
      </w:r>
      <w:proofErr w:type="spellEnd"/>
      <w:r w:rsidRPr="001D4A2E">
        <w:rPr>
          <w:rFonts w:ascii="微软雅黑" w:eastAsia="微软雅黑" w:hAnsi="微软雅黑" w:cs="宋体"/>
          <w:kern w:val="0"/>
          <w:sz w:val="24"/>
          <w:szCs w:val="24"/>
        </w:rPr>
        <w:t>联合治疗后的生存中所起的作用。</w:t>
      </w:r>
    </w:p>
    <w:p w14:paraId="2B6CA661" w14:textId="77777777" w:rsidR="001D4A2E" w:rsidRPr="001D4A2E" w:rsidRDefault="001D4A2E" w:rsidP="001D4A2E">
      <w:pPr>
        <w:widowControl/>
        <w:spacing w:line="450" w:lineRule="atLeast"/>
        <w:outlineLvl w:val="2"/>
        <w:rPr>
          <w:rFonts w:ascii="微软雅黑" w:eastAsia="微软雅黑" w:hAnsi="微软雅黑" w:cs="宋体"/>
          <w:kern w:val="0"/>
          <w:sz w:val="32"/>
          <w:szCs w:val="32"/>
        </w:rPr>
      </w:pPr>
      <w:r w:rsidRPr="001D4A2E">
        <w:rPr>
          <w:rFonts w:ascii="微软雅黑" w:eastAsia="微软雅黑" w:hAnsi="微软雅黑" w:cs="宋体"/>
          <w:kern w:val="0"/>
          <w:sz w:val="32"/>
          <w:szCs w:val="32"/>
        </w:rPr>
        <w:lastRenderedPageBreak/>
        <w:t>6.1. 该疗法诱导的衰老表型</w:t>
      </w:r>
    </w:p>
    <w:p w14:paraId="02379D13"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t>长期以来，衰老通常被认为是细胞不可逆地退出细胞周期；这种观点基于最初利用非转化成纤维细胞进行的研究（</w:t>
      </w:r>
      <w:hyperlink r:id="rId97" w:anchor="B126" w:history="1">
        <w:r w:rsidRPr="001D4A2E">
          <w:rPr>
            <w:rFonts w:ascii="微软雅黑" w:eastAsia="微软雅黑" w:hAnsi="微软雅黑" w:cs="宋体"/>
            <w:kern w:val="0"/>
            <w:sz w:val="24"/>
            <w:szCs w:val="24"/>
            <w:u w:val="single"/>
          </w:rPr>
          <w:t>126</w:t>
        </w:r>
      </w:hyperlink>
      <w:r w:rsidRPr="001D4A2E">
        <w:rPr>
          <w:rFonts w:ascii="微软雅黑" w:eastAsia="微软雅黑" w:hAnsi="微软雅黑" w:cs="宋体"/>
          <w:kern w:val="0"/>
          <w:sz w:val="24"/>
          <w:szCs w:val="24"/>
        </w:rPr>
        <w:t> , </w:t>
      </w:r>
      <w:hyperlink r:id="rId98" w:anchor="B127" w:history="1">
        <w:r w:rsidRPr="001D4A2E">
          <w:rPr>
            <w:rFonts w:ascii="微软雅黑" w:eastAsia="微软雅黑" w:hAnsi="微软雅黑" w:cs="宋体"/>
            <w:kern w:val="0"/>
            <w:sz w:val="24"/>
            <w:szCs w:val="24"/>
            <w:u w:val="single"/>
          </w:rPr>
          <w:t>127</w:t>
        </w:r>
      </w:hyperlink>
      <w:r w:rsidRPr="001D4A2E">
        <w:rPr>
          <w:rFonts w:ascii="微软雅黑" w:eastAsia="微软雅黑" w:hAnsi="微软雅黑" w:cs="宋体"/>
          <w:kern w:val="0"/>
          <w:sz w:val="24"/>
          <w:szCs w:val="24"/>
        </w:rPr>
        <w:t>）。衰老状态被认为是稳定且持久的，衰老细胞仍然存活并具有代谢活性，但对促分裂因子无反应。衰老通常有三种形式：复制性衰老、癌基因诱导的衰老，以及本章重点讨论的治疗诱导或加速衰老。加速衰老是由抗肿瘤药物（如化疗、放疗和内分泌治疗）诱导的（</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"B132"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117 </w:t>
      </w:r>
      <w:r w:rsidRPr="001D4A2E">
        <w:rPr>
          <w:rFonts w:ascii="微软雅黑" w:eastAsia="微软雅黑" w:hAnsi="微软雅黑" w:cs="宋体"/>
          <w:kern w:val="0"/>
          <w:sz w:val="24"/>
          <w:szCs w:val="24"/>
        </w:rPr>
        <w:fldChar w:fldCharType="end"/>
      </w:r>
      <w:hyperlink r:id="rId99" w:anchor="B117" w:history="1">
        <w:r w:rsidRPr="001D4A2E">
          <w:rPr>
            <w:rFonts w:ascii="微软雅黑" w:eastAsia="微软雅黑" w:hAnsi="微软雅黑" w:cs="宋体"/>
            <w:kern w:val="0"/>
            <w:sz w:val="24"/>
            <w:szCs w:val="24"/>
            <w:u w:val="single"/>
          </w:rPr>
          <w:t>,</w:t>
        </w:r>
      </w:hyperlink>
      <w:r w:rsidRPr="001D4A2E">
        <w:rPr>
          <w:rFonts w:ascii="微软雅黑" w:eastAsia="微软雅黑" w:hAnsi="微软雅黑" w:cs="宋体"/>
          <w:kern w:val="0"/>
          <w:sz w:val="24"/>
          <w:szCs w:val="24"/>
        </w:rPr>
        <w:t> 128 </w:t>
      </w:r>
      <w:hyperlink r:id="rId100" w:anchor="B128" w:history="1">
        <w:r w:rsidRPr="001D4A2E">
          <w:rPr>
            <w:rFonts w:ascii="微软雅黑" w:eastAsia="微软雅黑" w:hAnsi="微软雅黑" w:cs="宋体"/>
            <w:kern w:val="0"/>
            <w:sz w:val="24"/>
            <w:szCs w:val="24"/>
            <w:u w:val="single"/>
          </w:rPr>
          <w:t>）</w:t>
        </w:r>
      </w:hyperlink>
      <w:r w:rsidRPr="001D4A2E">
        <w:rPr>
          <w:rFonts w:ascii="微软雅黑" w:eastAsia="微软雅黑" w:hAnsi="微软雅黑" w:cs="宋体"/>
          <w:kern w:val="0"/>
          <w:sz w:val="24"/>
          <w:szCs w:val="24"/>
        </w:rPr>
        <w:t>。包括我们实验室在内的近期研究（</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"B129"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129-132</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 ）发现了一种可逆的治疗诱导衰老，称为可逆性衰老，在此过程中，衰老细胞可以逃脱生长停滞，重新进入细胞周期并增殖（</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"B133"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133</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w:t>
      </w:r>
    </w:p>
    <w:p w14:paraId="2A91A078"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t>在衰老</w:t>
      </w:r>
      <w:proofErr w:type="gramStart"/>
      <w:r w:rsidRPr="001D4A2E">
        <w:rPr>
          <w:rFonts w:ascii="微软雅黑" w:eastAsia="微软雅黑" w:hAnsi="微软雅黑" w:cs="宋体"/>
          <w:kern w:val="0"/>
          <w:sz w:val="24"/>
          <w:szCs w:val="24"/>
        </w:rPr>
        <w:t>介</w:t>
      </w:r>
      <w:proofErr w:type="gramEnd"/>
      <w:r w:rsidRPr="001D4A2E">
        <w:rPr>
          <w:rFonts w:ascii="微软雅黑" w:eastAsia="微软雅黑" w:hAnsi="微软雅黑" w:cs="宋体"/>
          <w:kern w:val="0"/>
          <w:sz w:val="24"/>
          <w:szCs w:val="24"/>
        </w:rPr>
        <w:t>导的生长停滞期间，肿瘤细胞可以分泌多种细胞因子、趋化因子、生长因子和基质重塑因子，这些因子统称为衰老相关分泌表型或SASP因子（</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"B134"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134</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）。SASP因子会改变局部组织环境（</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"B135"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135</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 , </w:t>
      </w:r>
      <w:hyperlink r:id="rId101" w:anchor="B136" w:history="1">
        <w:r w:rsidRPr="001D4A2E">
          <w:rPr>
            <w:rFonts w:ascii="微软雅黑" w:eastAsia="微软雅黑" w:hAnsi="微软雅黑" w:cs="宋体"/>
            <w:kern w:val="0"/>
            <w:sz w:val="24"/>
            <w:szCs w:val="24"/>
            <w:u w:val="single"/>
          </w:rPr>
          <w:t>136</w:t>
        </w:r>
      </w:hyperlink>
      <w:r w:rsidRPr="001D4A2E">
        <w:rPr>
          <w:rFonts w:ascii="微软雅黑" w:eastAsia="微软雅黑" w:hAnsi="微软雅黑" w:cs="宋体"/>
          <w:kern w:val="0"/>
          <w:sz w:val="24"/>
          <w:szCs w:val="24"/>
        </w:rPr>
        <w:t>），并损害先天性和适应性免疫反应（</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"B135"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135</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 , </w:t>
      </w:r>
      <w:hyperlink r:id="rId102" w:anchor="B137" w:history="1">
        <w:r w:rsidRPr="001D4A2E">
          <w:rPr>
            <w:rFonts w:ascii="微软雅黑" w:eastAsia="微软雅黑" w:hAnsi="微软雅黑" w:cs="宋体"/>
            <w:kern w:val="0"/>
            <w:sz w:val="24"/>
            <w:szCs w:val="24"/>
            <w:u w:val="single"/>
          </w:rPr>
          <w:t>137</w:t>
        </w:r>
      </w:hyperlink>
      <w:r w:rsidRPr="001D4A2E">
        <w:rPr>
          <w:rFonts w:ascii="微软雅黑" w:eastAsia="微软雅黑" w:hAnsi="微软雅黑" w:cs="宋体"/>
          <w:kern w:val="0"/>
          <w:sz w:val="24"/>
          <w:szCs w:val="24"/>
        </w:rPr>
        <w:t>）。这些作用会阻止衰老细胞的清除，导致其在组织中积累，最终导致慢性炎症、癌症进展和转移（</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"B138"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138</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 , </w:t>
      </w:r>
      <w:hyperlink r:id="rId103" w:anchor="B139" w:history="1">
        <w:r w:rsidRPr="001D4A2E">
          <w:rPr>
            <w:rFonts w:ascii="微软雅黑" w:eastAsia="微软雅黑" w:hAnsi="微软雅黑" w:cs="宋体"/>
            <w:kern w:val="0"/>
            <w:sz w:val="24"/>
            <w:szCs w:val="24"/>
            <w:u w:val="single"/>
          </w:rPr>
          <w:t>139</w:t>
        </w:r>
      </w:hyperlink>
      <w:r w:rsidRPr="001D4A2E">
        <w:rPr>
          <w:rFonts w:ascii="微软雅黑" w:eastAsia="微软雅黑" w:hAnsi="微软雅黑" w:cs="宋体"/>
          <w:kern w:val="0"/>
          <w:sz w:val="24"/>
          <w:szCs w:val="24"/>
        </w:rPr>
        <w:t>）。然而，Lowe实验室最近的研究提供了令人深思的证据，表明晚期癌症中的衰老也可能使肿瘤细胞更容易被适应性免疫系统识别（</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"B137"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137</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）。这种由衰老细胞</w:t>
      </w:r>
      <w:proofErr w:type="gramStart"/>
      <w:r w:rsidRPr="001D4A2E">
        <w:rPr>
          <w:rFonts w:ascii="微软雅黑" w:eastAsia="微软雅黑" w:hAnsi="微软雅黑" w:cs="宋体"/>
          <w:kern w:val="0"/>
          <w:sz w:val="24"/>
          <w:szCs w:val="24"/>
        </w:rPr>
        <w:t>介</w:t>
      </w:r>
      <w:proofErr w:type="gramEnd"/>
      <w:r w:rsidRPr="001D4A2E">
        <w:rPr>
          <w:rFonts w:ascii="微软雅黑" w:eastAsia="微软雅黑" w:hAnsi="微软雅黑" w:cs="宋体"/>
          <w:kern w:val="0"/>
          <w:sz w:val="24"/>
          <w:szCs w:val="24"/>
        </w:rPr>
        <w:t>导的抗肿瘤免疫涉及异型信号传导相互作用，依赖于</w:t>
      </w:r>
      <w:proofErr w:type="spellStart"/>
      <w:r w:rsidRPr="001D4A2E">
        <w:rPr>
          <w:rFonts w:ascii="微软雅黑" w:eastAsia="微软雅黑" w:hAnsi="微软雅黑" w:cs="宋体"/>
          <w:kern w:val="0"/>
          <w:sz w:val="24"/>
          <w:szCs w:val="24"/>
        </w:rPr>
        <w:t>IFNγ</w:t>
      </w:r>
      <w:proofErr w:type="spellEnd"/>
      <w:r w:rsidRPr="001D4A2E">
        <w:rPr>
          <w:rFonts w:ascii="微软雅黑" w:eastAsia="微软雅黑" w:hAnsi="微软雅黑" w:cs="宋体"/>
          <w:kern w:val="0"/>
          <w:sz w:val="24"/>
          <w:szCs w:val="24"/>
        </w:rPr>
        <w:t>受体的上调，并且可以在不影响衰老表型（包括SASP）的情况下被抑制。能否利用衰老细胞的这种作用来有效</w:t>
      </w:r>
      <w:proofErr w:type="gramStart"/>
      <w:r w:rsidRPr="001D4A2E">
        <w:rPr>
          <w:rFonts w:ascii="微软雅黑" w:eastAsia="微软雅黑" w:hAnsi="微软雅黑" w:cs="宋体"/>
          <w:kern w:val="0"/>
          <w:sz w:val="24"/>
          <w:szCs w:val="24"/>
        </w:rPr>
        <w:t>根除非</w:t>
      </w:r>
      <w:proofErr w:type="gramEnd"/>
      <w:r w:rsidRPr="001D4A2E">
        <w:rPr>
          <w:rFonts w:ascii="微软雅黑" w:eastAsia="微软雅黑" w:hAnsi="微软雅黑" w:cs="宋体"/>
          <w:kern w:val="0"/>
          <w:sz w:val="24"/>
          <w:szCs w:val="24"/>
        </w:rPr>
        <w:t>衰老肿瘤细胞，仍有待确定。</w:t>
      </w:r>
    </w:p>
    <w:p w14:paraId="2FC5E8C6"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lastRenderedPageBreak/>
        <w:t>用于鉴定衰老表型的最常见SASP因子包括IL-1α、IL-1β、IL-6、IL-8以及MMP。除了SASP和持久性生长停滞外，衰老表型还持续表现出β-半乳糖苷酶（SA-β-Gal）水平升高（</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"B140"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140</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）；SA-β-Gal表达通常通过组织化学检测，被认为是衰老检测的金标准（</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"B141"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141</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）。检测SA-β-Gal表达的其他方法包括流式细胞术定量C12FDG（5-十二烷酰氨基荧光素二-β-D-</w:t>
      </w:r>
      <w:proofErr w:type="gramStart"/>
      <w:r w:rsidRPr="001D4A2E">
        <w:rPr>
          <w:rFonts w:ascii="微软雅黑" w:eastAsia="微软雅黑" w:hAnsi="微软雅黑" w:cs="宋体"/>
          <w:kern w:val="0"/>
          <w:sz w:val="24"/>
          <w:szCs w:val="24"/>
        </w:rPr>
        <w:t>吡喃</w:t>
      </w:r>
      <w:proofErr w:type="gramEnd"/>
      <w:r w:rsidRPr="001D4A2E">
        <w:rPr>
          <w:rFonts w:ascii="微软雅黑" w:eastAsia="微软雅黑" w:hAnsi="微软雅黑" w:cs="宋体"/>
          <w:kern w:val="0"/>
          <w:sz w:val="24"/>
          <w:szCs w:val="24"/>
        </w:rPr>
        <w:t>半乳糖</w:t>
      </w:r>
      <w:proofErr w:type="gramStart"/>
      <w:r w:rsidRPr="001D4A2E">
        <w:rPr>
          <w:rFonts w:ascii="微软雅黑" w:eastAsia="微软雅黑" w:hAnsi="微软雅黑" w:cs="宋体"/>
          <w:kern w:val="0"/>
          <w:sz w:val="24"/>
          <w:szCs w:val="24"/>
        </w:rPr>
        <w:t>苷</w:t>
      </w:r>
      <w:proofErr w:type="gramEnd"/>
      <w:r w:rsidRPr="001D4A2E">
        <w:rPr>
          <w:rFonts w:ascii="微软雅黑" w:eastAsia="微软雅黑" w:hAnsi="微软雅黑" w:cs="宋体"/>
          <w:kern w:val="0"/>
          <w:sz w:val="24"/>
          <w:szCs w:val="24"/>
        </w:rPr>
        <w:t>）荧光，C12FDG是SA-β-Gal的代谢产物（</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"B142"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142</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）。衰老细胞的特征还包括活性氧（ROS）的积累（</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"B143"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143</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）、细胞形态增大扁平、染色质重排（称为衰老相关异染色质灶，SAHFs）以及核内聚集的DNA片段（DNA-SCARS）（</w:t>
      </w:r>
      <w:hyperlink r:id="rId104" w:anchor="B144" w:history="1">
        <w:r w:rsidRPr="001D4A2E">
          <w:rPr>
            <w:rFonts w:ascii="微软雅黑" w:eastAsia="微软雅黑" w:hAnsi="微软雅黑" w:cs="宋体"/>
            <w:kern w:val="0"/>
            <w:sz w:val="24"/>
            <w:szCs w:val="24"/>
            <w:u w:val="single"/>
          </w:rPr>
          <w:t>144</w:t>
        </w:r>
      </w:hyperlink>
      <w:r w:rsidRPr="001D4A2E">
        <w:rPr>
          <w:rFonts w:ascii="微软雅黑" w:eastAsia="微软雅黑" w:hAnsi="微软雅黑" w:cs="宋体"/>
          <w:kern w:val="0"/>
          <w:sz w:val="24"/>
          <w:szCs w:val="24"/>
        </w:rPr>
        <w:t>）。其他衰老标志物还包括Yippee-like-3（YPEL3）的表达（YPEL3是一种由DNA损伤诱导的肿瘤抑制因子）（</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"B145"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145</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 , </w:t>
      </w:r>
      <w:hyperlink r:id="rId105" w:anchor="B146" w:history="1">
        <w:r w:rsidRPr="001D4A2E">
          <w:rPr>
            <w:rFonts w:ascii="微软雅黑" w:eastAsia="微软雅黑" w:hAnsi="微软雅黑" w:cs="宋体"/>
            <w:kern w:val="0"/>
            <w:sz w:val="24"/>
            <w:szCs w:val="24"/>
            <w:u w:val="single"/>
          </w:rPr>
          <w:t>146</w:t>
        </w:r>
      </w:hyperlink>
      <w:r w:rsidRPr="001D4A2E">
        <w:rPr>
          <w:rFonts w:ascii="微软雅黑" w:eastAsia="微软雅黑" w:hAnsi="微软雅黑" w:cs="宋体"/>
          <w:kern w:val="0"/>
          <w:sz w:val="24"/>
          <w:szCs w:val="24"/>
        </w:rPr>
        <w:t>）以及Lamin B1表达的下调（</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"B147"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147</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）。值得注意的是，准确检测衰老诱导依赖于这些标志物的组合。</w:t>
      </w:r>
    </w:p>
    <w:p w14:paraId="567FC1DB" w14:textId="77777777" w:rsidR="001D4A2E" w:rsidRPr="001D4A2E" w:rsidRDefault="001D4A2E" w:rsidP="001D4A2E">
      <w:pPr>
        <w:widowControl/>
        <w:spacing w:line="450" w:lineRule="atLeast"/>
        <w:outlineLvl w:val="2"/>
        <w:rPr>
          <w:rFonts w:ascii="微软雅黑" w:eastAsia="微软雅黑" w:hAnsi="微软雅黑" w:cs="宋体"/>
          <w:kern w:val="0"/>
          <w:sz w:val="32"/>
          <w:szCs w:val="32"/>
        </w:rPr>
      </w:pPr>
      <w:r w:rsidRPr="001D4A2E">
        <w:rPr>
          <w:rFonts w:ascii="微软雅黑" w:eastAsia="微软雅黑" w:hAnsi="微软雅黑" w:cs="宋体"/>
          <w:kern w:val="0"/>
          <w:sz w:val="32"/>
          <w:szCs w:val="32"/>
        </w:rPr>
        <w:t>6.2. 衰老靶向治疗：衰老抑制剂、衰老形态抑制剂和衰老细胞清除剂</w:t>
      </w:r>
    </w:p>
    <w:p w14:paraId="7E3CC4CC"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t>癌症治疗的一个总体目标是促进肿瘤细胞凋亡或其他形式的细胞死亡。特别是，大多数化疗药物依赖于诱导内在凋亡途径来杀死癌细胞（</w:t>
      </w:r>
      <w:hyperlink r:id="rId106" w:anchor="B148" w:history="1">
        <w:r w:rsidRPr="001D4A2E">
          <w:rPr>
            <w:rFonts w:ascii="微软雅黑" w:eastAsia="微软雅黑" w:hAnsi="微软雅黑" w:cs="宋体"/>
            <w:kern w:val="0"/>
            <w:sz w:val="24"/>
            <w:szCs w:val="24"/>
            <w:u w:val="single"/>
          </w:rPr>
          <w:t>148</w:t>
        </w:r>
      </w:hyperlink>
      <w:r w:rsidRPr="001D4A2E">
        <w:rPr>
          <w:rFonts w:ascii="微软雅黑" w:eastAsia="微软雅黑" w:hAnsi="微软雅黑" w:cs="宋体"/>
          <w:kern w:val="0"/>
          <w:sz w:val="24"/>
          <w:szCs w:val="24"/>
        </w:rPr>
        <w:t>）。然而，衰老细胞的一个主要特征是对化疗诱导的凋亡具有抵抗性，这通常归因于抗凋亡蛋白</w:t>
      </w:r>
      <w:proofErr w:type="spellStart"/>
      <w:r w:rsidRPr="001D4A2E">
        <w:rPr>
          <w:rFonts w:ascii="微软雅黑" w:eastAsia="微软雅黑" w:hAnsi="微软雅黑" w:cs="宋体"/>
          <w:kern w:val="0"/>
          <w:sz w:val="24"/>
          <w:szCs w:val="24"/>
        </w:rPr>
        <w:t>BCLxl</w:t>
      </w:r>
      <w:proofErr w:type="spellEnd"/>
      <w:r w:rsidRPr="001D4A2E">
        <w:rPr>
          <w:rFonts w:ascii="微软雅黑" w:eastAsia="微软雅黑" w:hAnsi="微软雅黑" w:cs="宋体"/>
          <w:kern w:val="0"/>
          <w:sz w:val="24"/>
          <w:szCs w:val="24"/>
        </w:rPr>
        <w:t>、BCLW和BCL2的上调</w:t>
      </w:r>
      <w:r w:rsidRPr="001D4A2E">
        <w:rPr>
          <w:rFonts w:ascii="微软雅黑" w:eastAsia="微软雅黑" w:hAnsi="微软雅黑" w:cs="宋体"/>
          <w:kern w:val="0"/>
          <w:sz w:val="24"/>
          <w:szCs w:val="24"/>
          <w:vertAlign w:val="subscript"/>
        </w:rPr>
        <w:t>（</w:t>
      </w:r>
      <w:r w:rsidRPr="001D4A2E">
        <w:rPr>
          <w:rFonts w:ascii="微软雅黑" w:eastAsia="微软雅黑" w:hAnsi="微软雅黑" w:cs="宋体"/>
          <w:kern w:val="0"/>
          <w:sz w:val="24"/>
          <w:szCs w:val="24"/>
        </w:rPr>
        <w:t> 121 </w:t>
      </w:r>
      <w:r w:rsidRPr="001D4A2E">
        <w:rPr>
          <w:rFonts w:ascii="微软雅黑" w:eastAsia="微软雅黑" w:hAnsi="微软雅黑" w:cs="宋体"/>
          <w:kern w:val="0"/>
          <w:sz w:val="24"/>
          <w:szCs w:val="24"/>
          <w:vertAlign w:val="subscript"/>
        </w:rPr>
        <w:t>,</w:t>
      </w:r>
      <w:r w:rsidRPr="001D4A2E">
        <w:rPr>
          <w:rFonts w:ascii="微软雅黑" w:eastAsia="微软雅黑" w:hAnsi="微软雅黑" w:cs="宋体"/>
          <w:kern w:val="0"/>
          <w:sz w:val="24"/>
          <w:szCs w:val="24"/>
        </w:rPr>
        <w:t> 149 </w:t>
      </w:r>
      <w:r w:rsidRPr="001D4A2E">
        <w:rPr>
          <w:rFonts w:ascii="微软雅黑" w:eastAsia="微软雅黑" w:hAnsi="微软雅黑" w:cs="宋体"/>
          <w:kern w:val="0"/>
          <w:sz w:val="24"/>
          <w:szCs w:val="24"/>
          <w:vertAlign w:val="subscript"/>
        </w:rPr>
        <w:t>,</w:t>
      </w:r>
      <w:r w:rsidRPr="001D4A2E">
        <w:rPr>
          <w:rFonts w:ascii="微软雅黑" w:eastAsia="微软雅黑" w:hAnsi="微软雅黑" w:cs="宋体"/>
          <w:kern w:val="0"/>
          <w:sz w:val="24"/>
          <w:szCs w:val="24"/>
        </w:rPr>
        <w:t> 150 </w:t>
      </w:r>
      <w:hyperlink r:id="rId107" w:anchor="B121" w:history="1">
        <w:r w:rsidRPr="001D4A2E">
          <w:rPr>
            <w:rFonts w:ascii="微软雅黑" w:eastAsia="微软雅黑" w:hAnsi="微软雅黑" w:cs="宋体"/>
            <w:kern w:val="0"/>
            <w:sz w:val="24"/>
            <w:szCs w:val="24"/>
            <w:u w:val="single"/>
          </w:rPr>
          <w:t>）</w:t>
        </w:r>
      </w:hyperlink>
      <w:r w:rsidRPr="001D4A2E">
        <w:rPr>
          <w:rFonts w:ascii="微软雅黑" w:eastAsia="微软雅黑" w:hAnsi="微软雅黑" w:cs="宋体"/>
          <w:kern w:val="0"/>
          <w:sz w:val="24"/>
          <w:szCs w:val="24"/>
        </w:rPr>
        <w:t>，</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"B149"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这</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最终</w:t>
      </w:r>
      <w:hyperlink r:id="rId108" w:anchor="B150" w:history="1">
        <w:r w:rsidRPr="001D4A2E">
          <w:rPr>
            <w:rFonts w:ascii="微软雅黑" w:eastAsia="微软雅黑" w:hAnsi="微软雅黑" w:cs="宋体"/>
            <w:kern w:val="0"/>
            <w:sz w:val="24"/>
            <w:szCs w:val="24"/>
            <w:u w:val="single"/>
          </w:rPr>
          <w:t>可能</w:t>
        </w:r>
      </w:hyperlink>
      <w:r w:rsidRPr="001D4A2E">
        <w:rPr>
          <w:rFonts w:ascii="微软雅黑" w:eastAsia="微软雅黑" w:hAnsi="微软雅黑" w:cs="宋体"/>
          <w:kern w:val="0"/>
          <w:sz w:val="24"/>
          <w:szCs w:val="24"/>
        </w:rPr>
        <w:t>导致肿瘤恢复（从休眠状态中逃脱）。因此，目前正在研究能够清除衰老细胞或抑制其恢复的靶向疗法。在临床前研究中，主要有三种类型的衰老靶向疗法：衰老抑制剂、衰老形态抑制剂和衰老清除剂（</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"B157"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151-157 </w:t>
      </w:r>
      <w:r w:rsidRPr="001D4A2E">
        <w:rPr>
          <w:rFonts w:ascii="微软雅黑" w:eastAsia="微软雅黑" w:hAnsi="微软雅黑" w:cs="宋体"/>
          <w:kern w:val="0"/>
          <w:sz w:val="24"/>
          <w:szCs w:val="24"/>
        </w:rPr>
        <w:fldChar w:fldCharType="end"/>
      </w:r>
      <w:hyperlink r:id="rId109" w:anchor="B151" w:history="1">
        <w:r w:rsidRPr="001D4A2E">
          <w:rPr>
            <w:rFonts w:ascii="微软雅黑" w:eastAsia="微软雅黑" w:hAnsi="微软雅黑" w:cs="宋体"/>
            <w:kern w:val="0"/>
            <w:sz w:val="24"/>
            <w:szCs w:val="24"/>
            <w:u w:val="single"/>
          </w:rPr>
          <w:t>）</w:t>
        </w:r>
      </w:hyperlink>
      <w:r w:rsidRPr="001D4A2E">
        <w:rPr>
          <w:rFonts w:ascii="微软雅黑" w:eastAsia="微软雅黑" w:hAnsi="微软雅黑" w:cs="宋体"/>
          <w:kern w:val="0"/>
          <w:sz w:val="24"/>
          <w:szCs w:val="24"/>
        </w:rPr>
        <w:t>。</w:t>
      </w:r>
    </w:p>
    <w:p w14:paraId="7C56C8EE"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lastRenderedPageBreak/>
        <w:t>抗衰老药物并不杀死衰老细胞，而是延长其生长停滞状态，抑制旁分泌信号传导，从而阻断衰老细胞群的恢复。抗氧化剂或NF-</w:t>
      </w:r>
      <w:proofErr w:type="spellStart"/>
      <w:r w:rsidRPr="001D4A2E">
        <w:rPr>
          <w:rFonts w:ascii="微软雅黑" w:eastAsia="微软雅黑" w:hAnsi="微软雅黑" w:cs="宋体"/>
          <w:kern w:val="0"/>
          <w:sz w:val="24"/>
          <w:szCs w:val="24"/>
        </w:rPr>
        <w:t>κB</w:t>
      </w:r>
      <w:proofErr w:type="spellEnd"/>
      <w:r w:rsidRPr="001D4A2E">
        <w:rPr>
          <w:rFonts w:ascii="微软雅黑" w:eastAsia="微软雅黑" w:hAnsi="微软雅黑" w:cs="宋体"/>
          <w:kern w:val="0"/>
          <w:sz w:val="24"/>
          <w:szCs w:val="24"/>
        </w:rPr>
        <w:t>抑制剂已被研究作为抗衰老药物（</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"B143"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143</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 , </w:t>
      </w:r>
      <w:hyperlink r:id="rId110" w:anchor="B158" w:history="1">
        <w:r w:rsidRPr="001D4A2E">
          <w:rPr>
            <w:rFonts w:ascii="微软雅黑" w:eastAsia="微软雅黑" w:hAnsi="微软雅黑" w:cs="宋体"/>
            <w:kern w:val="0"/>
            <w:sz w:val="24"/>
            <w:szCs w:val="24"/>
            <w:u w:val="single"/>
          </w:rPr>
          <w:t>158</w:t>
        </w:r>
      </w:hyperlink>
      <w:r w:rsidRPr="001D4A2E">
        <w:rPr>
          <w:rFonts w:ascii="微软雅黑" w:eastAsia="微软雅黑" w:hAnsi="微软雅黑" w:cs="宋体"/>
          <w:kern w:val="0"/>
          <w:sz w:val="24"/>
          <w:szCs w:val="24"/>
        </w:rPr>
        <w:t>），此外，黄酮类化合物、多酚类化合物和其他植物化学分子也可能具有潜在的抗衰老活性（</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"B159"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159</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）。衰老诱导剂通过抑制SASP的表达来阻断衰老</w:t>
      </w:r>
      <w:proofErr w:type="gramStart"/>
      <w:r w:rsidRPr="001D4A2E">
        <w:rPr>
          <w:rFonts w:ascii="微软雅黑" w:eastAsia="微软雅黑" w:hAnsi="微软雅黑" w:cs="宋体"/>
          <w:kern w:val="0"/>
          <w:sz w:val="24"/>
          <w:szCs w:val="24"/>
        </w:rPr>
        <w:t>介</w:t>
      </w:r>
      <w:proofErr w:type="gramEnd"/>
      <w:r w:rsidRPr="001D4A2E">
        <w:rPr>
          <w:rFonts w:ascii="微软雅黑" w:eastAsia="微软雅黑" w:hAnsi="微软雅黑" w:cs="宋体"/>
          <w:kern w:val="0"/>
          <w:sz w:val="24"/>
          <w:szCs w:val="24"/>
        </w:rPr>
        <w:t>导的信号传导，其作用机制涉及多种分子通路，包括NF-</w:t>
      </w:r>
      <w:proofErr w:type="spellStart"/>
      <w:r w:rsidRPr="001D4A2E">
        <w:rPr>
          <w:rFonts w:ascii="微软雅黑" w:eastAsia="微软雅黑" w:hAnsi="微软雅黑" w:cs="宋体"/>
          <w:kern w:val="0"/>
          <w:sz w:val="24"/>
          <w:szCs w:val="24"/>
        </w:rPr>
        <w:t>κB</w:t>
      </w:r>
      <w:proofErr w:type="spellEnd"/>
      <w:r w:rsidRPr="001D4A2E">
        <w:rPr>
          <w:rFonts w:ascii="微软雅黑" w:eastAsia="微软雅黑" w:hAnsi="微软雅黑" w:cs="宋体"/>
          <w:kern w:val="0"/>
          <w:sz w:val="24"/>
          <w:szCs w:val="24"/>
        </w:rPr>
        <w:t>、mTOR、IL-1α和p38 MAPK（</w:t>
      </w:r>
      <w:hyperlink r:id="rId111" w:anchor="B159" w:history="1">
        <w:r w:rsidRPr="001D4A2E">
          <w:rPr>
            <w:rFonts w:ascii="微软雅黑" w:eastAsia="微软雅黑" w:hAnsi="微软雅黑" w:cs="宋体"/>
            <w:kern w:val="0"/>
            <w:sz w:val="24"/>
            <w:szCs w:val="24"/>
            <w:u w:val="single"/>
          </w:rPr>
          <w:t>159</w:t>
        </w:r>
      </w:hyperlink>
      <w:r w:rsidRPr="001D4A2E">
        <w:rPr>
          <w:rFonts w:ascii="微软雅黑" w:eastAsia="微软雅黑" w:hAnsi="微软雅黑" w:cs="宋体"/>
          <w:kern w:val="0"/>
          <w:sz w:val="24"/>
          <w:szCs w:val="24"/>
        </w:rPr>
        <w:t>）。相反，衰老清除剂通过靶向参与</w:t>
      </w:r>
      <w:proofErr w:type="gramStart"/>
      <w:r w:rsidRPr="001D4A2E">
        <w:rPr>
          <w:rFonts w:ascii="微软雅黑" w:eastAsia="微软雅黑" w:hAnsi="微软雅黑" w:cs="宋体"/>
          <w:kern w:val="0"/>
          <w:sz w:val="24"/>
          <w:szCs w:val="24"/>
        </w:rPr>
        <w:t>促生存</w:t>
      </w:r>
      <w:proofErr w:type="gramEnd"/>
      <w:r w:rsidRPr="001D4A2E">
        <w:rPr>
          <w:rFonts w:ascii="微软雅黑" w:eastAsia="微软雅黑" w:hAnsi="微软雅黑" w:cs="宋体"/>
          <w:kern w:val="0"/>
          <w:sz w:val="24"/>
          <w:szCs w:val="24"/>
        </w:rPr>
        <w:t>和抗凋亡机制的关键蛋白（尤其是Bcl-2蛋白家族）来清除衰老细胞（</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"B159"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159</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）。多种衰老细胞清除剂，包括ABT-263，能够干扰抗凋亡蛋白Bcl-2、</w:t>
      </w:r>
      <w:proofErr w:type="spellStart"/>
      <w:r w:rsidRPr="001D4A2E">
        <w:rPr>
          <w:rFonts w:ascii="微软雅黑" w:eastAsia="微软雅黑" w:hAnsi="微软雅黑" w:cs="宋体"/>
          <w:kern w:val="0"/>
          <w:sz w:val="24"/>
          <w:szCs w:val="24"/>
        </w:rPr>
        <w:t>Bcl</w:t>
      </w:r>
      <w:proofErr w:type="spellEnd"/>
      <w:r w:rsidRPr="001D4A2E">
        <w:rPr>
          <w:rFonts w:ascii="微软雅黑" w:eastAsia="微软雅黑" w:hAnsi="微软雅黑" w:cs="宋体"/>
          <w:kern w:val="0"/>
          <w:sz w:val="24"/>
          <w:szCs w:val="24"/>
        </w:rPr>
        <w:t>-w和</w:t>
      </w:r>
      <w:proofErr w:type="spellStart"/>
      <w:r w:rsidRPr="001D4A2E">
        <w:rPr>
          <w:rFonts w:ascii="微软雅黑" w:eastAsia="微软雅黑" w:hAnsi="微软雅黑" w:cs="宋体"/>
          <w:kern w:val="0"/>
          <w:sz w:val="24"/>
          <w:szCs w:val="24"/>
        </w:rPr>
        <w:t>Bcl</w:t>
      </w:r>
      <w:proofErr w:type="spellEnd"/>
      <w:r w:rsidRPr="001D4A2E">
        <w:rPr>
          <w:rFonts w:ascii="微软雅黑" w:eastAsia="微软雅黑" w:hAnsi="微软雅黑" w:cs="宋体"/>
          <w:kern w:val="0"/>
          <w:sz w:val="24"/>
          <w:szCs w:val="24"/>
        </w:rPr>
        <w:t>- </w:t>
      </w:r>
      <w:r w:rsidRPr="001D4A2E">
        <w:rPr>
          <w:rFonts w:ascii="微软雅黑" w:eastAsia="微软雅黑" w:hAnsi="微软雅黑" w:cs="宋体"/>
          <w:kern w:val="0"/>
          <w:sz w:val="24"/>
          <w:szCs w:val="24"/>
          <w:vertAlign w:val="subscript"/>
        </w:rPr>
        <w:t>XL</w:t>
      </w:r>
      <w:r w:rsidRPr="001D4A2E">
        <w:rPr>
          <w:rFonts w:ascii="微软雅黑" w:eastAsia="微软雅黑" w:hAnsi="微软雅黑" w:cs="宋体"/>
          <w:kern w:val="0"/>
          <w:sz w:val="24"/>
          <w:szCs w:val="24"/>
        </w:rPr>
        <w:t>（</w:t>
      </w:r>
      <w:hyperlink r:id="rId112" w:anchor="B160" w:history="1">
        <w:r w:rsidRPr="001D4A2E">
          <w:rPr>
            <w:rFonts w:ascii="微软雅黑" w:eastAsia="微软雅黑" w:hAnsi="微软雅黑" w:cs="宋体"/>
            <w:kern w:val="0"/>
            <w:sz w:val="24"/>
            <w:szCs w:val="24"/>
            <w:u w:val="single"/>
          </w:rPr>
          <w:t>160</w:t>
        </w:r>
      </w:hyperlink>
      <w:r w:rsidRPr="001D4A2E">
        <w:rPr>
          <w:rFonts w:ascii="微软雅黑" w:eastAsia="微软雅黑" w:hAnsi="微软雅黑" w:cs="宋体"/>
          <w:kern w:val="0"/>
          <w:sz w:val="24"/>
          <w:szCs w:val="24"/>
        </w:rPr>
        <w:t>），并已被研究用于清除由依托泊</w:t>
      </w:r>
      <w:proofErr w:type="gramStart"/>
      <w:r w:rsidRPr="001D4A2E">
        <w:rPr>
          <w:rFonts w:ascii="微软雅黑" w:eastAsia="微软雅黑" w:hAnsi="微软雅黑" w:cs="宋体"/>
          <w:kern w:val="0"/>
          <w:sz w:val="24"/>
          <w:szCs w:val="24"/>
        </w:rPr>
        <w:t>苷</w:t>
      </w:r>
      <w:proofErr w:type="gramEnd"/>
      <w:r w:rsidRPr="001D4A2E">
        <w:rPr>
          <w:rFonts w:ascii="微软雅黑" w:eastAsia="微软雅黑" w:hAnsi="微软雅黑" w:cs="宋体"/>
          <w:kern w:val="0"/>
          <w:sz w:val="24"/>
          <w:szCs w:val="24"/>
        </w:rPr>
        <w:t>、阿霉素、</w:t>
      </w:r>
      <w:proofErr w:type="gramStart"/>
      <w:r w:rsidRPr="001D4A2E">
        <w:rPr>
          <w:rFonts w:ascii="微软雅黑" w:eastAsia="微软雅黑" w:hAnsi="微软雅黑" w:cs="宋体"/>
          <w:kern w:val="0"/>
          <w:sz w:val="24"/>
          <w:szCs w:val="24"/>
        </w:rPr>
        <w:t>顺铂和</w:t>
      </w:r>
      <w:proofErr w:type="gramEnd"/>
      <w:r w:rsidRPr="001D4A2E">
        <w:rPr>
          <w:rFonts w:ascii="微软雅黑" w:eastAsia="微软雅黑" w:hAnsi="微软雅黑" w:cs="宋体"/>
          <w:kern w:val="0"/>
          <w:sz w:val="24"/>
          <w:szCs w:val="24"/>
        </w:rPr>
        <w:t>放射线诱导的衰老肿瘤细胞。这些衰老细胞清除剂干扰癌细胞中BCL XL和BAX（以及其他潜在的促凋亡BH3家族成员，例如Bid、Bad和</w:t>
      </w:r>
      <w:proofErr w:type="spellStart"/>
      <w:r w:rsidRPr="001D4A2E">
        <w:rPr>
          <w:rFonts w:ascii="微软雅黑" w:eastAsia="微软雅黑" w:hAnsi="微软雅黑" w:cs="宋体"/>
          <w:kern w:val="0"/>
          <w:sz w:val="24"/>
          <w:szCs w:val="24"/>
        </w:rPr>
        <w:t>Bim</w:t>
      </w:r>
      <w:proofErr w:type="spellEnd"/>
      <w:r w:rsidRPr="001D4A2E">
        <w:rPr>
          <w:rFonts w:ascii="微软雅黑" w:eastAsia="微软雅黑" w:hAnsi="微软雅黑" w:cs="宋体"/>
          <w:kern w:val="0"/>
          <w:sz w:val="24"/>
          <w:szCs w:val="24"/>
        </w:rPr>
        <w:t>）之间的相互作用（ </w:t>
      </w:r>
      <w:hyperlink r:id="rId113" w:anchor="B154" w:history="1">
        <w:r w:rsidRPr="001D4A2E">
          <w:rPr>
            <w:rFonts w:ascii="微软雅黑" w:eastAsia="微软雅黑" w:hAnsi="微软雅黑" w:cs="宋体"/>
            <w:kern w:val="0"/>
            <w:sz w:val="24"/>
            <w:szCs w:val="24"/>
          </w:rPr>
          <w:t>154</w:t>
        </w:r>
      </w:hyperlink>
      <w:r w:rsidRPr="001D4A2E">
        <w:rPr>
          <w:rFonts w:ascii="微软雅黑" w:eastAsia="微软雅黑" w:hAnsi="微软雅黑" w:cs="宋体"/>
          <w:kern w:val="0"/>
          <w:sz w:val="24"/>
          <w:szCs w:val="24"/>
        </w:rPr>
        <w:t> , </w:t>
      </w:r>
      <w:hyperlink r:id="rId114" w:anchor="B161" w:history="1">
        <w:r w:rsidRPr="001D4A2E">
          <w:rPr>
            <w:rFonts w:ascii="微软雅黑" w:eastAsia="微软雅黑" w:hAnsi="微软雅黑" w:cs="宋体"/>
            <w:kern w:val="0"/>
            <w:sz w:val="24"/>
            <w:szCs w:val="24"/>
          </w:rPr>
          <w:t>161</w:t>
        </w:r>
      </w:hyperlink>
      <w:r w:rsidRPr="001D4A2E">
        <w:rPr>
          <w:rFonts w:ascii="微软雅黑" w:eastAsia="微软雅黑" w:hAnsi="微软雅黑" w:cs="宋体"/>
          <w:kern w:val="0"/>
          <w:sz w:val="24"/>
          <w:szCs w:val="24"/>
        </w:rPr>
        <w:t> , </w:t>
      </w:r>
      <w:hyperlink r:id="rId115" w:anchor="B162" w:history="1">
        <w:r w:rsidRPr="001D4A2E">
          <w:rPr>
            <w:rFonts w:ascii="微软雅黑" w:eastAsia="微软雅黑" w:hAnsi="微软雅黑" w:cs="宋体"/>
            <w:kern w:val="0"/>
            <w:sz w:val="24"/>
            <w:szCs w:val="24"/>
          </w:rPr>
          <w:t>162</w:t>
        </w:r>
      </w:hyperlink>
      <w:r w:rsidRPr="001D4A2E">
        <w:rPr>
          <w:rFonts w:ascii="微软雅黑" w:eastAsia="微软雅黑" w:hAnsi="微软雅黑" w:cs="宋体"/>
          <w:kern w:val="0"/>
          <w:sz w:val="24"/>
          <w:szCs w:val="24"/>
        </w:rPr>
        <w:t>）。总而言之，旨在根除衰老细胞和/或促进其恢复的研究对于改进旨在清除癌细胞的治疗方法至关重要，尤其考虑到衰老具有多种促肿瘤作用（例如逃逸休眠、SASP、抗凋亡和干性增强）。</w:t>
      </w:r>
    </w:p>
    <w:p w14:paraId="2867585C" w14:textId="77777777" w:rsidR="001D4A2E" w:rsidRPr="001D4A2E" w:rsidRDefault="001D4A2E" w:rsidP="001D4A2E">
      <w:pPr>
        <w:widowControl/>
        <w:spacing w:line="450" w:lineRule="atLeast"/>
        <w:outlineLvl w:val="2"/>
        <w:rPr>
          <w:rFonts w:ascii="微软雅黑" w:eastAsia="微软雅黑" w:hAnsi="微软雅黑" w:cs="宋体"/>
          <w:kern w:val="0"/>
          <w:sz w:val="32"/>
          <w:szCs w:val="32"/>
        </w:rPr>
      </w:pPr>
      <w:r w:rsidRPr="001D4A2E">
        <w:rPr>
          <w:rFonts w:ascii="微软雅黑" w:eastAsia="微软雅黑" w:hAnsi="微软雅黑" w:cs="宋体"/>
          <w:kern w:val="0"/>
          <w:sz w:val="32"/>
          <w:szCs w:val="32"/>
        </w:rPr>
        <w:t>6.3 衰老与抗雌激素疗法</w:t>
      </w:r>
    </w:p>
    <w:p w14:paraId="1FB58BAE"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t>多项研究探讨了细胞衰老及其与他</w:t>
      </w:r>
      <w:proofErr w:type="gramStart"/>
      <w:r w:rsidRPr="001D4A2E">
        <w:rPr>
          <w:rFonts w:ascii="微软雅黑" w:eastAsia="微软雅黑" w:hAnsi="微软雅黑" w:cs="宋体"/>
          <w:kern w:val="0"/>
          <w:sz w:val="24"/>
          <w:szCs w:val="24"/>
        </w:rPr>
        <w:t>莫昔芬</w:t>
      </w:r>
      <w:proofErr w:type="gramEnd"/>
      <w:r w:rsidRPr="001D4A2E">
        <w:rPr>
          <w:rFonts w:ascii="微软雅黑" w:eastAsia="微软雅黑" w:hAnsi="微软雅黑" w:cs="宋体"/>
          <w:kern w:val="0"/>
          <w:sz w:val="24"/>
          <w:szCs w:val="24"/>
        </w:rPr>
        <w:t>（ER +乳腺癌最常用的选择性雌激素受体调节剂）的关系。Lee等人发现，用10μM他</w:t>
      </w:r>
      <w:proofErr w:type="gramStart"/>
      <w:r w:rsidRPr="001D4A2E">
        <w:rPr>
          <w:rFonts w:ascii="微软雅黑" w:eastAsia="微软雅黑" w:hAnsi="微软雅黑" w:cs="宋体"/>
          <w:kern w:val="0"/>
          <w:sz w:val="24"/>
          <w:szCs w:val="24"/>
        </w:rPr>
        <w:t>莫昔芬</w:t>
      </w:r>
      <w:proofErr w:type="gramEnd"/>
      <w:r w:rsidRPr="001D4A2E">
        <w:rPr>
          <w:rFonts w:ascii="微软雅黑" w:eastAsia="微软雅黑" w:hAnsi="微软雅黑" w:cs="宋体"/>
          <w:kern w:val="0"/>
          <w:sz w:val="24"/>
          <w:szCs w:val="24"/>
        </w:rPr>
        <w:t>（浓度高于临床应用水平）处理4天可诱导MCF-7和T-47D细胞衰老（ </w:t>
      </w:r>
      <w:hyperlink r:id="rId116" w:anchor="B163" w:history="1">
        <w:r w:rsidRPr="001D4A2E">
          <w:rPr>
            <w:rFonts w:ascii="微软雅黑" w:eastAsia="微软雅黑" w:hAnsi="微软雅黑" w:cs="宋体"/>
            <w:kern w:val="0"/>
            <w:sz w:val="24"/>
            <w:szCs w:val="24"/>
            <w:u w:val="single"/>
          </w:rPr>
          <w:t>163</w:t>
        </w:r>
      </w:hyperlink>
      <w:r w:rsidRPr="001D4A2E">
        <w:rPr>
          <w:rFonts w:ascii="微软雅黑" w:eastAsia="微软雅黑" w:hAnsi="微软雅黑" w:cs="宋体"/>
          <w:kern w:val="0"/>
          <w:sz w:val="24"/>
          <w:szCs w:val="24"/>
        </w:rPr>
        <w:t>）。衰老诱导可通过SA-β-半乳糖苷酶染色（MCF-7细胞比载体处理组高25%，T-47D细胞比载体处理组高20%）以及p53和p21的上调来证实。此外，他</w:t>
      </w:r>
      <w:proofErr w:type="gramStart"/>
      <w:r w:rsidRPr="001D4A2E">
        <w:rPr>
          <w:rFonts w:ascii="微软雅黑" w:eastAsia="微软雅黑" w:hAnsi="微软雅黑" w:cs="宋体"/>
          <w:kern w:val="0"/>
          <w:sz w:val="24"/>
          <w:szCs w:val="24"/>
        </w:rPr>
        <w:t>莫昔芬处理</w:t>
      </w:r>
      <w:proofErr w:type="gramEnd"/>
      <w:r w:rsidRPr="001D4A2E">
        <w:rPr>
          <w:rFonts w:ascii="微软雅黑" w:eastAsia="微软雅黑" w:hAnsi="微软雅黑" w:cs="宋体"/>
          <w:kern w:val="0"/>
          <w:sz w:val="24"/>
          <w:szCs w:val="24"/>
        </w:rPr>
        <w:t>的MCF-7和T-47D细胞中活性氧（ROS）水平也升高。使用常用的ROS清除剂NAC或参</w:t>
      </w:r>
      <w:r w:rsidRPr="001D4A2E">
        <w:rPr>
          <w:rFonts w:ascii="微软雅黑" w:eastAsia="微软雅黑" w:hAnsi="微软雅黑" w:cs="宋体"/>
          <w:kern w:val="0"/>
          <w:sz w:val="24"/>
          <w:szCs w:val="24"/>
        </w:rPr>
        <w:lastRenderedPageBreak/>
        <w:t>与超氧阴离子生成的NADPH氧化酶</w:t>
      </w:r>
      <w:proofErr w:type="gramStart"/>
      <w:r w:rsidRPr="001D4A2E">
        <w:rPr>
          <w:rFonts w:ascii="微软雅黑" w:eastAsia="微软雅黑" w:hAnsi="微软雅黑" w:cs="宋体"/>
          <w:kern w:val="0"/>
          <w:sz w:val="24"/>
          <w:szCs w:val="24"/>
        </w:rPr>
        <w:t>抑制剂阿朴</w:t>
      </w:r>
      <w:proofErr w:type="gramEnd"/>
      <w:r w:rsidRPr="001D4A2E">
        <w:rPr>
          <w:rFonts w:ascii="微软雅黑" w:eastAsia="微软雅黑" w:hAnsi="微软雅黑" w:cs="宋体"/>
          <w:kern w:val="0"/>
          <w:sz w:val="24"/>
          <w:szCs w:val="24"/>
        </w:rPr>
        <w:t>西宁( </w:t>
      </w:r>
      <w:hyperlink r:id="rId117" w:anchor="B164" w:history="1">
        <w:r w:rsidRPr="001D4A2E">
          <w:rPr>
            <w:rFonts w:ascii="微软雅黑" w:eastAsia="微软雅黑" w:hAnsi="微软雅黑" w:cs="宋体"/>
            <w:kern w:val="0"/>
            <w:sz w:val="24"/>
            <w:szCs w:val="24"/>
            <w:u w:val="single"/>
          </w:rPr>
          <w:t>164</w:t>
        </w:r>
      </w:hyperlink>
      <w:r w:rsidRPr="001D4A2E">
        <w:rPr>
          <w:rFonts w:ascii="微软雅黑" w:eastAsia="微软雅黑" w:hAnsi="微软雅黑" w:cs="宋体"/>
          <w:kern w:val="0"/>
          <w:sz w:val="24"/>
          <w:szCs w:val="24"/>
        </w:rPr>
        <w:t> )处理MCF-7细胞，均可抑制SA-β-半乳糖苷酶活性和p53蛋白表达。NAC处理还能抑制已知表达突变型p53的T-47D细胞中的ROS生成。从机制上讲，本研究表明他</w:t>
      </w:r>
      <w:proofErr w:type="gramStart"/>
      <w:r w:rsidRPr="001D4A2E">
        <w:rPr>
          <w:rFonts w:ascii="微软雅黑" w:eastAsia="微软雅黑" w:hAnsi="微软雅黑" w:cs="宋体"/>
          <w:kern w:val="0"/>
          <w:sz w:val="24"/>
          <w:szCs w:val="24"/>
        </w:rPr>
        <w:t>莫昔芬</w:t>
      </w:r>
      <w:proofErr w:type="gramEnd"/>
      <w:r w:rsidRPr="001D4A2E">
        <w:rPr>
          <w:rFonts w:ascii="微软雅黑" w:eastAsia="微软雅黑" w:hAnsi="微软雅黑" w:cs="宋体"/>
          <w:kern w:val="0"/>
          <w:sz w:val="24"/>
          <w:szCs w:val="24"/>
        </w:rPr>
        <w:t>抑制了蛋白激酶CK2的催化活性，CK2是一种丝氨酸/苏氨酸激酶，已知可催化大量在乳腺癌细胞中过表达的胞质和核蛋白的磷酸化( </w:t>
      </w:r>
      <w:hyperlink r:id="rId118" w:anchor="B165" w:history="1">
        <w:r w:rsidRPr="001D4A2E">
          <w:rPr>
            <w:rFonts w:ascii="微软雅黑" w:eastAsia="微软雅黑" w:hAnsi="微软雅黑" w:cs="宋体"/>
            <w:kern w:val="0"/>
            <w:sz w:val="24"/>
            <w:szCs w:val="24"/>
            <w:u w:val="single"/>
          </w:rPr>
          <w:t>165</w:t>
        </w:r>
      </w:hyperlink>
      <w:r w:rsidRPr="001D4A2E">
        <w:rPr>
          <w:rFonts w:ascii="微软雅黑" w:eastAsia="微软雅黑" w:hAnsi="微软雅黑" w:cs="宋体"/>
          <w:kern w:val="0"/>
          <w:sz w:val="24"/>
          <w:szCs w:val="24"/>
        </w:rPr>
        <w:t> , </w:t>
      </w:r>
      <w:hyperlink r:id="rId119" w:anchor="B166" w:history="1">
        <w:r w:rsidRPr="001D4A2E">
          <w:rPr>
            <w:rFonts w:ascii="微软雅黑" w:eastAsia="微软雅黑" w:hAnsi="微软雅黑" w:cs="宋体"/>
            <w:kern w:val="0"/>
            <w:sz w:val="24"/>
            <w:szCs w:val="24"/>
            <w:u w:val="single"/>
          </w:rPr>
          <w:t>166</w:t>
        </w:r>
      </w:hyperlink>
      <w:r w:rsidRPr="001D4A2E">
        <w:rPr>
          <w:rFonts w:ascii="微软雅黑" w:eastAsia="微软雅黑" w:hAnsi="微软雅黑" w:cs="宋体"/>
          <w:kern w:val="0"/>
          <w:sz w:val="24"/>
          <w:szCs w:val="24"/>
        </w:rPr>
        <w:t> ) ( </w:t>
      </w:r>
      <w:hyperlink r:id="rId120" w:anchor="B165" w:history="1">
        <w:r w:rsidRPr="001D4A2E">
          <w:rPr>
            <w:rFonts w:ascii="微软雅黑" w:eastAsia="微软雅黑" w:hAnsi="微软雅黑" w:cs="宋体"/>
            <w:kern w:val="0"/>
            <w:sz w:val="24"/>
            <w:szCs w:val="24"/>
            <w:u w:val="single"/>
          </w:rPr>
          <w:t>165</w:t>
        </w:r>
      </w:hyperlink>
      <w:r w:rsidRPr="001D4A2E">
        <w:rPr>
          <w:rFonts w:ascii="微软雅黑" w:eastAsia="微软雅黑" w:hAnsi="微软雅黑" w:cs="宋体"/>
          <w:kern w:val="0"/>
          <w:sz w:val="24"/>
          <w:szCs w:val="24"/>
        </w:rPr>
        <w:t> )。CK2α（CK2催化亚基）的过表达抑制了他</w:t>
      </w:r>
      <w:proofErr w:type="gramStart"/>
      <w:r w:rsidRPr="001D4A2E">
        <w:rPr>
          <w:rFonts w:ascii="微软雅黑" w:eastAsia="微软雅黑" w:hAnsi="微软雅黑" w:cs="宋体"/>
          <w:kern w:val="0"/>
          <w:sz w:val="24"/>
          <w:szCs w:val="24"/>
        </w:rPr>
        <w:t>莫昔芬</w:t>
      </w:r>
      <w:proofErr w:type="gramEnd"/>
      <w:r w:rsidRPr="001D4A2E">
        <w:rPr>
          <w:rFonts w:ascii="微软雅黑" w:eastAsia="微软雅黑" w:hAnsi="微软雅黑" w:cs="宋体"/>
          <w:kern w:val="0"/>
          <w:sz w:val="24"/>
          <w:szCs w:val="24"/>
        </w:rPr>
        <w:t>诱导的MCF-7细胞衰老，降低了p53和p21水平以及ROS生成。因此，Lee等人。有研究提出，他</w:t>
      </w:r>
      <w:proofErr w:type="gramStart"/>
      <w:r w:rsidRPr="001D4A2E">
        <w:rPr>
          <w:rFonts w:ascii="微软雅黑" w:eastAsia="微软雅黑" w:hAnsi="微软雅黑" w:cs="宋体"/>
          <w:kern w:val="0"/>
          <w:sz w:val="24"/>
          <w:szCs w:val="24"/>
        </w:rPr>
        <w:t>莫昔芬</w:t>
      </w:r>
      <w:proofErr w:type="gramEnd"/>
      <w:r w:rsidRPr="001D4A2E">
        <w:rPr>
          <w:rFonts w:ascii="微软雅黑" w:eastAsia="微软雅黑" w:hAnsi="微软雅黑" w:cs="宋体"/>
          <w:kern w:val="0"/>
          <w:sz w:val="24"/>
          <w:szCs w:val="24"/>
        </w:rPr>
        <w:t>诱导的衰老依赖于CK2，并通过ROS-p53-p21依赖性通路</w:t>
      </w:r>
      <w:proofErr w:type="gramStart"/>
      <w:r w:rsidRPr="001D4A2E">
        <w:rPr>
          <w:rFonts w:ascii="微软雅黑" w:eastAsia="微软雅黑" w:hAnsi="微软雅黑" w:cs="宋体"/>
          <w:kern w:val="0"/>
          <w:sz w:val="24"/>
          <w:szCs w:val="24"/>
        </w:rPr>
        <w:t>介</w:t>
      </w:r>
      <w:proofErr w:type="gramEnd"/>
      <w:r w:rsidRPr="001D4A2E">
        <w:rPr>
          <w:rFonts w:ascii="微软雅黑" w:eastAsia="微软雅黑" w:hAnsi="微软雅黑" w:cs="宋体"/>
          <w:kern w:val="0"/>
          <w:sz w:val="24"/>
          <w:szCs w:val="24"/>
        </w:rPr>
        <w:t>导，该通路存在于乳腺癌细胞中。然而，这些乳腺癌模型中衰老的诱导是否涉及mTORC1或mTORC2的作用尚未得到研究。尽管Jung等人( </w:t>
      </w:r>
      <w:hyperlink r:id="rId121" w:anchor="B167" w:history="1">
        <w:r w:rsidRPr="001D4A2E">
          <w:rPr>
            <w:rFonts w:ascii="微软雅黑" w:eastAsia="微软雅黑" w:hAnsi="微软雅黑" w:cs="宋体"/>
            <w:kern w:val="0"/>
            <w:sz w:val="24"/>
            <w:szCs w:val="24"/>
            <w:u w:val="single"/>
          </w:rPr>
          <w:t>167</w:t>
        </w:r>
      </w:hyperlink>
      <w:r w:rsidRPr="001D4A2E">
        <w:rPr>
          <w:rFonts w:ascii="微软雅黑" w:eastAsia="微软雅黑" w:hAnsi="微软雅黑" w:cs="宋体"/>
          <w:kern w:val="0"/>
          <w:sz w:val="24"/>
          <w:szCs w:val="24"/>
        </w:rPr>
        <w:t> )的研究是在PTEN缺陷的MCF-7细胞和PI3K/AKT信号通路失调的小鼠胚胎成纤维细胞中进行的，但他们已证实每种mTOR激酶均能与p53结合并诱导衰老表型。</w:t>
      </w:r>
    </w:p>
    <w:p w14:paraId="12BC45EA"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t>YPEL3是一种受p53调控的蛋白，已知其能诱导细胞衰老（</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"B145"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145</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），而抗雌激素处理的MCF-7细胞中YPEL3表达的增加也被认为能诱导细胞衰老（</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"B110"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110</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）。他</w:t>
      </w:r>
      <w:proofErr w:type="gramStart"/>
      <w:r w:rsidRPr="001D4A2E">
        <w:rPr>
          <w:rFonts w:ascii="微软雅黑" w:eastAsia="微软雅黑" w:hAnsi="微软雅黑" w:cs="宋体"/>
          <w:kern w:val="0"/>
          <w:sz w:val="24"/>
          <w:szCs w:val="24"/>
        </w:rPr>
        <w:t>莫昔芬</w:t>
      </w:r>
      <w:proofErr w:type="gramEnd"/>
      <w:r w:rsidRPr="001D4A2E">
        <w:rPr>
          <w:rFonts w:ascii="微软雅黑" w:eastAsia="微软雅黑" w:hAnsi="微软雅黑" w:cs="宋体"/>
          <w:kern w:val="0"/>
          <w:sz w:val="24"/>
          <w:szCs w:val="24"/>
        </w:rPr>
        <w:t xml:space="preserve">浓度为0.5 </w:t>
      </w:r>
      <w:proofErr w:type="spellStart"/>
      <w:r w:rsidRPr="001D4A2E">
        <w:rPr>
          <w:rFonts w:ascii="微软雅黑" w:eastAsia="微软雅黑" w:hAnsi="微软雅黑" w:cs="宋体"/>
          <w:kern w:val="0"/>
          <w:sz w:val="24"/>
          <w:szCs w:val="24"/>
        </w:rPr>
        <w:t>μM</w:t>
      </w:r>
      <w:proofErr w:type="spellEnd"/>
      <w:r w:rsidRPr="001D4A2E">
        <w:rPr>
          <w:rFonts w:ascii="微软雅黑" w:eastAsia="微软雅黑" w:hAnsi="微软雅黑" w:cs="宋体"/>
          <w:kern w:val="0"/>
          <w:sz w:val="24"/>
          <w:szCs w:val="24"/>
        </w:rPr>
        <w:t>，处理6天后，YPEL3 mRNA的表达水平较对照组细胞提高了2.3倍；同时，SA-β-Gal阳性细胞的比例也较对照组细胞的基线水平增加了35%，表明细胞</w:t>
      </w:r>
      <w:proofErr w:type="gramStart"/>
      <w:r w:rsidRPr="001D4A2E">
        <w:rPr>
          <w:rFonts w:ascii="微软雅黑" w:eastAsia="微软雅黑" w:hAnsi="微软雅黑" w:cs="宋体"/>
          <w:kern w:val="0"/>
          <w:sz w:val="24"/>
          <w:szCs w:val="24"/>
        </w:rPr>
        <w:t>衰老被</w:t>
      </w:r>
      <w:proofErr w:type="gramEnd"/>
      <w:r w:rsidRPr="001D4A2E">
        <w:rPr>
          <w:rFonts w:ascii="微软雅黑" w:eastAsia="微软雅黑" w:hAnsi="微软雅黑" w:cs="宋体"/>
          <w:kern w:val="0"/>
          <w:sz w:val="24"/>
          <w:szCs w:val="24"/>
        </w:rPr>
        <w:t>诱导。当使用shRNA靶向抑制YPEL3表达时，未观察到上述结果，这证实了YPEL3在他</w:t>
      </w:r>
      <w:proofErr w:type="gramStart"/>
      <w:r w:rsidRPr="001D4A2E">
        <w:rPr>
          <w:rFonts w:ascii="微软雅黑" w:eastAsia="微软雅黑" w:hAnsi="微软雅黑" w:cs="宋体"/>
          <w:kern w:val="0"/>
          <w:sz w:val="24"/>
          <w:szCs w:val="24"/>
        </w:rPr>
        <w:t>莫昔芬</w:t>
      </w:r>
      <w:proofErr w:type="gramEnd"/>
      <w:r w:rsidRPr="001D4A2E">
        <w:rPr>
          <w:rFonts w:ascii="微软雅黑" w:eastAsia="微软雅黑" w:hAnsi="微软雅黑" w:cs="宋体"/>
          <w:kern w:val="0"/>
          <w:sz w:val="24"/>
          <w:szCs w:val="24"/>
        </w:rPr>
        <w:t>诱导的细胞衰老中的作用。这些</w:t>
      </w:r>
      <w:r w:rsidRPr="001D4A2E">
        <w:rPr>
          <w:rFonts w:ascii="微软雅黑" w:eastAsia="微软雅黑" w:hAnsi="微软雅黑" w:cs="宋体"/>
          <w:i/>
          <w:iCs/>
          <w:kern w:val="0"/>
          <w:sz w:val="24"/>
          <w:szCs w:val="24"/>
        </w:rPr>
        <w:t>体外</w:t>
      </w:r>
      <w:r w:rsidRPr="001D4A2E">
        <w:rPr>
          <w:rFonts w:ascii="微软雅黑" w:eastAsia="微软雅黑" w:hAnsi="微软雅黑" w:cs="宋体"/>
          <w:kern w:val="0"/>
          <w:sz w:val="24"/>
          <w:szCs w:val="24"/>
        </w:rPr>
        <w:t>结果表明他</w:t>
      </w:r>
      <w:proofErr w:type="gramStart"/>
      <w:r w:rsidRPr="001D4A2E">
        <w:rPr>
          <w:rFonts w:ascii="微软雅黑" w:eastAsia="微软雅黑" w:hAnsi="微软雅黑" w:cs="宋体"/>
          <w:kern w:val="0"/>
          <w:sz w:val="24"/>
          <w:szCs w:val="24"/>
        </w:rPr>
        <w:t>莫昔芬</w:t>
      </w:r>
      <w:proofErr w:type="gramEnd"/>
      <w:r w:rsidRPr="001D4A2E">
        <w:rPr>
          <w:rFonts w:ascii="微软雅黑" w:eastAsia="微软雅黑" w:hAnsi="微软雅黑" w:cs="宋体"/>
          <w:kern w:val="0"/>
          <w:sz w:val="24"/>
          <w:szCs w:val="24"/>
        </w:rPr>
        <w:t>治疗与衰老诱导之间存在关联，但需要在乳腺肿瘤动物模型中得到证实，在这些模型中，他</w:t>
      </w:r>
      <w:proofErr w:type="gramStart"/>
      <w:r w:rsidRPr="001D4A2E">
        <w:rPr>
          <w:rFonts w:ascii="微软雅黑" w:eastAsia="微软雅黑" w:hAnsi="微软雅黑" w:cs="宋体"/>
          <w:kern w:val="0"/>
          <w:sz w:val="24"/>
          <w:szCs w:val="24"/>
        </w:rPr>
        <w:t>莫昔芬</w:t>
      </w:r>
      <w:proofErr w:type="gramEnd"/>
      <w:r w:rsidRPr="001D4A2E">
        <w:rPr>
          <w:rFonts w:ascii="微软雅黑" w:eastAsia="微软雅黑" w:hAnsi="微软雅黑" w:cs="宋体"/>
          <w:kern w:val="0"/>
          <w:sz w:val="24"/>
          <w:szCs w:val="24"/>
        </w:rPr>
        <w:t>的临床相关浓度达到，即在患者组织中高达 1.0 µM，在血清中高达 0.3 µM ( </w:t>
      </w:r>
      <w:hyperlink r:id="rId122" w:anchor="B168" w:history="1">
        <w:r w:rsidRPr="001D4A2E">
          <w:rPr>
            <w:rFonts w:ascii="微软雅黑" w:eastAsia="微软雅黑" w:hAnsi="微软雅黑" w:cs="宋体"/>
            <w:kern w:val="0"/>
            <w:sz w:val="24"/>
            <w:szCs w:val="24"/>
            <w:u w:val="single"/>
          </w:rPr>
          <w:t>168</w:t>
        </w:r>
      </w:hyperlink>
      <w:r w:rsidRPr="001D4A2E">
        <w:rPr>
          <w:rFonts w:ascii="微软雅黑" w:eastAsia="微软雅黑" w:hAnsi="微软雅黑" w:cs="宋体"/>
          <w:kern w:val="0"/>
          <w:sz w:val="24"/>
          <w:szCs w:val="24"/>
        </w:rPr>
        <w:t> )。</w:t>
      </w:r>
    </w:p>
    <w:p w14:paraId="5BD2E238" w14:textId="77777777" w:rsidR="001D4A2E" w:rsidRPr="001D4A2E" w:rsidRDefault="001D4A2E" w:rsidP="001D4A2E">
      <w:pPr>
        <w:widowControl/>
        <w:spacing w:line="450" w:lineRule="atLeast"/>
        <w:outlineLvl w:val="2"/>
        <w:rPr>
          <w:rFonts w:ascii="微软雅黑" w:eastAsia="微软雅黑" w:hAnsi="微软雅黑" w:cs="宋体"/>
          <w:kern w:val="0"/>
          <w:sz w:val="32"/>
          <w:szCs w:val="32"/>
        </w:rPr>
      </w:pPr>
      <w:r w:rsidRPr="001D4A2E">
        <w:rPr>
          <w:rFonts w:ascii="微软雅黑" w:eastAsia="微软雅黑" w:hAnsi="微软雅黑" w:cs="宋体"/>
          <w:kern w:val="0"/>
          <w:sz w:val="32"/>
          <w:szCs w:val="32"/>
        </w:rPr>
        <w:lastRenderedPageBreak/>
        <w:t>6.4. CDK4/6抑制剂、乳腺癌衰老和mTORC1</w:t>
      </w:r>
    </w:p>
    <w:p w14:paraId="443D71BC"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t>最常用的</w:t>
      </w:r>
      <w:proofErr w:type="spellStart"/>
      <w:r w:rsidRPr="001D4A2E">
        <w:rPr>
          <w:rFonts w:ascii="微软雅黑" w:eastAsia="微软雅黑" w:hAnsi="微软雅黑" w:cs="宋体"/>
          <w:kern w:val="0"/>
          <w:sz w:val="24"/>
          <w:szCs w:val="24"/>
        </w:rPr>
        <w:t>CDKi</w:t>
      </w:r>
      <w:proofErr w:type="spellEnd"/>
      <w:r w:rsidRPr="001D4A2E">
        <w:rPr>
          <w:rFonts w:ascii="微软雅黑" w:eastAsia="微软雅黑" w:hAnsi="微软雅黑" w:cs="宋体"/>
          <w:kern w:val="0"/>
          <w:sz w:val="24"/>
          <w:szCs w:val="24"/>
        </w:rPr>
        <w:t>是帕博西尼（</w:t>
      </w:r>
      <w:proofErr w:type="spellStart"/>
      <w:r w:rsidRPr="001D4A2E">
        <w:rPr>
          <w:rFonts w:ascii="微软雅黑" w:eastAsia="微软雅黑" w:hAnsi="微软雅黑" w:cs="宋体"/>
          <w:kern w:val="0"/>
          <w:sz w:val="24"/>
          <w:szCs w:val="24"/>
        </w:rPr>
        <w:t>palbociclib</w:t>
      </w:r>
      <w:proofErr w:type="spellEnd"/>
      <w:r w:rsidRPr="001D4A2E">
        <w:rPr>
          <w:rFonts w:ascii="微软雅黑" w:eastAsia="微软雅黑" w:hAnsi="微软雅黑" w:cs="宋体"/>
          <w:kern w:val="0"/>
          <w:sz w:val="24"/>
          <w:szCs w:val="24"/>
        </w:rPr>
        <w:t>），通常与</w:t>
      </w:r>
      <w:proofErr w:type="gramStart"/>
      <w:r w:rsidRPr="001D4A2E">
        <w:rPr>
          <w:rFonts w:ascii="微软雅黑" w:eastAsia="微软雅黑" w:hAnsi="微软雅黑" w:cs="宋体"/>
          <w:kern w:val="0"/>
          <w:sz w:val="24"/>
          <w:szCs w:val="24"/>
        </w:rPr>
        <w:t>氟维司群</w:t>
      </w:r>
      <w:proofErr w:type="gramEnd"/>
      <w:r w:rsidRPr="001D4A2E">
        <w:rPr>
          <w:rFonts w:ascii="微软雅黑" w:eastAsia="微软雅黑" w:hAnsi="微软雅黑" w:cs="宋体"/>
          <w:kern w:val="0"/>
          <w:sz w:val="24"/>
          <w:szCs w:val="24"/>
        </w:rPr>
        <w:t>或来曲</w:t>
      </w:r>
      <w:proofErr w:type="gramStart"/>
      <w:r w:rsidRPr="001D4A2E">
        <w:rPr>
          <w:rFonts w:ascii="微软雅黑" w:eastAsia="微软雅黑" w:hAnsi="微软雅黑" w:cs="宋体"/>
          <w:kern w:val="0"/>
          <w:sz w:val="24"/>
          <w:szCs w:val="24"/>
        </w:rPr>
        <w:t>唑</w:t>
      </w:r>
      <w:proofErr w:type="gramEnd"/>
      <w:r w:rsidRPr="001D4A2E">
        <w:rPr>
          <w:rFonts w:ascii="微软雅黑" w:eastAsia="微软雅黑" w:hAnsi="微软雅黑" w:cs="宋体"/>
          <w:kern w:val="0"/>
          <w:sz w:val="24"/>
          <w:szCs w:val="24"/>
        </w:rPr>
        <w:t>联合使用（</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"B130"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130</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 , </w:t>
      </w:r>
      <w:hyperlink r:id="rId123" w:anchor="B169" w:history="1">
        <w:r w:rsidRPr="001D4A2E">
          <w:rPr>
            <w:rFonts w:ascii="微软雅黑" w:eastAsia="微软雅黑" w:hAnsi="微软雅黑" w:cs="宋体"/>
            <w:kern w:val="0"/>
            <w:sz w:val="24"/>
            <w:szCs w:val="24"/>
            <w:u w:val="single"/>
          </w:rPr>
          <w:t>169</w:t>
        </w:r>
      </w:hyperlink>
      <w:r w:rsidRPr="001D4A2E">
        <w:rPr>
          <w:rFonts w:ascii="微软雅黑" w:eastAsia="微软雅黑" w:hAnsi="微软雅黑" w:cs="宋体"/>
          <w:kern w:val="0"/>
          <w:sz w:val="24"/>
          <w:szCs w:val="24"/>
        </w:rPr>
        <w:t>）。帕博西尼是衰老表型的强效诱导剂；例如，</w:t>
      </w:r>
      <w:proofErr w:type="spellStart"/>
      <w:r w:rsidRPr="001D4A2E">
        <w:rPr>
          <w:rFonts w:ascii="微软雅黑" w:eastAsia="微软雅黑" w:hAnsi="微软雅黑" w:cs="宋体"/>
          <w:kern w:val="0"/>
          <w:sz w:val="24"/>
          <w:szCs w:val="24"/>
        </w:rPr>
        <w:t>Jost</w:t>
      </w:r>
      <w:proofErr w:type="spellEnd"/>
      <w:r w:rsidRPr="001D4A2E">
        <w:rPr>
          <w:rFonts w:ascii="微软雅黑" w:eastAsia="微软雅黑" w:hAnsi="微软雅黑" w:cs="宋体"/>
          <w:kern w:val="0"/>
          <w:sz w:val="24"/>
          <w:szCs w:val="24"/>
        </w:rPr>
        <w:t xml:space="preserve">等人发现，在MCF-7细胞中，帕博西尼处理（2 </w:t>
      </w:r>
      <w:proofErr w:type="spellStart"/>
      <w:r w:rsidRPr="001D4A2E">
        <w:rPr>
          <w:rFonts w:ascii="微软雅黑" w:eastAsia="微软雅黑" w:hAnsi="微软雅黑" w:cs="宋体"/>
          <w:kern w:val="0"/>
          <w:sz w:val="24"/>
          <w:szCs w:val="24"/>
        </w:rPr>
        <w:t>μM</w:t>
      </w:r>
      <w:proofErr w:type="spellEnd"/>
      <w:r w:rsidRPr="001D4A2E">
        <w:rPr>
          <w:rFonts w:ascii="微软雅黑" w:eastAsia="微软雅黑" w:hAnsi="微软雅黑" w:cs="宋体"/>
          <w:kern w:val="0"/>
          <w:sz w:val="24"/>
          <w:szCs w:val="24"/>
        </w:rPr>
        <w:t>，10天）可使衰老标志物C12FDG的百分比增加20-30%（</w:t>
      </w:r>
      <w:hyperlink r:id="rId124" w:anchor="B170" w:history="1">
        <w:r w:rsidRPr="001D4A2E">
          <w:rPr>
            <w:rFonts w:ascii="微软雅黑" w:eastAsia="微软雅黑" w:hAnsi="微软雅黑" w:cs="宋体"/>
            <w:kern w:val="0"/>
            <w:sz w:val="24"/>
            <w:szCs w:val="24"/>
            <w:u w:val="single"/>
          </w:rPr>
          <w:t>170</w:t>
        </w:r>
      </w:hyperlink>
      <w:r w:rsidRPr="001D4A2E">
        <w:rPr>
          <w:rFonts w:ascii="微软雅黑" w:eastAsia="微软雅黑" w:hAnsi="微软雅黑" w:cs="宋体"/>
          <w:kern w:val="0"/>
          <w:sz w:val="24"/>
          <w:szCs w:val="24"/>
        </w:rPr>
        <w:t> ）。</w:t>
      </w:r>
      <w:proofErr w:type="spellStart"/>
      <w:r w:rsidRPr="001D4A2E">
        <w:rPr>
          <w:rFonts w:ascii="微软雅黑" w:eastAsia="微软雅黑" w:hAnsi="微软雅黑" w:cs="宋体"/>
          <w:kern w:val="0"/>
          <w:sz w:val="24"/>
          <w:szCs w:val="24"/>
        </w:rPr>
        <w:t>Maskey</w:t>
      </w:r>
      <w:proofErr w:type="spellEnd"/>
      <w:r w:rsidRPr="001D4A2E">
        <w:rPr>
          <w:rFonts w:ascii="微软雅黑" w:eastAsia="微软雅黑" w:hAnsi="微软雅黑" w:cs="宋体"/>
          <w:kern w:val="0"/>
          <w:sz w:val="24"/>
          <w:szCs w:val="24"/>
        </w:rPr>
        <w:t>等人也使用MCF-7、T-47D和ER </w:t>
      </w:r>
      <w:r w:rsidRPr="001D4A2E">
        <w:rPr>
          <w:rFonts w:ascii="微软雅黑" w:eastAsia="微软雅黑" w:hAnsi="微软雅黑" w:cs="宋体"/>
          <w:kern w:val="0"/>
          <w:sz w:val="24"/>
          <w:szCs w:val="24"/>
          <w:vertAlign w:val="superscript"/>
        </w:rPr>
        <w:t>+</w:t>
      </w:r>
      <w:r w:rsidRPr="001D4A2E">
        <w:rPr>
          <w:rFonts w:ascii="微软雅黑" w:eastAsia="微软雅黑" w:hAnsi="微软雅黑" w:cs="宋体"/>
          <w:kern w:val="0"/>
          <w:sz w:val="24"/>
          <w:szCs w:val="24"/>
        </w:rPr>
        <w:t>乳腺癌细胞系CAMA-1研究了衰老与帕博西尼在ER </w:t>
      </w:r>
      <w:r w:rsidRPr="001D4A2E">
        <w:rPr>
          <w:rFonts w:ascii="微软雅黑" w:eastAsia="微软雅黑" w:hAnsi="微软雅黑" w:cs="宋体"/>
          <w:kern w:val="0"/>
          <w:sz w:val="24"/>
          <w:szCs w:val="24"/>
          <w:vertAlign w:val="superscript"/>
        </w:rPr>
        <w:t>+</w:t>
      </w:r>
      <w:r w:rsidRPr="001D4A2E">
        <w:rPr>
          <w:rFonts w:ascii="微软雅黑" w:eastAsia="微软雅黑" w:hAnsi="微软雅黑" w:cs="宋体"/>
          <w:kern w:val="0"/>
          <w:sz w:val="24"/>
          <w:szCs w:val="24"/>
        </w:rPr>
        <w:t>乳腺癌中的关系（ </w:t>
      </w:r>
      <w:hyperlink r:id="rId125" w:anchor="B171" w:history="1">
        <w:r w:rsidRPr="001D4A2E">
          <w:rPr>
            <w:rFonts w:ascii="微软雅黑" w:eastAsia="微软雅黑" w:hAnsi="微软雅黑" w:cs="宋体"/>
            <w:kern w:val="0"/>
            <w:sz w:val="24"/>
            <w:szCs w:val="24"/>
            <w:u w:val="single"/>
          </w:rPr>
          <w:t>171</w:t>
        </w:r>
      </w:hyperlink>
      <w:r w:rsidRPr="001D4A2E">
        <w:rPr>
          <w:rFonts w:ascii="微软雅黑" w:eastAsia="微软雅黑" w:hAnsi="微软雅黑" w:cs="宋体"/>
          <w:kern w:val="0"/>
          <w:sz w:val="24"/>
          <w:szCs w:val="24"/>
        </w:rPr>
        <w:t>）。这些研究表明，帕博西尼可使ER </w:t>
      </w:r>
      <w:r w:rsidRPr="001D4A2E">
        <w:rPr>
          <w:rFonts w:ascii="微软雅黑" w:eastAsia="微软雅黑" w:hAnsi="微软雅黑" w:cs="宋体"/>
          <w:kern w:val="0"/>
          <w:sz w:val="24"/>
          <w:szCs w:val="24"/>
          <w:vertAlign w:val="superscript"/>
        </w:rPr>
        <w:t>+</w:t>
      </w:r>
      <w:r w:rsidRPr="001D4A2E">
        <w:rPr>
          <w:rFonts w:ascii="微软雅黑" w:eastAsia="微软雅黑" w:hAnsi="微软雅黑" w:cs="宋体"/>
          <w:kern w:val="0"/>
          <w:sz w:val="24"/>
          <w:szCs w:val="24"/>
        </w:rPr>
        <w:t>细胞停滞在G1期，增加细胞体积，并诱导β-半乳糖苷酶的表达（SA-β-Gal染色增强）。这些变化以视网膜母细胞瘤蛋白（Rb）依赖的方式发生；在CAMA-1细胞中通过shRNA靶</w:t>
      </w:r>
      <w:proofErr w:type="gramStart"/>
      <w:r w:rsidRPr="001D4A2E">
        <w:rPr>
          <w:rFonts w:ascii="微软雅黑" w:eastAsia="微软雅黑" w:hAnsi="微软雅黑" w:cs="宋体"/>
          <w:kern w:val="0"/>
          <w:sz w:val="24"/>
          <w:szCs w:val="24"/>
        </w:rPr>
        <w:t>向敲低</w:t>
      </w:r>
      <w:proofErr w:type="gramEnd"/>
      <w:r w:rsidRPr="001D4A2E">
        <w:rPr>
          <w:rFonts w:ascii="微软雅黑" w:eastAsia="微软雅黑" w:hAnsi="微软雅黑" w:cs="宋体"/>
          <w:kern w:val="0"/>
          <w:sz w:val="24"/>
          <w:szCs w:val="24"/>
        </w:rPr>
        <w:t>Rb可阻止帕博西尼诱导的生长抑制作用。重要的是，帕博西尼诱导的MCF-7和T-47D细胞衰老是可逆的。在两种细胞系中分别于6天和14天后去除帕博西尼，均可使乳腺癌细胞</w:t>
      </w:r>
      <w:proofErr w:type="gramStart"/>
      <w:r w:rsidRPr="001D4A2E">
        <w:rPr>
          <w:rFonts w:ascii="微软雅黑" w:eastAsia="微软雅黑" w:hAnsi="微软雅黑" w:cs="宋体"/>
          <w:kern w:val="0"/>
          <w:sz w:val="24"/>
          <w:szCs w:val="24"/>
        </w:rPr>
        <w:t>群恢复</w:t>
      </w:r>
      <w:proofErr w:type="gramEnd"/>
      <w:r w:rsidRPr="001D4A2E">
        <w:rPr>
          <w:rFonts w:ascii="微软雅黑" w:eastAsia="微软雅黑" w:hAnsi="微软雅黑" w:cs="宋体"/>
          <w:kern w:val="0"/>
          <w:sz w:val="24"/>
          <w:szCs w:val="24"/>
        </w:rPr>
        <w:t xml:space="preserve">正常形态、可测量的增殖能力和降低的SA-β-半乳糖苷酶活性。CAMA-1细胞在治疗6天后也恢复了增殖能力。然而，治疗14天后，CAMA-1细胞仍然增大、生长停滞、SA-β-半乳糖苷酶活性阳性，并最终发生细胞死亡。与帕博西尼处理的T-47D和MCF-7细胞群相比，帕博西尼在治疗14天后使CAMA-1细胞中SASP基因的表达水平上调得更高。根据这些结果，作者提出 CAMA-1 细胞在 </w:t>
      </w:r>
      <w:proofErr w:type="spellStart"/>
      <w:r w:rsidRPr="001D4A2E">
        <w:rPr>
          <w:rFonts w:ascii="微软雅黑" w:eastAsia="微软雅黑" w:hAnsi="微软雅黑" w:cs="宋体"/>
          <w:kern w:val="0"/>
          <w:sz w:val="24"/>
          <w:szCs w:val="24"/>
        </w:rPr>
        <w:t>palbociclib</w:t>
      </w:r>
      <w:proofErr w:type="spellEnd"/>
      <w:r w:rsidRPr="001D4A2E">
        <w:rPr>
          <w:rFonts w:ascii="微软雅黑" w:eastAsia="微软雅黑" w:hAnsi="微软雅黑" w:cs="宋体"/>
          <w:kern w:val="0"/>
          <w:sz w:val="24"/>
          <w:szCs w:val="24"/>
        </w:rPr>
        <w:t xml:space="preserve"> 治疗 14 天后进入完全/不可逆的衰老状态，而 T-47D 和 MCF-7 细胞则进入不完全（可逆）的衰老状态。</w:t>
      </w:r>
    </w:p>
    <w:p w14:paraId="044108A6" w14:textId="77777777" w:rsidR="001D4A2E" w:rsidRPr="001D4A2E" w:rsidRDefault="001D4A2E" w:rsidP="001D4A2E">
      <w:pPr>
        <w:widowControl/>
        <w:spacing w:before="450"/>
        <w:rPr>
          <w:rFonts w:ascii="微软雅黑" w:eastAsia="微软雅黑" w:hAnsi="微软雅黑" w:cs="宋体"/>
          <w:kern w:val="0"/>
          <w:sz w:val="24"/>
          <w:szCs w:val="24"/>
        </w:rPr>
      </w:pPr>
      <w:proofErr w:type="spellStart"/>
      <w:r w:rsidRPr="001D4A2E">
        <w:rPr>
          <w:rFonts w:ascii="微软雅黑" w:eastAsia="微软雅黑" w:hAnsi="微软雅黑" w:cs="宋体"/>
          <w:kern w:val="0"/>
          <w:sz w:val="24"/>
          <w:szCs w:val="24"/>
        </w:rPr>
        <w:t>Maskey</w:t>
      </w:r>
      <w:proofErr w:type="spellEnd"/>
      <w:r w:rsidRPr="001D4A2E">
        <w:rPr>
          <w:rFonts w:ascii="微软雅黑" w:eastAsia="微软雅黑" w:hAnsi="微软雅黑" w:cs="宋体"/>
          <w:kern w:val="0"/>
          <w:sz w:val="24"/>
          <w:szCs w:val="24"/>
        </w:rPr>
        <w:t>等人开展的研究也探讨了帕博西尼诱导细胞衰老的潜在机制（</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"B171"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171</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）。研究表明，帕博西尼治疗6天、10天或14天均可降低mTORC1通路下游组分（4EBP1、S6K1和S6RP）的磷酸化水平，提示MCF-7和T-47D细胞中mTORC1</w:t>
      </w:r>
      <w:r w:rsidRPr="001D4A2E">
        <w:rPr>
          <w:rFonts w:ascii="微软雅黑" w:eastAsia="微软雅黑" w:hAnsi="微软雅黑" w:cs="宋体"/>
          <w:kern w:val="0"/>
          <w:sz w:val="24"/>
          <w:szCs w:val="24"/>
        </w:rPr>
        <w:lastRenderedPageBreak/>
        <w:t>活性下调。相反，帕博西尼治疗CAMA-1细胞10天或14天后，mTORC1底物的水平未受影响，提示mTORC1与长期帕博西尼治疗引起的不可逆衰老之间存在关联。重要的是，</w:t>
      </w:r>
      <w:proofErr w:type="gramStart"/>
      <w:r w:rsidRPr="001D4A2E">
        <w:rPr>
          <w:rFonts w:ascii="微软雅黑" w:eastAsia="微软雅黑" w:hAnsi="微软雅黑" w:cs="宋体"/>
          <w:kern w:val="0"/>
          <w:sz w:val="24"/>
          <w:szCs w:val="24"/>
        </w:rPr>
        <w:t>使用雷帕霉素</w:t>
      </w:r>
      <w:proofErr w:type="gramEnd"/>
      <w:r w:rsidRPr="001D4A2E">
        <w:rPr>
          <w:rFonts w:ascii="微软雅黑" w:eastAsia="微软雅黑" w:hAnsi="微软雅黑" w:cs="宋体"/>
          <w:kern w:val="0"/>
          <w:sz w:val="24"/>
          <w:szCs w:val="24"/>
        </w:rPr>
        <w:t>（一种mTORC1小分子抑制剂）阻断mTORC1活性（</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"B172"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172</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），或通过shRNA靶向Raptor（一种mTORC1复合物活性的正向调节因子）（</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"B173"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173</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），均可阻止帕博西尼诱导的CAMA-1细胞不可逆衰老。此外，在MCF-7细胞中，与帕博西尼联合使用14或21天，通过CRISPR</w:t>
      </w:r>
      <w:proofErr w:type="gramStart"/>
      <w:r w:rsidRPr="001D4A2E">
        <w:rPr>
          <w:rFonts w:ascii="微软雅黑" w:eastAsia="微软雅黑" w:hAnsi="微软雅黑" w:cs="宋体"/>
          <w:kern w:val="0"/>
          <w:sz w:val="24"/>
          <w:szCs w:val="24"/>
        </w:rPr>
        <w:t>介</w:t>
      </w:r>
      <w:proofErr w:type="gramEnd"/>
      <w:r w:rsidRPr="001D4A2E">
        <w:rPr>
          <w:rFonts w:ascii="微软雅黑" w:eastAsia="微软雅黑" w:hAnsi="微软雅黑" w:cs="宋体"/>
          <w:kern w:val="0"/>
          <w:sz w:val="24"/>
          <w:szCs w:val="24"/>
        </w:rPr>
        <w:t>导的结节性硬化症复合物2 (TSC2)（一种mTORC1的负调控因子）（</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"B174"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174</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基因敲除，可诱导持续的生长停滞、扁平的细胞形态以及强烈的SA-β-半乳糖苷酶染色，与对照组细胞相比，这些细胞表现出显著的生长停滞、扁平的细胞形态以及强烈的SA-β-半乳糖苷酶染色。这些药理学和遗传学方法的结果有力地证明了mTORC1参与了帕博西尼诱导的细胞衰老（</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"B171"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171</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）。值得注意的是，这些研究并未评估自噬与衰老诱导之间的关系，也未探讨mTORC2的潜在作用。然而，Bernard等人( </w:t>
      </w:r>
      <w:hyperlink r:id="rId126" w:anchor="B175" w:history="1">
        <w:r w:rsidRPr="001D4A2E">
          <w:rPr>
            <w:rFonts w:ascii="微软雅黑" w:eastAsia="微软雅黑" w:hAnsi="微软雅黑" w:cs="宋体"/>
            <w:kern w:val="0"/>
            <w:sz w:val="24"/>
            <w:szCs w:val="24"/>
            <w:u w:val="single"/>
          </w:rPr>
          <w:t>175</w:t>
        </w:r>
      </w:hyperlink>
      <w:r w:rsidRPr="001D4A2E">
        <w:rPr>
          <w:rFonts w:ascii="微软雅黑" w:eastAsia="微软雅黑" w:hAnsi="微软雅黑" w:cs="宋体"/>
          <w:kern w:val="0"/>
          <w:sz w:val="24"/>
          <w:szCs w:val="24"/>
        </w:rPr>
        <w:t> )发现，在成纤维细胞中，持续的自噬可通过ROS</w:t>
      </w:r>
      <w:proofErr w:type="gramStart"/>
      <w:r w:rsidRPr="001D4A2E">
        <w:rPr>
          <w:rFonts w:ascii="微软雅黑" w:eastAsia="微软雅黑" w:hAnsi="微软雅黑" w:cs="宋体"/>
          <w:kern w:val="0"/>
          <w:sz w:val="24"/>
          <w:szCs w:val="24"/>
        </w:rPr>
        <w:t>介</w:t>
      </w:r>
      <w:proofErr w:type="gramEnd"/>
      <w:r w:rsidRPr="001D4A2E">
        <w:rPr>
          <w:rFonts w:ascii="微软雅黑" w:eastAsia="微软雅黑" w:hAnsi="微软雅黑" w:cs="宋体"/>
          <w:kern w:val="0"/>
          <w:sz w:val="24"/>
          <w:szCs w:val="24"/>
        </w:rPr>
        <w:t>导的mTORC2激活驱动衰老。自噬与衰老之间的这一重要联系部分是通过siRNA靶向mTORC2复合物的关键组分</w:t>
      </w:r>
      <w:proofErr w:type="spellStart"/>
      <w:r w:rsidRPr="001D4A2E">
        <w:rPr>
          <w:rFonts w:ascii="微软雅黑" w:eastAsia="微软雅黑" w:hAnsi="微软雅黑" w:cs="宋体"/>
          <w:kern w:val="0"/>
          <w:sz w:val="24"/>
          <w:szCs w:val="24"/>
        </w:rPr>
        <w:t>Rictor</w:t>
      </w:r>
      <w:proofErr w:type="spellEnd"/>
      <w:r w:rsidRPr="001D4A2E">
        <w:rPr>
          <w:rFonts w:ascii="微软雅黑" w:eastAsia="微软雅黑" w:hAnsi="微软雅黑" w:cs="宋体"/>
          <w:kern w:val="0"/>
          <w:sz w:val="24"/>
          <w:szCs w:val="24"/>
        </w:rPr>
        <w:t>而建立的。抑制mTORC2</w:t>
      </w:r>
      <w:proofErr w:type="gramStart"/>
      <w:r w:rsidRPr="001D4A2E">
        <w:rPr>
          <w:rFonts w:ascii="微软雅黑" w:eastAsia="微软雅黑" w:hAnsi="微软雅黑" w:cs="宋体"/>
          <w:kern w:val="0"/>
          <w:sz w:val="24"/>
          <w:szCs w:val="24"/>
        </w:rPr>
        <w:t>活性会</w:t>
      </w:r>
      <w:proofErr w:type="gramEnd"/>
      <w:r w:rsidRPr="001D4A2E">
        <w:rPr>
          <w:rFonts w:ascii="微软雅黑" w:eastAsia="微软雅黑" w:hAnsi="微软雅黑" w:cs="宋体"/>
          <w:kern w:val="0"/>
          <w:sz w:val="24"/>
          <w:szCs w:val="24"/>
        </w:rPr>
        <w:t>降低细胞周期蛋白依赖性激酶抑制剂CDKN1A和CDKN2A的表达，而CDKN1A和CDKN2A是已知的衰老介质。mTORC2活性是否在</w:t>
      </w:r>
      <w:proofErr w:type="spellStart"/>
      <w:r w:rsidRPr="001D4A2E">
        <w:rPr>
          <w:rFonts w:ascii="微软雅黑" w:eastAsia="微软雅黑" w:hAnsi="微软雅黑" w:cs="宋体"/>
          <w:kern w:val="0"/>
          <w:sz w:val="24"/>
          <w:szCs w:val="24"/>
        </w:rPr>
        <w:t>CDKi</w:t>
      </w:r>
      <w:proofErr w:type="spellEnd"/>
      <w:r w:rsidRPr="001D4A2E">
        <w:rPr>
          <w:rFonts w:ascii="微软雅黑" w:eastAsia="微软雅黑" w:hAnsi="微软雅黑" w:cs="宋体"/>
          <w:kern w:val="0"/>
          <w:sz w:val="24"/>
          <w:szCs w:val="24"/>
        </w:rPr>
        <w:t>和/或抗雌激素诱导的衰老中发挥作用，值得进一步研究。</w:t>
      </w:r>
    </w:p>
    <w:p w14:paraId="4DF5897E"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t>对帕博西尼耐药的MCF-7和T-47D细胞系的分析也提供了有关细胞衰老的机制信息。与亲代细胞相比，帕博西尼耐药（ER+）乳腺癌细胞过度表达细胞周期蛋白E和c-</w:t>
      </w:r>
      <w:proofErr w:type="spellStart"/>
      <w:r w:rsidRPr="001D4A2E">
        <w:rPr>
          <w:rFonts w:ascii="微软雅黑" w:eastAsia="微软雅黑" w:hAnsi="微软雅黑" w:cs="宋体"/>
          <w:kern w:val="0"/>
          <w:sz w:val="24"/>
          <w:szCs w:val="24"/>
        </w:rPr>
        <w:t>Myc</w:t>
      </w:r>
      <w:proofErr w:type="spellEnd"/>
      <w:r w:rsidRPr="001D4A2E">
        <w:rPr>
          <w:rFonts w:ascii="微软雅黑" w:eastAsia="微软雅黑" w:hAnsi="微软雅黑" w:cs="宋体"/>
          <w:kern w:val="0"/>
          <w:sz w:val="24"/>
          <w:szCs w:val="24"/>
        </w:rPr>
        <w:t>，且RB功能丧失（</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"B176"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176</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）。本研究进一步分析了来自癌症细胞</w:t>
      </w:r>
      <w:r w:rsidRPr="001D4A2E">
        <w:rPr>
          <w:rFonts w:ascii="微软雅黑" w:eastAsia="微软雅黑" w:hAnsi="微软雅黑" w:cs="宋体"/>
          <w:kern w:val="0"/>
          <w:sz w:val="24"/>
          <w:szCs w:val="24"/>
        </w:rPr>
        <w:lastRenderedPageBreak/>
        <w:t>系百科全书（CCLE）数据库的38个乳腺癌细胞系中帕博西尼敏感性与细胞周期相关基因表达之间的关系（</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"B177"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177</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）。研究发现，帕博西尼低敏感性与细胞增殖促进因子细胞周期蛋白E的</w:t>
      </w:r>
      <w:proofErr w:type="gramStart"/>
      <w:r w:rsidRPr="001D4A2E">
        <w:rPr>
          <w:rFonts w:ascii="微软雅黑" w:eastAsia="微软雅黑" w:hAnsi="微软雅黑" w:cs="宋体"/>
          <w:kern w:val="0"/>
          <w:sz w:val="24"/>
          <w:szCs w:val="24"/>
        </w:rPr>
        <w:t>高表达</w:t>
      </w:r>
      <w:proofErr w:type="gramEnd"/>
      <w:r w:rsidRPr="001D4A2E">
        <w:rPr>
          <w:rFonts w:ascii="微软雅黑" w:eastAsia="微软雅黑" w:hAnsi="微软雅黑" w:cs="宋体"/>
          <w:kern w:val="0"/>
          <w:sz w:val="24"/>
          <w:szCs w:val="24"/>
        </w:rPr>
        <w:t>之间存在显著相关性。对11例激素阳性乳腺癌患者的胸腔积液样本的分析也显示了类似的关联，特别是细胞周期蛋白E的过度表达以及RB状态的降低与帕博西尼耐药相关。因此，这些研究确定了细胞周期蛋白E-CDK2信号通路节点是一个潜在的分子靶点，可以提高耐药细胞对帕博西尼的敏感性。通过siRNA靶</w:t>
      </w:r>
      <w:proofErr w:type="gramStart"/>
      <w:r w:rsidRPr="001D4A2E">
        <w:rPr>
          <w:rFonts w:ascii="微软雅黑" w:eastAsia="微软雅黑" w:hAnsi="微软雅黑" w:cs="宋体"/>
          <w:kern w:val="0"/>
          <w:sz w:val="24"/>
          <w:szCs w:val="24"/>
        </w:rPr>
        <w:t>向敲低</w:t>
      </w:r>
      <w:proofErr w:type="gramEnd"/>
      <w:r w:rsidRPr="001D4A2E">
        <w:rPr>
          <w:rFonts w:ascii="微软雅黑" w:eastAsia="微软雅黑" w:hAnsi="微软雅黑" w:cs="宋体"/>
          <w:kern w:val="0"/>
          <w:sz w:val="24"/>
          <w:szCs w:val="24"/>
        </w:rPr>
        <w:t>CDK2，并与帕博西尼联合使用，与单独使用相比，可协同降低MCF-7野生型细胞和耐药细胞系的增殖和活力。联合治疗比单独抑制CDK2更有效地抑制了c-</w:t>
      </w:r>
      <w:proofErr w:type="spellStart"/>
      <w:r w:rsidRPr="001D4A2E">
        <w:rPr>
          <w:rFonts w:ascii="微软雅黑" w:eastAsia="微软雅黑" w:hAnsi="微软雅黑" w:cs="宋体"/>
          <w:kern w:val="0"/>
          <w:sz w:val="24"/>
          <w:szCs w:val="24"/>
        </w:rPr>
        <w:t>Myc</w:t>
      </w:r>
      <w:proofErr w:type="spellEnd"/>
      <w:r w:rsidRPr="001D4A2E">
        <w:rPr>
          <w:rFonts w:ascii="微软雅黑" w:eastAsia="微软雅黑" w:hAnsi="微软雅黑" w:cs="宋体"/>
          <w:kern w:val="0"/>
          <w:sz w:val="24"/>
          <w:szCs w:val="24"/>
        </w:rPr>
        <w:t>（及其磷酸化形式）和hTERT（c-</w:t>
      </w:r>
      <w:proofErr w:type="spellStart"/>
      <w:r w:rsidRPr="001D4A2E">
        <w:rPr>
          <w:rFonts w:ascii="微软雅黑" w:eastAsia="微软雅黑" w:hAnsi="微软雅黑" w:cs="宋体"/>
          <w:kern w:val="0"/>
          <w:sz w:val="24"/>
          <w:szCs w:val="24"/>
        </w:rPr>
        <w:t>Myc</w:t>
      </w:r>
      <w:proofErr w:type="spellEnd"/>
      <w:r w:rsidRPr="001D4A2E">
        <w:rPr>
          <w:rFonts w:ascii="微软雅黑" w:eastAsia="微软雅黑" w:hAnsi="微软雅黑" w:cs="宋体"/>
          <w:kern w:val="0"/>
          <w:sz w:val="24"/>
          <w:szCs w:val="24"/>
        </w:rPr>
        <w:t>的下游靶点( </w:t>
      </w:r>
      <w:hyperlink r:id="rId127" w:anchor="B178" w:history="1">
        <w:r w:rsidRPr="001D4A2E">
          <w:rPr>
            <w:rFonts w:ascii="微软雅黑" w:eastAsia="微软雅黑" w:hAnsi="微软雅黑" w:cs="宋体"/>
            <w:kern w:val="0"/>
            <w:sz w:val="24"/>
            <w:szCs w:val="24"/>
            <w:u w:val="single"/>
          </w:rPr>
          <w:t>178</w:t>
        </w:r>
      </w:hyperlink>
      <w:r w:rsidRPr="001D4A2E">
        <w:rPr>
          <w:rFonts w:ascii="微软雅黑" w:eastAsia="微软雅黑" w:hAnsi="微软雅黑" w:cs="宋体"/>
          <w:kern w:val="0"/>
          <w:sz w:val="24"/>
          <w:szCs w:val="24"/>
        </w:rPr>
        <w:t> )，也是衰老的关键调节因子( </w:t>
      </w:r>
      <w:hyperlink r:id="rId128" w:anchor="B179" w:history="1">
        <w:r w:rsidRPr="001D4A2E">
          <w:rPr>
            <w:rFonts w:ascii="微软雅黑" w:eastAsia="微软雅黑" w:hAnsi="微软雅黑" w:cs="宋体"/>
            <w:kern w:val="0"/>
            <w:sz w:val="24"/>
            <w:szCs w:val="24"/>
            <w:u w:val="single"/>
          </w:rPr>
          <w:t>179</w:t>
        </w:r>
      </w:hyperlink>
      <w:r w:rsidRPr="001D4A2E">
        <w:rPr>
          <w:rFonts w:ascii="微软雅黑" w:eastAsia="微软雅黑" w:hAnsi="微软雅黑" w:cs="宋体"/>
          <w:kern w:val="0"/>
          <w:sz w:val="24"/>
          <w:szCs w:val="24"/>
        </w:rPr>
        <w:t> )），而这些蛋白在帕博西尼耐药细胞中均呈高表达。重要的是，与单药治疗相比，联合治疗在帕博西尼耐药的MCF-7细胞中诱导了更高的SA-β-Gal活性（联合治疗为90-100%，单独CDK2</w:t>
      </w:r>
      <w:proofErr w:type="gramStart"/>
      <w:r w:rsidRPr="001D4A2E">
        <w:rPr>
          <w:rFonts w:ascii="微软雅黑" w:eastAsia="微软雅黑" w:hAnsi="微软雅黑" w:cs="宋体"/>
          <w:kern w:val="0"/>
          <w:sz w:val="24"/>
          <w:szCs w:val="24"/>
        </w:rPr>
        <w:t>抑制约</w:t>
      </w:r>
      <w:proofErr w:type="gramEnd"/>
      <w:r w:rsidRPr="001D4A2E">
        <w:rPr>
          <w:rFonts w:ascii="微软雅黑" w:eastAsia="微软雅黑" w:hAnsi="微软雅黑" w:cs="宋体"/>
          <w:kern w:val="0"/>
          <w:sz w:val="24"/>
          <w:szCs w:val="24"/>
        </w:rPr>
        <w:t>为50%，单独帕博西尼约为25%）。这些结果在MCF-7帕博西尼耐药异种移植小鼠模型中得到了</w:t>
      </w:r>
      <w:r w:rsidRPr="001D4A2E">
        <w:rPr>
          <w:rFonts w:ascii="微软雅黑" w:eastAsia="微软雅黑" w:hAnsi="微软雅黑" w:cs="宋体"/>
          <w:i/>
          <w:iCs/>
          <w:kern w:val="0"/>
          <w:sz w:val="24"/>
          <w:szCs w:val="24"/>
        </w:rPr>
        <w:t>体内</w:t>
      </w:r>
      <w:r w:rsidRPr="001D4A2E">
        <w:rPr>
          <w:rFonts w:ascii="微软雅黑" w:eastAsia="微软雅黑" w:hAnsi="微软雅黑" w:cs="宋体"/>
          <w:kern w:val="0"/>
          <w:sz w:val="24"/>
          <w:szCs w:val="24"/>
        </w:rPr>
        <w:t>验证；结果表明，通过siRNA靶向抑制CDK2与帕博西尼联合用药，相比单独使用任</w:t>
      </w:r>
      <w:proofErr w:type="gramStart"/>
      <w:r w:rsidRPr="001D4A2E">
        <w:rPr>
          <w:rFonts w:ascii="微软雅黑" w:eastAsia="微软雅黑" w:hAnsi="微软雅黑" w:cs="宋体"/>
          <w:kern w:val="0"/>
          <w:sz w:val="24"/>
          <w:szCs w:val="24"/>
        </w:rPr>
        <w:t>一</w:t>
      </w:r>
      <w:proofErr w:type="gramEnd"/>
      <w:r w:rsidRPr="001D4A2E">
        <w:rPr>
          <w:rFonts w:ascii="微软雅黑" w:eastAsia="微软雅黑" w:hAnsi="微软雅黑" w:cs="宋体"/>
          <w:kern w:val="0"/>
          <w:sz w:val="24"/>
          <w:szCs w:val="24"/>
        </w:rPr>
        <w:t>药物，可显著抑制肿瘤生长。此外，蛋白质印迹分析显示，磷酸化c-</w:t>
      </w:r>
      <w:proofErr w:type="spellStart"/>
      <w:r w:rsidRPr="001D4A2E">
        <w:rPr>
          <w:rFonts w:ascii="微软雅黑" w:eastAsia="微软雅黑" w:hAnsi="微软雅黑" w:cs="宋体"/>
          <w:kern w:val="0"/>
          <w:sz w:val="24"/>
          <w:szCs w:val="24"/>
        </w:rPr>
        <w:t>Myc</w:t>
      </w:r>
      <w:proofErr w:type="spellEnd"/>
      <w:r w:rsidRPr="001D4A2E">
        <w:rPr>
          <w:rFonts w:ascii="微软雅黑" w:eastAsia="微软雅黑" w:hAnsi="微软雅黑" w:cs="宋体"/>
          <w:kern w:val="0"/>
          <w:sz w:val="24"/>
          <w:szCs w:val="24"/>
        </w:rPr>
        <w:t>受到抑制，hTERT表达降低，而裂解型caspase-3（细胞凋亡标志物）水平升高。</w:t>
      </w:r>
      <w:proofErr w:type="spellStart"/>
      <w:r w:rsidRPr="001D4A2E">
        <w:rPr>
          <w:rFonts w:ascii="微软雅黑" w:eastAsia="微软雅黑" w:hAnsi="微软雅黑" w:cs="宋体"/>
          <w:kern w:val="0"/>
          <w:sz w:val="24"/>
          <w:szCs w:val="24"/>
        </w:rPr>
        <w:t>Pogacar</w:t>
      </w:r>
      <w:proofErr w:type="spellEnd"/>
      <w:r w:rsidRPr="001D4A2E">
        <w:rPr>
          <w:rFonts w:ascii="微软雅黑" w:eastAsia="微软雅黑" w:hAnsi="微软雅黑" w:cs="宋体"/>
          <w:kern w:val="0"/>
          <w:sz w:val="24"/>
          <w:szCs w:val="24"/>
        </w:rPr>
        <w:t>等人( </w:t>
      </w:r>
      <w:hyperlink r:id="rId129" w:anchor="B180" w:history="1">
        <w:r w:rsidRPr="001D4A2E">
          <w:rPr>
            <w:rFonts w:ascii="微软雅黑" w:eastAsia="微软雅黑" w:hAnsi="微软雅黑" w:cs="宋体"/>
            <w:kern w:val="0"/>
            <w:sz w:val="24"/>
            <w:szCs w:val="24"/>
            <w:u w:val="single"/>
          </w:rPr>
          <w:t>180</w:t>
        </w:r>
      </w:hyperlink>
      <w:r w:rsidRPr="001D4A2E">
        <w:rPr>
          <w:rFonts w:ascii="微软雅黑" w:eastAsia="微软雅黑" w:hAnsi="微软雅黑" w:cs="宋体"/>
          <w:kern w:val="0"/>
          <w:sz w:val="24"/>
          <w:szCs w:val="24"/>
        </w:rPr>
        <w:t> )使用CDK2抑制剂</w:t>
      </w:r>
      <w:proofErr w:type="spellStart"/>
      <w:r w:rsidRPr="001D4A2E">
        <w:rPr>
          <w:rFonts w:ascii="微软雅黑" w:eastAsia="微软雅黑" w:hAnsi="微软雅黑" w:cs="宋体"/>
          <w:kern w:val="0"/>
          <w:sz w:val="24"/>
          <w:szCs w:val="24"/>
        </w:rPr>
        <w:t>indisulam</w:t>
      </w:r>
      <w:proofErr w:type="spellEnd"/>
      <w:r w:rsidRPr="001D4A2E">
        <w:rPr>
          <w:rFonts w:ascii="微软雅黑" w:eastAsia="微软雅黑" w:hAnsi="微软雅黑" w:cs="宋体"/>
          <w:kern w:val="0"/>
          <w:sz w:val="24"/>
          <w:szCs w:val="24"/>
        </w:rPr>
        <w:t>在三阴性乳腺癌中也获得了类似的结果，帕博西尼与</w:t>
      </w:r>
      <w:proofErr w:type="spellStart"/>
      <w:r w:rsidRPr="001D4A2E">
        <w:rPr>
          <w:rFonts w:ascii="微软雅黑" w:eastAsia="微软雅黑" w:hAnsi="微软雅黑" w:cs="宋体"/>
          <w:kern w:val="0"/>
          <w:sz w:val="24"/>
          <w:szCs w:val="24"/>
        </w:rPr>
        <w:t>indisulam</w:t>
      </w:r>
      <w:proofErr w:type="spellEnd"/>
      <w:r w:rsidRPr="001D4A2E">
        <w:rPr>
          <w:rFonts w:ascii="微软雅黑" w:eastAsia="微软雅黑" w:hAnsi="微软雅黑" w:cs="宋体"/>
          <w:kern w:val="0"/>
          <w:sz w:val="24"/>
          <w:szCs w:val="24"/>
        </w:rPr>
        <w:t>联合用药可诱导细胞持续衰老。</w:t>
      </w:r>
    </w:p>
    <w:p w14:paraId="5FA881A9" w14:textId="77777777" w:rsidR="001D4A2E" w:rsidRPr="001D4A2E" w:rsidRDefault="001D4A2E" w:rsidP="001D4A2E">
      <w:pPr>
        <w:widowControl/>
        <w:spacing w:line="450" w:lineRule="atLeast"/>
        <w:outlineLvl w:val="2"/>
        <w:rPr>
          <w:rFonts w:ascii="微软雅黑" w:eastAsia="微软雅黑" w:hAnsi="微软雅黑" w:cs="宋体"/>
          <w:kern w:val="0"/>
          <w:sz w:val="32"/>
          <w:szCs w:val="32"/>
        </w:rPr>
      </w:pPr>
      <w:r w:rsidRPr="001D4A2E">
        <w:rPr>
          <w:rFonts w:ascii="微软雅黑" w:eastAsia="微软雅黑" w:hAnsi="微软雅黑" w:cs="宋体"/>
          <w:kern w:val="0"/>
          <w:sz w:val="32"/>
          <w:szCs w:val="32"/>
        </w:rPr>
        <w:t xml:space="preserve">6.5. </w:t>
      </w:r>
      <w:proofErr w:type="spellStart"/>
      <w:r w:rsidRPr="001D4A2E">
        <w:rPr>
          <w:rFonts w:ascii="微软雅黑" w:eastAsia="微软雅黑" w:hAnsi="微软雅黑" w:cs="宋体"/>
          <w:kern w:val="0"/>
          <w:sz w:val="32"/>
          <w:szCs w:val="32"/>
        </w:rPr>
        <w:t>CDKi</w:t>
      </w:r>
      <w:proofErr w:type="spellEnd"/>
      <w:r w:rsidRPr="001D4A2E">
        <w:rPr>
          <w:rFonts w:ascii="微软雅黑" w:eastAsia="微软雅黑" w:hAnsi="微软雅黑" w:cs="宋体"/>
          <w:kern w:val="0"/>
          <w:sz w:val="32"/>
          <w:szCs w:val="32"/>
        </w:rPr>
        <w:t>：衰老与自噬之间的相互作用</w:t>
      </w:r>
    </w:p>
    <w:p w14:paraId="5E8316E5"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lastRenderedPageBreak/>
        <w:t>一个尚未解答的重要问题是，在接受抗雌激素和/或 CDK 抑制剂治疗的乳腺癌中，自噬与衰老之间的关系。</w:t>
      </w:r>
      <w:proofErr w:type="spellStart"/>
      <w:r w:rsidRPr="001D4A2E">
        <w:rPr>
          <w:rFonts w:ascii="微软雅黑" w:eastAsia="微软雅黑" w:hAnsi="微软雅黑" w:cs="宋体"/>
          <w:kern w:val="0"/>
          <w:sz w:val="24"/>
          <w:szCs w:val="24"/>
        </w:rPr>
        <w:t>Vijayaraghavan</w:t>
      </w:r>
      <w:proofErr w:type="spellEnd"/>
      <w:r w:rsidRPr="001D4A2E">
        <w:rPr>
          <w:rFonts w:ascii="微软雅黑" w:eastAsia="微软雅黑" w:hAnsi="微软雅黑" w:cs="宋体"/>
          <w:kern w:val="0"/>
          <w:sz w:val="24"/>
          <w:szCs w:val="24"/>
        </w:rPr>
        <w:t xml:space="preserve"> 等人最近的一项研究探讨了暴露于帕博西尼 (</w:t>
      </w:r>
      <w:proofErr w:type="spellStart"/>
      <w:r w:rsidRPr="001D4A2E">
        <w:rPr>
          <w:rFonts w:ascii="微软雅黑" w:eastAsia="微软雅黑" w:hAnsi="微软雅黑" w:cs="宋体"/>
          <w:kern w:val="0"/>
          <w:sz w:val="24"/>
          <w:szCs w:val="24"/>
        </w:rPr>
        <w:t>palbociclib</w:t>
      </w:r>
      <w:proofErr w:type="spellEnd"/>
      <w:r w:rsidRPr="001D4A2E">
        <w:rPr>
          <w:rFonts w:ascii="微软雅黑" w:eastAsia="微软雅黑" w:hAnsi="微软雅黑" w:cs="宋体"/>
          <w:kern w:val="0"/>
          <w:sz w:val="24"/>
          <w:szCs w:val="24"/>
        </w:rPr>
        <w:t>) 的 ER </w:t>
      </w:r>
      <w:r w:rsidRPr="001D4A2E">
        <w:rPr>
          <w:rFonts w:ascii="微软雅黑" w:eastAsia="微软雅黑" w:hAnsi="微软雅黑" w:cs="宋体"/>
          <w:kern w:val="0"/>
          <w:sz w:val="24"/>
          <w:szCs w:val="24"/>
          <w:vertAlign w:val="superscript"/>
        </w:rPr>
        <w:t>+</w:t>
      </w:r>
      <w:r w:rsidRPr="001D4A2E">
        <w:rPr>
          <w:rFonts w:ascii="微软雅黑" w:eastAsia="微软雅黑" w:hAnsi="微软雅黑" w:cs="宋体"/>
          <w:kern w:val="0"/>
          <w:sz w:val="24"/>
          <w:szCs w:val="24"/>
        </w:rPr>
        <w:t>乳腺癌细胞中自噬与衰老之间的关系 ( </w:t>
      </w:r>
      <w:hyperlink r:id="rId130" w:anchor="B52" w:history="1">
        <w:r w:rsidRPr="001D4A2E">
          <w:rPr>
            <w:rFonts w:ascii="微软雅黑" w:eastAsia="微软雅黑" w:hAnsi="微软雅黑" w:cs="宋体"/>
            <w:kern w:val="0"/>
            <w:sz w:val="24"/>
            <w:szCs w:val="24"/>
            <w:u w:val="single"/>
          </w:rPr>
          <w:t>52</w:t>
        </w:r>
      </w:hyperlink>
      <w:r w:rsidRPr="001D4A2E">
        <w:rPr>
          <w:rFonts w:ascii="微软雅黑" w:eastAsia="微软雅黑" w:hAnsi="微软雅黑" w:cs="宋体"/>
          <w:kern w:val="0"/>
          <w:sz w:val="24"/>
          <w:szCs w:val="24"/>
        </w:rPr>
        <w:t> )。帕博西尼处理 6 天后，ER </w:t>
      </w:r>
      <w:r w:rsidRPr="001D4A2E">
        <w:rPr>
          <w:rFonts w:ascii="微软雅黑" w:eastAsia="微软雅黑" w:hAnsi="微软雅黑" w:cs="宋体"/>
          <w:kern w:val="0"/>
          <w:sz w:val="24"/>
          <w:szCs w:val="24"/>
          <w:vertAlign w:val="superscript"/>
        </w:rPr>
        <w:t>+</w:t>
      </w:r>
      <w:r w:rsidRPr="001D4A2E">
        <w:rPr>
          <w:rFonts w:ascii="微软雅黑" w:eastAsia="微软雅黑" w:hAnsi="微软雅黑" w:cs="宋体"/>
          <w:kern w:val="0"/>
          <w:sz w:val="24"/>
          <w:szCs w:val="24"/>
        </w:rPr>
        <w:t> MCF7、T-47D 和 ZR75-1 细胞系的生长显著受到抑制，且抑制作用</w:t>
      </w:r>
      <w:proofErr w:type="gramStart"/>
      <w:r w:rsidRPr="001D4A2E">
        <w:rPr>
          <w:rFonts w:ascii="微软雅黑" w:eastAsia="微软雅黑" w:hAnsi="微软雅黑" w:cs="宋体"/>
          <w:kern w:val="0"/>
          <w:sz w:val="24"/>
          <w:szCs w:val="24"/>
        </w:rPr>
        <w:t>呈时间</w:t>
      </w:r>
      <w:proofErr w:type="gramEnd"/>
      <w:r w:rsidRPr="001D4A2E">
        <w:rPr>
          <w:rFonts w:ascii="微软雅黑" w:eastAsia="微软雅黑" w:hAnsi="微软雅黑" w:cs="宋体"/>
          <w:kern w:val="0"/>
          <w:sz w:val="24"/>
          <w:szCs w:val="24"/>
        </w:rPr>
        <w:t xml:space="preserve">和剂量依赖性。浓度为 1 </w:t>
      </w:r>
      <w:proofErr w:type="spellStart"/>
      <w:r w:rsidRPr="001D4A2E">
        <w:rPr>
          <w:rFonts w:ascii="微软雅黑" w:eastAsia="微软雅黑" w:hAnsi="微软雅黑" w:cs="宋体"/>
          <w:kern w:val="0"/>
          <w:sz w:val="24"/>
          <w:szCs w:val="24"/>
        </w:rPr>
        <w:t>μM</w:t>
      </w:r>
      <w:proofErr w:type="spellEnd"/>
      <w:r w:rsidRPr="001D4A2E">
        <w:rPr>
          <w:rFonts w:ascii="微软雅黑" w:eastAsia="微软雅黑" w:hAnsi="微软雅黑" w:cs="宋体"/>
          <w:kern w:val="0"/>
          <w:sz w:val="24"/>
          <w:szCs w:val="24"/>
        </w:rPr>
        <w:t xml:space="preserve"> 或更低的帕博西尼处理可导致 MCF-7 和 T-47D 细胞发生可逆的 G1 期阻滞和生长抑制，同时伴有 SA-β-Gal 活性增加。更高浓度（&gt;2.5 </w:t>
      </w:r>
      <w:proofErr w:type="spellStart"/>
      <w:r w:rsidRPr="001D4A2E">
        <w:rPr>
          <w:rFonts w:ascii="微软雅黑" w:eastAsia="微软雅黑" w:hAnsi="微软雅黑" w:cs="宋体"/>
          <w:kern w:val="0"/>
          <w:sz w:val="24"/>
          <w:szCs w:val="24"/>
        </w:rPr>
        <w:t>μM</w:t>
      </w:r>
      <w:proofErr w:type="spellEnd"/>
      <w:r w:rsidRPr="001D4A2E">
        <w:rPr>
          <w:rFonts w:ascii="微软雅黑" w:eastAsia="微软雅黑" w:hAnsi="微软雅黑" w:cs="宋体"/>
          <w:kern w:val="0"/>
          <w:sz w:val="24"/>
          <w:szCs w:val="24"/>
        </w:rPr>
        <w:t xml:space="preserve">）的帕博西尼处理则导致细胞生长不可逆抑制，但未诱导细胞凋亡。重要的是，帕博西尼（1 </w:t>
      </w:r>
      <w:proofErr w:type="spellStart"/>
      <w:r w:rsidRPr="001D4A2E">
        <w:rPr>
          <w:rFonts w:ascii="微软雅黑" w:eastAsia="微软雅黑" w:hAnsi="微软雅黑" w:cs="宋体"/>
          <w:kern w:val="0"/>
          <w:sz w:val="24"/>
          <w:szCs w:val="24"/>
        </w:rPr>
        <w:t>μM</w:t>
      </w:r>
      <w:proofErr w:type="spellEnd"/>
      <w:r w:rsidRPr="001D4A2E">
        <w:rPr>
          <w:rFonts w:ascii="微软雅黑" w:eastAsia="微软雅黑" w:hAnsi="微软雅黑" w:cs="宋体"/>
          <w:kern w:val="0"/>
          <w:sz w:val="24"/>
          <w:szCs w:val="24"/>
        </w:rPr>
        <w:t>，处理6天）诱导的衰老与自噬的诱导密切相关，表现为单丹酰尸胺（MDC）染色增强、LC3B-II和其他关键自噬相关蛋白（Atg-7、Beclin-1、BNIP3）表达上调、BCL2和p62表达降低</w:t>
      </w:r>
      <w:r w:rsidRPr="001D4A2E">
        <w:rPr>
          <w:rFonts w:ascii="微软雅黑" w:eastAsia="微软雅黑" w:hAnsi="微软雅黑" w:cs="宋体"/>
          <w:kern w:val="0"/>
          <w:sz w:val="24"/>
          <w:szCs w:val="24"/>
          <w:vertAlign w:val="subscript"/>
        </w:rPr>
        <w:t>，</w:t>
      </w:r>
      <w:r w:rsidRPr="001D4A2E">
        <w:rPr>
          <w:rFonts w:ascii="微软雅黑" w:eastAsia="微软雅黑" w:hAnsi="微软雅黑" w:cs="宋体"/>
          <w:kern w:val="0"/>
          <w:sz w:val="24"/>
          <w:szCs w:val="24"/>
        </w:rPr>
        <w:t>以及双层膜电子致密自噬体和GFP-LC3斑点的积累。通过靶向Beclin1的shRNA</w:t>
      </w:r>
      <w:proofErr w:type="gramStart"/>
      <w:r w:rsidRPr="001D4A2E">
        <w:rPr>
          <w:rFonts w:ascii="微软雅黑" w:eastAsia="微软雅黑" w:hAnsi="微软雅黑" w:cs="宋体"/>
          <w:kern w:val="0"/>
          <w:sz w:val="24"/>
          <w:szCs w:val="24"/>
        </w:rPr>
        <w:t>或靶向</w:t>
      </w:r>
      <w:proofErr w:type="gramEnd"/>
      <w:r w:rsidRPr="001D4A2E">
        <w:rPr>
          <w:rFonts w:ascii="微软雅黑" w:eastAsia="微软雅黑" w:hAnsi="微软雅黑" w:cs="宋体"/>
          <w:kern w:val="0"/>
          <w:sz w:val="24"/>
          <w:szCs w:val="24"/>
        </w:rPr>
        <w:t>ATG5的shRNA进行基因敲除抑制自噬，可增强MCF-7和T-47D细胞对帕博西尼的敏感性，并诱导不可逆的G1期生长停滞和衰老。</w:t>
      </w:r>
      <w:proofErr w:type="gramStart"/>
      <w:r w:rsidRPr="001D4A2E">
        <w:rPr>
          <w:rFonts w:ascii="微软雅黑" w:eastAsia="微软雅黑" w:hAnsi="微软雅黑" w:cs="宋体"/>
          <w:kern w:val="0"/>
          <w:sz w:val="24"/>
          <w:szCs w:val="24"/>
        </w:rPr>
        <w:t>羟</w:t>
      </w:r>
      <w:proofErr w:type="gramEnd"/>
      <w:r w:rsidRPr="001D4A2E">
        <w:rPr>
          <w:rFonts w:ascii="微软雅黑" w:eastAsia="微软雅黑" w:hAnsi="微软雅黑" w:cs="宋体"/>
          <w:kern w:val="0"/>
          <w:sz w:val="24"/>
          <w:szCs w:val="24"/>
        </w:rPr>
        <w:t>氯喹（HCQ）与帕博西尼联合用药也导致持续的细胞生长抑制、不可逆的G1期停滞、活性氧（ROS）水平显著升高和细胞衰老，但未诱导细胞凋亡。当与其他自噬抑制剂（包括 Lys05、氯喹和巴</w:t>
      </w:r>
      <w:proofErr w:type="gramStart"/>
      <w:r w:rsidRPr="001D4A2E">
        <w:rPr>
          <w:rFonts w:ascii="微软雅黑" w:eastAsia="微软雅黑" w:hAnsi="微软雅黑" w:cs="宋体"/>
          <w:kern w:val="0"/>
          <w:sz w:val="24"/>
          <w:szCs w:val="24"/>
        </w:rPr>
        <w:t>弗洛</w:t>
      </w:r>
      <w:proofErr w:type="gramEnd"/>
      <w:r w:rsidRPr="001D4A2E">
        <w:rPr>
          <w:rFonts w:ascii="微软雅黑" w:eastAsia="微软雅黑" w:hAnsi="微软雅黑" w:cs="宋体"/>
          <w:kern w:val="0"/>
          <w:sz w:val="24"/>
          <w:szCs w:val="24"/>
        </w:rPr>
        <w:t>霉素 A1）联合使用时，也获得了类似的结果。这些结果</w:t>
      </w:r>
      <w:r w:rsidRPr="001D4A2E">
        <w:rPr>
          <w:rFonts w:ascii="微软雅黑" w:eastAsia="微软雅黑" w:hAnsi="微软雅黑" w:cs="宋体"/>
          <w:i/>
          <w:iCs/>
          <w:kern w:val="0"/>
          <w:sz w:val="24"/>
          <w:szCs w:val="24"/>
        </w:rPr>
        <w:t>在体内实验中得到了验证。</w:t>
      </w:r>
      <w:r w:rsidRPr="001D4A2E">
        <w:rPr>
          <w:rFonts w:ascii="微软雅黑" w:eastAsia="微软雅黑" w:hAnsi="微软雅黑" w:cs="宋体"/>
          <w:kern w:val="0"/>
          <w:sz w:val="24"/>
          <w:szCs w:val="24"/>
        </w:rPr>
        <w:t>本研究采用原位异种移植瘤模型，用递增浓度（25–150 mg kg</w:t>
      </w:r>
      <w:r w:rsidRPr="001D4A2E">
        <w:rPr>
          <w:rFonts w:ascii="MS Gothic" w:eastAsia="MS Gothic" w:hAnsi="MS Gothic" w:cs="MS Gothic" w:hint="eastAsia"/>
          <w:kern w:val="0"/>
          <w:sz w:val="24"/>
          <w:szCs w:val="24"/>
        </w:rPr>
        <w:t>⁻</w:t>
      </w:r>
      <w:r w:rsidRPr="001D4A2E">
        <w:rPr>
          <w:rFonts w:ascii="微软雅黑" w:eastAsia="微软雅黑" w:hAnsi="微软雅黑" w:cs="宋体" w:hint="eastAsia"/>
          <w:kern w:val="0"/>
          <w:sz w:val="24"/>
          <w:szCs w:val="24"/>
        </w:rPr>
        <w:t>¹</w:t>
      </w:r>
      <w:r w:rsidRPr="001D4A2E">
        <w:rPr>
          <w:rFonts w:ascii="微软雅黑" w:eastAsia="微软雅黑" w:hAnsi="微软雅黑" w:cs="宋体"/>
          <w:kern w:val="0"/>
          <w:sz w:val="24"/>
          <w:szCs w:val="24"/>
        </w:rPr>
        <w:t>/天）的帕博西尼治疗7天。反相蛋白芯片（RPPA）分析显示，帕博西尼治疗可剂量依赖性地降低肿瘤体积、增加活性氧（ROS）生成、提高SA-β-半乳糖苷酶活性并上调衰老蛋白。对25 mg kg</w:t>
      </w:r>
      <w:r w:rsidRPr="001D4A2E">
        <w:rPr>
          <w:rFonts w:ascii="MS Gothic" w:eastAsia="MS Gothic" w:hAnsi="MS Gothic" w:cs="MS Gothic" w:hint="eastAsia"/>
          <w:kern w:val="0"/>
          <w:sz w:val="24"/>
          <w:szCs w:val="24"/>
        </w:rPr>
        <w:t>⁻</w:t>
      </w:r>
      <w:r w:rsidRPr="001D4A2E">
        <w:rPr>
          <w:rFonts w:ascii="微软雅黑" w:eastAsia="微软雅黑" w:hAnsi="微软雅黑" w:cs="宋体" w:hint="eastAsia"/>
          <w:kern w:val="0"/>
          <w:sz w:val="24"/>
          <w:szCs w:val="24"/>
        </w:rPr>
        <w:t>¹</w:t>
      </w:r>
      <w:r w:rsidRPr="001D4A2E">
        <w:rPr>
          <w:rFonts w:ascii="微软雅黑" w:eastAsia="微软雅黑" w:hAnsi="微软雅黑" w:cs="宋体"/>
          <w:kern w:val="0"/>
          <w:sz w:val="24"/>
          <w:szCs w:val="24"/>
        </w:rPr>
        <w:t>/天帕博西尼治疗的肿瘤进行Western blot、RPPA和透射电镜（TEM）分析，结果显示LC3B-II和Atg-7水平升高，p62水平降低，并出现双层膜电子致密</w:t>
      </w:r>
      <w:r w:rsidRPr="001D4A2E">
        <w:rPr>
          <w:rFonts w:ascii="微软雅黑" w:eastAsia="微软雅黑" w:hAnsi="微软雅黑" w:cs="宋体"/>
          <w:kern w:val="0"/>
          <w:sz w:val="24"/>
          <w:szCs w:val="24"/>
        </w:rPr>
        <w:lastRenderedPageBreak/>
        <w:t>自噬体，提示自噬被诱导。重要的是，羟氯喹（HCQ）联</w:t>
      </w:r>
      <w:proofErr w:type="gramStart"/>
      <w:r w:rsidRPr="001D4A2E">
        <w:rPr>
          <w:rFonts w:ascii="微软雅黑" w:eastAsia="微软雅黑" w:hAnsi="微软雅黑" w:cs="宋体"/>
          <w:kern w:val="0"/>
          <w:sz w:val="24"/>
          <w:szCs w:val="24"/>
        </w:rPr>
        <w:t>合帕</w:t>
      </w:r>
      <w:proofErr w:type="gramEnd"/>
      <w:r w:rsidRPr="001D4A2E">
        <w:rPr>
          <w:rFonts w:ascii="微软雅黑" w:eastAsia="微软雅黑" w:hAnsi="微软雅黑" w:cs="宋体"/>
          <w:kern w:val="0"/>
          <w:sz w:val="24"/>
          <w:szCs w:val="24"/>
        </w:rPr>
        <w:t>博西</w:t>
      </w:r>
      <w:proofErr w:type="gramStart"/>
      <w:r w:rsidRPr="001D4A2E">
        <w:rPr>
          <w:rFonts w:ascii="微软雅黑" w:eastAsia="微软雅黑" w:hAnsi="微软雅黑" w:cs="宋体"/>
          <w:kern w:val="0"/>
          <w:sz w:val="24"/>
          <w:szCs w:val="24"/>
        </w:rPr>
        <w:t>尼治疗</w:t>
      </w:r>
      <w:proofErr w:type="gramEnd"/>
      <w:r w:rsidRPr="001D4A2E">
        <w:rPr>
          <w:rFonts w:ascii="微软雅黑" w:eastAsia="微软雅黑" w:hAnsi="微软雅黑" w:cs="宋体"/>
          <w:kern w:val="0"/>
          <w:sz w:val="24"/>
          <w:szCs w:val="24"/>
        </w:rPr>
        <w:t>可显著降低肿瘤体积，并增加ROS生成和SA-β-半乳糖苷酶活性。使用阿贝西利和瑞博西利也获得了类似的结果，即羟氯喹增强了这些 CDK 抑制剂的抗增殖作用，并诱导 MCF-7 和 T-47D 细胞凋亡。这些数据表明自噬和衰老可能同时发生，并有力地证明了抑制自噬可以作为一种抗衰老药物/策略。</w:t>
      </w:r>
    </w:p>
    <w:p w14:paraId="66123B9C" w14:textId="77777777" w:rsidR="001D4A2E" w:rsidRPr="001D4A2E" w:rsidRDefault="001D4A2E" w:rsidP="001D4A2E">
      <w:pPr>
        <w:widowControl/>
        <w:spacing w:line="450" w:lineRule="atLeast"/>
        <w:outlineLvl w:val="2"/>
        <w:rPr>
          <w:rFonts w:ascii="微软雅黑" w:eastAsia="微软雅黑" w:hAnsi="微软雅黑" w:cs="宋体"/>
          <w:kern w:val="0"/>
          <w:sz w:val="32"/>
          <w:szCs w:val="32"/>
        </w:rPr>
      </w:pPr>
      <w:r w:rsidRPr="001D4A2E">
        <w:rPr>
          <w:rFonts w:ascii="微软雅黑" w:eastAsia="微软雅黑" w:hAnsi="微软雅黑" w:cs="宋体"/>
          <w:kern w:val="0"/>
          <w:sz w:val="32"/>
          <w:szCs w:val="32"/>
        </w:rPr>
        <w:t>6.6 衰老与表观遗传失调</w:t>
      </w:r>
    </w:p>
    <w:p w14:paraId="6485C981"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t>癌细胞中转录机制的失调正日益受到关注，成为癌症生物学中的潜在靶点，特别是将表观遗传调控因子整合到治疗中的可能性（</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"B181"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181</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）。表观遗传机制参与基因调控，包含600多个表观遗传调控因子（基因），控制着组蛋白和DNA修饰的读取和擦除（</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"B182"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182</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）。然而，转录机制的失调会导致许多基因（包括癌基因）的过度表达，从而促进肿瘤发生。此外，表观遗传机制与衰老表型相关。衰老细胞在表观遗传调控下表达多种特征，包括衰老相关异染色质灶（SAHF）（</w:t>
      </w:r>
      <w:hyperlink r:id="rId131" w:anchor="B183" w:history="1">
        <w:r w:rsidRPr="001D4A2E">
          <w:rPr>
            <w:rFonts w:ascii="微软雅黑" w:eastAsia="微软雅黑" w:hAnsi="微软雅黑" w:cs="宋体"/>
            <w:kern w:val="0"/>
            <w:sz w:val="24"/>
            <w:szCs w:val="24"/>
            <w:u w:val="single"/>
          </w:rPr>
          <w:t>183</w:t>
        </w:r>
      </w:hyperlink>
      <w:r w:rsidRPr="001D4A2E">
        <w:rPr>
          <w:rFonts w:ascii="微软雅黑" w:eastAsia="微软雅黑" w:hAnsi="微软雅黑" w:cs="宋体"/>
          <w:kern w:val="0"/>
          <w:sz w:val="24"/>
          <w:szCs w:val="24"/>
        </w:rPr>
        <w:t>）。 SAHF由富含组蛋白修饰（包括H3K9me3和H2AX磷酸化）的浓缩染色体组成（</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"B184"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184</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），并包含与表观遗传沉默基因相关的蛋白质，例如E2F家族成员（</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"B185"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185</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）。此外，SAHF抑制增殖基因（包括细胞周期蛋白A）的表达，从而</w:t>
      </w:r>
      <w:proofErr w:type="gramStart"/>
      <w:r w:rsidRPr="001D4A2E">
        <w:rPr>
          <w:rFonts w:ascii="微软雅黑" w:eastAsia="微软雅黑" w:hAnsi="微软雅黑" w:cs="宋体"/>
          <w:kern w:val="0"/>
          <w:sz w:val="24"/>
          <w:szCs w:val="24"/>
        </w:rPr>
        <w:t>介</w:t>
      </w:r>
      <w:proofErr w:type="gramEnd"/>
      <w:r w:rsidRPr="001D4A2E">
        <w:rPr>
          <w:rFonts w:ascii="微软雅黑" w:eastAsia="微软雅黑" w:hAnsi="微软雅黑" w:cs="宋体"/>
          <w:kern w:val="0"/>
          <w:sz w:val="24"/>
          <w:szCs w:val="24"/>
        </w:rPr>
        <w:t>导细胞生长停滞，这是衰老的共同特征（</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"B186"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186</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）。SASP还受到多种表观遗传调控因子的调控，包括高迁移率族蛋白B2（HMGB2）（</w:t>
      </w:r>
      <w:hyperlink r:id="rId132" w:anchor="B187" w:history="1">
        <w:r w:rsidRPr="001D4A2E">
          <w:rPr>
            <w:rFonts w:ascii="微软雅黑" w:eastAsia="微软雅黑" w:hAnsi="微软雅黑" w:cs="宋体"/>
            <w:kern w:val="0"/>
            <w:sz w:val="24"/>
            <w:szCs w:val="24"/>
            <w:u w:val="single"/>
          </w:rPr>
          <w:t>187</w:t>
        </w:r>
      </w:hyperlink>
      <w:r w:rsidRPr="001D4A2E">
        <w:rPr>
          <w:rFonts w:ascii="微软雅黑" w:eastAsia="微软雅黑" w:hAnsi="微软雅黑" w:cs="宋体"/>
          <w:kern w:val="0"/>
          <w:sz w:val="24"/>
          <w:szCs w:val="24"/>
        </w:rPr>
        <w:t> , </w:t>
      </w:r>
      <w:hyperlink r:id="rId133" w:anchor="B188" w:history="1">
        <w:r w:rsidRPr="001D4A2E">
          <w:rPr>
            <w:rFonts w:ascii="微软雅黑" w:eastAsia="微软雅黑" w:hAnsi="微软雅黑" w:cs="宋体"/>
            <w:kern w:val="0"/>
            <w:sz w:val="24"/>
            <w:szCs w:val="24"/>
            <w:u w:val="single"/>
          </w:rPr>
          <w:t>188</w:t>
        </w:r>
      </w:hyperlink>
      <w:r w:rsidRPr="001D4A2E">
        <w:rPr>
          <w:rFonts w:ascii="微软雅黑" w:eastAsia="微软雅黑" w:hAnsi="微软雅黑" w:cs="宋体"/>
          <w:kern w:val="0"/>
          <w:sz w:val="24"/>
          <w:szCs w:val="24"/>
        </w:rPr>
        <w:t>）、混合谱系白血病1（MLL1）（</w:t>
      </w:r>
      <w:hyperlink r:id="rId134" w:anchor="B189" w:history="1">
        <w:r w:rsidRPr="001D4A2E">
          <w:rPr>
            <w:rFonts w:ascii="微软雅黑" w:eastAsia="微软雅黑" w:hAnsi="微软雅黑" w:cs="宋体"/>
            <w:kern w:val="0"/>
            <w:sz w:val="24"/>
            <w:szCs w:val="24"/>
            <w:u w:val="single"/>
          </w:rPr>
          <w:t>189</w:t>
        </w:r>
      </w:hyperlink>
      <w:r w:rsidRPr="001D4A2E">
        <w:rPr>
          <w:rFonts w:ascii="微软雅黑" w:eastAsia="微软雅黑" w:hAnsi="微软雅黑" w:cs="宋体"/>
          <w:kern w:val="0"/>
          <w:sz w:val="24"/>
          <w:szCs w:val="24"/>
        </w:rPr>
        <w:t>）、端粒沉默破坏因子1样蛋白（DOT1L）（</w:t>
      </w:r>
      <w:hyperlink r:id="rId135" w:anchor="B190" w:history="1">
        <w:r w:rsidRPr="001D4A2E">
          <w:rPr>
            <w:rFonts w:ascii="微软雅黑" w:eastAsia="微软雅黑" w:hAnsi="微软雅黑" w:cs="宋体"/>
            <w:kern w:val="0"/>
            <w:sz w:val="24"/>
            <w:szCs w:val="24"/>
            <w:u w:val="single"/>
          </w:rPr>
          <w:t>190</w:t>
        </w:r>
      </w:hyperlink>
      <w:r w:rsidRPr="001D4A2E">
        <w:rPr>
          <w:rFonts w:ascii="微软雅黑" w:eastAsia="微软雅黑" w:hAnsi="微软雅黑" w:cs="宋体"/>
          <w:kern w:val="0"/>
          <w:sz w:val="24"/>
          <w:szCs w:val="24"/>
        </w:rPr>
        <w:t>）、NAD依赖性脱乙酰酶SIRT-1（</w:t>
      </w:r>
      <w:hyperlink r:id="rId136" w:anchor="B191" w:history="1">
        <w:r w:rsidRPr="001D4A2E">
          <w:rPr>
            <w:rFonts w:ascii="微软雅黑" w:eastAsia="微软雅黑" w:hAnsi="微软雅黑" w:cs="宋体"/>
            <w:kern w:val="0"/>
            <w:sz w:val="24"/>
            <w:szCs w:val="24"/>
            <w:u w:val="single"/>
          </w:rPr>
          <w:t>191</w:t>
        </w:r>
      </w:hyperlink>
      <w:r w:rsidRPr="001D4A2E">
        <w:rPr>
          <w:rFonts w:ascii="微软雅黑" w:eastAsia="微软雅黑" w:hAnsi="微软雅黑" w:cs="宋体"/>
          <w:kern w:val="0"/>
          <w:sz w:val="24"/>
          <w:szCs w:val="24"/>
        </w:rPr>
        <w:t>）和BRD4（</w:t>
      </w:r>
      <w:hyperlink r:id="rId137" w:anchor="B192" w:history="1">
        <w:r w:rsidRPr="001D4A2E">
          <w:rPr>
            <w:rFonts w:ascii="微软雅黑" w:eastAsia="微软雅黑" w:hAnsi="微软雅黑" w:cs="宋体"/>
            <w:kern w:val="0"/>
            <w:sz w:val="24"/>
            <w:szCs w:val="24"/>
            <w:u w:val="single"/>
          </w:rPr>
          <w:t>192</w:t>
        </w:r>
      </w:hyperlink>
      <w:r w:rsidRPr="001D4A2E">
        <w:rPr>
          <w:rFonts w:ascii="微软雅黑" w:eastAsia="微软雅黑" w:hAnsi="微软雅黑" w:cs="宋体"/>
          <w:kern w:val="0"/>
          <w:sz w:val="24"/>
          <w:szCs w:val="24"/>
        </w:rPr>
        <w:t>）。</w:t>
      </w:r>
    </w:p>
    <w:p w14:paraId="7B904109"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t>超级增强子是癌细胞中表观遗传调控异常的元件之一，被认为是潜在的分子靶点。超级增强子是一组调控区域，特别是增强子，其与转录共激活因子、读取蛋白和</w:t>
      </w:r>
      <w:r w:rsidRPr="001D4A2E">
        <w:rPr>
          <w:rFonts w:ascii="微软雅黑" w:eastAsia="微软雅黑" w:hAnsi="微软雅黑" w:cs="宋体"/>
          <w:kern w:val="0"/>
          <w:sz w:val="24"/>
          <w:szCs w:val="24"/>
        </w:rPr>
        <w:lastRenderedPageBreak/>
        <w:t>转录因子结合的结合异常富集（</w:t>
      </w:r>
      <w:hyperlink r:id="rId138" w:anchor="B193" w:history="1">
        <w:r w:rsidRPr="001D4A2E">
          <w:rPr>
            <w:rFonts w:ascii="微软雅黑" w:eastAsia="微软雅黑" w:hAnsi="微软雅黑" w:cs="宋体"/>
            <w:kern w:val="0"/>
            <w:sz w:val="24"/>
            <w:szCs w:val="24"/>
            <w:u w:val="single"/>
          </w:rPr>
          <w:t>193</w:t>
        </w:r>
      </w:hyperlink>
      <w:r w:rsidRPr="001D4A2E">
        <w:rPr>
          <w:rFonts w:ascii="微软雅黑" w:eastAsia="微软雅黑" w:hAnsi="微软雅黑" w:cs="宋体"/>
          <w:kern w:val="0"/>
          <w:sz w:val="24"/>
          <w:szCs w:val="24"/>
        </w:rPr>
        <w:t>）。超级增强子可能是重要的致癌驱动因子，导致许多癌基因的高表达（</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"B194"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194</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）。不同的转录因子家族占据超级增强子位点；其中最突出的是</w:t>
      </w:r>
      <w:proofErr w:type="gramStart"/>
      <w:r w:rsidRPr="001D4A2E">
        <w:rPr>
          <w:rFonts w:ascii="微软雅黑" w:eastAsia="微软雅黑" w:hAnsi="微软雅黑" w:cs="宋体"/>
          <w:kern w:val="0"/>
          <w:sz w:val="24"/>
          <w:szCs w:val="24"/>
        </w:rPr>
        <w:t>溴结构域</w:t>
      </w:r>
      <w:proofErr w:type="gramEnd"/>
      <w:r w:rsidRPr="001D4A2E">
        <w:rPr>
          <w:rFonts w:ascii="微软雅黑" w:eastAsia="微软雅黑" w:hAnsi="微软雅黑" w:cs="宋体"/>
          <w:kern w:val="0"/>
          <w:sz w:val="24"/>
          <w:szCs w:val="24"/>
        </w:rPr>
        <w:t>和末端结构域（BET）家族。BET家族由四个保守的哺乳动物成员（BRD2、BRD3、BRD4和BRDT）组成，它们调控许多基因和信号通路的表达，并且BET家族成员在癌细胞中普遍存在异常表达（</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"B195"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195</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 BET家族成员能够识别并结合乙酰化组蛋白，作为组蛋白乙酰化的表观遗传读取器，促进转录调控复合物募集至染色质（</w:t>
      </w:r>
      <w:hyperlink r:id="rId139" w:anchor="B196" w:history="1">
        <w:r w:rsidRPr="001D4A2E">
          <w:rPr>
            <w:rFonts w:ascii="微软雅黑" w:eastAsia="微软雅黑" w:hAnsi="微软雅黑" w:cs="宋体"/>
            <w:kern w:val="0"/>
            <w:sz w:val="24"/>
            <w:szCs w:val="24"/>
            <w:u w:val="single"/>
          </w:rPr>
          <w:t>196</w:t>
        </w:r>
      </w:hyperlink>
      <w:r w:rsidRPr="001D4A2E">
        <w:rPr>
          <w:rFonts w:ascii="微软雅黑" w:eastAsia="微软雅黑" w:hAnsi="微软雅黑" w:cs="宋体"/>
          <w:kern w:val="0"/>
          <w:sz w:val="24"/>
          <w:szCs w:val="24"/>
        </w:rPr>
        <w:t>）。此外，衰老过程中染色质的重塑导致SASP基因处超级增强子的形成，从而增加SASP的表达。H3K27乙酰化以及BRD4的募集是SASP表达的关键事件（</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"B192"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192</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）。因此，BET抑制剂已成为一类极具前景的抗癌药物，许多药物已被开发用于与各种化疗方案联合使用（</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"B197"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197 ）。包括我们实验室在内的多项研究已证实BET抑制剂具有清除衰老细胞和抑制衰老细胞形态的活性（ </w:t>
      </w:r>
      <w:r w:rsidRPr="001D4A2E">
        <w:rPr>
          <w:rFonts w:ascii="微软雅黑" w:eastAsia="微软雅黑" w:hAnsi="微软雅黑" w:cs="宋体"/>
          <w:kern w:val="0"/>
          <w:sz w:val="24"/>
          <w:szCs w:val="24"/>
        </w:rPr>
        <w:fldChar w:fldCharType="end"/>
      </w:r>
      <w:hyperlink r:id="rId140" w:anchor="B85" w:history="1">
        <w:r w:rsidRPr="001D4A2E">
          <w:rPr>
            <w:rFonts w:ascii="微软雅黑" w:eastAsia="微软雅黑" w:hAnsi="微软雅黑" w:cs="宋体"/>
            <w:kern w:val="0"/>
            <w:sz w:val="24"/>
            <w:szCs w:val="24"/>
            <w:u w:val="single"/>
          </w:rPr>
          <w:t>85</w:t>
        </w:r>
      </w:hyperlink>
      <w:r w:rsidRPr="001D4A2E">
        <w:rPr>
          <w:rFonts w:ascii="微软雅黑" w:eastAsia="微软雅黑" w:hAnsi="微软雅黑" w:cs="宋体"/>
          <w:kern w:val="0"/>
          <w:sz w:val="24"/>
          <w:szCs w:val="24"/>
        </w:rPr>
        <w:t> , </w:t>
      </w:r>
      <w:hyperlink r:id="rId141" w:anchor="B130" w:history="1">
        <w:r w:rsidRPr="001D4A2E">
          <w:rPr>
            <w:rFonts w:ascii="微软雅黑" w:eastAsia="微软雅黑" w:hAnsi="微软雅黑" w:cs="宋体"/>
            <w:kern w:val="0"/>
            <w:sz w:val="24"/>
            <w:szCs w:val="24"/>
            <w:u w:val="single"/>
          </w:rPr>
          <w:t>130</w:t>
        </w:r>
      </w:hyperlink>
      <w:r w:rsidRPr="001D4A2E">
        <w:rPr>
          <w:rFonts w:ascii="微软雅黑" w:eastAsia="微软雅黑" w:hAnsi="微软雅黑" w:cs="宋体"/>
          <w:kern w:val="0"/>
          <w:sz w:val="24"/>
          <w:szCs w:val="24"/>
        </w:rPr>
        <w:t> , </w:t>
      </w:r>
      <w:hyperlink r:id="rId142" w:anchor="B192" w:history="1">
        <w:r w:rsidRPr="001D4A2E">
          <w:rPr>
            <w:rFonts w:ascii="微软雅黑" w:eastAsia="微软雅黑" w:hAnsi="微软雅黑" w:cs="宋体"/>
            <w:kern w:val="0"/>
            <w:sz w:val="24"/>
            <w:szCs w:val="24"/>
            <w:u w:val="single"/>
          </w:rPr>
          <w:t>192</w:t>
        </w:r>
      </w:hyperlink>
      <w:r w:rsidRPr="001D4A2E">
        <w:rPr>
          <w:rFonts w:ascii="微软雅黑" w:eastAsia="微软雅黑" w:hAnsi="微软雅黑" w:cs="宋体"/>
          <w:kern w:val="0"/>
          <w:sz w:val="24"/>
          <w:szCs w:val="24"/>
        </w:rPr>
        <w:t>），这些研究探讨了BET抑制剂作为靶向衰老策略的有效性。我们实验室最近对 BET 家族与自噬之间的关系进行了综述（</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"B198"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198</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w:t>
      </w:r>
    </w:p>
    <w:p w14:paraId="681BFB0A" w14:textId="77777777" w:rsidR="001D4A2E" w:rsidRPr="001D4A2E" w:rsidRDefault="001D4A2E" w:rsidP="001D4A2E">
      <w:pPr>
        <w:widowControl/>
        <w:spacing w:line="450" w:lineRule="atLeast"/>
        <w:outlineLvl w:val="2"/>
        <w:rPr>
          <w:rFonts w:ascii="微软雅黑" w:eastAsia="微软雅黑" w:hAnsi="微软雅黑" w:cs="宋体"/>
          <w:kern w:val="0"/>
          <w:sz w:val="32"/>
          <w:szCs w:val="32"/>
        </w:rPr>
      </w:pPr>
      <w:r w:rsidRPr="001D4A2E">
        <w:rPr>
          <w:rFonts w:ascii="微软雅黑" w:eastAsia="微软雅黑" w:hAnsi="微软雅黑" w:cs="宋体"/>
          <w:kern w:val="0"/>
          <w:sz w:val="32"/>
          <w:szCs w:val="32"/>
        </w:rPr>
        <w:t>6.7. BET抑制剂和</w:t>
      </w:r>
      <w:proofErr w:type="gramStart"/>
      <w:r w:rsidRPr="001D4A2E">
        <w:rPr>
          <w:rFonts w:ascii="微软雅黑" w:eastAsia="微软雅黑" w:hAnsi="微软雅黑" w:cs="宋体"/>
          <w:kern w:val="0"/>
          <w:sz w:val="32"/>
          <w:szCs w:val="32"/>
        </w:rPr>
        <w:t>靶向</w:t>
      </w:r>
      <w:proofErr w:type="gramEnd"/>
      <w:r w:rsidRPr="001D4A2E">
        <w:rPr>
          <w:rFonts w:ascii="微软雅黑" w:eastAsia="微软雅黑" w:hAnsi="微软雅黑" w:cs="宋体"/>
          <w:kern w:val="0"/>
          <w:sz w:val="32"/>
          <w:szCs w:val="32"/>
        </w:rPr>
        <w:t>ER(+)乳腺癌衰老</w:t>
      </w:r>
    </w:p>
    <w:p w14:paraId="147AA9BE"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t>近期，我们研究小组（</w:t>
      </w:r>
      <w:hyperlink r:id="rId143" w:anchor="B130" w:history="1">
        <w:r w:rsidRPr="001D4A2E">
          <w:rPr>
            <w:rFonts w:ascii="微软雅黑" w:eastAsia="微软雅黑" w:hAnsi="微软雅黑" w:cs="宋体"/>
            <w:kern w:val="0"/>
            <w:sz w:val="24"/>
            <w:szCs w:val="24"/>
            <w:u w:val="single"/>
          </w:rPr>
          <w:t>130</w:t>
        </w:r>
      </w:hyperlink>
      <w:r w:rsidRPr="001D4A2E">
        <w:rPr>
          <w:rFonts w:ascii="微软雅黑" w:eastAsia="微软雅黑" w:hAnsi="微软雅黑" w:cs="宋体"/>
          <w:kern w:val="0"/>
          <w:sz w:val="24"/>
          <w:szCs w:val="24"/>
        </w:rPr>
        <w:t>）研究了ER+ MCF-7和T-47D乳腺癌细胞系中衰老、BET抑制剂以及</w:t>
      </w:r>
      <w:proofErr w:type="gramStart"/>
      <w:r w:rsidRPr="001D4A2E">
        <w:rPr>
          <w:rFonts w:ascii="微软雅黑" w:eastAsia="微软雅黑" w:hAnsi="微软雅黑" w:cs="宋体"/>
          <w:kern w:val="0"/>
          <w:sz w:val="24"/>
          <w:szCs w:val="24"/>
        </w:rPr>
        <w:t>氟维司群</w:t>
      </w:r>
      <w:proofErr w:type="gramEnd"/>
      <w:r w:rsidRPr="001D4A2E">
        <w:rPr>
          <w:rFonts w:ascii="微软雅黑" w:eastAsia="微软雅黑" w:hAnsi="微软雅黑" w:cs="宋体"/>
          <w:kern w:val="0"/>
          <w:sz w:val="24"/>
          <w:szCs w:val="24"/>
        </w:rPr>
        <w:t>联</w:t>
      </w:r>
      <w:proofErr w:type="gramStart"/>
      <w:r w:rsidRPr="001D4A2E">
        <w:rPr>
          <w:rFonts w:ascii="微软雅黑" w:eastAsia="微软雅黑" w:hAnsi="微软雅黑" w:cs="宋体"/>
          <w:kern w:val="0"/>
          <w:sz w:val="24"/>
          <w:szCs w:val="24"/>
        </w:rPr>
        <w:t>合帕</w:t>
      </w:r>
      <w:proofErr w:type="gramEnd"/>
      <w:r w:rsidRPr="001D4A2E">
        <w:rPr>
          <w:rFonts w:ascii="微软雅黑" w:eastAsia="微软雅黑" w:hAnsi="微软雅黑" w:cs="宋体"/>
          <w:kern w:val="0"/>
          <w:sz w:val="24"/>
          <w:szCs w:val="24"/>
        </w:rPr>
        <w:t>博西</w:t>
      </w:r>
      <w:proofErr w:type="gramStart"/>
      <w:r w:rsidRPr="001D4A2E">
        <w:rPr>
          <w:rFonts w:ascii="微软雅黑" w:eastAsia="微软雅黑" w:hAnsi="微软雅黑" w:cs="宋体"/>
          <w:kern w:val="0"/>
          <w:sz w:val="24"/>
          <w:szCs w:val="24"/>
        </w:rPr>
        <w:t>尼治疗</w:t>
      </w:r>
      <w:proofErr w:type="gramEnd"/>
      <w:r w:rsidRPr="001D4A2E">
        <w:rPr>
          <w:rFonts w:ascii="微软雅黑" w:eastAsia="微软雅黑" w:hAnsi="微软雅黑" w:cs="宋体"/>
          <w:kern w:val="0"/>
          <w:sz w:val="24"/>
          <w:szCs w:val="24"/>
        </w:rPr>
        <w:t>之间的关系。研究表明，浓度为1µM的帕博西尼处理6天可诱导细胞衰老。在帕博西尼处理的细胞群中，观察到生长停滞、SA-β-半乳糖苷酶染色增强，并通过流式细胞术检测C12FDG定量SA-β-半乳糖苷酶。此外，我们还利用定量PCR检测了SASP因子IL-6、IL-8和MMP-3的表达，进一步证实了衰老的诱导。帕博西尼联合</w:t>
      </w:r>
      <w:proofErr w:type="gramStart"/>
      <w:r w:rsidRPr="001D4A2E">
        <w:rPr>
          <w:rFonts w:ascii="微软雅黑" w:eastAsia="微软雅黑" w:hAnsi="微软雅黑" w:cs="宋体"/>
          <w:kern w:val="0"/>
          <w:sz w:val="24"/>
          <w:szCs w:val="24"/>
        </w:rPr>
        <w:t>氟维司群</w:t>
      </w:r>
      <w:proofErr w:type="gramEnd"/>
      <w:r w:rsidRPr="001D4A2E">
        <w:rPr>
          <w:rFonts w:ascii="微软雅黑" w:eastAsia="微软雅黑" w:hAnsi="微软雅黑" w:cs="宋体"/>
          <w:kern w:val="0"/>
          <w:sz w:val="24"/>
          <w:szCs w:val="24"/>
        </w:rPr>
        <w:t>也获得了类</w:t>
      </w:r>
      <w:r w:rsidRPr="001D4A2E">
        <w:rPr>
          <w:rFonts w:ascii="微软雅黑" w:eastAsia="微软雅黑" w:hAnsi="微软雅黑" w:cs="宋体"/>
          <w:kern w:val="0"/>
          <w:sz w:val="24"/>
          <w:szCs w:val="24"/>
        </w:rPr>
        <w:lastRenderedPageBreak/>
        <w:t>似的结果，这可能是临床上最有可能的乳腺癌联合治疗方案。我们发现，在治疗的第8至12天，细胞会逐渐摆脱联合治疗（</w:t>
      </w:r>
      <w:proofErr w:type="gramStart"/>
      <w:r w:rsidRPr="001D4A2E">
        <w:rPr>
          <w:rFonts w:ascii="微软雅黑" w:eastAsia="微软雅黑" w:hAnsi="微软雅黑" w:cs="宋体"/>
          <w:kern w:val="0"/>
          <w:sz w:val="24"/>
          <w:szCs w:val="24"/>
        </w:rPr>
        <w:t>氟维司群</w:t>
      </w:r>
      <w:proofErr w:type="gramEnd"/>
      <w:r w:rsidRPr="001D4A2E">
        <w:rPr>
          <w:rFonts w:ascii="微软雅黑" w:eastAsia="微软雅黑" w:hAnsi="微软雅黑" w:cs="宋体"/>
          <w:kern w:val="0"/>
          <w:sz w:val="24"/>
          <w:szCs w:val="24"/>
        </w:rPr>
        <w:t>联</w:t>
      </w:r>
      <w:proofErr w:type="gramStart"/>
      <w:r w:rsidRPr="001D4A2E">
        <w:rPr>
          <w:rFonts w:ascii="微软雅黑" w:eastAsia="微软雅黑" w:hAnsi="微软雅黑" w:cs="宋体"/>
          <w:kern w:val="0"/>
          <w:sz w:val="24"/>
          <w:szCs w:val="24"/>
        </w:rPr>
        <w:t>合帕</w:t>
      </w:r>
      <w:proofErr w:type="gramEnd"/>
      <w:r w:rsidRPr="001D4A2E">
        <w:rPr>
          <w:rFonts w:ascii="微软雅黑" w:eastAsia="微软雅黑" w:hAnsi="微软雅黑" w:cs="宋体"/>
          <w:kern w:val="0"/>
          <w:sz w:val="24"/>
          <w:szCs w:val="24"/>
        </w:rPr>
        <w:t>博西尼）的生长抑制作用。相反，在Rb缺失的MCF-7和T-47D细胞中，6天的联合治疗诱导了细胞生长停滞，但未能诱导细胞衰老，表明衰老的诱导主要由Rb驱动。这些结果与帕博西尼耐药的MCF-7和T-47D细胞中Rb表达水平较低相一致（</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"B176"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176</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 , </w:t>
      </w:r>
      <w:hyperlink r:id="rId144" w:anchor="B199" w:history="1">
        <w:r w:rsidRPr="001D4A2E">
          <w:rPr>
            <w:rFonts w:ascii="微软雅黑" w:eastAsia="微软雅黑" w:hAnsi="微软雅黑" w:cs="宋体"/>
            <w:kern w:val="0"/>
            <w:sz w:val="24"/>
            <w:szCs w:val="24"/>
            <w:u w:val="single"/>
          </w:rPr>
          <w:t>199</w:t>
        </w:r>
      </w:hyperlink>
      <w:r w:rsidRPr="001D4A2E">
        <w:rPr>
          <w:rFonts w:ascii="微软雅黑" w:eastAsia="微软雅黑" w:hAnsi="微软雅黑" w:cs="宋体"/>
          <w:kern w:val="0"/>
          <w:sz w:val="24"/>
          <w:szCs w:val="24"/>
        </w:rPr>
        <w:t>）。总而言之，在表达功能性Rb的ER阳性乳腺癌细胞中</w:t>
      </w:r>
      <w:r w:rsidRPr="001D4A2E">
        <w:rPr>
          <w:rFonts w:ascii="微软雅黑" w:eastAsia="微软雅黑" w:hAnsi="微软雅黑" w:cs="宋体"/>
          <w:kern w:val="0"/>
          <w:sz w:val="24"/>
          <w:szCs w:val="24"/>
          <w:vertAlign w:val="superscript"/>
        </w:rPr>
        <w:t>，</w:t>
      </w:r>
      <w:r w:rsidRPr="001D4A2E">
        <w:rPr>
          <w:rFonts w:ascii="微软雅黑" w:eastAsia="微软雅黑" w:hAnsi="微软雅黑" w:cs="宋体"/>
          <w:kern w:val="0"/>
          <w:sz w:val="24"/>
          <w:szCs w:val="24"/>
        </w:rPr>
        <w:t>乳腺癌标准治疗方案（</w:t>
      </w:r>
      <w:proofErr w:type="gramStart"/>
      <w:r w:rsidRPr="001D4A2E">
        <w:rPr>
          <w:rFonts w:ascii="微软雅黑" w:eastAsia="微软雅黑" w:hAnsi="微软雅黑" w:cs="宋体"/>
          <w:kern w:val="0"/>
          <w:sz w:val="24"/>
          <w:szCs w:val="24"/>
        </w:rPr>
        <w:t>氟维司群</w:t>
      </w:r>
      <w:proofErr w:type="gramEnd"/>
      <w:r w:rsidRPr="001D4A2E">
        <w:rPr>
          <w:rFonts w:ascii="微软雅黑" w:eastAsia="微软雅黑" w:hAnsi="微软雅黑" w:cs="宋体"/>
          <w:kern w:val="0"/>
          <w:sz w:val="24"/>
          <w:szCs w:val="24"/>
        </w:rPr>
        <w:t>+帕博西尼）诱导的衰老是可逆的，因此可能</w:t>
      </w:r>
      <w:proofErr w:type="gramStart"/>
      <w:r w:rsidRPr="001D4A2E">
        <w:rPr>
          <w:rFonts w:ascii="微软雅黑" w:eastAsia="微软雅黑" w:hAnsi="微软雅黑" w:cs="宋体"/>
          <w:kern w:val="0"/>
          <w:sz w:val="24"/>
          <w:szCs w:val="24"/>
        </w:rPr>
        <w:t>介</w:t>
      </w:r>
      <w:proofErr w:type="gramEnd"/>
      <w:r w:rsidRPr="001D4A2E">
        <w:rPr>
          <w:rFonts w:ascii="微软雅黑" w:eastAsia="微软雅黑" w:hAnsi="微软雅黑" w:cs="宋体"/>
          <w:kern w:val="0"/>
          <w:sz w:val="24"/>
          <w:szCs w:val="24"/>
        </w:rPr>
        <w:t>导肿瘤复发。</w:t>
      </w:r>
    </w:p>
    <w:p w14:paraId="40CEA235"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t>在确定帕博西尼联合</w:t>
      </w:r>
      <w:proofErr w:type="gramStart"/>
      <w:r w:rsidRPr="001D4A2E">
        <w:rPr>
          <w:rFonts w:ascii="微软雅黑" w:eastAsia="微软雅黑" w:hAnsi="微软雅黑" w:cs="宋体"/>
          <w:kern w:val="0"/>
          <w:sz w:val="24"/>
          <w:szCs w:val="24"/>
        </w:rPr>
        <w:t>氟维司群治疗</w:t>
      </w:r>
      <w:proofErr w:type="gramEnd"/>
      <w:r w:rsidRPr="001D4A2E">
        <w:rPr>
          <w:rFonts w:ascii="微软雅黑" w:eastAsia="微软雅黑" w:hAnsi="微软雅黑" w:cs="宋体"/>
          <w:kern w:val="0"/>
          <w:sz w:val="24"/>
          <w:szCs w:val="24"/>
        </w:rPr>
        <w:t xml:space="preserve">可诱导可逆性衰老后，我们进一步评估了BET抑制剂/降解剂ARV-825对衰老状态的影响。ARV-825（50 </w:t>
      </w:r>
      <w:proofErr w:type="spellStart"/>
      <w:r w:rsidRPr="001D4A2E">
        <w:rPr>
          <w:rFonts w:ascii="微软雅黑" w:eastAsia="微软雅黑" w:hAnsi="微软雅黑" w:cs="宋体"/>
          <w:kern w:val="0"/>
          <w:sz w:val="24"/>
          <w:szCs w:val="24"/>
        </w:rPr>
        <w:t>nM</w:t>
      </w:r>
      <w:proofErr w:type="spellEnd"/>
      <w:r w:rsidRPr="001D4A2E">
        <w:rPr>
          <w:rFonts w:ascii="微软雅黑" w:eastAsia="微软雅黑" w:hAnsi="微软雅黑" w:cs="宋体"/>
          <w:kern w:val="0"/>
          <w:sz w:val="24"/>
          <w:szCs w:val="24"/>
        </w:rPr>
        <w:t>，处理4天）抑制了衰老细胞群的恢复。重要的是，ARV-825表现出衰老细胞清除活性；通过Annexin V/PI染色检测发现，在</w:t>
      </w:r>
      <w:proofErr w:type="gramStart"/>
      <w:r w:rsidRPr="001D4A2E">
        <w:rPr>
          <w:rFonts w:ascii="微软雅黑" w:eastAsia="微软雅黑" w:hAnsi="微软雅黑" w:cs="宋体"/>
          <w:kern w:val="0"/>
          <w:sz w:val="24"/>
          <w:szCs w:val="24"/>
        </w:rPr>
        <w:t>氟维司群</w:t>
      </w:r>
      <w:proofErr w:type="gramEnd"/>
      <w:r w:rsidRPr="001D4A2E">
        <w:rPr>
          <w:rFonts w:ascii="微软雅黑" w:eastAsia="微软雅黑" w:hAnsi="微软雅黑" w:cs="宋体"/>
          <w:kern w:val="0"/>
          <w:sz w:val="24"/>
          <w:szCs w:val="24"/>
        </w:rPr>
        <w:t>联</w:t>
      </w:r>
      <w:proofErr w:type="gramStart"/>
      <w:r w:rsidRPr="001D4A2E">
        <w:rPr>
          <w:rFonts w:ascii="微软雅黑" w:eastAsia="微软雅黑" w:hAnsi="微软雅黑" w:cs="宋体"/>
          <w:kern w:val="0"/>
          <w:sz w:val="24"/>
          <w:szCs w:val="24"/>
        </w:rPr>
        <w:t>合帕</w:t>
      </w:r>
      <w:proofErr w:type="gramEnd"/>
      <w:r w:rsidRPr="001D4A2E">
        <w:rPr>
          <w:rFonts w:ascii="微软雅黑" w:eastAsia="微软雅黑" w:hAnsi="微软雅黑" w:cs="宋体"/>
          <w:kern w:val="0"/>
          <w:sz w:val="24"/>
          <w:szCs w:val="24"/>
        </w:rPr>
        <w:t>博西尼诱导的衰老细胞群中，约50%的细胞死亡。ARV-825还抑制了Rb缺失细胞群从生长停滞中恢复，并在</w:t>
      </w:r>
      <w:proofErr w:type="gramStart"/>
      <w:r w:rsidRPr="001D4A2E">
        <w:rPr>
          <w:rFonts w:ascii="微软雅黑" w:eastAsia="微软雅黑" w:hAnsi="微软雅黑" w:cs="宋体"/>
          <w:kern w:val="0"/>
          <w:sz w:val="24"/>
          <w:szCs w:val="24"/>
        </w:rPr>
        <w:t>氟维司群</w:t>
      </w:r>
      <w:proofErr w:type="gramEnd"/>
      <w:r w:rsidRPr="001D4A2E">
        <w:rPr>
          <w:rFonts w:ascii="微软雅黑" w:eastAsia="微软雅黑" w:hAnsi="微软雅黑" w:cs="宋体"/>
          <w:kern w:val="0"/>
          <w:sz w:val="24"/>
          <w:szCs w:val="24"/>
        </w:rPr>
        <w:t>联</w:t>
      </w:r>
      <w:proofErr w:type="gramStart"/>
      <w:r w:rsidRPr="001D4A2E">
        <w:rPr>
          <w:rFonts w:ascii="微软雅黑" w:eastAsia="微软雅黑" w:hAnsi="微软雅黑" w:cs="宋体"/>
          <w:kern w:val="0"/>
          <w:sz w:val="24"/>
          <w:szCs w:val="24"/>
        </w:rPr>
        <w:t>合帕</w:t>
      </w:r>
      <w:proofErr w:type="gramEnd"/>
      <w:r w:rsidRPr="001D4A2E">
        <w:rPr>
          <w:rFonts w:ascii="微软雅黑" w:eastAsia="微软雅黑" w:hAnsi="微软雅黑" w:cs="宋体"/>
          <w:kern w:val="0"/>
          <w:sz w:val="24"/>
          <w:szCs w:val="24"/>
        </w:rPr>
        <w:t>博西</w:t>
      </w:r>
      <w:proofErr w:type="gramStart"/>
      <w:r w:rsidRPr="001D4A2E">
        <w:rPr>
          <w:rFonts w:ascii="微软雅黑" w:eastAsia="微软雅黑" w:hAnsi="微软雅黑" w:cs="宋体"/>
          <w:kern w:val="0"/>
          <w:sz w:val="24"/>
          <w:szCs w:val="24"/>
        </w:rPr>
        <w:t>尼治疗</w:t>
      </w:r>
      <w:proofErr w:type="gramEnd"/>
      <w:r w:rsidRPr="001D4A2E">
        <w:rPr>
          <w:rFonts w:ascii="微软雅黑" w:eastAsia="微软雅黑" w:hAnsi="微软雅黑" w:cs="宋体"/>
          <w:kern w:val="0"/>
          <w:sz w:val="24"/>
          <w:szCs w:val="24"/>
        </w:rPr>
        <w:t>后诱导了细胞凋亡。机制上，ARV-825抑制了BRD4及其下游效应因子c-</w:t>
      </w:r>
      <w:proofErr w:type="spellStart"/>
      <w:r w:rsidRPr="001D4A2E">
        <w:rPr>
          <w:rFonts w:ascii="微软雅黑" w:eastAsia="微软雅黑" w:hAnsi="微软雅黑" w:cs="宋体"/>
          <w:kern w:val="0"/>
          <w:sz w:val="24"/>
          <w:szCs w:val="24"/>
        </w:rPr>
        <w:t>Myc</w:t>
      </w:r>
      <w:proofErr w:type="spellEnd"/>
      <w:r w:rsidRPr="001D4A2E">
        <w:rPr>
          <w:rFonts w:ascii="微软雅黑" w:eastAsia="微软雅黑" w:hAnsi="微软雅黑" w:cs="宋体"/>
          <w:kern w:val="0"/>
          <w:sz w:val="24"/>
          <w:szCs w:val="24"/>
        </w:rPr>
        <w:t>的表达。</w:t>
      </w:r>
    </w:p>
    <w:p w14:paraId="5231B055"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t>进一步支持ARV-825作为衰老癌细胞分子靶向策略潜力的两项研究( </w:t>
      </w:r>
      <w:hyperlink r:id="rId145" w:anchor="B78" w:history="1">
        <w:r w:rsidRPr="001D4A2E">
          <w:rPr>
            <w:rFonts w:ascii="微软雅黑" w:eastAsia="微软雅黑" w:hAnsi="微软雅黑" w:cs="宋体"/>
            <w:kern w:val="0"/>
            <w:sz w:val="24"/>
            <w:szCs w:val="24"/>
            <w:u w:val="single"/>
          </w:rPr>
          <w:t>78</w:t>
        </w:r>
      </w:hyperlink>
      <w:r w:rsidRPr="001D4A2E">
        <w:rPr>
          <w:rFonts w:ascii="微软雅黑" w:eastAsia="微软雅黑" w:hAnsi="微软雅黑" w:cs="宋体"/>
          <w:kern w:val="0"/>
          <w:sz w:val="24"/>
          <w:szCs w:val="24"/>
        </w:rPr>
        <w:t> )：Mo等人提供的证据表明，c-</w:t>
      </w:r>
      <w:proofErr w:type="spellStart"/>
      <w:r w:rsidRPr="001D4A2E">
        <w:rPr>
          <w:rFonts w:ascii="微软雅黑" w:eastAsia="微软雅黑" w:hAnsi="微软雅黑" w:cs="宋体"/>
          <w:kern w:val="0"/>
          <w:sz w:val="24"/>
          <w:szCs w:val="24"/>
        </w:rPr>
        <w:t>Myc</w:t>
      </w:r>
      <w:proofErr w:type="spellEnd"/>
      <w:r w:rsidRPr="001D4A2E">
        <w:rPr>
          <w:rFonts w:ascii="微软雅黑" w:eastAsia="微软雅黑" w:hAnsi="微软雅黑" w:cs="宋体"/>
          <w:kern w:val="0"/>
          <w:sz w:val="24"/>
          <w:szCs w:val="24"/>
        </w:rPr>
        <w:t>的下游靶点S6K参与了CDK4/6耐药性的临床表达( </w:t>
      </w:r>
      <w:hyperlink r:id="rId146" w:anchor="B200" w:history="1">
        <w:r w:rsidRPr="001D4A2E">
          <w:rPr>
            <w:rFonts w:ascii="微软雅黑" w:eastAsia="微软雅黑" w:hAnsi="微软雅黑" w:cs="宋体"/>
            <w:kern w:val="0"/>
            <w:sz w:val="24"/>
            <w:szCs w:val="24"/>
            <w:u w:val="single"/>
          </w:rPr>
          <w:t>200</w:t>
        </w:r>
      </w:hyperlink>
      <w:r w:rsidRPr="001D4A2E">
        <w:rPr>
          <w:rFonts w:ascii="微软雅黑" w:eastAsia="微软雅黑" w:hAnsi="微软雅黑" w:cs="宋体"/>
          <w:kern w:val="0"/>
          <w:sz w:val="24"/>
          <w:szCs w:val="24"/>
        </w:rPr>
        <w:t> )；( </w:t>
      </w:r>
      <w:hyperlink r:id="rId147" w:anchor="B76" w:history="1">
        <w:r w:rsidRPr="001D4A2E">
          <w:rPr>
            <w:rFonts w:ascii="微软雅黑" w:eastAsia="微软雅黑" w:hAnsi="微软雅黑" w:cs="宋体"/>
            <w:kern w:val="0"/>
            <w:sz w:val="24"/>
            <w:szCs w:val="24"/>
            <w:u w:val="single"/>
          </w:rPr>
          <w:t>76</w:t>
        </w:r>
      </w:hyperlink>
      <w:r w:rsidRPr="001D4A2E">
        <w:rPr>
          <w:rFonts w:ascii="微软雅黑" w:eastAsia="微软雅黑" w:hAnsi="微软雅黑" w:cs="宋体"/>
          <w:kern w:val="0"/>
          <w:sz w:val="24"/>
          <w:szCs w:val="24"/>
        </w:rPr>
        <w:t xml:space="preserve"> ) </w:t>
      </w:r>
      <w:proofErr w:type="spellStart"/>
      <w:r w:rsidRPr="001D4A2E">
        <w:rPr>
          <w:rFonts w:ascii="微软雅黑" w:eastAsia="微软雅黑" w:hAnsi="微软雅黑" w:cs="宋体"/>
          <w:kern w:val="0"/>
          <w:sz w:val="24"/>
          <w:szCs w:val="24"/>
        </w:rPr>
        <w:t>Wakita</w:t>
      </w:r>
      <w:proofErr w:type="spellEnd"/>
      <w:r w:rsidRPr="001D4A2E">
        <w:rPr>
          <w:rFonts w:ascii="微软雅黑" w:eastAsia="微软雅黑" w:hAnsi="微软雅黑" w:cs="宋体"/>
          <w:kern w:val="0"/>
          <w:sz w:val="24"/>
          <w:szCs w:val="24"/>
        </w:rPr>
        <w:t>等人确定，ARV-825能够清除不同癌症模型中的衰老细胞，部分原因是其诱导自噬。在后一项研究中，ARV-825诱导的自噬是其清除衰老细胞活性所必需的，同时，由于ARV-825治疗诱导的非同源末端连接(NHEJ)减弱，导致双链DNA断裂数量增加( </w:t>
      </w:r>
      <w:hyperlink r:id="rId148" w:anchor="B85" w:history="1">
        <w:r w:rsidRPr="001D4A2E">
          <w:rPr>
            <w:rFonts w:ascii="微软雅黑" w:eastAsia="微软雅黑" w:hAnsi="微软雅黑" w:cs="宋体"/>
            <w:kern w:val="0"/>
            <w:sz w:val="24"/>
            <w:szCs w:val="24"/>
            <w:u w:val="single"/>
          </w:rPr>
          <w:t>85</w:t>
        </w:r>
      </w:hyperlink>
      <w:r w:rsidRPr="001D4A2E">
        <w:rPr>
          <w:rFonts w:ascii="微软雅黑" w:eastAsia="微软雅黑" w:hAnsi="微软雅黑" w:cs="宋体"/>
          <w:kern w:val="0"/>
          <w:sz w:val="24"/>
          <w:szCs w:val="24"/>
        </w:rPr>
        <w:t xml:space="preserve"> )。总的来说，这些研究表明 </w:t>
      </w:r>
      <w:proofErr w:type="spellStart"/>
      <w:r w:rsidRPr="001D4A2E">
        <w:rPr>
          <w:rFonts w:ascii="微软雅黑" w:eastAsia="微软雅黑" w:hAnsi="微软雅黑" w:cs="宋体"/>
          <w:kern w:val="0"/>
          <w:sz w:val="24"/>
          <w:szCs w:val="24"/>
        </w:rPr>
        <w:t>CDKi</w:t>
      </w:r>
      <w:proofErr w:type="spellEnd"/>
      <w:r w:rsidRPr="001D4A2E">
        <w:rPr>
          <w:rFonts w:ascii="微软雅黑" w:eastAsia="微软雅黑" w:hAnsi="微软雅黑" w:cs="宋体"/>
          <w:kern w:val="0"/>
          <w:sz w:val="24"/>
          <w:szCs w:val="24"/>
        </w:rPr>
        <w:t xml:space="preserve"> </w:t>
      </w:r>
      <w:r w:rsidRPr="001D4A2E">
        <w:rPr>
          <w:rFonts w:ascii="微软雅黑" w:eastAsia="微软雅黑" w:hAnsi="微软雅黑" w:cs="宋体"/>
          <w:kern w:val="0"/>
          <w:sz w:val="24"/>
          <w:szCs w:val="24"/>
        </w:rPr>
        <w:lastRenderedPageBreak/>
        <w:t>可诱导乳腺癌细胞衰老，并提示 BET 抑制剂具有作为衰老抑制剂或衰老清除剂的极佳潜力，以延缓复发和/或克服帕博西尼耐药性。</w:t>
      </w:r>
    </w:p>
    <w:p w14:paraId="574687FE" w14:textId="77777777" w:rsidR="001D4A2E" w:rsidRPr="001D4A2E" w:rsidRDefault="001D4A2E" w:rsidP="001D4A2E">
      <w:pPr>
        <w:widowControl/>
        <w:pBdr>
          <w:bottom w:val="single" w:sz="6" w:space="0" w:color="97B1C8"/>
        </w:pBdr>
        <w:spacing w:line="450" w:lineRule="atLeast"/>
        <w:outlineLvl w:val="1"/>
        <w:rPr>
          <w:rFonts w:ascii="微软雅黑" w:eastAsia="微软雅黑" w:hAnsi="微软雅黑" w:cs="宋体"/>
          <w:kern w:val="0"/>
          <w:sz w:val="34"/>
          <w:szCs w:val="34"/>
        </w:rPr>
      </w:pPr>
      <w:r w:rsidRPr="001D4A2E">
        <w:rPr>
          <w:rFonts w:ascii="微软雅黑" w:eastAsia="微软雅黑" w:hAnsi="微软雅黑" w:cs="宋体"/>
          <w:kern w:val="0"/>
          <w:sz w:val="34"/>
          <w:szCs w:val="34"/>
        </w:rPr>
        <w:t>7. 已确立的抗雌激素耐药机制</w:t>
      </w:r>
    </w:p>
    <w:p w14:paraId="47DBF051"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t>自噬和“可逆性”衰老等生存机制为乳腺癌细胞提供了有限的时间来适应/抵抗</w:t>
      </w:r>
      <w:proofErr w:type="gramStart"/>
      <w:r w:rsidRPr="001D4A2E">
        <w:rPr>
          <w:rFonts w:ascii="微软雅黑" w:eastAsia="微软雅黑" w:hAnsi="微软雅黑" w:cs="宋体"/>
          <w:kern w:val="0"/>
          <w:sz w:val="24"/>
          <w:szCs w:val="24"/>
        </w:rPr>
        <w:t>抗</w:t>
      </w:r>
      <w:proofErr w:type="gramEnd"/>
      <w:r w:rsidRPr="001D4A2E">
        <w:rPr>
          <w:rFonts w:ascii="微软雅黑" w:eastAsia="微软雅黑" w:hAnsi="微软雅黑" w:cs="宋体"/>
          <w:kern w:val="0"/>
          <w:sz w:val="24"/>
          <w:szCs w:val="24"/>
        </w:rPr>
        <w:t>雌激素（以及CKD抑制剂）治疗，在此期间，乳腺癌细胞通常处于生长停滞状态。在可称之为休眠期的这段时间里，乳腺癌细胞可能发生遗传和/或表观遗传改变，从而逃脱生长停滞，并表达雌激素非依赖性和/或抗雌激素耐药性。然而，目前的研究尚未明确</w:t>
      </w:r>
      <w:proofErr w:type="gramStart"/>
      <w:r w:rsidRPr="001D4A2E">
        <w:rPr>
          <w:rFonts w:ascii="微软雅黑" w:eastAsia="微软雅黑" w:hAnsi="微软雅黑" w:cs="宋体"/>
          <w:kern w:val="0"/>
          <w:sz w:val="24"/>
          <w:szCs w:val="24"/>
        </w:rPr>
        <w:t>这种向抗雌激素</w:t>
      </w:r>
      <w:proofErr w:type="gramEnd"/>
      <w:r w:rsidRPr="001D4A2E">
        <w:rPr>
          <w:rFonts w:ascii="微软雅黑" w:eastAsia="微软雅黑" w:hAnsi="微软雅黑" w:cs="宋体"/>
          <w:kern w:val="0"/>
          <w:sz w:val="24"/>
          <w:szCs w:val="24"/>
        </w:rPr>
        <w:t>耐药性发展过程中的生化和分子基础。另一方面，多种导致临床疗效不佳的获得性抗雌激素耐药机制已被证实，这些机制涉及生长因子信号通路、细胞周期调控蛋白和抗凋亡基因的突变和/或上调，这些因素可能克服休眠状态（自噬或衰老状态）。这些机制包括细胞周期蛋白D的过度表达（上调细胞周期蛋白D/CDK4/6 Rb轴），如上所述，目前可使用CDK4/6抑制剂进行靶向治疗；受体酪氨酸激酶（包括表皮生长因子家族成员（EGFR和HER2/Neu）、胰岛素样生长因子受体（IGF-1）和成纤维细胞生长因子受体（FGFR）及其共同下游靶点（PI3K和AKT））的组成型激活和/或基因扩增；抗凋亡蛋白Bcl2的过度表达；以及热休克因子1（HSF1）的上调。此外，雌激素抵抗可能由编码ERα和芳香化酶的</w:t>
      </w:r>
      <w:r w:rsidRPr="001D4A2E">
        <w:rPr>
          <w:rFonts w:ascii="微软雅黑" w:eastAsia="微软雅黑" w:hAnsi="微软雅黑" w:cs="宋体"/>
          <w:i/>
          <w:iCs/>
          <w:kern w:val="0"/>
          <w:sz w:val="24"/>
          <w:szCs w:val="24"/>
        </w:rPr>
        <w:t>ESR1</w:t>
      </w:r>
      <w:r w:rsidRPr="001D4A2E">
        <w:rPr>
          <w:rFonts w:ascii="微软雅黑" w:eastAsia="微软雅黑" w:hAnsi="微软雅黑" w:cs="宋体"/>
          <w:kern w:val="0"/>
          <w:sz w:val="24"/>
          <w:szCs w:val="24"/>
        </w:rPr>
        <w:t>和</w:t>
      </w:r>
      <w:r w:rsidRPr="001D4A2E">
        <w:rPr>
          <w:rFonts w:ascii="微软雅黑" w:eastAsia="微软雅黑" w:hAnsi="微软雅黑" w:cs="宋体"/>
          <w:i/>
          <w:iCs/>
          <w:kern w:val="0"/>
          <w:sz w:val="24"/>
          <w:szCs w:val="24"/>
        </w:rPr>
        <w:t>CYP19</w:t>
      </w:r>
      <w:r w:rsidRPr="001D4A2E">
        <w:rPr>
          <w:rFonts w:ascii="微软雅黑" w:eastAsia="微软雅黑" w:hAnsi="微软雅黑" w:cs="宋体"/>
          <w:kern w:val="0"/>
          <w:sz w:val="24"/>
          <w:szCs w:val="24"/>
        </w:rPr>
        <w:t>基因的突变、表达改变和/或扩增引起。许多此类机制近期已有综述（</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"B203"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201-203 </w:t>
      </w:r>
      <w:r w:rsidRPr="001D4A2E">
        <w:rPr>
          <w:rFonts w:ascii="微软雅黑" w:eastAsia="微软雅黑" w:hAnsi="微软雅黑" w:cs="宋体"/>
          <w:kern w:val="0"/>
          <w:sz w:val="24"/>
          <w:szCs w:val="24"/>
        </w:rPr>
        <w:fldChar w:fldCharType="end"/>
      </w:r>
      <w:hyperlink r:id="rId149" w:anchor="B201" w:history="1">
        <w:r w:rsidRPr="001D4A2E">
          <w:rPr>
            <w:rFonts w:ascii="微软雅黑" w:eastAsia="微软雅黑" w:hAnsi="微软雅黑" w:cs="宋体"/>
            <w:kern w:val="0"/>
            <w:sz w:val="24"/>
            <w:szCs w:val="24"/>
            <w:u w:val="single"/>
          </w:rPr>
          <w:t>）</w:t>
        </w:r>
      </w:hyperlink>
      <w:r w:rsidRPr="001D4A2E">
        <w:rPr>
          <w:rFonts w:ascii="微软雅黑" w:eastAsia="微软雅黑" w:hAnsi="微软雅黑" w:cs="宋体"/>
          <w:kern w:val="0"/>
          <w:sz w:val="24"/>
          <w:szCs w:val="24"/>
        </w:rPr>
        <w:t>，因此，我们仅对现有信息进行简要概述。</w:t>
      </w:r>
    </w:p>
    <w:p w14:paraId="5B9F337C" w14:textId="77777777" w:rsidR="001D4A2E" w:rsidRPr="001D4A2E" w:rsidRDefault="001D4A2E" w:rsidP="001D4A2E">
      <w:pPr>
        <w:widowControl/>
        <w:spacing w:line="450" w:lineRule="atLeast"/>
        <w:outlineLvl w:val="2"/>
        <w:rPr>
          <w:rFonts w:ascii="微软雅黑" w:eastAsia="微软雅黑" w:hAnsi="微软雅黑" w:cs="宋体"/>
          <w:kern w:val="0"/>
          <w:sz w:val="32"/>
          <w:szCs w:val="32"/>
        </w:rPr>
      </w:pPr>
      <w:r w:rsidRPr="001D4A2E">
        <w:rPr>
          <w:rFonts w:ascii="微软雅黑" w:eastAsia="微软雅黑" w:hAnsi="微软雅黑" w:cs="宋体"/>
          <w:kern w:val="0"/>
          <w:sz w:val="32"/>
          <w:szCs w:val="32"/>
        </w:rPr>
        <w:t>7.1. </w:t>
      </w:r>
      <w:r w:rsidRPr="001D4A2E">
        <w:rPr>
          <w:rFonts w:ascii="微软雅黑" w:eastAsia="微软雅黑" w:hAnsi="微软雅黑" w:cs="宋体"/>
          <w:i/>
          <w:iCs/>
          <w:kern w:val="0"/>
          <w:sz w:val="32"/>
          <w:szCs w:val="32"/>
        </w:rPr>
        <w:t>ESR1</w:t>
      </w:r>
      <w:r w:rsidRPr="001D4A2E">
        <w:rPr>
          <w:rFonts w:ascii="微软雅黑" w:eastAsia="微软雅黑" w:hAnsi="微软雅黑" w:cs="宋体"/>
          <w:kern w:val="0"/>
          <w:sz w:val="32"/>
          <w:szCs w:val="32"/>
        </w:rPr>
        <w:t>和</w:t>
      </w:r>
      <w:r w:rsidRPr="001D4A2E">
        <w:rPr>
          <w:rFonts w:ascii="微软雅黑" w:eastAsia="微软雅黑" w:hAnsi="微软雅黑" w:cs="宋体"/>
          <w:i/>
          <w:iCs/>
          <w:kern w:val="0"/>
          <w:sz w:val="32"/>
          <w:szCs w:val="32"/>
        </w:rPr>
        <w:t>CYP19A1</w:t>
      </w:r>
      <w:r w:rsidRPr="001D4A2E">
        <w:rPr>
          <w:rFonts w:ascii="微软雅黑" w:eastAsia="微软雅黑" w:hAnsi="微软雅黑" w:cs="宋体"/>
          <w:kern w:val="0"/>
          <w:sz w:val="32"/>
          <w:szCs w:val="32"/>
        </w:rPr>
        <w:t>突变及基因扩增</w:t>
      </w:r>
    </w:p>
    <w:p w14:paraId="0586F0A5"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lastRenderedPageBreak/>
        <w:t>通常情况下，雌激素激活ERα，促进参与细胞增殖的基因转录（</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"B204"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204</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 , </w:t>
      </w:r>
      <w:hyperlink r:id="rId150" w:anchor="B205" w:history="1">
        <w:r w:rsidRPr="001D4A2E">
          <w:rPr>
            <w:rFonts w:ascii="微软雅黑" w:eastAsia="微软雅黑" w:hAnsi="微软雅黑" w:cs="宋体"/>
            <w:kern w:val="0"/>
            <w:sz w:val="24"/>
            <w:szCs w:val="24"/>
            <w:u w:val="single"/>
          </w:rPr>
          <w:t>205</w:t>
        </w:r>
      </w:hyperlink>
      <w:r w:rsidRPr="001D4A2E">
        <w:rPr>
          <w:rFonts w:ascii="微软雅黑" w:eastAsia="微软雅黑" w:hAnsi="微软雅黑" w:cs="宋体"/>
          <w:kern w:val="0"/>
          <w:sz w:val="24"/>
          <w:szCs w:val="24"/>
        </w:rPr>
        <w:t>）。然而，ESR1基因突变可导致ERα组成型激活，从而以不依赖于雌激素的方式驱动细胞增殖（</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"B204"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204</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 , </w:t>
      </w:r>
      <w:hyperlink r:id="rId151" w:anchor="B205" w:history="1">
        <w:r w:rsidRPr="001D4A2E">
          <w:rPr>
            <w:rFonts w:ascii="微软雅黑" w:eastAsia="微软雅黑" w:hAnsi="微软雅黑" w:cs="宋体"/>
            <w:kern w:val="0"/>
            <w:sz w:val="24"/>
            <w:szCs w:val="24"/>
            <w:u w:val="single"/>
          </w:rPr>
          <w:t>205</w:t>
        </w:r>
      </w:hyperlink>
      <w:r w:rsidRPr="001D4A2E">
        <w:rPr>
          <w:rFonts w:ascii="微软雅黑" w:eastAsia="微软雅黑" w:hAnsi="微软雅黑" w:cs="宋体"/>
          <w:kern w:val="0"/>
          <w:sz w:val="24"/>
          <w:szCs w:val="24"/>
        </w:rPr>
        <w:t>）。ESR1基因突变与选择性雌激素受体调节剂（SERMs，例如他</w:t>
      </w:r>
      <w:proofErr w:type="gramStart"/>
      <w:r w:rsidRPr="001D4A2E">
        <w:rPr>
          <w:rFonts w:ascii="微软雅黑" w:eastAsia="微软雅黑" w:hAnsi="微软雅黑" w:cs="宋体"/>
          <w:kern w:val="0"/>
          <w:sz w:val="24"/>
          <w:szCs w:val="24"/>
        </w:rPr>
        <w:t>莫昔芬</w:t>
      </w:r>
      <w:proofErr w:type="gramEnd"/>
      <w:r w:rsidRPr="001D4A2E">
        <w:rPr>
          <w:rFonts w:ascii="微软雅黑" w:eastAsia="微软雅黑" w:hAnsi="微软雅黑" w:cs="宋体"/>
          <w:kern w:val="0"/>
          <w:sz w:val="24"/>
          <w:szCs w:val="24"/>
        </w:rPr>
        <w:t>）和芳香化酶抑制剂（AI）治疗的耐药性相关（ </w:t>
      </w:r>
      <w:hyperlink r:id="rId152" w:anchor="B204" w:history="1">
        <w:r w:rsidRPr="001D4A2E">
          <w:rPr>
            <w:rFonts w:ascii="微软雅黑" w:eastAsia="微软雅黑" w:hAnsi="微软雅黑" w:cs="宋体"/>
            <w:kern w:val="0"/>
            <w:sz w:val="24"/>
            <w:szCs w:val="24"/>
            <w:u w:val="single"/>
          </w:rPr>
          <w:t>204</w:t>
        </w:r>
      </w:hyperlink>
      <w:r w:rsidRPr="001D4A2E">
        <w:rPr>
          <w:rFonts w:ascii="微软雅黑" w:eastAsia="微软雅黑" w:hAnsi="微软雅黑" w:cs="宋体"/>
          <w:kern w:val="0"/>
          <w:sz w:val="24"/>
          <w:szCs w:val="24"/>
        </w:rPr>
        <w:t>）。例如，K303R突变（第303位氨基酸残基由赖氨酸突变为精氨酸）导致ERα表达，进而产生阿那曲</w:t>
      </w:r>
      <w:proofErr w:type="gramStart"/>
      <w:r w:rsidRPr="001D4A2E">
        <w:rPr>
          <w:rFonts w:ascii="微软雅黑" w:eastAsia="微软雅黑" w:hAnsi="微软雅黑" w:cs="宋体"/>
          <w:kern w:val="0"/>
          <w:sz w:val="24"/>
          <w:szCs w:val="24"/>
        </w:rPr>
        <w:t>唑</w:t>
      </w:r>
      <w:proofErr w:type="gramEnd"/>
      <w:r w:rsidRPr="001D4A2E">
        <w:rPr>
          <w:rFonts w:ascii="微软雅黑" w:eastAsia="微软雅黑" w:hAnsi="微软雅黑" w:cs="宋体"/>
          <w:kern w:val="0"/>
          <w:sz w:val="24"/>
          <w:szCs w:val="24"/>
        </w:rPr>
        <w:t>耐药性（</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"B206"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206</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）。这种突变型ER对雌二醇（E2）高度敏感，低浓度的雌激素即可激活ER信号通路，进而促进细胞增殖，绕过芳香化酶抑制剂的作用，最终导致耐药性。这种突变型ER是由</w:t>
      </w:r>
      <w:r w:rsidRPr="001D4A2E">
        <w:rPr>
          <w:rFonts w:ascii="微软雅黑" w:eastAsia="微软雅黑" w:hAnsi="微软雅黑" w:cs="宋体"/>
          <w:i/>
          <w:iCs/>
          <w:kern w:val="0"/>
          <w:sz w:val="24"/>
          <w:szCs w:val="24"/>
        </w:rPr>
        <w:t>ESR1基因</w:t>
      </w:r>
      <w:r w:rsidRPr="001D4A2E">
        <w:rPr>
          <w:rFonts w:ascii="微软雅黑" w:eastAsia="微软雅黑" w:hAnsi="微软雅黑" w:cs="宋体"/>
          <w:kern w:val="0"/>
          <w:sz w:val="24"/>
          <w:szCs w:val="24"/>
        </w:rPr>
        <w:t>第908位核苷酸（A908G）的常见体细胞突变引起的，该突变在乳腺癌前病变和浸润性乳腺癌中均可检测到（</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"B207"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207</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 , </w:t>
      </w:r>
      <w:hyperlink r:id="rId153" w:anchor="B208" w:history="1">
        <w:r w:rsidRPr="001D4A2E">
          <w:rPr>
            <w:rFonts w:ascii="微软雅黑" w:eastAsia="微软雅黑" w:hAnsi="微软雅黑" w:cs="宋体"/>
            <w:kern w:val="0"/>
            <w:sz w:val="24"/>
            <w:szCs w:val="24"/>
            <w:u w:val="single"/>
          </w:rPr>
          <w:t>208</w:t>
        </w:r>
      </w:hyperlink>
      <w:r w:rsidRPr="001D4A2E">
        <w:rPr>
          <w:rFonts w:ascii="微软雅黑" w:eastAsia="微软雅黑" w:hAnsi="微软雅黑" w:cs="宋体"/>
          <w:kern w:val="0"/>
          <w:sz w:val="24"/>
          <w:szCs w:val="24"/>
        </w:rPr>
        <w:t>）。突变导致突变型受体与磷脂酰肌醇-3-激酶（PI3K）的p85亚基结合增强，并引发组成型AKT激活。因此，抑制PI3K/Akt通路被认为是一种治疗携带K303R突变型ER的激素抵抗性乳腺癌的有效策略（</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"B206"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206 ）。最近的一篇综述重点介绍了在转移性ER</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vertAlign w:val="superscript"/>
        </w:rPr>
        <w:t>阳性</w:t>
      </w:r>
      <w:r w:rsidRPr="001D4A2E">
        <w:rPr>
          <w:rFonts w:ascii="微软雅黑" w:eastAsia="微软雅黑" w:hAnsi="微软雅黑" w:cs="宋体"/>
          <w:kern w:val="0"/>
          <w:sz w:val="24"/>
          <w:szCs w:val="24"/>
        </w:rPr>
        <w:t>乳腺癌中，芳香化酶抑制剂治疗期间发生的配体非依赖性突变（ </w:t>
      </w:r>
      <w:hyperlink r:id="rId154" w:anchor="B209" w:history="1">
        <w:r w:rsidRPr="001D4A2E">
          <w:rPr>
            <w:rFonts w:ascii="微软雅黑" w:eastAsia="微软雅黑" w:hAnsi="微软雅黑" w:cs="宋体"/>
            <w:kern w:val="0"/>
            <w:sz w:val="24"/>
            <w:szCs w:val="24"/>
            <w:u w:val="single"/>
          </w:rPr>
          <w:t>209</w:t>
        </w:r>
      </w:hyperlink>
      <w:r w:rsidRPr="001D4A2E">
        <w:rPr>
          <w:rFonts w:ascii="微软雅黑" w:eastAsia="微软雅黑" w:hAnsi="微软雅黑" w:cs="宋体"/>
          <w:kern w:val="0"/>
          <w:sz w:val="24"/>
          <w:szCs w:val="24"/>
        </w:rPr>
        <w:t>）。利用患者液体活检的灵敏检测方法已被用于追踪肿瘤进展过程中</w:t>
      </w:r>
      <w:r w:rsidRPr="001D4A2E">
        <w:rPr>
          <w:rFonts w:ascii="微软雅黑" w:eastAsia="微软雅黑" w:hAnsi="微软雅黑" w:cs="宋体"/>
          <w:i/>
          <w:iCs/>
          <w:kern w:val="0"/>
          <w:sz w:val="24"/>
          <w:szCs w:val="24"/>
        </w:rPr>
        <w:t>ESR1</w:t>
      </w:r>
      <w:r w:rsidRPr="001D4A2E">
        <w:rPr>
          <w:rFonts w:ascii="微软雅黑" w:eastAsia="微软雅黑" w:hAnsi="微软雅黑" w:cs="宋体"/>
          <w:kern w:val="0"/>
          <w:sz w:val="24"/>
          <w:szCs w:val="24"/>
        </w:rPr>
        <w:t>体细胞突变，这种方法（突变追踪）有望用于指导患者的序</w:t>
      </w:r>
      <w:proofErr w:type="gramStart"/>
      <w:r w:rsidRPr="001D4A2E">
        <w:rPr>
          <w:rFonts w:ascii="微软雅黑" w:eastAsia="微软雅黑" w:hAnsi="微软雅黑" w:cs="宋体"/>
          <w:kern w:val="0"/>
          <w:sz w:val="24"/>
          <w:szCs w:val="24"/>
        </w:rPr>
        <w:t>贯治疗</w:t>
      </w:r>
      <w:proofErr w:type="gramEnd"/>
      <w:r w:rsidRPr="001D4A2E">
        <w:rPr>
          <w:rFonts w:ascii="微软雅黑" w:eastAsia="微软雅黑" w:hAnsi="微软雅黑" w:cs="宋体"/>
          <w:kern w:val="0"/>
          <w:sz w:val="24"/>
          <w:szCs w:val="24"/>
        </w:rPr>
        <w:t>方案，尤其是在应用于循环肿瘤 DNA 的情况下 ( </w:t>
      </w:r>
      <w:hyperlink r:id="rId155" w:anchor="B209" w:history="1">
        <w:r w:rsidRPr="001D4A2E">
          <w:rPr>
            <w:rFonts w:ascii="微软雅黑" w:eastAsia="微软雅黑" w:hAnsi="微软雅黑" w:cs="宋体"/>
            <w:kern w:val="0"/>
            <w:sz w:val="24"/>
            <w:szCs w:val="24"/>
            <w:u w:val="single"/>
          </w:rPr>
          <w:t>209</w:t>
        </w:r>
      </w:hyperlink>
      <w:r w:rsidRPr="001D4A2E">
        <w:rPr>
          <w:rFonts w:ascii="微软雅黑" w:eastAsia="微软雅黑" w:hAnsi="微软雅黑" w:cs="宋体"/>
          <w:kern w:val="0"/>
          <w:sz w:val="24"/>
          <w:szCs w:val="24"/>
        </w:rPr>
        <w:t> )。随着测序方法的改进（例如深度测序和液滴数字 PCR）， ER 配体结合域内的</w:t>
      </w:r>
      <w:r w:rsidRPr="001D4A2E">
        <w:rPr>
          <w:rFonts w:ascii="微软雅黑" w:eastAsia="微软雅黑" w:hAnsi="微软雅黑" w:cs="宋体"/>
          <w:i/>
          <w:iCs/>
          <w:kern w:val="0"/>
          <w:sz w:val="24"/>
          <w:szCs w:val="24"/>
        </w:rPr>
        <w:t>ESR1</w:t>
      </w:r>
      <w:r w:rsidRPr="001D4A2E">
        <w:rPr>
          <w:rFonts w:ascii="微软雅黑" w:eastAsia="微软雅黑" w:hAnsi="微软雅黑" w:cs="宋体"/>
          <w:kern w:val="0"/>
          <w:sz w:val="24"/>
          <w:szCs w:val="24"/>
        </w:rPr>
        <w:t>突变热点区域已被确定 ( </w:t>
      </w:r>
      <w:hyperlink r:id="rId156" w:anchor="B210" w:history="1">
        <w:r w:rsidRPr="001D4A2E">
          <w:rPr>
            <w:rFonts w:ascii="微软雅黑" w:eastAsia="微软雅黑" w:hAnsi="微软雅黑" w:cs="宋体"/>
            <w:kern w:val="0"/>
            <w:sz w:val="24"/>
            <w:szCs w:val="24"/>
            <w:u w:val="single"/>
          </w:rPr>
          <w:t>210</w:t>
        </w:r>
      </w:hyperlink>
      <w:r w:rsidRPr="001D4A2E">
        <w:rPr>
          <w:rFonts w:ascii="微软雅黑" w:eastAsia="微软雅黑" w:hAnsi="微软雅黑" w:cs="宋体"/>
          <w:kern w:val="0"/>
          <w:sz w:val="24"/>
          <w:szCs w:val="24"/>
        </w:rPr>
        <w:t> , </w:t>
      </w:r>
      <w:hyperlink r:id="rId157" w:anchor="B211" w:history="1">
        <w:r w:rsidRPr="001D4A2E">
          <w:rPr>
            <w:rFonts w:ascii="微软雅黑" w:eastAsia="微软雅黑" w:hAnsi="微软雅黑" w:cs="宋体"/>
            <w:kern w:val="0"/>
            <w:sz w:val="24"/>
            <w:szCs w:val="24"/>
            <w:u w:val="single"/>
          </w:rPr>
          <w:t>211</w:t>
        </w:r>
      </w:hyperlink>
      <w:r w:rsidRPr="001D4A2E">
        <w:rPr>
          <w:rFonts w:ascii="微软雅黑" w:eastAsia="微软雅黑" w:hAnsi="微软雅黑" w:cs="宋体"/>
          <w:kern w:val="0"/>
          <w:sz w:val="24"/>
          <w:szCs w:val="24"/>
        </w:rPr>
        <w:t> )。现有数据不仅在原发性乳腺肿瘤的 ER 中发现了突变，还表明</w:t>
      </w:r>
      <w:r w:rsidRPr="001D4A2E">
        <w:rPr>
          <w:rFonts w:ascii="微软雅黑" w:eastAsia="微软雅黑" w:hAnsi="微软雅黑" w:cs="宋体"/>
          <w:i/>
          <w:iCs/>
          <w:kern w:val="0"/>
          <w:sz w:val="24"/>
          <w:szCs w:val="24"/>
        </w:rPr>
        <w:t>ESR1</w:t>
      </w:r>
      <w:r w:rsidRPr="001D4A2E">
        <w:rPr>
          <w:rFonts w:ascii="微软雅黑" w:eastAsia="微软雅黑" w:hAnsi="微软雅黑" w:cs="宋体"/>
          <w:kern w:val="0"/>
          <w:sz w:val="24"/>
          <w:szCs w:val="24"/>
        </w:rPr>
        <w:t>突变 ( </w:t>
      </w:r>
      <w:hyperlink r:id="rId158" w:anchor="B212" w:history="1">
        <w:r w:rsidRPr="001D4A2E">
          <w:rPr>
            <w:rFonts w:ascii="微软雅黑" w:eastAsia="微软雅黑" w:hAnsi="微软雅黑" w:cs="宋体"/>
            <w:kern w:val="0"/>
            <w:sz w:val="24"/>
            <w:szCs w:val="24"/>
            <w:u w:val="single"/>
          </w:rPr>
          <w:t>212</w:t>
        </w:r>
      </w:hyperlink>
      <w:r w:rsidRPr="001D4A2E">
        <w:rPr>
          <w:rFonts w:ascii="微软雅黑" w:eastAsia="微软雅黑" w:hAnsi="微软雅黑" w:cs="宋体"/>
          <w:kern w:val="0"/>
          <w:sz w:val="24"/>
          <w:szCs w:val="24"/>
        </w:rPr>
        <w:t> ) 可发生于转移性乳腺癌细胞中，而与原发肿瘤中是否存在 ESR1 突变无关。治疗后，20% 的患者在接受 AI 治疗 10 年内复发 ( </w:t>
      </w:r>
      <w:hyperlink r:id="rId159" w:anchor="B204" w:history="1">
        <w:r w:rsidRPr="001D4A2E">
          <w:rPr>
            <w:rFonts w:ascii="微软雅黑" w:eastAsia="微软雅黑" w:hAnsi="微软雅黑" w:cs="宋体"/>
            <w:kern w:val="0"/>
            <w:sz w:val="24"/>
            <w:szCs w:val="24"/>
            <w:u w:val="single"/>
          </w:rPr>
          <w:t>204</w:t>
        </w:r>
      </w:hyperlink>
      <w:r w:rsidRPr="001D4A2E">
        <w:rPr>
          <w:rFonts w:ascii="微软雅黑" w:eastAsia="微软雅黑" w:hAnsi="微软雅黑" w:cs="宋体"/>
          <w:kern w:val="0"/>
          <w:sz w:val="24"/>
          <w:szCs w:val="24"/>
        </w:rPr>
        <w:t> , </w:t>
      </w:r>
      <w:hyperlink r:id="rId160" w:anchor="B213" w:history="1">
        <w:r w:rsidRPr="001D4A2E">
          <w:rPr>
            <w:rFonts w:ascii="微软雅黑" w:eastAsia="微软雅黑" w:hAnsi="微软雅黑" w:cs="宋体"/>
            <w:kern w:val="0"/>
            <w:sz w:val="24"/>
            <w:szCs w:val="24"/>
            <w:u w:val="single"/>
          </w:rPr>
          <w:t>213</w:t>
        </w:r>
      </w:hyperlink>
      <w:r w:rsidRPr="001D4A2E">
        <w:rPr>
          <w:rFonts w:ascii="微软雅黑" w:eastAsia="微软雅黑" w:hAnsi="微软雅黑" w:cs="宋体"/>
          <w:kern w:val="0"/>
          <w:sz w:val="24"/>
          <w:szCs w:val="24"/>
        </w:rPr>
        <w:t> , </w:t>
      </w:r>
      <w:hyperlink r:id="rId161" w:anchor="B214" w:history="1">
        <w:r w:rsidRPr="001D4A2E">
          <w:rPr>
            <w:rFonts w:ascii="微软雅黑" w:eastAsia="微软雅黑" w:hAnsi="微软雅黑" w:cs="宋体"/>
            <w:kern w:val="0"/>
            <w:sz w:val="24"/>
            <w:szCs w:val="24"/>
            <w:u w:val="single"/>
          </w:rPr>
          <w:t>214</w:t>
        </w:r>
      </w:hyperlink>
      <w:r w:rsidRPr="001D4A2E">
        <w:rPr>
          <w:rFonts w:ascii="微软雅黑" w:eastAsia="微软雅黑" w:hAnsi="微软雅黑" w:cs="宋体"/>
          <w:kern w:val="0"/>
          <w:sz w:val="24"/>
          <w:szCs w:val="24"/>
        </w:rPr>
        <w:t> )。这凸显了理解和解决 AI 耐药分子机制对于改善患者预后的重要性。</w:t>
      </w:r>
    </w:p>
    <w:p w14:paraId="24CAA031"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i/>
          <w:iCs/>
          <w:kern w:val="0"/>
          <w:sz w:val="24"/>
          <w:szCs w:val="24"/>
        </w:rPr>
        <w:lastRenderedPageBreak/>
        <w:t>编码芳香化酶的CYP19A1</w:t>
      </w:r>
      <w:r w:rsidRPr="001D4A2E">
        <w:rPr>
          <w:rFonts w:ascii="微软雅黑" w:eastAsia="微软雅黑" w:hAnsi="微软雅黑" w:cs="宋体"/>
          <w:kern w:val="0"/>
          <w:sz w:val="24"/>
          <w:szCs w:val="24"/>
        </w:rPr>
        <w:t>基因在乳腺癌细胞中也可能发生突变（</w:t>
      </w:r>
      <w:hyperlink r:id="rId162" w:anchor="B213" w:history="1">
        <w:r w:rsidRPr="001D4A2E">
          <w:rPr>
            <w:rFonts w:ascii="微软雅黑" w:eastAsia="微软雅黑" w:hAnsi="微软雅黑" w:cs="宋体"/>
            <w:kern w:val="0"/>
            <w:sz w:val="24"/>
            <w:szCs w:val="24"/>
            <w:u w:val="single"/>
          </w:rPr>
          <w:t>213</w:t>
        </w:r>
      </w:hyperlink>
      <w:r w:rsidRPr="001D4A2E">
        <w:rPr>
          <w:rFonts w:ascii="微软雅黑" w:eastAsia="微软雅黑" w:hAnsi="微软雅黑" w:cs="宋体"/>
          <w:kern w:val="0"/>
          <w:sz w:val="24"/>
          <w:szCs w:val="24"/>
        </w:rPr>
        <w:t>）。此外，</w:t>
      </w:r>
      <w:r w:rsidRPr="001D4A2E">
        <w:rPr>
          <w:rFonts w:ascii="微软雅黑" w:eastAsia="微软雅黑" w:hAnsi="微软雅黑" w:cs="宋体"/>
          <w:i/>
          <w:iCs/>
          <w:kern w:val="0"/>
          <w:sz w:val="24"/>
          <w:szCs w:val="24"/>
        </w:rPr>
        <w:t>体外和患者体内均有CYP19A1</w:t>
      </w:r>
      <w:r w:rsidRPr="001D4A2E">
        <w:rPr>
          <w:rFonts w:ascii="微软雅黑" w:eastAsia="微软雅黑" w:hAnsi="微软雅黑" w:cs="宋体"/>
          <w:kern w:val="0"/>
          <w:sz w:val="24"/>
          <w:szCs w:val="24"/>
        </w:rPr>
        <w:t>基因扩增的报道，这导致约21.5%接受可逆性芳香化酶抑制剂来曲</w:t>
      </w:r>
      <w:proofErr w:type="gramStart"/>
      <w:r w:rsidRPr="001D4A2E">
        <w:rPr>
          <w:rFonts w:ascii="微软雅黑" w:eastAsia="微软雅黑" w:hAnsi="微软雅黑" w:cs="宋体"/>
          <w:kern w:val="0"/>
          <w:sz w:val="24"/>
          <w:szCs w:val="24"/>
        </w:rPr>
        <w:t>唑</w:t>
      </w:r>
      <w:proofErr w:type="gramEnd"/>
      <w:r w:rsidRPr="001D4A2E">
        <w:rPr>
          <w:rFonts w:ascii="微软雅黑" w:eastAsia="微软雅黑" w:hAnsi="微软雅黑" w:cs="宋体"/>
          <w:kern w:val="0"/>
          <w:sz w:val="24"/>
          <w:szCs w:val="24"/>
        </w:rPr>
        <w:t>或阿那曲</w:t>
      </w:r>
      <w:proofErr w:type="gramStart"/>
      <w:r w:rsidRPr="001D4A2E">
        <w:rPr>
          <w:rFonts w:ascii="微软雅黑" w:eastAsia="微软雅黑" w:hAnsi="微软雅黑" w:cs="宋体"/>
          <w:kern w:val="0"/>
          <w:sz w:val="24"/>
          <w:szCs w:val="24"/>
        </w:rPr>
        <w:t>唑</w:t>
      </w:r>
      <w:proofErr w:type="gramEnd"/>
      <w:r w:rsidRPr="001D4A2E">
        <w:rPr>
          <w:rFonts w:ascii="微软雅黑" w:eastAsia="微软雅黑" w:hAnsi="微软雅黑" w:cs="宋体"/>
          <w:kern w:val="0"/>
          <w:sz w:val="24"/>
          <w:szCs w:val="24"/>
        </w:rPr>
        <w:t>治疗的患者出现复发（</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"B213"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213</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）。CYP19A1扩增导致</w:t>
      </w:r>
      <w:r w:rsidRPr="001D4A2E">
        <w:rPr>
          <w:rFonts w:ascii="微软雅黑" w:eastAsia="微软雅黑" w:hAnsi="微软雅黑" w:cs="宋体"/>
          <w:i/>
          <w:iCs/>
          <w:kern w:val="0"/>
          <w:sz w:val="24"/>
          <w:szCs w:val="24"/>
        </w:rPr>
        <w:t>芳香</w:t>
      </w:r>
      <w:r w:rsidRPr="001D4A2E">
        <w:rPr>
          <w:rFonts w:ascii="微软雅黑" w:eastAsia="微软雅黑" w:hAnsi="微软雅黑" w:cs="宋体"/>
          <w:kern w:val="0"/>
          <w:sz w:val="24"/>
          <w:szCs w:val="24"/>
        </w:rPr>
        <w:t>化酶上调，雌激素水平升高，进而上调配体非依赖性ERα活性，并赋予对芳香化酶抑制剂的耐药性（</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"B37"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37</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 , </w:t>
      </w:r>
      <w:hyperlink r:id="rId163" w:anchor="B213" w:history="1">
        <w:r w:rsidRPr="001D4A2E">
          <w:rPr>
            <w:rFonts w:ascii="微软雅黑" w:eastAsia="微软雅黑" w:hAnsi="微软雅黑" w:cs="宋体"/>
            <w:kern w:val="0"/>
            <w:sz w:val="24"/>
            <w:szCs w:val="24"/>
            <w:u w:val="single"/>
          </w:rPr>
          <w:t>213</w:t>
        </w:r>
      </w:hyperlink>
      <w:r w:rsidRPr="001D4A2E">
        <w:rPr>
          <w:rFonts w:ascii="微软雅黑" w:eastAsia="微软雅黑" w:hAnsi="微软雅黑" w:cs="宋体"/>
          <w:kern w:val="0"/>
          <w:sz w:val="24"/>
          <w:szCs w:val="24"/>
        </w:rPr>
        <w:t>）。此外，在接受芳香化酶抑制剂（AI）治疗的患者中， </w:t>
      </w:r>
      <w:r w:rsidRPr="001D4A2E">
        <w:rPr>
          <w:rFonts w:ascii="微软雅黑" w:eastAsia="微软雅黑" w:hAnsi="微软雅黑" w:cs="宋体"/>
          <w:i/>
          <w:iCs/>
          <w:kern w:val="0"/>
          <w:sz w:val="24"/>
          <w:szCs w:val="24"/>
        </w:rPr>
        <w:t>ESR1</w:t>
      </w:r>
      <w:r w:rsidRPr="001D4A2E">
        <w:rPr>
          <w:rFonts w:ascii="微软雅黑" w:eastAsia="微软雅黑" w:hAnsi="微软雅黑" w:cs="宋体"/>
          <w:kern w:val="0"/>
          <w:sz w:val="24"/>
          <w:szCs w:val="24"/>
        </w:rPr>
        <w:t>和CYP19A1似乎存在协同扩增，因为研究发现，32.5%的AI治疗患者存在</w:t>
      </w:r>
      <w:r w:rsidRPr="001D4A2E">
        <w:rPr>
          <w:rFonts w:ascii="微软雅黑" w:eastAsia="微软雅黑" w:hAnsi="微软雅黑" w:cs="宋体"/>
          <w:i/>
          <w:iCs/>
          <w:kern w:val="0"/>
          <w:sz w:val="24"/>
          <w:szCs w:val="24"/>
        </w:rPr>
        <w:t>CYP19A1</w:t>
      </w:r>
      <w:r w:rsidRPr="001D4A2E">
        <w:rPr>
          <w:rFonts w:ascii="微软雅黑" w:eastAsia="微软雅黑" w:hAnsi="微软雅黑" w:cs="宋体"/>
          <w:kern w:val="0"/>
          <w:sz w:val="24"/>
          <w:szCs w:val="24"/>
        </w:rPr>
        <w:t>扩增，21.5%存在</w:t>
      </w:r>
      <w:r w:rsidRPr="001D4A2E">
        <w:rPr>
          <w:rFonts w:ascii="微软雅黑" w:eastAsia="微软雅黑" w:hAnsi="微软雅黑" w:cs="宋体"/>
          <w:i/>
          <w:iCs/>
          <w:kern w:val="0"/>
          <w:sz w:val="24"/>
          <w:szCs w:val="24"/>
        </w:rPr>
        <w:t>ESR1扩增，并且约66%的CYP19A1</w:t>
      </w:r>
      <w:r w:rsidRPr="001D4A2E">
        <w:rPr>
          <w:rFonts w:ascii="微软雅黑" w:eastAsia="微软雅黑" w:hAnsi="微软雅黑" w:cs="宋体"/>
          <w:kern w:val="0"/>
          <w:sz w:val="24"/>
          <w:szCs w:val="24"/>
        </w:rPr>
        <w:t>扩增的乳腺癌也表现出</w:t>
      </w:r>
      <w:r w:rsidRPr="001D4A2E">
        <w:rPr>
          <w:rFonts w:ascii="微软雅黑" w:eastAsia="微软雅黑" w:hAnsi="微软雅黑" w:cs="宋体"/>
          <w:i/>
          <w:iCs/>
          <w:kern w:val="0"/>
          <w:sz w:val="24"/>
          <w:szCs w:val="24"/>
        </w:rPr>
        <w:t>ESR1</w:t>
      </w:r>
      <w:r w:rsidRPr="001D4A2E">
        <w:rPr>
          <w:rFonts w:ascii="微软雅黑" w:eastAsia="微软雅黑" w:hAnsi="微软雅黑" w:cs="宋体"/>
          <w:kern w:val="0"/>
          <w:sz w:val="24"/>
          <w:szCs w:val="24"/>
        </w:rPr>
        <w:t>共扩增（</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"B213"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213</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）。这些拷贝数变异在未接受过治疗的乳腺癌细胞中未发现，并且似乎是可逆性AI治疗（</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"B213"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213</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）（来曲</w:t>
      </w:r>
      <w:proofErr w:type="gramStart"/>
      <w:r w:rsidRPr="001D4A2E">
        <w:rPr>
          <w:rFonts w:ascii="微软雅黑" w:eastAsia="微软雅黑" w:hAnsi="微软雅黑" w:cs="宋体"/>
          <w:kern w:val="0"/>
          <w:sz w:val="24"/>
          <w:szCs w:val="24"/>
        </w:rPr>
        <w:t>唑</w:t>
      </w:r>
      <w:proofErr w:type="gramEnd"/>
      <w:r w:rsidRPr="001D4A2E">
        <w:rPr>
          <w:rFonts w:ascii="微软雅黑" w:eastAsia="微软雅黑" w:hAnsi="微软雅黑" w:cs="宋体"/>
          <w:kern w:val="0"/>
          <w:sz w:val="24"/>
          <w:szCs w:val="24"/>
        </w:rPr>
        <w:t>和阿那曲</w:t>
      </w:r>
      <w:proofErr w:type="gramStart"/>
      <w:r w:rsidRPr="001D4A2E">
        <w:rPr>
          <w:rFonts w:ascii="微软雅黑" w:eastAsia="微软雅黑" w:hAnsi="微软雅黑" w:cs="宋体"/>
          <w:kern w:val="0"/>
          <w:sz w:val="24"/>
          <w:szCs w:val="24"/>
        </w:rPr>
        <w:t>唑</w:t>
      </w:r>
      <w:proofErr w:type="gramEnd"/>
      <w:r w:rsidRPr="001D4A2E">
        <w:rPr>
          <w:rFonts w:ascii="微软雅黑" w:eastAsia="微软雅黑" w:hAnsi="微软雅黑" w:cs="宋体"/>
          <w:kern w:val="0"/>
          <w:sz w:val="24"/>
          <w:szCs w:val="24"/>
        </w:rPr>
        <w:t>）特有的，而依西美坦治疗则未发现这些变异。</w:t>
      </w:r>
    </w:p>
    <w:p w14:paraId="0C703EC3" w14:textId="77777777" w:rsidR="001D4A2E" w:rsidRPr="001D4A2E" w:rsidRDefault="001D4A2E" w:rsidP="001D4A2E">
      <w:pPr>
        <w:widowControl/>
        <w:spacing w:line="450" w:lineRule="atLeast"/>
        <w:outlineLvl w:val="2"/>
        <w:rPr>
          <w:rFonts w:ascii="微软雅黑" w:eastAsia="微软雅黑" w:hAnsi="微软雅黑" w:cs="宋体"/>
          <w:kern w:val="0"/>
          <w:sz w:val="32"/>
          <w:szCs w:val="32"/>
        </w:rPr>
      </w:pPr>
      <w:r w:rsidRPr="001D4A2E">
        <w:rPr>
          <w:rFonts w:ascii="微软雅黑" w:eastAsia="微软雅黑" w:hAnsi="微软雅黑" w:cs="宋体"/>
          <w:kern w:val="0"/>
          <w:sz w:val="32"/>
          <w:szCs w:val="32"/>
        </w:rPr>
        <w:t>7.2.芳香化酶和ERα与生长信号通路之间的相互作用</w:t>
      </w:r>
    </w:p>
    <w:p w14:paraId="492472D7"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t>除了基因异常外，雌激素受体（ER）还可以通过上调的质膜与生长因子通路（例如表皮生长因子受体（EGFR）、表皮生长因子受体（EGR）、表皮生长因子受体2（HER2）、胰岛素样生长因子1（IGF-1）和成纤维细胞生长因子受体（FGFR））的串扰而被激活。这些生长因子通路发生磷酸化和二聚化，并触发PI3K/Akt的胞内调节亚基p85（</w:t>
      </w:r>
      <w:hyperlink r:id="rId164" w:anchor="B204" w:history="1">
        <w:r w:rsidRPr="001D4A2E">
          <w:rPr>
            <w:rFonts w:ascii="微软雅黑" w:eastAsia="微软雅黑" w:hAnsi="微软雅黑" w:cs="宋体"/>
            <w:kern w:val="0"/>
            <w:sz w:val="24"/>
            <w:szCs w:val="24"/>
            <w:u w:val="single"/>
          </w:rPr>
          <w:t>204</w:t>
        </w:r>
      </w:hyperlink>
      <w:r w:rsidRPr="001D4A2E">
        <w:rPr>
          <w:rFonts w:ascii="微软雅黑" w:eastAsia="微软雅黑" w:hAnsi="微软雅黑" w:cs="宋体"/>
          <w:kern w:val="0"/>
          <w:sz w:val="24"/>
          <w:szCs w:val="24"/>
        </w:rPr>
        <w:t>）。研究发现，PI3K/Akt/mTOR通路的组成型激活不仅能增加乳腺细胞的增殖和存活，还能</w:t>
      </w:r>
      <w:r w:rsidRPr="001D4A2E">
        <w:rPr>
          <w:rFonts w:ascii="微软雅黑" w:eastAsia="微软雅黑" w:hAnsi="微软雅黑" w:cs="宋体"/>
          <w:i/>
          <w:iCs/>
          <w:kern w:val="0"/>
          <w:sz w:val="24"/>
          <w:szCs w:val="24"/>
        </w:rPr>
        <w:t>在体外诱导对芳香化酶抑制剂（AI）的耐药性，特别是对阿那曲</w:t>
      </w:r>
      <w:proofErr w:type="gramStart"/>
      <w:r w:rsidRPr="001D4A2E">
        <w:rPr>
          <w:rFonts w:ascii="微软雅黑" w:eastAsia="微软雅黑" w:hAnsi="微软雅黑" w:cs="宋体"/>
          <w:i/>
          <w:iCs/>
          <w:kern w:val="0"/>
          <w:sz w:val="24"/>
          <w:szCs w:val="24"/>
        </w:rPr>
        <w:t>唑</w:t>
      </w:r>
      <w:proofErr w:type="gramEnd"/>
      <w:r w:rsidRPr="001D4A2E">
        <w:rPr>
          <w:rFonts w:ascii="微软雅黑" w:eastAsia="微软雅黑" w:hAnsi="微软雅黑" w:cs="宋体"/>
          <w:i/>
          <w:iCs/>
          <w:kern w:val="0"/>
          <w:sz w:val="24"/>
          <w:szCs w:val="24"/>
        </w:rPr>
        <w:t>和来</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"B206"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曲</w:t>
      </w:r>
      <w:proofErr w:type="gramStart"/>
      <w:r w:rsidRPr="001D4A2E">
        <w:rPr>
          <w:rFonts w:ascii="微软雅黑" w:eastAsia="微软雅黑" w:hAnsi="微软雅黑" w:cs="宋体"/>
          <w:kern w:val="0"/>
          <w:sz w:val="24"/>
          <w:szCs w:val="24"/>
          <w:u w:val="single"/>
        </w:rPr>
        <w:t>唑</w:t>
      </w:r>
      <w:proofErr w:type="gramEnd"/>
      <w:r w:rsidRPr="001D4A2E">
        <w:rPr>
          <w:rFonts w:ascii="微软雅黑" w:eastAsia="微软雅黑" w:hAnsi="微软雅黑" w:cs="宋体"/>
          <w:kern w:val="0"/>
          <w:sz w:val="24"/>
          <w:szCs w:val="24"/>
          <w:u w:val="single"/>
        </w:rPr>
        <w:t>的耐药性（204-206 </w:t>
      </w:r>
      <w:r w:rsidRPr="001D4A2E">
        <w:rPr>
          <w:rFonts w:ascii="微软雅黑" w:eastAsia="微软雅黑" w:hAnsi="微软雅黑" w:cs="宋体"/>
          <w:kern w:val="0"/>
          <w:sz w:val="24"/>
          <w:szCs w:val="24"/>
        </w:rPr>
        <w:fldChar w:fldCharType="end"/>
      </w:r>
      <w:hyperlink r:id="rId165" w:anchor="B206" w:history="1">
        <w:r w:rsidRPr="001D4A2E">
          <w:rPr>
            <w:rFonts w:ascii="微软雅黑" w:eastAsia="微软雅黑" w:hAnsi="微软雅黑" w:cs="宋体"/>
            <w:kern w:val="0"/>
            <w:sz w:val="24"/>
            <w:szCs w:val="24"/>
            <w:u w:val="single"/>
          </w:rPr>
          <w:t>）</w:t>
        </w:r>
      </w:hyperlink>
      <w:r w:rsidRPr="001D4A2E">
        <w:rPr>
          <w:rFonts w:ascii="微软雅黑" w:eastAsia="微软雅黑" w:hAnsi="微软雅黑" w:cs="宋体"/>
          <w:kern w:val="0"/>
          <w:sz w:val="24"/>
          <w:szCs w:val="24"/>
        </w:rPr>
        <w:t>。</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"B204"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因此</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，目前已开发出多种抑制剂，用于靶向该信号通路的不同组分，旨在恢复对芳香化酶抑制剂耐药的乳腺癌细胞的抗雌激素敏感性（1 </w:t>
      </w:r>
      <w:hyperlink r:id="rId166" w:anchor="B1" w:history="1">
        <w:r w:rsidRPr="001D4A2E">
          <w:rPr>
            <w:rFonts w:ascii="微软雅黑" w:eastAsia="微软雅黑" w:hAnsi="微软雅黑" w:cs="宋体"/>
            <w:kern w:val="0"/>
            <w:sz w:val="24"/>
            <w:szCs w:val="24"/>
            <w:u w:val="single"/>
          </w:rPr>
          <w:t>,</w:t>
        </w:r>
      </w:hyperlink>
      <w:r w:rsidRPr="001D4A2E">
        <w:rPr>
          <w:rFonts w:ascii="微软雅黑" w:eastAsia="微软雅黑" w:hAnsi="微软雅黑" w:cs="宋体"/>
          <w:kern w:val="0"/>
          <w:sz w:val="24"/>
          <w:szCs w:val="24"/>
        </w:rPr>
        <w:t> 204-206 </w:t>
      </w:r>
      <w:hyperlink r:id="rId167" w:anchor="B204" w:history="1">
        <w:r w:rsidRPr="001D4A2E">
          <w:rPr>
            <w:rFonts w:ascii="微软雅黑" w:eastAsia="微软雅黑" w:hAnsi="微软雅黑" w:cs="宋体"/>
            <w:kern w:val="0"/>
            <w:sz w:val="24"/>
            <w:szCs w:val="24"/>
            <w:u w:val="single"/>
          </w:rPr>
          <w:t>）</w:t>
        </w:r>
      </w:hyperlink>
      <w:r w:rsidRPr="001D4A2E">
        <w:rPr>
          <w:rFonts w:ascii="微软雅黑" w:eastAsia="微软雅黑" w:hAnsi="微软雅黑" w:cs="宋体"/>
          <w:kern w:val="0"/>
          <w:sz w:val="24"/>
          <w:szCs w:val="24"/>
        </w:rPr>
        <w:t>。例如，mTOR 抑制剂依维莫</w:t>
      </w:r>
      <w:r w:rsidRPr="001D4A2E">
        <w:rPr>
          <w:rFonts w:ascii="微软雅黑" w:eastAsia="微软雅黑" w:hAnsi="微软雅黑" w:cs="宋体"/>
          <w:kern w:val="0"/>
          <w:sz w:val="24"/>
          <w:szCs w:val="24"/>
        </w:rPr>
        <w:lastRenderedPageBreak/>
        <w:t>司与依西美坦和瑞博西尼联合用药，已证实对 CDK4/6i 治疗后进展的晚期 ER </w:t>
      </w:r>
      <w:r w:rsidRPr="001D4A2E">
        <w:rPr>
          <w:rFonts w:ascii="微软雅黑" w:eastAsia="微软雅黑" w:hAnsi="微软雅黑" w:cs="宋体"/>
          <w:kern w:val="0"/>
          <w:sz w:val="24"/>
          <w:szCs w:val="24"/>
          <w:vertAlign w:val="superscript"/>
        </w:rPr>
        <w:t>+</w:t>
      </w:r>
      <w:r w:rsidRPr="001D4A2E">
        <w:rPr>
          <w:rFonts w:ascii="微软雅黑" w:eastAsia="微软雅黑" w:hAnsi="微软雅黑" w:cs="宋体"/>
          <w:kern w:val="0"/>
          <w:sz w:val="24"/>
          <w:szCs w:val="24"/>
        </w:rPr>
        <w:t> HER2 阴性乳腺癌具有疗效（ </w:t>
      </w:r>
      <w:hyperlink r:id="rId168" w:anchor="B215" w:history="1">
        <w:r w:rsidRPr="001D4A2E">
          <w:rPr>
            <w:rFonts w:ascii="微软雅黑" w:eastAsia="微软雅黑" w:hAnsi="微软雅黑" w:cs="宋体"/>
            <w:kern w:val="0"/>
            <w:sz w:val="24"/>
            <w:szCs w:val="24"/>
            <w:u w:val="single"/>
          </w:rPr>
          <w:t>215</w:t>
        </w:r>
      </w:hyperlink>
      <w:r w:rsidRPr="001D4A2E">
        <w:rPr>
          <w:rFonts w:ascii="微软雅黑" w:eastAsia="微软雅黑" w:hAnsi="微软雅黑" w:cs="宋体"/>
          <w:kern w:val="0"/>
          <w:sz w:val="24"/>
          <w:szCs w:val="24"/>
        </w:rPr>
        <w:t> , </w:t>
      </w:r>
      <w:hyperlink r:id="rId169" w:anchor="B216" w:history="1">
        <w:r w:rsidRPr="001D4A2E">
          <w:rPr>
            <w:rFonts w:ascii="微软雅黑" w:eastAsia="微软雅黑" w:hAnsi="微软雅黑" w:cs="宋体"/>
            <w:kern w:val="0"/>
            <w:sz w:val="24"/>
            <w:szCs w:val="24"/>
            <w:u w:val="single"/>
          </w:rPr>
          <w:t>216</w:t>
        </w:r>
      </w:hyperlink>
      <w:r w:rsidRPr="001D4A2E">
        <w:rPr>
          <w:rFonts w:ascii="微软雅黑" w:eastAsia="微软雅黑" w:hAnsi="微软雅黑" w:cs="宋体"/>
          <w:kern w:val="0"/>
          <w:sz w:val="24"/>
          <w:szCs w:val="24"/>
        </w:rPr>
        <w:t>）。</w:t>
      </w:r>
    </w:p>
    <w:p w14:paraId="16567E32"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t>HER2是一种跨膜受体，激活后会启动一系列促有丝分裂的细胞内信号通路，包括Raf/MEK/MAPK通路（</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"B217"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217</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）。Raf/MEK/MAPK1/2的激活会导致ERα的磷酸化（</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"B218"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218</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）。这种磷酸化会增加雌激素配体可结合的位点数量，从而增强ER信号转导能力（</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"B218"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218</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）。由于ER信号通路对ER</w:t>
      </w:r>
      <w:r w:rsidRPr="001D4A2E">
        <w:rPr>
          <w:rFonts w:ascii="微软雅黑" w:eastAsia="微软雅黑" w:hAnsi="微软雅黑" w:cs="宋体"/>
          <w:kern w:val="0"/>
          <w:sz w:val="24"/>
          <w:szCs w:val="24"/>
          <w:vertAlign w:val="superscript"/>
        </w:rPr>
        <w:t>阳性</w:t>
      </w:r>
      <w:r w:rsidRPr="001D4A2E">
        <w:rPr>
          <w:rFonts w:ascii="微软雅黑" w:eastAsia="微软雅黑" w:hAnsi="微软雅黑" w:cs="宋体"/>
          <w:kern w:val="0"/>
          <w:sz w:val="24"/>
          <w:szCs w:val="24"/>
        </w:rPr>
        <w:t>乳腺癌细胞的增殖至关重要，因此该通路的过度激活会导致芳香化酶抑制剂（AI）耐药。这种AI耐药机制以及用于研究AI耐药性的各种细胞培养模型已有综述（</w:t>
      </w:r>
      <w:hyperlink r:id="rId170" w:anchor="B205" w:history="1">
        <w:r w:rsidRPr="001D4A2E">
          <w:rPr>
            <w:rFonts w:ascii="微软雅黑" w:eastAsia="微软雅黑" w:hAnsi="微软雅黑" w:cs="宋体"/>
            <w:kern w:val="0"/>
            <w:sz w:val="24"/>
            <w:szCs w:val="24"/>
            <w:u w:val="single"/>
          </w:rPr>
          <w:t>205</w:t>
        </w:r>
      </w:hyperlink>
      <w:r w:rsidRPr="001D4A2E">
        <w:rPr>
          <w:rFonts w:ascii="微软雅黑" w:eastAsia="微软雅黑" w:hAnsi="微软雅黑" w:cs="宋体"/>
          <w:kern w:val="0"/>
          <w:sz w:val="24"/>
          <w:szCs w:val="24"/>
        </w:rPr>
        <w:t>）。早期研究表明，MEK1/MAPK1/2</w:t>
      </w:r>
      <w:proofErr w:type="gramStart"/>
      <w:r w:rsidRPr="001D4A2E">
        <w:rPr>
          <w:rFonts w:ascii="微软雅黑" w:eastAsia="微软雅黑" w:hAnsi="微软雅黑" w:cs="宋体"/>
          <w:kern w:val="0"/>
          <w:sz w:val="24"/>
          <w:szCs w:val="24"/>
        </w:rPr>
        <w:t>介</w:t>
      </w:r>
      <w:proofErr w:type="gramEnd"/>
      <w:r w:rsidRPr="001D4A2E">
        <w:rPr>
          <w:rFonts w:ascii="微软雅黑" w:eastAsia="微软雅黑" w:hAnsi="微软雅黑" w:cs="宋体"/>
          <w:kern w:val="0"/>
          <w:sz w:val="24"/>
          <w:szCs w:val="24"/>
        </w:rPr>
        <w:t>导的乳腺癌信号通路及其与ERα的相互作用也与抗雌激素耐药性和乳腺癌患者预后不良相关（</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"B217"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217</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）。遗憾的是，在临床试验中靶向MEK1/MAPK1/2信号通路（</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"B219"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219</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 , </w:t>
      </w:r>
      <w:hyperlink r:id="rId171" w:anchor="B220" w:history="1">
        <w:r w:rsidRPr="001D4A2E">
          <w:rPr>
            <w:rFonts w:ascii="微软雅黑" w:eastAsia="微软雅黑" w:hAnsi="微软雅黑" w:cs="宋体"/>
            <w:kern w:val="0"/>
            <w:sz w:val="24"/>
            <w:szCs w:val="24"/>
            <w:u w:val="single"/>
          </w:rPr>
          <w:t>220</w:t>
        </w:r>
      </w:hyperlink>
      <w:r w:rsidRPr="001D4A2E">
        <w:rPr>
          <w:rFonts w:ascii="微软雅黑" w:eastAsia="微软雅黑" w:hAnsi="微软雅黑" w:cs="宋体"/>
          <w:kern w:val="0"/>
          <w:sz w:val="24"/>
          <w:szCs w:val="24"/>
        </w:rPr>
        <w:t>）并未重现临床前</w:t>
      </w:r>
      <w:r w:rsidRPr="001D4A2E">
        <w:rPr>
          <w:rFonts w:ascii="微软雅黑" w:eastAsia="微软雅黑" w:hAnsi="微软雅黑" w:cs="宋体"/>
          <w:i/>
          <w:iCs/>
          <w:kern w:val="0"/>
          <w:sz w:val="24"/>
          <w:szCs w:val="24"/>
        </w:rPr>
        <w:t>体外</w:t>
      </w:r>
      <w:r w:rsidRPr="001D4A2E">
        <w:rPr>
          <w:rFonts w:ascii="微软雅黑" w:eastAsia="微软雅黑" w:hAnsi="微软雅黑" w:cs="宋体"/>
          <w:kern w:val="0"/>
          <w:sz w:val="24"/>
          <w:szCs w:val="24"/>
        </w:rPr>
        <w:t>和</w:t>
      </w:r>
      <w:r w:rsidRPr="001D4A2E">
        <w:rPr>
          <w:rFonts w:ascii="微软雅黑" w:eastAsia="微软雅黑" w:hAnsi="微软雅黑" w:cs="宋体"/>
          <w:i/>
          <w:iCs/>
          <w:kern w:val="0"/>
          <w:sz w:val="24"/>
          <w:szCs w:val="24"/>
        </w:rPr>
        <w:t>体内</w:t>
      </w:r>
      <w:r w:rsidRPr="001D4A2E">
        <w:rPr>
          <w:rFonts w:ascii="微软雅黑" w:eastAsia="微软雅黑" w:hAnsi="微软雅黑" w:cs="宋体"/>
          <w:kern w:val="0"/>
          <w:sz w:val="24"/>
          <w:szCs w:val="24"/>
        </w:rPr>
        <w:t>研究中令人鼓舞的结果，这些研究已证实MEK1/MAPK1/2是阻断乳腺癌细胞存活和进展的分子靶点（</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"B217"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217</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 , </w:t>
      </w:r>
      <w:hyperlink r:id="rId172" w:anchor="B221" w:history="1">
        <w:r w:rsidRPr="001D4A2E">
          <w:rPr>
            <w:rFonts w:ascii="微软雅黑" w:eastAsia="微软雅黑" w:hAnsi="微软雅黑" w:cs="宋体"/>
            <w:kern w:val="0"/>
            <w:sz w:val="24"/>
            <w:szCs w:val="24"/>
            <w:u w:val="single"/>
          </w:rPr>
          <w:t>221-223</w:t>
        </w:r>
      </w:hyperlink>
      <w:r w:rsidRPr="001D4A2E">
        <w:rPr>
          <w:rFonts w:ascii="微软雅黑" w:eastAsia="微软雅黑" w:hAnsi="微软雅黑" w:cs="宋体"/>
          <w:kern w:val="0"/>
          <w:sz w:val="24"/>
          <w:szCs w:val="24"/>
        </w:rPr>
        <w:t> ）。即使MEK抑制剂与芳香化酶抑制剂（AI）联合使用，也未能证明其对晚期乳腺癌的治疗有效（</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"B223"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224 ）。在我们实验室最近的一项研究中，我们发现</w:t>
      </w:r>
      <w:r w:rsidRPr="001D4A2E">
        <w:rPr>
          <w:rFonts w:ascii="微软雅黑" w:eastAsia="微软雅黑" w:hAnsi="微软雅黑" w:cs="宋体"/>
          <w:kern w:val="0"/>
          <w:sz w:val="24"/>
          <w:szCs w:val="24"/>
        </w:rPr>
        <w:fldChar w:fldCharType="end"/>
      </w:r>
      <w:hyperlink r:id="rId173" w:anchor="B224" w:history="1">
        <w:r w:rsidRPr="001D4A2E">
          <w:rPr>
            <w:rFonts w:ascii="微软雅黑" w:eastAsia="微软雅黑" w:hAnsi="微软雅黑" w:cs="宋体"/>
            <w:kern w:val="0"/>
            <w:sz w:val="24"/>
            <w:szCs w:val="24"/>
            <w:u w:val="single"/>
          </w:rPr>
          <w:t>，</w:t>
        </w:r>
      </w:hyperlink>
      <w:r w:rsidRPr="001D4A2E">
        <w:rPr>
          <w:rFonts w:ascii="微软雅黑" w:eastAsia="微软雅黑" w:hAnsi="微软雅黑" w:cs="宋体"/>
          <w:kern w:val="0"/>
          <w:sz w:val="24"/>
          <w:szCs w:val="24"/>
        </w:rPr>
        <w:t>在由MCF-7细胞建立的雌激素耐药乳腺癌细胞模型中，EGFR/MEK1/MAPK1/2信号通路轴上调。在该研究中，我们确定</w:t>
      </w:r>
      <w:proofErr w:type="gramStart"/>
      <w:r w:rsidRPr="001D4A2E">
        <w:rPr>
          <w:rFonts w:ascii="微软雅黑" w:eastAsia="微软雅黑" w:hAnsi="微软雅黑" w:cs="宋体"/>
          <w:kern w:val="0"/>
          <w:sz w:val="24"/>
          <w:szCs w:val="24"/>
        </w:rPr>
        <w:t>促生存</w:t>
      </w:r>
      <w:proofErr w:type="gramEnd"/>
      <w:r w:rsidRPr="001D4A2E">
        <w:rPr>
          <w:rFonts w:ascii="微软雅黑" w:eastAsia="微软雅黑" w:hAnsi="微软雅黑" w:cs="宋体"/>
          <w:kern w:val="0"/>
          <w:sz w:val="24"/>
          <w:szCs w:val="24"/>
        </w:rPr>
        <w:t>自噬减弱了MEK1和EGFR抑制剂（</w:t>
      </w:r>
      <w:proofErr w:type="spellStart"/>
      <w:r w:rsidRPr="001D4A2E">
        <w:rPr>
          <w:rFonts w:ascii="微软雅黑" w:eastAsia="微软雅黑" w:hAnsi="微软雅黑" w:cs="宋体"/>
          <w:kern w:val="0"/>
          <w:sz w:val="24"/>
          <w:szCs w:val="24"/>
        </w:rPr>
        <w:t>selumetinib</w:t>
      </w:r>
      <w:proofErr w:type="spellEnd"/>
      <w:r w:rsidRPr="001D4A2E">
        <w:rPr>
          <w:rFonts w:ascii="微软雅黑" w:eastAsia="微软雅黑" w:hAnsi="微软雅黑" w:cs="宋体"/>
          <w:kern w:val="0"/>
          <w:sz w:val="24"/>
          <w:szCs w:val="24"/>
        </w:rPr>
        <w:t>）治疗的细胞毒性作用（</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"B225"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225</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）。因此，自噬可能是一个潜在的分子靶点，可以改善针对乳腺癌和其他癌症中 EGFR/MEK/MAPK1/2 信号节点的靶向治疗。</w:t>
      </w:r>
    </w:p>
    <w:p w14:paraId="0F3400B6" w14:textId="77777777" w:rsidR="001D4A2E" w:rsidRPr="001D4A2E" w:rsidRDefault="001D4A2E" w:rsidP="001D4A2E">
      <w:pPr>
        <w:widowControl/>
        <w:spacing w:line="450" w:lineRule="atLeast"/>
        <w:outlineLvl w:val="2"/>
        <w:rPr>
          <w:rFonts w:ascii="微软雅黑" w:eastAsia="微软雅黑" w:hAnsi="微软雅黑" w:cs="宋体"/>
          <w:kern w:val="0"/>
          <w:sz w:val="32"/>
          <w:szCs w:val="32"/>
        </w:rPr>
      </w:pPr>
      <w:r w:rsidRPr="001D4A2E">
        <w:rPr>
          <w:rFonts w:ascii="微软雅黑" w:eastAsia="微软雅黑" w:hAnsi="微软雅黑" w:cs="宋体"/>
          <w:kern w:val="0"/>
          <w:sz w:val="32"/>
          <w:szCs w:val="32"/>
        </w:rPr>
        <w:t>7.3 热休克因子 1、雌激素受体调节和抗雌激素耐药性</w:t>
      </w:r>
    </w:p>
    <w:p w14:paraId="590BF09A"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lastRenderedPageBreak/>
        <w:t>在最近的一项研究（</w:t>
      </w:r>
      <w:hyperlink r:id="rId174" w:anchor="B226" w:history="1">
        <w:r w:rsidRPr="001D4A2E">
          <w:rPr>
            <w:rFonts w:ascii="微软雅黑" w:eastAsia="微软雅黑" w:hAnsi="微软雅黑" w:cs="宋体"/>
            <w:kern w:val="0"/>
            <w:sz w:val="24"/>
            <w:szCs w:val="24"/>
            <w:u w:val="single"/>
          </w:rPr>
          <w:t>226</w:t>
        </w:r>
      </w:hyperlink>
      <w:r w:rsidRPr="001D4A2E">
        <w:rPr>
          <w:rFonts w:ascii="微软雅黑" w:eastAsia="微软雅黑" w:hAnsi="微软雅黑" w:cs="宋体"/>
          <w:kern w:val="0"/>
          <w:sz w:val="24"/>
          <w:szCs w:val="24"/>
        </w:rPr>
        <w:t>）中，研究人员在已建立的抗雌激素耐药乳腺癌细胞模型LCC2和LCC9中发现了HSF1的过表达。这些细胞系来源于MCF-7细胞，并经他</w:t>
      </w:r>
      <w:proofErr w:type="gramStart"/>
      <w:r w:rsidRPr="001D4A2E">
        <w:rPr>
          <w:rFonts w:ascii="微软雅黑" w:eastAsia="微软雅黑" w:hAnsi="微软雅黑" w:cs="宋体"/>
          <w:kern w:val="0"/>
          <w:sz w:val="24"/>
          <w:szCs w:val="24"/>
        </w:rPr>
        <w:t>莫昔芬</w:t>
      </w:r>
      <w:proofErr w:type="gramEnd"/>
      <w:r w:rsidRPr="001D4A2E">
        <w:rPr>
          <w:rFonts w:ascii="微软雅黑" w:eastAsia="微软雅黑" w:hAnsi="微软雅黑" w:cs="宋体"/>
          <w:kern w:val="0"/>
          <w:sz w:val="24"/>
          <w:szCs w:val="24"/>
        </w:rPr>
        <w:t>和/或</w:t>
      </w:r>
      <w:proofErr w:type="gramStart"/>
      <w:r w:rsidRPr="001D4A2E">
        <w:rPr>
          <w:rFonts w:ascii="微软雅黑" w:eastAsia="微软雅黑" w:hAnsi="微软雅黑" w:cs="宋体"/>
          <w:kern w:val="0"/>
          <w:sz w:val="24"/>
          <w:szCs w:val="24"/>
        </w:rPr>
        <w:t>氟维司群</w:t>
      </w:r>
      <w:proofErr w:type="gramEnd"/>
      <w:r w:rsidRPr="001D4A2E">
        <w:rPr>
          <w:rFonts w:ascii="微软雅黑" w:eastAsia="微软雅黑" w:hAnsi="微软雅黑" w:cs="宋体"/>
          <w:kern w:val="0"/>
          <w:sz w:val="24"/>
          <w:szCs w:val="24"/>
        </w:rPr>
        <w:t>筛选而获得（</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"B227"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227</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 , </w:t>
      </w:r>
      <w:hyperlink r:id="rId175" w:anchor="B228" w:history="1">
        <w:r w:rsidRPr="001D4A2E">
          <w:rPr>
            <w:rFonts w:ascii="微软雅黑" w:eastAsia="微软雅黑" w:hAnsi="微软雅黑" w:cs="宋体"/>
            <w:kern w:val="0"/>
            <w:sz w:val="24"/>
            <w:szCs w:val="24"/>
            <w:u w:val="single"/>
          </w:rPr>
          <w:t>228</w:t>
        </w:r>
      </w:hyperlink>
      <w:r w:rsidRPr="001D4A2E">
        <w:rPr>
          <w:rFonts w:ascii="微软雅黑" w:eastAsia="微软雅黑" w:hAnsi="微软雅黑" w:cs="宋体"/>
          <w:kern w:val="0"/>
          <w:sz w:val="24"/>
          <w:szCs w:val="24"/>
        </w:rPr>
        <w:t>）。此外，该研究还表明，HSF1能够调控ER</w:t>
      </w:r>
      <w:r w:rsidRPr="001D4A2E">
        <w:rPr>
          <w:rFonts w:ascii="微软雅黑" w:eastAsia="微软雅黑" w:hAnsi="微软雅黑" w:cs="宋体"/>
          <w:kern w:val="0"/>
          <w:sz w:val="24"/>
          <w:szCs w:val="24"/>
          <w:vertAlign w:val="superscript"/>
        </w:rPr>
        <w:t>阳性</w:t>
      </w:r>
      <w:r w:rsidRPr="001D4A2E">
        <w:rPr>
          <w:rFonts w:ascii="微软雅黑" w:eastAsia="微软雅黑" w:hAnsi="微软雅黑" w:cs="宋体"/>
          <w:kern w:val="0"/>
          <w:sz w:val="24"/>
          <w:szCs w:val="24"/>
        </w:rPr>
        <w:t>MCF-7和T-47D乳腺癌细胞中ERα的表达水平。HSF1的过表达诱导ERα降解，降低ERα</w:t>
      </w:r>
      <w:proofErr w:type="gramStart"/>
      <w:r w:rsidRPr="001D4A2E">
        <w:rPr>
          <w:rFonts w:ascii="微软雅黑" w:eastAsia="微软雅黑" w:hAnsi="微软雅黑" w:cs="宋体"/>
          <w:kern w:val="0"/>
          <w:sz w:val="24"/>
          <w:szCs w:val="24"/>
        </w:rPr>
        <w:t>介</w:t>
      </w:r>
      <w:proofErr w:type="gramEnd"/>
      <w:r w:rsidRPr="001D4A2E">
        <w:rPr>
          <w:rFonts w:ascii="微软雅黑" w:eastAsia="微软雅黑" w:hAnsi="微软雅黑" w:cs="宋体"/>
          <w:kern w:val="0"/>
          <w:sz w:val="24"/>
          <w:szCs w:val="24"/>
        </w:rPr>
        <w:t>导的基因调控，并导致抗雌激素耐药。尽管热休克因子1（HSF1）的过表达与多种癌症的治疗耐药性和不良预后相关（</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"B229"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229</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），但在此项最新研究之前，HSF1与抗雌激素耐药性之间的关联尚未被证实。 HSF1是一种分子伴侣蛋白，被认为是哺乳动物细胞应激反应的主要调控因子，并调控参与代谢、存活和增殖的基因转录（</w:t>
      </w:r>
      <w:hyperlink r:id="rId176" w:anchor="B230" w:history="1">
        <w:r w:rsidRPr="001D4A2E">
          <w:rPr>
            <w:rFonts w:ascii="微软雅黑" w:eastAsia="微软雅黑" w:hAnsi="微软雅黑" w:cs="宋体"/>
            <w:kern w:val="0"/>
            <w:sz w:val="24"/>
            <w:szCs w:val="24"/>
            <w:u w:val="single"/>
          </w:rPr>
          <w:t>230</w:t>
        </w:r>
      </w:hyperlink>
      <w:r w:rsidRPr="001D4A2E">
        <w:rPr>
          <w:rFonts w:ascii="微软雅黑" w:eastAsia="微软雅黑" w:hAnsi="微软雅黑" w:cs="宋体"/>
          <w:kern w:val="0"/>
          <w:sz w:val="24"/>
          <w:szCs w:val="24"/>
        </w:rPr>
        <w:t>）。据报道，HSF1缺失可抑制乳腺癌和其他肿瘤（包括胰腺肿瘤和消化系统肿瘤）的发生发展（</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"B229"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229</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），因此HSF1被认为是一种癌症生物标志物和极具吸引力的分子靶点（</w:t>
      </w:r>
      <w:hyperlink r:id="rId177" w:anchor="B231" w:history="1">
        <w:r w:rsidRPr="001D4A2E">
          <w:rPr>
            <w:rFonts w:ascii="微软雅黑" w:eastAsia="微软雅黑" w:hAnsi="微软雅黑" w:cs="宋体"/>
            <w:kern w:val="0"/>
            <w:sz w:val="24"/>
            <w:szCs w:val="24"/>
            <w:u w:val="single"/>
          </w:rPr>
          <w:t>231</w:t>
        </w:r>
      </w:hyperlink>
      <w:r w:rsidRPr="001D4A2E">
        <w:rPr>
          <w:rFonts w:ascii="微软雅黑" w:eastAsia="微软雅黑" w:hAnsi="微软雅黑" w:cs="宋体"/>
          <w:kern w:val="0"/>
          <w:sz w:val="24"/>
          <w:szCs w:val="24"/>
        </w:rPr>
        <w:t>）。基于此，人们开发了HSF1抑制剂（</w:t>
      </w:r>
      <w:r w:rsidRPr="001D4A2E">
        <w:rPr>
          <w:rFonts w:ascii="微软雅黑" w:eastAsia="微软雅黑" w:hAnsi="微软雅黑" w:cs="宋体"/>
          <w:kern w:val="0"/>
          <w:sz w:val="24"/>
          <w:szCs w:val="24"/>
        </w:rPr>
        <w:fldChar w:fldCharType="begin"/>
      </w:r>
      <w:r w:rsidRPr="001D4A2E">
        <w:rPr>
          <w:rFonts w:ascii="微软雅黑" w:eastAsia="微软雅黑" w:hAnsi="微软雅黑" w:cs="宋体"/>
          <w:kern w:val="0"/>
          <w:sz w:val="24"/>
          <w:szCs w:val="24"/>
        </w:rPr>
        <w:instrText xml:space="preserve"> HYPERLINK "https://pmc.ncbi.nlm.nih.gov/articles/PMC10986181/" \l "B232" </w:instrText>
      </w:r>
      <w:r w:rsidRPr="001D4A2E">
        <w:rPr>
          <w:rFonts w:ascii="微软雅黑" w:eastAsia="微软雅黑" w:hAnsi="微软雅黑" w:cs="宋体"/>
          <w:kern w:val="0"/>
          <w:sz w:val="24"/>
          <w:szCs w:val="24"/>
        </w:rPr>
        <w:fldChar w:fldCharType="separate"/>
      </w:r>
      <w:r w:rsidRPr="001D4A2E">
        <w:rPr>
          <w:rFonts w:ascii="微软雅黑" w:eastAsia="微软雅黑" w:hAnsi="微软雅黑" w:cs="宋体"/>
          <w:kern w:val="0"/>
          <w:sz w:val="24"/>
          <w:szCs w:val="24"/>
          <w:u w:val="single"/>
        </w:rPr>
        <w:t>232</w:t>
      </w:r>
      <w:r w:rsidRPr="001D4A2E">
        <w:rPr>
          <w:rFonts w:ascii="微软雅黑" w:eastAsia="微软雅黑" w:hAnsi="微软雅黑" w:cs="宋体"/>
          <w:kern w:val="0"/>
          <w:sz w:val="24"/>
          <w:szCs w:val="24"/>
        </w:rPr>
        <w:fldChar w:fldCharType="end"/>
      </w:r>
      <w:r w:rsidRPr="001D4A2E">
        <w:rPr>
          <w:rFonts w:ascii="微软雅黑" w:eastAsia="微软雅黑" w:hAnsi="微软雅黑" w:cs="宋体"/>
          <w:kern w:val="0"/>
          <w:sz w:val="24"/>
          <w:szCs w:val="24"/>
        </w:rPr>
        <w:t>）。Silveira等人利用小分子抑制剂KRIBB11靶向HSF1。当KRIBB11与他</w:t>
      </w:r>
      <w:proofErr w:type="gramStart"/>
      <w:r w:rsidRPr="001D4A2E">
        <w:rPr>
          <w:rFonts w:ascii="微软雅黑" w:eastAsia="微软雅黑" w:hAnsi="微软雅黑" w:cs="宋体"/>
          <w:kern w:val="0"/>
          <w:sz w:val="24"/>
          <w:szCs w:val="24"/>
        </w:rPr>
        <w:t>莫昔芬或氟维司群</w:t>
      </w:r>
      <w:proofErr w:type="gramEnd"/>
      <w:r w:rsidRPr="001D4A2E">
        <w:rPr>
          <w:rFonts w:ascii="微软雅黑" w:eastAsia="微软雅黑" w:hAnsi="微软雅黑" w:cs="宋体"/>
          <w:kern w:val="0"/>
          <w:sz w:val="24"/>
          <w:szCs w:val="24"/>
        </w:rPr>
        <w:t>联合使用时，可恢复抗雌激素LCC9细胞的抗雌激素敏感性；然而，并未观察到ERα表达的相应恢复。因此，本研究发现，HSF1下调导致ERα降解，而KRIBB11处理抑制HSF1转录活性并未降低ERα表达。尽管如此，KRIBB11对HSF1转录的抑制作用仍能增强LCC9细胞对雌激素拮抗剂的敏感性。这些研究结果提示，有必要进一步评估HSF1在雌激素拮抗剂耐药性发展中的作用，尤其考虑到HSF1在协调热休克通路组分调控中发挥的关键作用。</w:t>
      </w:r>
    </w:p>
    <w:p w14:paraId="3A1A1D69" w14:textId="77777777" w:rsidR="001D4A2E" w:rsidRPr="001D4A2E" w:rsidRDefault="001D4A2E" w:rsidP="001D4A2E">
      <w:pPr>
        <w:widowControl/>
        <w:pBdr>
          <w:bottom w:val="single" w:sz="6" w:space="0" w:color="97B1C8"/>
        </w:pBdr>
        <w:spacing w:line="450" w:lineRule="atLeast"/>
        <w:outlineLvl w:val="1"/>
        <w:rPr>
          <w:rFonts w:ascii="微软雅黑" w:eastAsia="微软雅黑" w:hAnsi="微软雅黑" w:cs="宋体"/>
          <w:kern w:val="0"/>
          <w:sz w:val="34"/>
          <w:szCs w:val="34"/>
        </w:rPr>
      </w:pPr>
      <w:r w:rsidRPr="001D4A2E">
        <w:rPr>
          <w:rFonts w:ascii="微软雅黑" w:eastAsia="微软雅黑" w:hAnsi="微软雅黑" w:cs="宋体"/>
          <w:kern w:val="0"/>
          <w:sz w:val="34"/>
          <w:szCs w:val="34"/>
        </w:rPr>
        <w:t>8. 结论</w:t>
      </w:r>
    </w:p>
    <w:p w14:paraId="16E71A57"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lastRenderedPageBreak/>
        <w:t>本章回顾了内分泌耐药（内在耐药和获得性耐药）作为ER </w:t>
      </w:r>
      <w:r w:rsidRPr="001D4A2E">
        <w:rPr>
          <w:rFonts w:ascii="微软雅黑" w:eastAsia="微软雅黑" w:hAnsi="微软雅黑" w:cs="宋体"/>
          <w:kern w:val="0"/>
          <w:sz w:val="24"/>
          <w:szCs w:val="24"/>
          <w:vertAlign w:val="superscript"/>
        </w:rPr>
        <w:t>+</w:t>
      </w:r>
      <w:r w:rsidRPr="001D4A2E">
        <w:rPr>
          <w:rFonts w:ascii="微软雅黑" w:eastAsia="微软雅黑" w:hAnsi="微软雅黑" w:cs="宋体"/>
          <w:kern w:val="0"/>
          <w:sz w:val="24"/>
          <w:szCs w:val="24"/>
        </w:rPr>
        <w:t> HER2/neu阴性乳腺癌临床有效治疗的主要障碍这一概念，并强调了从机制上理解内分泌耐药如何产生，以及对选择性雌激素受体调节剂（SERM）、选择性雌激素受体降解剂（SERD）和芳香化酶抑制剂（AI）单药或联合细胞周期蛋白依赖性激酶抑制剂（</w:t>
      </w:r>
      <w:proofErr w:type="spellStart"/>
      <w:r w:rsidRPr="001D4A2E">
        <w:rPr>
          <w:rFonts w:ascii="微软雅黑" w:eastAsia="微软雅黑" w:hAnsi="微软雅黑" w:cs="宋体"/>
          <w:kern w:val="0"/>
          <w:sz w:val="24"/>
          <w:szCs w:val="24"/>
        </w:rPr>
        <w:t>CDKi</w:t>
      </w:r>
      <w:proofErr w:type="spellEnd"/>
      <w:r w:rsidRPr="001D4A2E">
        <w:rPr>
          <w:rFonts w:ascii="微软雅黑" w:eastAsia="微软雅黑" w:hAnsi="微软雅黑" w:cs="宋体"/>
          <w:kern w:val="0"/>
          <w:sz w:val="24"/>
          <w:szCs w:val="24"/>
        </w:rPr>
        <w:t>）治疗的必要性。为此，我们回顾了多项研究，这些研究已证实自噬、衰老或两者兼有的适应性通路及其在支持乳腺癌细胞对雌激素和/或</w:t>
      </w:r>
      <w:proofErr w:type="spellStart"/>
      <w:r w:rsidRPr="001D4A2E">
        <w:rPr>
          <w:rFonts w:ascii="微软雅黑" w:eastAsia="微软雅黑" w:hAnsi="微软雅黑" w:cs="宋体"/>
          <w:kern w:val="0"/>
          <w:sz w:val="24"/>
          <w:szCs w:val="24"/>
        </w:rPr>
        <w:t>CDKi</w:t>
      </w:r>
      <w:proofErr w:type="spellEnd"/>
      <w:r w:rsidRPr="001D4A2E">
        <w:rPr>
          <w:rFonts w:ascii="微软雅黑" w:eastAsia="微软雅黑" w:hAnsi="微软雅黑" w:cs="宋体"/>
          <w:kern w:val="0"/>
          <w:sz w:val="24"/>
          <w:szCs w:val="24"/>
        </w:rPr>
        <w:t xml:space="preserve">的耐受性反应中的作用。我们概述了自噬通路核心机制的显著特征，并讨论了近期研究，这些研究发现AMPK（mTOR复合物的主要调节因子）是SERM诱导的自噬和细胞凋亡的驱动因子，而这种驱动作用依赖于两种AMPK亚型（AMPKα1和AMPKα2）的不同功能。本文还探讨了细胞衰老作为抗雌激素和 </w:t>
      </w:r>
      <w:proofErr w:type="spellStart"/>
      <w:r w:rsidRPr="001D4A2E">
        <w:rPr>
          <w:rFonts w:ascii="微软雅黑" w:eastAsia="微软雅黑" w:hAnsi="微软雅黑" w:cs="宋体"/>
          <w:kern w:val="0"/>
          <w:sz w:val="24"/>
          <w:szCs w:val="24"/>
        </w:rPr>
        <w:t>CDKi</w:t>
      </w:r>
      <w:proofErr w:type="spellEnd"/>
      <w:r w:rsidRPr="001D4A2E">
        <w:rPr>
          <w:rFonts w:ascii="微软雅黑" w:eastAsia="微软雅黑" w:hAnsi="微软雅黑" w:cs="宋体"/>
          <w:kern w:val="0"/>
          <w:sz w:val="24"/>
          <w:szCs w:val="24"/>
        </w:rPr>
        <w:t xml:space="preserve"> 治疗的一种反应。我们认为，靶向这些通路可以延缓内分泌和 </w:t>
      </w:r>
      <w:proofErr w:type="spellStart"/>
      <w:r w:rsidRPr="001D4A2E">
        <w:rPr>
          <w:rFonts w:ascii="微软雅黑" w:eastAsia="微软雅黑" w:hAnsi="微软雅黑" w:cs="宋体"/>
          <w:kern w:val="0"/>
          <w:sz w:val="24"/>
          <w:szCs w:val="24"/>
        </w:rPr>
        <w:t>CDKi</w:t>
      </w:r>
      <w:proofErr w:type="spellEnd"/>
      <w:r w:rsidRPr="001D4A2E">
        <w:rPr>
          <w:rFonts w:ascii="微软雅黑" w:eastAsia="微软雅黑" w:hAnsi="微软雅黑" w:cs="宋体"/>
          <w:kern w:val="0"/>
          <w:sz w:val="24"/>
          <w:szCs w:val="24"/>
        </w:rPr>
        <w:t xml:space="preserve"> 耐药性的发展，但强调有效的靶</w:t>
      </w:r>
      <w:proofErr w:type="gramStart"/>
      <w:r w:rsidRPr="001D4A2E">
        <w:rPr>
          <w:rFonts w:ascii="微软雅黑" w:eastAsia="微软雅黑" w:hAnsi="微软雅黑" w:cs="宋体"/>
          <w:kern w:val="0"/>
          <w:sz w:val="24"/>
          <w:szCs w:val="24"/>
        </w:rPr>
        <w:t>向治疗</w:t>
      </w:r>
      <w:proofErr w:type="gramEnd"/>
      <w:r w:rsidRPr="001D4A2E">
        <w:rPr>
          <w:rFonts w:ascii="微软雅黑" w:eastAsia="微软雅黑" w:hAnsi="微软雅黑" w:cs="宋体"/>
          <w:kern w:val="0"/>
          <w:sz w:val="24"/>
          <w:szCs w:val="24"/>
        </w:rPr>
        <w:t xml:space="preserve">可能需要序贯疗法，即在抗雌激素联合 </w:t>
      </w:r>
      <w:proofErr w:type="spellStart"/>
      <w:r w:rsidRPr="001D4A2E">
        <w:rPr>
          <w:rFonts w:ascii="微软雅黑" w:eastAsia="微软雅黑" w:hAnsi="微软雅黑" w:cs="宋体"/>
          <w:kern w:val="0"/>
          <w:sz w:val="24"/>
          <w:szCs w:val="24"/>
        </w:rPr>
        <w:t>CDKi</w:t>
      </w:r>
      <w:proofErr w:type="spellEnd"/>
      <w:r w:rsidRPr="001D4A2E">
        <w:rPr>
          <w:rFonts w:ascii="微软雅黑" w:eastAsia="微软雅黑" w:hAnsi="微软雅黑" w:cs="宋体"/>
          <w:kern w:val="0"/>
          <w:sz w:val="24"/>
          <w:szCs w:val="24"/>
        </w:rPr>
        <w:t xml:space="preserve"> 治疗激活/诱导这些通路后，再给予自噬抑制剂和/或衰老细胞清除剂、衰老细胞形态调节剂或衰老细胞抑制剂。</w:t>
      </w:r>
    </w:p>
    <w:p w14:paraId="3AEA433D" w14:textId="77777777" w:rsidR="001D4A2E" w:rsidRPr="001D4A2E" w:rsidRDefault="001D4A2E" w:rsidP="001D4A2E">
      <w:pPr>
        <w:widowControl/>
        <w:spacing w:before="450"/>
        <w:rPr>
          <w:rFonts w:ascii="微软雅黑" w:eastAsia="微软雅黑" w:hAnsi="微软雅黑" w:cs="宋体"/>
          <w:kern w:val="0"/>
          <w:sz w:val="24"/>
          <w:szCs w:val="24"/>
        </w:rPr>
      </w:pPr>
      <w:r w:rsidRPr="001D4A2E">
        <w:rPr>
          <w:rFonts w:ascii="微软雅黑" w:eastAsia="微软雅黑" w:hAnsi="微软雅黑" w:cs="宋体"/>
          <w:kern w:val="0"/>
          <w:sz w:val="24"/>
          <w:szCs w:val="24"/>
        </w:rPr>
        <w:t>本综述对自噬与衰老在抗雌激素耐药性发展和表达中的机制关系着墨甚少。这是由于该研究领域的数据匮乏。因此，需要开展详细的机制研究，以确定自噬与衰老在乳腺癌细胞对选择性雌激素受体降解剂（SERD）、选择性雌激素受体调节剂（SERM）、芳香化酶抑制剂（AI）和/或细胞周期蛋白依赖性激酶抑制剂（</w:t>
      </w:r>
      <w:proofErr w:type="spellStart"/>
      <w:r w:rsidRPr="001D4A2E">
        <w:rPr>
          <w:rFonts w:ascii="微软雅黑" w:eastAsia="微软雅黑" w:hAnsi="微软雅黑" w:cs="宋体"/>
          <w:kern w:val="0"/>
          <w:sz w:val="24"/>
          <w:szCs w:val="24"/>
        </w:rPr>
        <w:t>CDKi</w:t>
      </w:r>
      <w:proofErr w:type="spellEnd"/>
      <w:r w:rsidRPr="001D4A2E">
        <w:rPr>
          <w:rFonts w:ascii="微软雅黑" w:eastAsia="微软雅黑" w:hAnsi="微软雅黑" w:cs="宋体"/>
          <w:kern w:val="0"/>
          <w:sz w:val="24"/>
          <w:szCs w:val="24"/>
        </w:rPr>
        <w:t>）反应中的关系。需要解答的关键问题包括：1）自噬是否支持处于“可逆性”衰老状态的细胞的代谢？2）能否在不干扰</w:t>
      </w:r>
      <w:proofErr w:type="spellStart"/>
      <w:r w:rsidRPr="001D4A2E">
        <w:rPr>
          <w:rFonts w:ascii="微软雅黑" w:eastAsia="微软雅黑" w:hAnsi="微软雅黑" w:cs="宋体"/>
          <w:kern w:val="0"/>
          <w:sz w:val="24"/>
          <w:szCs w:val="24"/>
        </w:rPr>
        <w:t>CDKi</w:t>
      </w:r>
      <w:proofErr w:type="spellEnd"/>
      <w:r w:rsidRPr="001D4A2E">
        <w:rPr>
          <w:rFonts w:ascii="微软雅黑" w:eastAsia="微软雅黑" w:hAnsi="微软雅黑" w:cs="宋体"/>
          <w:kern w:val="0"/>
          <w:sz w:val="24"/>
          <w:szCs w:val="24"/>
        </w:rPr>
        <w:t>长期细胞抑制作用的前提下，靶向保护性自噬？3）如何才能最有效地靶向接受</w:t>
      </w:r>
      <w:proofErr w:type="spellStart"/>
      <w:r w:rsidRPr="001D4A2E">
        <w:rPr>
          <w:rFonts w:ascii="微软雅黑" w:eastAsia="微软雅黑" w:hAnsi="微软雅黑" w:cs="宋体"/>
          <w:kern w:val="0"/>
          <w:sz w:val="24"/>
          <w:szCs w:val="24"/>
        </w:rPr>
        <w:t>CDKi</w:t>
      </w:r>
      <w:proofErr w:type="spellEnd"/>
      <w:r w:rsidRPr="001D4A2E">
        <w:rPr>
          <w:rFonts w:ascii="微软雅黑" w:eastAsia="微软雅黑" w:hAnsi="微软雅黑" w:cs="宋体"/>
          <w:kern w:val="0"/>
          <w:sz w:val="24"/>
          <w:szCs w:val="24"/>
        </w:rPr>
        <w:t>治疗的乳腺癌细胞的衰老</w:t>
      </w:r>
      <w:r w:rsidRPr="001D4A2E">
        <w:rPr>
          <w:rFonts w:ascii="微软雅黑" w:eastAsia="微软雅黑" w:hAnsi="微软雅黑" w:cs="宋体"/>
          <w:kern w:val="0"/>
          <w:sz w:val="24"/>
          <w:szCs w:val="24"/>
        </w:rPr>
        <w:lastRenderedPageBreak/>
        <w:t>（与</w:t>
      </w:r>
      <w:proofErr w:type="spellStart"/>
      <w:r w:rsidRPr="001D4A2E">
        <w:rPr>
          <w:rFonts w:ascii="微软雅黑" w:eastAsia="微软雅黑" w:hAnsi="微软雅黑" w:cs="宋体"/>
          <w:kern w:val="0"/>
          <w:sz w:val="24"/>
          <w:szCs w:val="24"/>
        </w:rPr>
        <w:t>CDKi</w:t>
      </w:r>
      <w:proofErr w:type="spellEnd"/>
      <w:r w:rsidRPr="001D4A2E">
        <w:rPr>
          <w:rFonts w:ascii="微软雅黑" w:eastAsia="微软雅黑" w:hAnsi="微软雅黑" w:cs="宋体"/>
          <w:kern w:val="0"/>
          <w:sz w:val="24"/>
          <w:szCs w:val="24"/>
        </w:rPr>
        <w:t>联合使用或在</w:t>
      </w:r>
      <w:proofErr w:type="spellStart"/>
      <w:r w:rsidRPr="001D4A2E">
        <w:rPr>
          <w:rFonts w:ascii="微软雅黑" w:eastAsia="微软雅黑" w:hAnsi="微软雅黑" w:cs="宋体"/>
          <w:kern w:val="0"/>
          <w:sz w:val="24"/>
          <w:szCs w:val="24"/>
        </w:rPr>
        <w:t>CDKi</w:t>
      </w:r>
      <w:proofErr w:type="spellEnd"/>
      <w:r w:rsidRPr="001D4A2E">
        <w:rPr>
          <w:rFonts w:ascii="微软雅黑" w:eastAsia="微软雅黑" w:hAnsi="微软雅黑" w:cs="宋体"/>
          <w:kern w:val="0"/>
          <w:sz w:val="24"/>
          <w:szCs w:val="24"/>
        </w:rPr>
        <w:t xml:space="preserve">诱导细胞衰老后）？ 4) 在临床上，以自噬和衰老为靶点，并尽可能减少不良副作用，其可靠性如何？为此，我们是否需要开发更具选择性的小分子自噬抑制剂用于临床？5) 在临床研究中，我们如何可靠地检测肿瘤细胞中的自噬抑制？6) 是否存在可用于分析播散性肿瘤细胞的有效衰老表型标志物？此外，如果自噬和衰老在一定程度上作为乳腺癌细胞在抗雌激素和/或 </w:t>
      </w:r>
      <w:proofErr w:type="spellStart"/>
      <w:r w:rsidRPr="001D4A2E">
        <w:rPr>
          <w:rFonts w:ascii="微软雅黑" w:eastAsia="微软雅黑" w:hAnsi="微软雅黑" w:cs="宋体"/>
          <w:kern w:val="0"/>
          <w:sz w:val="24"/>
          <w:szCs w:val="24"/>
        </w:rPr>
        <w:t>CDKi</w:t>
      </w:r>
      <w:proofErr w:type="spellEnd"/>
      <w:r w:rsidRPr="001D4A2E">
        <w:rPr>
          <w:rFonts w:ascii="微软雅黑" w:eastAsia="微软雅黑" w:hAnsi="微软雅黑" w:cs="宋体"/>
          <w:kern w:val="0"/>
          <w:sz w:val="24"/>
          <w:szCs w:val="24"/>
        </w:rPr>
        <w:t xml:space="preserve"> 治疗下的适应性生存途径，那么靶向自噬和衰老应作为初始治疗策略，而不是在获得性耐药出现后才进行治疗。本文综述了获得性抗雌激素耐药的潜在基因型的复杂性，包括多种遗传机制和表观遗传改变，表明乳腺癌细胞在逃避抗雌激素和/或 </w:t>
      </w:r>
      <w:proofErr w:type="spellStart"/>
      <w:r w:rsidRPr="001D4A2E">
        <w:rPr>
          <w:rFonts w:ascii="微软雅黑" w:eastAsia="微软雅黑" w:hAnsi="微软雅黑" w:cs="宋体"/>
          <w:kern w:val="0"/>
          <w:sz w:val="24"/>
          <w:szCs w:val="24"/>
        </w:rPr>
        <w:t>CDKi</w:t>
      </w:r>
      <w:proofErr w:type="spellEnd"/>
      <w:r w:rsidRPr="001D4A2E">
        <w:rPr>
          <w:rFonts w:ascii="微软雅黑" w:eastAsia="微软雅黑" w:hAnsi="微软雅黑" w:cs="宋体"/>
          <w:kern w:val="0"/>
          <w:sz w:val="24"/>
          <w:szCs w:val="24"/>
        </w:rPr>
        <w:t xml:space="preserve"> 疗法的细胞抑制作用后，已发展到高度基因组不稳定的状态。因此，对于获得性耐药的乳腺癌患者，最有效的治疗方法是个体化医疗/诊断，但这对于许多患者来说费用过高。乳腺癌基因特征的评估是一种更通用且经济有效的方法。目前已开始利用预测对雌激素类药物固有或获得性耐药性的表达谱；然而，尚无表达</w:t>
      </w:r>
      <w:proofErr w:type="gramStart"/>
      <w:r w:rsidRPr="001D4A2E">
        <w:rPr>
          <w:rFonts w:ascii="微软雅黑" w:eastAsia="微软雅黑" w:hAnsi="微软雅黑" w:cs="宋体"/>
          <w:kern w:val="0"/>
          <w:sz w:val="24"/>
          <w:szCs w:val="24"/>
        </w:rPr>
        <w:t>谱能够</w:t>
      </w:r>
      <w:proofErr w:type="gramEnd"/>
      <w:r w:rsidRPr="001D4A2E">
        <w:rPr>
          <w:rFonts w:ascii="微软雅黑" w:eastAsia="微软雅黑" w:hAnsi="微软雅黑" w:cs="宋体"/>
          <w:kern w:val="0"/>
          <w:sz w:val="24"/>
          <w:szCs w:val="24"/>
        </w:rPr>
        <w:t>预测固有耐药性或对特定</w:t>
      </w:r>
      <w:proofErr w:type="spellStart"/>
      <w:r w:rsidRPr="001D4A2E">
        <w:rPr>
          <w:rFonts w:ascii="微软雅黑" w:eastAsia="微软雅黑" w:hAnsi="微软雅黑" w:cs="宋体"/>
          <w:kern w:val="0"/>
          <w:sz w:val="24"/>
          <w:szCs w:val="24"/>
        </w:rPr>
        <w:t>CDKi</w:t>
      </w:r>
      <w:proofErr w:type="spellEnd"/>
      <w:r w:rsidRPr="001D4A2E">
        <w:rPr>
          <w:rFonts w:ascii="微软雅黑" w:eastAsia="微软雅黑" w:hAnsi="微软雅黑" w:cs="宋体"/>
          <w:kern w:val="0"/>
          <w:sz w:val="24"/>
          <w:szCs w:val="24"/>
        </w:rPr>
        <w:t>产生耐药性的可能性。只有当我们获得准确且具有临床意义的机制信息时，才能开发出（针对</w:t>
      </w:r>
      <w:proofErr w:type="spellStart"/>
      <w:r w:rsidRPr="001D4A2E">
        <w:rPr>
          <w:rFonts w:ascii="微软雅黑" w:eastAsia="微软雅黑" w:hAnsi="微软雅黑" w:cs="宋体"/>
          <w:kern w:val="0"/>
          <w:sz w:val="24"/>
          <w:szCs w:val="24"/>
        </w:rPr>
        <w:t>CDKi</w:t>
      </w:r>
      <w:proofErr w:type="spellEnd"/>
      <w:r w:rsidRPr="001D4A2E">
        <w:rPr>
          <w:rFonts w:ascii="微软雅黑" w:eastAsia="微软雅黑" w:hAnsi="微软雅黑" w:cs="宋体"/>
          <w:kern w:val="0"/>
          <w:sz w:val="24"/>
          <w:szCs w:val="24"/>
        </w:rPr>
        <w:t>的）特征谱，并改进（针对雌激素类药物的）特征谱，从而更准确地预测合适的分子靶点和治疗方案。</w:t>
      </w:r>
    </w:p>
    <w:p w14:paraId="07859781" w14:textId="77777777" w:rsidR="00116645" w:rsidRPr="001D4A2E" w:rsidRDefault="00116645" w:rsidP="001D4A2E">
      <w:pPr>
        <w:rPr>
          <w:rFonts w:ascii="微软雅黑" w:eastAsia="微软雅黑" w:hAnsi="微软雅黑"/>
        </w:rPr>
      </w:pPr>
    </w:p>
    <w:sectPr w:rsidR="00116645" w:rsidRPr="001D4A2E">
      <w:pgSz w:w="11906" w:h="16838"/>
      <w:pgMar w:top="1440" w:right="1800" w:bottom="1440" w:left="1800" w:header="720" w:footer="720"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11A0023"/>
    <w:multiLevelType w:val="multilevel"/>
    <w:tmpl w:val="DAFEF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6645"/>
    <w:rsid w:val="00116645"/>
    <w:rsid w:val="001D4A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E9AAB2"/>
  <w15:chartTrackingRefBased/>
  <w15:docId w15:val="{42174035-0228-470B-A111-3D5A216086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1D4A2E"/>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0"/>
    <w:uiPriority w:val="9"/>
    <w:qFormat/>
    <w:rsid w:val="001D4A2E"/>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link w:val="30"/>
    <w:uiPriority w:val="9"/>
    <w:qFormat/>
    <w:rsid w:val="001D4A2E"/>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link w:val="40"/>
    <w:uiPriority w:val="9"/>
    <w:qFormat/>
    <w:rsid w:val="001D4A2E"/>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D4A2E"/>
    <w:rPr>
      <w:rFonts w:ascii="宋体" w:eastAsia="宋体" w:hAnsi="宋体" w:cs="宋体"/>
      <w:b/>
      <w:bCs/>
      <w:kern w:val="36"/>
      <w:sz w:val="48"/>
      <w:szCs w:val="48"/>
    </w:rPr>
  </w:style>
  <w:style w:type="character" w:customStyle="1" w:styleId="20">
    <w:name w:val="标题 2 字符"/>
    <w:basedOn w:val="a0"/>
    <w:link w:val="2"/>
    <w:uiPriority w:val="9"/>
    <w:rsid w:val="001D4A2E"/>
    <w:rPr>
      <w:rFonts w:ascii="宋体" w:eastAsia="宋体" w:hAnsi="宋体" w:cs="宋体"/>
      <w:b/>
      <w:bCs/>
      <w:kern w:val="0"/>
      <w:sz w:val="36"/>
      <w:szCs w:val="36"/>
    </w:rPr>
  </w:style>
  <w:style w:type="character" w:customStyle="1" w:styleId="30">
    <w:name w:val="标题 3 字符"/>
    <w:basedOn w:val="a0"/>
    <w:link w:val="3"/>
    <w:uiPriority w:val="9"/>
    <w:rsid w:val="001D4A2E"/>
    <w:rPr>
      <w:rFonts w:ascii="宋体" w:eastAsia="宋体" w:hAnsi="宋体" w:cs="宋体"/>
      <w:b/>
      <w:bCs/>
      <w:kern w:val="0"/>
      <w:sz w:val="27"/>
      <w:szCs w:val="27"/>
    </w:rPr>
  </w:style>
  <w:style w:type="character" w:customStyle="1" w:styleId="40">
    <w:name w:val="标题 4 字符"/>
    <w:basedOn w:val="a0"/>
    <w:link w:val="4"/>
    <w:uiPriority w:val="9"/>
    <w:rsid w:val="001D4A2E"/>
    <w:rPr>
      <w:rFonts w:ascii="宋体" w:eastAsia="宋体" w:hAnsi="宋体" w:cs="宋体"/>
      <w:b/>
      <w:bCs/>
      <w:kern w:val="0"/>
      <w:sz w:val="24"/>
      <w:szCs w:val="24"/>
    </w:rPr>
  </w:style>
  <w:style w:type="paragraph" w:customStyle="1" w:styleId="msonormal0">
    <w:name w:val="msonormal"/>
    <w:basedOn w:val="a"/>
    <w:rsid w:val="001D4A2E"/>
    <w:pPr>
      <w:widowControl/>
      <w:spacing w:before="100" w:beforeAutospacing="1" w:after="100" w:afterAutospacing="1"/>
      <w:jc w:val="left"/>
    </w:pPr>
    <w:rPr>
      <w:rFonts w:ascii="宋体" w:eastAsia="宋体" w:hAnsi="宋体" w:cs="宋体"/>
      <w:kern w:val="0"/>
      <w:sz w:val="24"/>
      <w:szCs w:val="24"/>
    </w:rPr>
  </w:style>
  <w:style w:type="character" w:styleId="a3">
    <w:name w:val="Hyperlink"/>
    <w:basedOn w:val="a0"/>
    <w:uiPriority w:val="99"/>
    <w:semiHidden/>
    <w:unhideWhenUsed/>
    <w:rsid w:val="001D4A2E"/>
    <w:rPr>
      <w:color w:val="0000FF"/>
      <w:u w:val="single"/>
    </w:rPr>
  </w:style>
  <w:style w:type="character" w:styleId="a4">
    <w:name w:val="FollowedHyperlink"/>
    <w:basedOn w:val="a0"/>
    <w:uiPriority w:val="99"/>
    <w:semiHidden/>
    <w:unhideWhenUsed/>
    <w:rsid w:val="001D4A2E"/>
    <w:rPr>
      <w:color w:val="800080"/>
      <w:u w:val="single"/>
    </w:rPr>
  </w:style>
  <w:style w:type="character" w:customStyle="1" w:styleId="name">
    <w:name w:val="name"/>
    <w:basedOn w:val="a0"/>
    <w:rsid w:val="001D4A2E"/>
  </w:style>
  <w:style w:type="paragraph" w:styleId="a5">
    <w:name w:val="Normal (Web)"/>
    <w:basedOn w:val="a"/>
    <w:uiPriority w:val="99"/>
    <w:semiHidden/>
    <w:unhideWhenUsed/>
    <w:rsid w:val="001D4A2E"/>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1D4A2E"/>
    <w:rPr>
      <w:b/>
      <w:bCs/>
    </w:rPr>
  </w:style>
  <w:style w:type="character" w:styleId="a7">
    <w:name w:val="Emphasis"/>
    <w:basedOn w:val="a0"/>
    <w:uiPriority w:val="20"/>
    <w:qFormat/>
    <w:rsid w:val="001D4A2E"/>
    <w:rPr>
      <w:i/>
      <w:iCs/>
    </w:rPr>
  </w:style>
  <w:style w:type="paragraph" w:customStyle="1" w:styleId="img-box">
    <w:name w:val="img-box"/>
    <w:basedOn w:val="a"/>
    <w:rsid w:val="001D4A2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9278989">
      <w:bodyDiv w:val="1"/>
      <w:marLeft w:val="0"/>
      <w:marRight w:val="0"/>
      <w:marTop w:val="0"/>
      <w:marBottom w:val="0"/>
      <w:divBdr>
        <w:top w:val="none" w:sz="0" w:space="0" w:color="auto"/>
        <w:left w:val="none" w:sz="0" w:space="0" w:color="auto"/>
        <w:bottom w:val="none" w:sz="0" w:space="0" w:color="auto"/>
        <w:right w:val="none" w:sz="0" w:space="0" w:color="auto"/>
      </w:divBdr>
      <w:divsChild>
        <w:div w:id="1919359357">
          <w:marLeft w:val="0"/>
          <w:marRight w:val="0"/>
          <w:marTop w:val="0"/>
          <w:marBottom w:val="0"/>
          <w:divBdr>
            <w:top w:val="none" w:sz="0" w:space="0" w:color="auto"/>
            <w:left w:val="none" w:sz="0" w:space="0" w:color="auto"/>
            <w:bottom w:val="none" w:sz="0" w:space="0" w:color="auto"/>
            <w:right w:val="none" w:sz="0" w:space="0" w:color="auto"/>
          </w:divBdr>
          <w:divsChild>
            <w:div w:id="2128354532">
              <w:marLeft w:val="0"/>
              <w:marRight w:val="0"/>
              <w:marTop w:val="225"/>
              <w:marBottom w:val="0"/>
              <w:divBdr>
                <w:top w:val="none" w:sz="0" w:space="0" w:color="auto"/>
                <w:left w:val="none" w:sz="0" w:space="0" w:color="auto"/>
                <w:bottom w:val="none" w:sz="0" w:space="0" w:color="auto"/>
                <w:right w:val="none" w:sz="0" w:space="0" w:color="auto"/>
              </w:divBdr>
            </w:div>
            <w:div w:id="262350370">
              <w:marLeft w:val="0"/>
              <w:marRight w:val="0"/>
              <w:marTop w:val="0"/>
              <w:marBottom w:val="0"/>
              <w:divBdr>
                <w:top w:val="none" w:sz="0" w:space="0" w:color="auto"/>
                <w:left w:val="none" w:sz="0" w:space="0" w:color="auto"/>
                <w:bottom w:val="none" w:sz="0" w:space="0" w:color="auto"/>
                <w:right w:val="none" w:sz="0" w:space="0" w:color="auto"/>
              </w:divBdr>
            </w:div>
          </w:divsChild>
        </w:div>
        <w:div w:id="1895700724">
          <w:marLeft w:val="0"/>
          <w:marRight w:val="0"/>
          <w:marTop w:val="450"/>
          <w:marBottom w:val="0"/>
          <w:divBdr>
            <w:top w:val="none" w:sz="0" w:space="0" w:color="auto"/>
            <w:left w:val="none" w:sz="0" w:space="0" w:color="auto"/>
            <w:bottom w:val="none" w:sz="0" w:space="0" w:color="auto"/>
            <w:right w:val="none" w:sz="0" w:space="0" w:color="auto"/>
          </w:divBdr>
        </w:div>
        <w:div w:id="1563565018">
          <w:marLeft w:val="0"/>
          <w:marRight w:val="0"/>
          <w:marTop w:val="450"/>
          <w:marBottom w:val="0"/>
          <w:divBdr>
            <w:top w:val="none" w:sz="0" w:space="0" w:color="auto"/>
            <w:left w:val="none" w:sz="0" w:space="0" w:color="auto"/>
            <w:bottom w:val="none" w:sz="0" w:space="0" w:color="auto"/>
            <w:right w:val="none" w:sz="0" w:space="0" w:color="auto"/>
          </w:divBdr>
        </w:div>
        <w:div w:id="604271828">
          <w:marLeft w:val="0"/>
          <w:marRight w:val="0"/>
          <w:marTop w:val="450"/>
          <w:marBottom w:val="0"/>
          <w:divBdr>
            <w:top w:val="none" w:sz="0" w:space="0" w:color="auto"/>
            <w:left w:val="none" w:sz="0" w:space="0" w:color="auto"/>
            <w:bottom w:val="none" w:sz="0" w:space="0" w:color="auto"/>
            <w:right w:val="none" w:sz="0" w:space="0" w:color="auto"/>
          </w:divBdr>
        </w:div>
        <w:div w:id="463699934">
          <w:marLeft w:val="0"/>
          <w:marRight w:val="0"/>
          <w:marTop w:val="450"/>
          <w:marBottom w:val="0"/>
          <w:divBdr>
            <w:top w:val="none" w:sz="0" w:space="0" w:color="auto"/>
            <w:left w:val="none" w:sz="0" w:space="0" w:color="auto"/>
            <w:bottom w:val="none" w:sz="0" w:space="0" w:color="auto"/>
            <w:right w:val="none" w:sz="0" w:space="0" w:color="auto"/>
          </w:divBdr>
        </w:div>
        <w:div w:id="2121605260">
          <w:marLeft w:val="0"/>
          <w:marRight w:val="0"/>
          <w:marTop w:val="450"/>
          <w:marBottom w:val="0"/>
          <w:divBdr>
            <w:top w:val="none" w:sz="0" w:space="0" w:color="auto"/>
            <w:left w:val="none" w:sz="0" w:space="0" w:color="auto"/>
            <w:bottom w:val="none" w:sz="0" w:space="0" w:color="auto"/>
            <w:right w:val="none" w:sz="0" w:space="0" w:color="auto"/>
          </w:divBdr>
          <w:divsChild>
            <w:div w:id="451169325">
              <w:marLeft w:val="0"/>
              <w:marRight w:val="0"/>
              <w:marTop w:val="0"/>
              <w:marBottom w:val="0"/>
              <w:divBdr>
                <w:top w:val="none" w:sz="0" w:space="0" w:color="auto"/>
                <w:left w:val="none" w:sz="0" w:space="0" w:color="auto"/>
                <w:bottom w:val="none" w:sz="0" w:space="0" w:color="auto"/>
                <w:right w:val="none" w:sz="0" w:space="0" w:color="auto"/>
              </w:divBdr>
            </w:div>
          </w:divsChild>
        </w:div>
        <w:div w:id="698895815">
          <w:marLeft w:val="0"/>
          <w:marRight w:val="0"/>
          <w:marTop w:val="450"/>
          <w:marBottom w:val="0"/>
          <w:divBdr>
            <w:top w:val="none" w:sz="0" w:space="0" w:color="auto"/>
            <w:left w:val="none" w:sz="0" w:space="0" w:color="auto"/>
            <w:bottom w:val="none" w:sz="0" w:space="0" w:color="auto"/>
            <w:right w:val="none" w:sz="0" w:space="0" w:color="auto"/>
          </w:divBdr>
        </w:div>
        <w:div w:id="1935244869">
          <w:marLeft w:val="0"/>
          <w:marRight w:val="0"/>
          <w:marTop w:val="450"/>
          <w:marBottom w:val="0"/>
          <w:divBdr>
            <w:top w:val="none" w:sz="0" w:space="0" w:color="auto"/>
            <w:left w:val="none" w:sz="0" w:space="0" w:color="auto"/>
            <w:bottom w:val="none" w:sz="0" w:space="0" w:color="auto"/>
            <w:right w:val="none" w:sz="0" w:space="0" w:color="auto"/>
          </w:divBdr>
        </w:div>
        <w:div w:id="1025249866">
          <w:marLeft w:val="0"/>
          <w:marRight w:val="0"/>
          <w:marTop w:val="450"/>
          <w:marBottom w:val="0"/>
          <w:divBdr>
            <w:top w:val="none" w:sz="0" w:space="0" w:color="auto"/>
            <w:left w:val="none" w:sz="0" w:space="0" w:color="auto"/>
            <w:bottom w:val="none" w:sz="0" w:space="0" w:color="auto"/>
            <w:right w:val="none" w:sz="0" w:space="0" w:color="auto"/>
          </w:divBdr>
        </w:div>
        <w:div w:id="659039587">
          <w:marLeft w:val="0"/>
          <w:marRight w:val="0"/>
          <w:marTop w:val="450"/>
          <w:marBottom w:val="0"/>
          <w:divBdr>
            <w:top w:val="none" w:sz="0" w:space="0" w:color="auto"/>
            <w:left w:val="none" w:sz="0" w:space="0" w:color="auto"/>
            <w:bottom w:val="none" w:sz="0" w:space="0" w:color="auto"/>
            <w:right w:val="none" w:sz="0" w:space="0" w:color="auto"/>
          </w:divBdr>
        </w:div>
        <w:div w:id="1217814646">
          <w:marLeft w:val="0"/>
          <w:marRight w:val="0"/>
          <w:marTop w:val="450"/>
          <w:marBottom w:val="0"/>
          <w:divBdr>
            <w:top w:val="none" w:sz="0" w:space="0" w:color="auto"/>
            <w:left w:val="none" w:sz="0" w:space="0" w:color="auto"/>
            <w:bottom w:val="none" w:sz="0" w:space="0" w:color="auto"/>
            <w:right w:val="none" w:sz="0" w:space="0" w:color="auto"/>
          </w:divBdr>
        </w:div>
        <w:div w:id="1246840455">
          <w:marLeft w:val="0"/>
          <w:marRight w:val="0"/>
          <w:marTop w:val="450"/>
          <w:marBottom w:val="0"/>
          <w:divBdr>
            <w:top w:val="none" w:sz="0" w:space="0" w:color="auto"/>
            <w:left w:val="none" w:sz="0" w:space="0" w:color="auto"/>
            <w:bottom w:val="none" w:sz="0" w:space="0" w:color="auto"/>
            <w:right w:val="none" w:sz="0" w:space="0" w:color="auto"/>
          </w:divBdr>
          <w:divsChild>
            <w:div w:id="95833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pmc.ncbi.nlm.nih.gov/articles/PMC10986181/" TargetMode="External"/><Relationship Id="rId21" Type="http://schemas.openxmlformats.org/officeDocument/2006/relationships/hyperlink" Target="https://pmc.ncbi.nlm.nih.gov/articles/PMC10986181/" TargetMode="External"/><Relationship Id="rId42" Type="http://schemas.openxmlformats.org/officeDocument/2006/relationships/hyperlink" Target="https://clinicaltrials.gov/ct2/show/NCT04964934" TargetMode="External"/><Relationship Id="rId63" Type="http://schemas.openxmlformats.org/officeDocument/2006/relationships/hyperlink" Target="https://pmc.ncbi.nlm.nih.gov/articles/PMC10986181/" TargetMode="External"/><Relationship Id="rId84" Type="http://schemas.openxmlformats.org/officeDocument/2006/relationships/hyperlink" Target="https://pmc.ncbi.nlm.nih.gov/articles/PMC10986181/" TargetMode="External"/><Relationship Id="rId138" Type="http://schemas.openxmlformats.org/officeDocument/2006/relationships/hyperlink" Target="https://pmc.ncbi.nlm.nih.gov/articles/PMC10986181/" TargetMode="External"/><Relationship Id="rId159" Type="http://schemas.openxmlformats.org/officeDocument/2006/relationships/hyperlink" Target="https://pmc.ncbi.nlm.nih.gov/articles/PMC10986181/" TargetMode="External"/><Relationship Id="rId170" Type="http://schemas.openxmlformats.org/officeDocument/2006/relationships/hyperlink" Target="https://pmc.ncbi.nlm.nih.gov/articles/PMC10986181/" TargetMode="External"/><Relationship Id="rId107" Type="http://schemas.openxmlformats.org/officeDocument/2006/relationships/hyperlink" Target="https://pmc.ncbi.nlm.nih.gov/articles/PMC10986181/" TargetMode="External"/><Relationship Id="rId11" Type="http://schemas.openxmlformats.org/officeDocument/2006/relationships/hyperlink" Target="https://pmc.ncbi.nlm.nih.gov/articles/PMC10986181/" TargetMode="External"/><Relationship Id="rId32" Type="http://schemas.openxmlformats.org/officeDocument/2006/relationships/hyperlink" Target="https://pmc.ncbi.nlm.nih.gov/articles/PMC10986181/" TargetMode="External"/><Relationship Id="rId53" Type="http://schemas.openxmlformats.org/officeDocument/2006/relationships/hyperlink" Target="https://www.ncbi.nlm.nih.gov/core/lw/2.0/html/tileshop_pmc/tileshop_pmc_inline.html?title=Click%20on%20image%20to%20zoom&amp;p=PMC3&amp;id=10986181_fendo-15-1298423-g002.jpg" TargetMode="External"/><Relationship Id="rId74" Type="http://schemas.openxmlformats.org/officeDocument/2006/relationships/hyperlink" Target="https://pmc.ncbi.nlm.nih.gov/articles/PMC10986181/" TargetMode="External"/><Relationship Id="rId128" Type="http://schemas.openxmlformats.org/officeDocument/2006/relationships/hyperlink" Target="https://pmc.ncbi.nlm.nih.gov/articles/PMC10986181/" TargetMode="External"/><Relationship Id="rId149" Type="http://schemas.openxmlformats.org/officeDocument/2006/relationships/hyperlink" Target="https://pmc.ncbi.nlm.nih.gov/articles/PMC10986181/" TargetMode="External"/><Relationship Id="rId5" Type="http://schemas.openxmlformats.org/officeDocument/2006/relationships/hyperlink" Target="https://pmc.ncbi.nlm.nih.gov/articles/PMC10986181/" TargetMode="External"/><Relationship Id="rId95" Type="http://schemas.openxmlformats.org/officeDocument/2006/relationships/hyperlink" Target="https://pmc.ncbi.nlm.nih.gov/articles/PMC10986181/" TargetMode="External"/><Relationship Id="rId160" Type="http://schemas.openxmlformats.org/officeDocument/2006/relationships/hyperlink" Target="https://pmc.ncbi.nlm.nih.gov/articles/PMC10986181/" TargetMode="External"/><Relationship Id="rId22" Type="http://schemas.openxmlformats.org/officeDocument/2006/relationships/hyperlink" Target="https://pmc.ncbi.nlm.nih.gov/articles/PMC10986181/" TargetMode="External"/><Relationship Id="rId43" Type="http://schemas.openxmlformats.org/officeDocument/2006/relationships/hyperlink" Target="https://clinicaltrials.gov/ct2/show/NCT03054363" TargetMode="External"/><Relationship Id="rId64" Type="http://schemas.openxmlformats.org/officeDocument/2006/relationships/hyperlink" Target="https://pmc.ncbi.nlm.nih.gov/articles/PMC10986181/" TargetMode="External"/><Relationship Id="rId118" Type="http://schemas.openxmlformats.org/officeDocument/2006/relationships/hyperlink" Target="https://pmc.ncbi.nlm.nih.gov/articles/PMC10986181/" TargetMode="External"/><Relationship Id="rId139" Type="http://schemas.openxmlformats.org/officeDocument/2006/relationships/hyperlink" Target="https://pmc.ncbi.nlm.nih.gov/articles/PMC10986181/" TargetMode="External"/><Relationship Id="rId85" Type="http://schemas.openxmlformats.org/officeDocument/2006/relationships/hyperlink" Target="https://pmc.ncbi.nlm.nih.gov/articles/PMC10986181/" TargetMode="External"/><Relationship Id="rId150" Type="http://schemas.openxmlformats.org/officeDocument/2006/relationships/hyperlink" Target="https://pmc.ncbi.nlm.nih.gov/articles/PMC10986181/" TargetMode="External"/><Relationship Id="rId171" Type="http://schemas.openxmlformats.org/officeDocument/2006/relationships/hyperlink" Target="https://pmc.ncbi.nlm.nih.gov/articles/PMC10986181/" TargetMode="External"/><Relationship Id="rId12" Type="http://schemas.openxmlformats.org/officeDocument/2006/relationships/hyperlink" Target="https://pmc.ncbi.nlm.nih.gov/articles/PMC10986181/" TargetMode="External"/><Relationship Id="rId33" Type="http://schemas.openxmlformats.org/officeDocument/2006/relationships/hyperlink" Target="https://clinicaltrials.gov/ct2/show/NCT03285412" TargetMode="External"/><Relationship Id="rId108" Type="http://schemas.openxmlformats.org/officeDocument/2006/relationships/hyperlink" Target="https://pmc.ncbi.nlm.nih.gov/articles/PMC10986181/" TargetMode="External"/><Relationship Id="rId129" Type="http://schemas.openxmlformats.org/officeDocument/2006/relationships/hyperlink" Target="https://pmc.ncbi.nlm.nih.gov/articles/PMC10986181/" TargetMode="External"/><Relationship Id="rId54" Type="http://schemas.openxmlformats.org/officeDocument/2006/relationships/image" Target="media/image2.jpeg"/><Relationship Id="rId75" Type="http://schemas.openxmlformats.org/officeDocument/2006/relationships/hyperlink" Target="https://pmc.ncbi.nlm.nih.gov/articles/PMC10986181/" TargetMode="External"/><Relationship Id="rId96" Type="http://schemas.openxmlformats.org/officeDocument/2006/relationships/hyperlink" Target="https://pmc.ncbi.nlm.nih.gov/articles/PMC10986181/" TargetMode="External"/><Relationship Id="rId140" Type="http://schemas.openxmlformats.org/officeDocument/2006/relationships/hyperlink" Target="https://pmc.ncbi.nlm.nih.gov/articles/PMC10986181/" TargetMode="External"/><Relationship Id="rId161" Type="http://schemas.openxmlformats.org/officeDocument/2006/relationships/hyperlink" Target="https://pmc.ncbi.nlm.nih.gov/articles/PMC10986181/" TargetMode="External"/><Relationship Id="rId6" Type="http://schemas.openxmlformats.org/officeDocument/2006/relationships/hyperlink" Target="https://pmc.ncbi.nlm.nih.gov/articles/PMC10986181/" TargetMode="External"/><Relationship Id="rId23" Type="http://schemas.openxmlformats.org/officeDocument/2006/relationships/hyperlink" Target="https://pmc.ncbi.nlm.nih.gov/articles/PMC10986181/" TargetMode="External"/><Relationship Id="rId28" Type="http://schemas.openxmlformats.org/officeDocument/2006/relationships/hyperlink" Target="https://pmc.ncbi.nlm.nih.gov/articles/PMC10986181/" TargetMode="External"/><Relationship Id="rId49" Type="http://schemas.openxmlformats.org/officeDocument/2006/relationships/hyperlink" Target="https://pmc.ncbi.nlm.nih.gov/articles/PMC10986181/" TargetMode="External"/><Relationship Id="rId114" Type="http://schemas.openxmlformats.org/officeDocument/2006/relationships/hyperlink" Target="https://pmc.ncbi.nlm.nih.gov/articles/PMC10986181/" TargetMode="External"/><Relationship Id="rId119" Type="http://schemas.openxmlformats.org/officeDocument/2006/relationships/hyperlink" Target="https://pmc.ncbi.nlm.nih.gov/articles/PMC10986181/" TargetMode="External"/><Relationship Id="rId44" Type="http://schemas.openxmlformats.org/officeDocument/2006/relationships/hyperlink" Target="https://pmc.ncbi.nlm.nih.gov/articles/PMC10986181/" TargetMode="External"/><Relationship Id="rId60" Type="http://schemas.openxmlformats.org/officeDocument/2006/relationships/hyperlink" Target="https://pmc.ncbi.nlm.nih.gov/articles/PMC10986181/" TargetMode="External"/><Relationship Id="rId65" Type="http://schemas.openxmlformats.org/officeDocument/2006/relationships/hyperlink" Target="https://pmc.ncbi.nlm.nih.gov/articles/PMC10986181/" TargetMode="External"/><Relationship Id="rId81" Type="http://schemas.openxmlformats.org/officeDocument/2006/relationships/hyperlink" Target="https://pmc.ncbi.nlm.nih.gov/articles/PMC10986181/" TargetMode="External"/><Relationship Id="rId86" Type="http://schemas.openxmlformats.org/officeDocument/2006/relationships/hyperlink" Target="https://clinicaltrials.gov/ct2/show/NCT02333890" TargetMode="External"/><Relationship Id="rId130" Type="http://schemas.openxmlformats.org/officeDocument/2006/relationships/hyperlink" Target="https://pmc.ncbi.nlm.nih.gov/articles/PMC10986181/" TargetMode="External"/><Relationship Id="rId135" Type="http://schemas.openxmlformats.org/officeDocument/2006/relationships/hyperlink" Target="https://pmc.ncbi.nlm.nih.gov/articles/PMC10986181/" TargetMode="External"/><Relationship Id="rId151" Type="http://schemas.openxmlformats.org/officeDocument/2006/relationships/hyperlink" Target="https://pmc.ncbi.nlm.nih.gov/articles/PMC10986181/" TargetMode="External"/><Relationship Id="rId156" Type="http://schemas.openxmlformats.org/officeDocument/2006/relationships/hyperlink" Target="https://pmc.ncbi.nlm.nih.gov/articles/PMC10986181/" TargetMode="External"/><Relationship Id="rId177" Type="http://schemas.openxmlformats.org/officeDocument/2006/relationships/hyperlink" Target="https://pmc.ncbi.nlm.nih.gov/articles/PMC10986181/" TargetMode="External"/><Relationship Id="rId172" Type="http://schemas.openxmlformats.org/officeDocument/2006/relationships/hyperlink" Target="https://pmc.ncbi.nlm.nih.gov/articles/PMC10986181/" TargetMode="External"/><Relationship Id="rId13" Type="http://schemas.openxmlformats.org/officeDocument/2006/relationships/hyperlink" Target="https://pmc.ncbi.nlm.nih.gov/articles/PMC10986181/" TargetMode="External"/><Relationship Id="rId18" Type="http://schemas.openxmlformats.org/officeDocument/2006/relationships/hyperlink" Target="https://pmc.ncbi.nlm.nih.gov/articles/PMC10986181/" TargetMode="External"/><Relationship Id="rId39" Type="http://schemas.openxmlformats.org/officeDocument/2006/relationships/hyperlink" Target="https://clinicaltrials.gov/ct2/show/NCT05262400" TargetMode="External"/><Relationship Id="rId109" Type="http://schemas.openxmlformats.org/officeDocument/2006/relationships/hyperlink" Target="https://pmc.ncbi.nlm.nih.gov/articles/PMC10986181/" TargetMode="External"/><Relationship Id="rId34" Type="http://schemas.openxmlformats.org/officeDocument/2006/relationships/hyperlink" Target="https://clinicaltrials.gov/ct2/show/NCT01709370" TargetMode="External"/><Relationship Id="rId50" Type="http://schemas.openxmlformats.org/officeDocument/2006/relationships/hyperlink" Target="https://pmc.ncbi.nlm.nih.gov/articles/PMC10986181/" TargetMode="External"/><Relationship Id="rId55" Type="http://schemas.openxmlformats.org/officeDocument/2006/relationships/hyperlink" Target="https://pmc.ncbi.nlm.nih.gov/articles/PMC10986181/" TargetMode="External"/><Relationship Id="rId76" Type="http://schemas.openxmlformats.org/officeDocument/2006/relationships/hyperlink" Target="https://pmc.ncbi.nlm.nih.gov/articles/PMC10986181/" TargetMode="External"/><Relationship Id="rId97" Type="http://schemas.openxmlformats.org/officeDocument/2006/relationships/hyperlink" Target="https://pmc.ncbi.nlm.nih.gov/articles/PMC10986181/" TargetMode="External"/><Relationship Id="rId104" Type="http://schemas.openxmlformats.org/officeDocument/2006/relationships/hyperlink" Target="https://pmc.ncbi.nlm.nih.gov/articles/PMC10986181/" TargetMode="External"/><Relationship Id="rId120" Type="http://schemas.openxmlformats.org/officeDocument/2006/relationships/hyperlink" Target="https://pmc.ncbi.nlm.nih.gov/articles/PMC10986181/" TargetMode="External"/><Relationship Id="rId125" Type="http://schemas.openxmlformats.org/officeDocument/2006/relationships/hyperlink" Target="https://pmc.ncbi.nlm.nih.gov/articles/PMC10986181/" TargetMode="External"/><Relationship Id="rId141" Type="http://schemas.openxmlformats.org/officeDocument/2006/relationships/hyperlink" Target="https://pmc.ncbi.nlm.nih.gov/articles/PMC10986181/" TargetMode="External"/><Relationship Id="rId146" Type="http://schemas.openxmlformats.org/officeDocument/2006/relationships/hyperlink" Target="https://pmc.ncbi.nlm.nih.gov/articles/PMC10986181/" TargetMode="External"/><Relationship Id="rId167" Type="http://schemas.openxmlformats.org/officeDocument/2006/relationships/hyperlink" Target="https://pmc.ncbi.nlm.nih.gov/articles/PMC10986181/" TargetMode="External"/><Relationship Id="rId7" Type="http://schemas.openxmlformats.org/officeDocument/2006/relationships/hyperlink" Target="https://pmc.ncbi.nlm.nih.gov/articles/PMC10986181/" TargetMode="External"/><Relationship Id="rId71" Type="http://schemas.openxmlformats.org/officeDocument/2006/relationships/hyperlink" Target="https://pmc.ncbi.nlm.nih.gov/articles/PMC10986181/" TargetMode="External"/><Relationship Id="rId92" Type="http://schemas.openxmlformats.org/officeDocument/2006/relationships/hyperlink" Target="https://clinicaltrials.gov/ct2/show/NCT05953350" TargetMode="External"/><Relationship Id="rId162" Type="http://schemas.openxmlformats.org/officeDocument/2006/relationships/hyperlink" Target="https://pmc.ncbi.nlm.nih.gov/articles/PMC10986181/" TargetMode="External"/><Relationship Id="rId2" Type="http://schemas.openxmlformats.org/officeDocument/2006/relationships/styles" Target="styles.xml"/><Relationship Id="rId29" Type="http://schemas.openxmlformats.org/officeDocument/2006/relationships/hyperlink" Target="https://pmc.ncbi.nlm.nih.gov/articles/PMC10986181/" TargetMode="External"/><Relationship Id="rId24" Type="http://schemas.openxmlformats.org/officeDocument/2006/relationships/hyperlink" Target="https://www.ncbi.nlm.nih.gov/core/lw/2.0/html/tileshop_pmc/tileshop_pmc_inline.html?title=Click%20on%20image%20to%20zoom&amp;p=PMC3&amp;id=10986181_fendo-15-1298423-g001.jpg" TargetMode="External"/><Relationship Id="rId40" Type="http://schemas.openxmlformats.org/officeDocument/2006/relationships/hyperlink" Target="https://clinicaltrials.gov/ct2/show/NCT01723774" TargetMode="External"/><Relationship Id="rId45" Type="http://schemas.openxmlformats.org/officeDocument/2006/relationships/hyperlink" Target="https://pmc.ncbi.nlm.nih.gov/articles/PMC10986181/" TargetMode="External"/><Relationship Id="rId66" Type="http://schemas.openxmlformats.org/officeDocument/2006/relationships/hyperlink" Target="https://pmc.ncbi.nlm.nih.gov/articles/PMC10986181/" TargetMode="External"/><Relationship Id="rId87" Type="http://schemas.openxmlformats.org/officeDocument/2006/relationships/hyperlink" Target="https://pmc.ncbi.nlm.nih.gov/articles/PMC10986181/" TargetMode="External"/><Relationship Id="rId110" Type="http://schemas.openxmlformats.org/officeDocument/2006/relationships/hyperlink" Target="https://pmc.ncbi.nlm.nih.gov/articles/PMC10986181/" TargetMode="External"/><Relationship Id="rId115" Type="http://schemas.openxmlformats.org/officeDocument/2006/relationships/hyperlink" Target="https://pmc.ncbi.nlm.nih.gov/articles/PMC10986181/" TargetMode="External"/><Relationship Id="rId131" Type="http://schemas.openxmlformats.org/officeDocument/2006/relationships/hyperlink" Target="https://pmc.ncbi.nlm.nih.gov/articles/PMC10986181/" TargetMode="External"/><Relationship Id="rId136" Type="http://schemas.openxmlformats.org/officeDocument/2006/relationships/hyperlink" Target="https://pmc.ncbi.nlm.nih.gov/articles/PMC10986181/" TargetMode="External"/><Relationship Id="rId157" Type="http://schemas.openxmlformats.org/officeDocument/2006/relationships/hyperlink" Target="https://pmc.ncbi.nlm.nih.gov/articles/PMC10986181/" TargetMode="External"/><Relationship Id="rId178" Type="http://schemas.openxmlformats.org/officeDocument/2006/relationships/fontTable" Target="fontTable.xml"/><Relationship Id="rId61" Type="http://schemas.openxmlformats.org/officeDocument/2006/relationships/hyperlink" Target="https://pmc.ncbi.nlm.nih.gov/articles/PMC10986181/" TargetMode="External"/><Relationship Id="rId82" Type="http://schemas.openxmlformats.org/officeDocument/2006/relationships/hyperlink" Target="https://pmc.ncbi.nlm.nih.gov/articles/PMC10986181/" TargetMode="External"/><Relationship Id="rId152" Type="http://schemas.openxmlformats.org/officeDocument/2006/relationships/hyperlink" Target="https://pmc.ncbi.nlm.nih.gov/articles/PMC10986181/" TargetMode="External"/><Relationship Id="rId173" Type="http://schemas.openxmlformats.org/officeDocument/2006/relationships/hyperlink" Target="https://pmc.ncbi.nlm.nih.gov/articles/PMC10986181/" TargetMode="External"/><Relationship Id="rId19" Type="http://schemas.openxmlformats.org/officeDocument/2006/relationships/hyperlink" Target="https://pmc.ncbi.nlm.nih.gov/articles/PMC10986181/" TargetMode="External"/><Relationship Id="rId14" Type="http://schemas.openxmlformats.org/officeDocument/2006/relationships/hyperlink" Target="https://pmc.ncbi.nlm.nih.gov/articles/PMC10986181/" TargetMode="External"/><Relationship Id="rId30" Type="http://schemas.openxmlformats.org/officeDocument/2006/relationships/hyperlink" Target="https://pmc.ncbi.nlm.nih.gov/articles/PMC10986181/" TargetMode="External"/><Relationship Id="rId35" Type="http://schemas.openxmlformats.org/officeDocument/2006/relationships/hyperlink" Target="https://clinicaltrials.gov/ct2/show/NCT05766410" TargetMode="External"/><Relationship Id="rId56" Type="http://schemas.openxmlformats.org/officeDocument/2006/relationships/hyperlink" Target="https://pmc.ncbi.nlm.nih.gov/articles/PMC10986181/" TargetMode="External"/><Relationship Id="rId77" Type="http://schemas.openxmlformats.org/officeDocument/2006/relationships/hyperlink" Target="https://pmc.ncbi.nlm.nih.gov/articles/PMC10986181/" TargetMode="External"/><Relationship Id="rId100" Type="http://schemas.openxmlformats.org/officeDocument/2006/relationships/hyperlink" Target="https://pmc.ncbi.nlm.nih.gov/articles/PMC10986181/" TargetMode="External"/><Relationship Id="rId105" Type="http://schemas.openxmlformats.org/officeDocument/2006/relationships/hyperlink" Target="https://pmc.ncbi.nlm.nih.gov/articles/PMC10986181/" TargetMode="External"/><Relationship Id="rId126" Type="http://schemas.openxmlformats.org/officeDocument/2006/relationships/hyperlink" Target="https://pmc.ncbi.nlm.nih.gov/articles/PMC10986181/" TargetMode="External"/><Relationship Id="rId147" Type="http://schemas.openxmlformats.org/officeDocument/2006/relationships/hyperlink" Target="https://pmc.ncbi.nlm.nih.gov/articles/PMC10986181/" TargetMode="External"/><Relationship Id="rId168" Type="http://schemas.openxmlformats.org/officeDocument/2006/relationships/hyperlink" Target="https://pmc.ncbi.nlm.nih.gov/articles/PMC10986181/" TargetMode="External"/><Relationship Id="rId8" Type="http://schemas.openxmlformats.org/officeDocument/2006/relationships/hyperlink" Target="https://pmc.ncbi.nlm.nih.gov/articles/PMC10986181/" TargetMode="External"/><Relationship Id="rId51" Type="http://schemas.openxmlformats.org/officeDocument/2006/relationships/hyperlink" Target="https://pmc.ncbi.nlm.nih.gov/articles/PMC10986181/" TargetMode="External"/><Relationship Id="rId72" Type="http://schemas.openxmlformats.org/officeDocument/2006/relationships/hyperlink" Target="https://pmc.ncbi.nlm.nih.gov/articles/PMC10986181/" TargetMode="External"/><Relationship Id="rId93" Type="http://schemas.openxmlformats.org/officeDocument/2006/relationships/hyperlink" Target="https://pmc.ncbi.nlm.nih.gov/articles/PMC10986181/" TargetMode="External"/><Relationship Id="rId98" Type="http://schemas.openxmlformats.org/officeDocument/2006/relationships/hyperlink" Target="https://pmc.ncbi.nlm.nih.gov/articles/PMC10986181/" TargetMode="External"/><Relationship Id="rId121" Type="http://schemas.openxmlformats.org/officeDocument/2006/relationships/hyperlink" Target="https://pmc.ncbi.nlm.nih.gov/articles/PMC10986181/" TargetMode="External"/><Relationship Id="rId142" Type="http://schemas.openxmlformats.org/officeDocument/2006/relationships/hyperlink" Target="https://pmc.ncbi.nlm.nih.gov/articles/PMC10986181/" TargetMode="External"/><Relationship Id="rId163" Type="http://schemas.openxmlformats.org/officeDocument/2006/relationships/hyperlink" Target="https://pmc.ncbi.nlm.nih.gov/articles/PMC10986181/" TargetMode="External"/><Relationship Id="rId3" Type="http://schemas.openxmlformats.org/officeDocument/2006/relationships/settings" Target="settings.xml"/><Relationship Id="rId25" Type="http://schemas.openxmlformats.org/officeDocument/2006/relationships/image" Target="media/image1.jpeg"/><Relationship Id="rId46" Type="http://schemas.openxmlformats.org/officeDocument/2006/relationships/hyperlink" Target="https://pmc.ncbi.nlm.nih.gov/articles/PMC10986181/" TargetMode="External"/><Relationship Id="rId67" Type="http://schemas.openxmlformats.org/officeDocument/2006/relationships/hyperlink" Target="https://pmc.ncbi.nlm.nih.gov/articles/PMC10986181/" TargetMode="External"/><Relationship Id="rId116" Type="http://schemas.openxmlformats.org/officeDocument/2006/relationships/hyperlink" Target="https://pmc.ncbi.nlm.nih.gov/articles/PMC10986181/" TargetMode="External"/><Relationship Id="rId137" Type="http://schemas.openxmlformats.org/officeDocument/2006/relationships/hyperlink" Target="https://pmc.ncbi.nlm.nih.gov/articles/PMC10986181/" TargetMode="External"/><Relationship Id="rId158" Type="http://schemas.openxmlformats.org/officeDocument/2006/relationships/hyperlink" Target="https://pmc.ncbi.nlm.nih.gov/articles/PMC10986181/" TargetMode="External"/><Relationship Id="rId20" Type="http://schemas.openxmlformats.org/officeDocument/2006/relationships/hyperlink" Target="https://pmc.ncbi.nlm.nih.gov/articles/PMC10986181/" TargetMode="External"/><Relationship Id="rId41" Type="http://schemas.openxmlformats.org/officeDocument/2006/relationships/hyperlink" Target="https://clinicaltrials.gov/ct2/show/NCT05305924" TargetMode="External"/><Relationship Id="rId62" Type="http://schemas.openxmlformats.org/officeDocument/2006/relationships/hyperlink" Target="https://pmc.ncbi.nlm.nih.gov/articles/PMC10986181/" TargetMode="External"/><Relationship Id="rId83" Type="http://schemas.openxmlformats.org/officeDocument/2006/relationships/hyperlink" Target="https://pmc.ncbi.nlm.nih.gov/articles/PMC10986181/" TargetMode="External"/><Relationship Id="rId88" Type="http://schemas.openxmlformats.org/officeDocument/2006/relationships/hyperlink" Target="https://clinicaltrials.gov/ct2/show/NCT03774472" TargetMode="External"/><Relationship Id="rId111" Type="http://schemas.openxmlformats.org/officeDocument/2006/relationships/hyperlink" Target="https://pmc.ncbi.nlm.nih.gov/articles/PMC10986181/" TargetMode="External"/><Relationship Id="rId132" Type="http://schemas.openxmlformats.org/officeDocument/2006/relationships/hyperlink" Target="https://pmc.ncbi.nlm.nih.gov/articles/PMC10986181/" TargetMode="External"/><Relationship Id="rId153" Type="http://schemas.openxmlformats.org/officeDocument/2006/relationships/hyperlink" Target="https://pmc.ncbi.nlm.nih.gov/articles/PMC10986181/" TargetMode="External"/><Relationship Id="rId174" Type="http://schemas.openxmlformats.org/officeDocument/2006/relationships/hyperlink" Target="https://pmc.ncbi.nlm.nih.gov/articles/PMC10986181/" TargetMode="External"/><Relationship Id="rId179" Type="http://schemas.openxmlformats.org/officeDocument/2006/relationships/theme" Target="theme/theme1.xml"/><Relationship Id="rId15" Type="http://schemas.openxmlformats.org/officeDocument/2006/relationships/hyperlink" Target="https://pmc.ncbi.nlm.nih.gov/articles/PMC10986181/" TargetMode="External"/><Relationship Id="rId36" Type="http://schemas.openxmlformats.org/officeDocument/2006/relationships/hyperlink" Target="https://clinicaltrials.gov/ct2/show/NCT02917005" TargetMode="External"/><Relationship Id="rId57" Type="http://schemas.openxmlformats.org/officeDocument/2006/relationships/hyperlink" Target="https://pmc.ncbi.nlm.nih.gov/articles/PMC10986181/" TargetMode="External"/><Relationship Id="rId106" Type="http://schemas.openxmlformats.org/officeDocument/2006/relationships/hyperlink" Target="https://pmc.ncbi.nlm.nih.gov/articles/PMC10986181/" TargetMode="External"/><Relationship Id="rId127" Type="http://schemas.openxmlformats.org/officeDocument/2006/relationships/hyperlink" Target="https://pmc.ncbi.nlm.nih.gov/articles/PMC10986181/" TargetMode="External"/><Relationship Id="rId10" Type="http://schemas.openxmlformats.org/officeDocument/2006/relationships/hyperlink" Target="https://pmc.ncbi.nlm.nih.gov/articles/PMC10986181/" TargetMode="External"/><Relationship Id="rId31" Type="http://schemas.openxmlformats.org/officeDocument/2006/relationships/hyperlink" Target="https://pmc.ncbi.nlm.nih.gov/articles/PMC10986181/" TargetMode="External"/><Relationship Id="rId52" Type="http://schemas.openxmlformats.org/officeDocument/2006/relationships/hyperlink" Target="https://pmc.ncbi.nlm.nih.gov/articles/PMC10986181/" TargetMode="External"/><Relationship Id="rId73" Type="http://schemas.openxmlformats.org/officeDocument/2006/relationships/hyperlink" Target="https://pmc.ncbi.nlm.nih.gov/articles/PMC10986181/" TargetMode="External"/><Relationship Id="rId78" Type="http://schemas.openxmlformats.org/officeDocument/2006/relationships/hyperlink" Target="https://pmc.ncbi.nlm.nih.gov/articles/PMC10986181/" TargetMode="External"/><Relationship Id="rId94" Type="http://schemas.openxmlformats.org/officeDocument/2006/relationships/hyperlink" Target="https://pmc.ncbi.nlm.nih.gov/articles/PMC10986181/" TargetMode="External"/><Relationship Id="rId99" Type="http://schemas.openxmlformats.org/officeDocument/2006/relationships/hyperlink" Target="https://pmc.ncbi.nlm.nih.gov/articles/PMC10986181/" TargetMode="External"/><Relationship Id="rId101" Type="http://schemas.openxmlformats.org/officeDocument/2006/relationships/hyperlink" Target="https://pmc.ncbi.nlm.nih.gov/articles/PMC10986181/" TargetMode="External"/><Relationship Id="rId122" Type="http://schemas.openxmlformats.org/officeDocument/2006/relationships/hyperlink" Target="https://pmc.ncbi.nlm.nih.gov/articles/PMC10986181/" TargetMode="External"/><Relationship Id="rId143" Type="http://schemas.openxmlformats.org/officeDocument/2006/relationships/hyperlink" Target="https://pmc.ncbi.nlm.nih.gov/articles/PMC10986181/" TargetMode="External"/><Relationship Id="rId148" Type="http://schemas.openxmlformats.org/officeDocument/2006/relationships/hyperlink" Target="https://pmc.ncbi.nlm.nih.gov/articles/PMC10986181/" TargetMode="External"/><Relationship Id="rId164" Type="http://schemas.openxmlformats.org/officeDocument/2006/relationships/hyperlink" Target="https://pmc.ncbi.nlm.nih.gov/articles/PMC10986181/" TargetMode="External"/><Relationship Id="rId169" Type="http://schemas.openxmlformats.org/officeDocument/2006/relationships/hyperlink" Target="https://pmc.ncbi.nlm.nih.gov/articles/PMC10986181/" TargetMode="External"/><Relationship Id="rId4" Type="http://schemas.openxmlformats.org/officeDocument/2006/relationships/webSettings" Target="webSettings.xml"/><Relationship Id="rId9" Type="http://schemas.openxmlformats.org/officeDocument/2006/relationships/hyperlink" Target="https://pmc.ncbi.nlm.nih.gov/articles/PMC10986181/" TargetMode="External"/><Relationship Id="rId26" Type="http://schemas.openxmlformats.org/officeDocument/2006/relationships/hyperlink" Target="https://pmc.ncbi.nlm.nih.gov/articles/PMC10986181/" TargetMode="External"/><Relationship Id="rId47" Type="http://schemas.openxmlformats.org/officeDocument/2006/relationships/hyperlink" Target="https://pmc.ncbi.nlm.nih.gov/articles/PMC10986181/" TargetMode="External"/><Relationship Id="rId68" Type="http://schemas.openxmlformats.org/officeDocument/2006/relationships/hyperlink" Target="https://pmc.ncbi.nlm.nih.gov/articles/PMC10986181/" TargetMode="External"/><Relationship Id="rId89" Type="http://schemas.openxmlformats.org/officeDocument/2006/relationships/hyperlink" Target="https://clinicaltrials.gov/ct2/show/NCT04523857" TargetMode="External"/><Relationship Id="rId112" Type="http://schemas.openxmlformats.org/officeDocument/2006/relationships/hyperlink" Target="https://pmc.ncbi.nlm.nih.gov/articles/PMC10986181/" TargetMode="External"/><Relationship Id="rId133" Type="http://schemas.openxmlformats.org/officeDocument/2006/relationships/hyperlink" Target="https://pmc.ncbi.nlm.nih.gov/articles/PMC10986181/" TargetMode="External"/><Relationship Id="rId154" Type="http://schemas.openxmlformats.org/officeDocument/2006/relationships/hyperlink" Target="https://pmc.ncbi.nlm.nih.gov/articles/PMC10986181/" TargetMode="External"/><Relationship Id="rId175" Type="http://schemas.openxmlformats.org/officeDocument/2006/relationships/hyperlink" Target="https://pmc.ncbi.nlm.nih.gov/articles/PMC10986181/" TargetMode="External"/><Relationship Id="rId16" Type="http://schemas.openxmlformats.org/officeDocument/2006/relationships/hyperlink" Target="https://pmc.ncbi.nlm.nih.gov/articles/PMC10986181/" TargetMode="External"/><Relationship Id="rId37" Type="http://schemas.openxmlformats.org/officeDocument/2006/relationships/hyperlink" Target="https://clinicaltrials.gov/ct2/show/NCT05293964" TargetMode="External"/><Relationship Id="rId58" Type="http://schemas.openxmlformats.org/officeDocument/2006/relationships/hyperlink" Target="https://pmc.ncbi.nlm.nih.gov/articles/PMC10986181/" TargetMode="External"/><Relationship Id="rId79" Type="http://schemas.openxmlformats.org/officeDocument/2006/relationships/hyperlink" Target="https://pmc.ncbi.nlm.nih.gov/articles/PMC10986181/" TargetMode="External"/><Relationship Id="rId102" Type="http://schemas.openxmlformats.org/officeDocument/2006/relationships/hyperlink" Target="https://pmc.ncbi.nlm.nih.gov/articles/PMC10986181/" TargetMode="External"/><Relationship Id="rId123" Type="http://schemas.openxmlformats.org/officeDocument/2006/relationships/hyperlink" Target="https://pmc.ncbi.nlm.nih.gov/articles/PMC10986181/" TargetMode="External"/><Relationship Id="rId144" Type="http://schemas.openxmlformats.org/officeDocument/2006/relationships/hyperlink" Target="https://pmc.ncbi.nlm.nih.gov/articles/PMC10986181/" TargetMode="External"/><Relationship Id="rId90" Type="http://schemas.openxmlformats.org/officeDocument/2006/relationships/hyperlink" Target="https://clinicaltrials.gov/ct2/show/NCT04841148" TargetMode="External"/><Relationship Id="rId165" Type="http://schemas.openxmlformats.org/officeDocument/2006/relationships/hyperlink" Target="https://pmc.ncbi.nlm.nih.gov/articles/PMC10986181/" TargetMode="External"/><Relationship Id="rId27" Type="http://schemas.openxmlformats.org/officeDocument/2006/relationships/hyperlink" Target="https://pmc.ncbi.nlm.nih.gov/articles/PMC10986181/" TargetMode="External"/><Relationship Id="rId48" Type="http://schemas.openxmlformats.org/officeDocument/2006/relationships/hyperlink" Target="https://pmc.ncbi.nlm.nih.gov/articles/PMC10986181/" TargetMode="External"/><Relationship Id="rId69" Type="http://schemas.openxmlformats.org/officeDocument/2006/relationships/hyperlink" Target="https://www.ncbi.nlm.nih.gov/core/lw/2.0/html/tileshop_pmc/tileshop_pmc_inline.html?title=Click%20on%20image%20to%20zoom&amp;p=PMC3&amp;id=10986181_fendo-15-1298423-g003.jpg" TargetMode="External"/><Relationship Id="rId113" Type="http://schemas.openxmlformats.org/officeDocument/2006/relationships/hyperlink" Target="https://pmc.ncbi.nlm.nih.gov/articles/PMC10986181/" TargetMode="External"/><Relationship Id="rId134" Type="http://schemas.openxmlformats.org/officeDocument/2006/relationships/hyperlink" Target="https://pmc.ncbi.nlm.nih.gov/articles/PMC10986181/" TargetMode="External"/><Relationship Id="rId80" Type="http://schemas.openxmlformats.org/officeDocument/2006/relationships/hyperlink" Target="https://pmc.ncbi.nlm.nih.gov/articles/PMC10986181/" TargetMode="External"/><Relationship Id="rId155" Type="http://schemas.openxmlformats.org/officeDocument/2006/relationships/hyperlink" Target="https://pmc.ncbi.nlm.nih.gov/articles/PMC10986181/" TargetMode="External"/><Relationship Id="rId176" Type="http://schemas.openxmlformats.org/officeDocument/2006/relationships/hyperlink" Target="https://pmc.ncbi.nlm.nih.gov/articles/PMC10986181/" TargetMode="External"/><Relationship Id="rId17" Type="http://schemas.openxmlformats.org/officeDocument/2006/relationships/hyperlink" Target="https://pmc.ncbi.nlm.nih.gov/articles/PMC10986181/" TargetMode="External"/><Relationship Id="rId38" Type="http://schemas.openxmlformats.org/officeDocument/2006/relationships/hyperlink" Target="https://clinicaltrials.gov/ct2/show/NCT02297438" TargetMode="External"/><Relationship Id="rId59" Type="http://schemas.openxmlformats.org/officeDocument/2006/relationships/hyperlink" Target="https://pmc.ncbi.nlm.nih.gov/articles/PMC10986181/" TargetMode="External"/><Relationship Id="rId103" Type="http://schemas.openxmlformats.org/officeDocument/2006/relationships/hyperlink" Target="https://pmc.ncbi.nlm.nih.gov/articles/PMC10986181/" TargetMode="External"/><Relationship Id="rId124" Type="http://schemas.openxmlformats.org/officeDocument/2006/relationships/hyperlink" Target="https://pmc.ncbi.nlm.nih.gov/articles/PMC10986181/" TargetMode="External"/><Relationship Id="rId70" Type="http://schemas.openxmlformats.org/officeDocument/2006/relationships/image" Target="media/image3.jpeg"/><Relationship Id="rId91" Type="http://schemas.openxmlformats.org/officeDocument/2006/relationships/hyperlink" Target="https://clinicaltrials.gov/ct2/show/NCT03032406" TargetMode="External"/><Relationship Id="rId145" Type="http://schemas.openxmlformats.org/officeDocument/2006/relationships/hyperlink" Target="https://pmc.ncbi.nlm.nih.gov/articles/PMC10986181/" TargetMode="External"/><Relationship Id="rId166" Type="http://schemas.openxmlformats.org/officeDocument/2006/relationships/hyperlink" Target="https://pmc.ncbi.nlm.nih.gov/articles/PMC10986181/" TargetMode="External"/><Relationship Id="rId1"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43</Pages>
  <Words>8004</Words>
  <Characters>45628</Characters>
  <Application>Microsoft Office Word</Application>
  <DocSecurity>0</DocSecurity>
  <Lines>380</Lines>
  <Paragraphs>107</Paragraphs>
  <ScaleCrop>false</ScaleCrop>
  <Company/>
  <LinksUpToDate>false</LinksUpToDate>
  <CharactersWithSpaces>53525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放心飞</dc:creator>
  <cp:keywords/>
  <dc:description/>
  <cp:lastModifiedBy>放心飞</cp:lastModifiedBy>
  <cp:revision>2</cp:revision>
  <dcterms:created xsi:type="dcterms:W3CDTF">2026-01-04T11:15:00Z</dcterms:created>
  <dcterms:modified xsi:type="dcterms:W3CDTF">2026-01-04T11:18:00Z</dcterms:modified>
</cp:coreProperties>
</file>