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9756B7" w14:textId="77777777" w:rsidR="00736BD1" w:rsidRPr="00736BD1" w:rsidRDefault="00736BD1" w:rsidP="00736BD1">
      <w:pPr>
        <w:widowControl/>
        <w:spacing w:line="450" w:lineRule="atLeast"/>
        <w:outlineLvl w:val="0"/>
        <w:rPr>
          <w:rFonts w:ascii="微软雅黑" w:eastAsia="微软雅黑" w:hAnsi="微软雅黑" w:cs="宋体"/>
          <w:b/>
          <w:bCs/>
          <w:kern w:val="36"/>
          <w:sz w:val="36"/>
          <w:szCs w:val="36"/>
        </w:rPr>
      </w:pPr>
      <w:r w:rsidRPr="00736BD1">
        <w:rPr>
          <w:rFonts w:ascii="微软雅黑" w:eastAsia="微软雅黑" w:hAnsi="微软雅黑" w:cs="宋体"/>
          <w:b/>
          <w:bCs/>
          <w:kern w:val="36"/>
          <w:sz w:val="36"/>
          <w:szCs w:val="36"/>
        </w:rPr>
        <w:t>双重靶向 CDK4/6 和 CDK7 可增强乳腺癌模型中的肿瘤反应和抗肿瘤免疫力</w:t>
      </w:r>
    </w:p>
    <w:p w14:paraId="51999A26" w14:textId="7388C833" w:rsidR="00736BD1" w:rsidRPr="00736BD1" w:rsidRDefault="00736BD1" w:rsidP="00736BD1">
      <w:pPr>
        <w:widowControl/>
        <w:pBdr>
          <w:bottom w:val="single" w:sz="6" w:space="0" w:color="97B1C8"/>
        </w:pBdr>
        <w:spacing w:line="450" w:lineRule="atLeast"/>
        <w:outlineLvl w:val="1"/>
        <w:rPr>
          <w:rFonts w:ascii="微软雅黑" w:eastAsia="微软雅黑" w:hAnsi="微软雅黑" w:cs="宋体"/>
          <w:kern w:val="0"/>
          <w:sz w:val="34"/>
          <w:szCs w:val="34"/>
        </w:rPr>
      </w:pPr>
      <w:r w:rsidRPr="00736BD1">
        <w:rPr>
          <w:rFonts w:ascii="微软雅黑" w:eastAsia="微软雅黑" w:hAnsi="微软雅黑" w:cs="宋体" w:hint="eastAsia"/>
          <w:kern w:val="0"/>
          <w:sz w:val="34"/>
          <w:szCs w:val="34"/>
        </w:rPr>
        <w:t>摘要</w:t>
      </w:r>
    </w:p>
    <w:p w14:paraId="0CBB7781" w14:textId="77777777" w:rsidR="00736BD1" w:rsidRPr="00736BD1" w:rsidRDefault="00736BD1" w:rsidP="00736BD1">
      <w:pPr>
        <w:widowControl/>
        <w:spacing w:before="450"/>
        <w:rPr>
          <w:rFonts w:ascii="微软雅黑" w:eastAsia="微软雅黑" w:hAnsi="微软雅黑" w:cs="宋体"/>
          <w:kern w:val="0"/>
          <w:sz w:val="24"/>
          <w:szCs w:val="24"/>
        </w:rPr>
      </w:pPr>
      <w:r w:rsidRPr="00736BD1">
        <w:rPr>
          <w:rFonts w:ascii="微软雅黑" w:eastAsia="微软雅黑" w:hAnsi="微软雅黑" w:cs="宋体"/>
          <w:kern w:val="0"/>
          <w:sz w:val="24"/>
          <w:szCs w:val="24"/>
        </w:rPr>
        <w:t>细胞周期蛋白依赖性激酶4/6抑制剂（CDK4/6i）彻底改变了激素受体阳性（HR </w:t>
      </w:r>
      <w:r w:rsidRPr="00736BD1">
        <w:rPr>
          <w:rFonts w:ascii="微软雅黑" w:eastAsia="微软雅黑" w:hAnsi="微软雅黑" w:cs="宋体"/>
          <w:kern w:val="0"/>
          <w:sz w:val="24"/>
          <w:szCs w:val="24"/>
          <w:vertAlign w:val="superscript"/>
        </w:rPr>
        <w:t>+</w:t>
      </w:r>
      <w:r w:rsidRPr="00736BD1">
        <w:rPr>
          <w:rFonts w:ascii="微软雅黑" w:eastAsia="微软雅黑" w:hAnsi="微软雅黑" w:cs="宋体"/>
          <w:kern w:val="0"/>
          <w:sz w:val="24"/>
          <w:szCs w:val="24"/>
        </w:rPr>
        <w:t>）乳腺癌的治疗格局。然而，其长期疗效受限于获得性耐药，且CDK4/6i单药治疗对三阴性乳腺癌（TNBC）仍无效。本研究表明，CDK4/6和CDK7的双重抑制是克服HR </w:t>
      </w:r>
      <w:r w:rsidRPr="00736BD1">
        <w:rPr>
          <w:rFonts w:ascii="微软雅黑" w:eastAsia="微软雅黑" w:hAnsi="微软雅黑" w:cs="宋体"/>
          <w:kern w:val="0"/>
          <w:sz w:val="24"/>
          <w:szCs w:val="24"/>
          <w:vertAlign w:val="superscript"/>
        </w:rPr>
        <w:t>+</w:t>
      </w:r>
      <w:r w:rsidRPr="00736BD1">
        <w:rPr>
          <w:rFonts w:ascii="微软雅黑" w:eastAsia="微软雅黑" w:hAnsi="微软雅黑" w:cs="宋体"/>
          <w:kern w:val="0"/>
          <w:sz w:val="24"/>
          <w:szCs w:val="24"/>
        </w:rPr>
        <w:t>和TNBC模型中治疗耐药性的一种有前景的策略。动力学分析显示，CDK7抑制剂（CDK7i）主要抑制RNA聚合酶II</w:t>
      </w:r>
      <w:proofErr w:type="gramStart"/>
      <w:r w:rsidRPr="00736BD1">
        <w:rPr>
          <w:rFonts w:ascii="微软雅黑" w:eastAsia="微软雅黑" w:hAnsi="微软雅黑" w:cs="宋体"/>
          <w:kern w:val="0"/>
          <w:sz w:val="24"/>
          <w:szCs w:val="24"/>
        </w:rPr>
        <w:t>介</w:t>
      </w:r>
      <w:proofErr w:type="gramEnd"/>
      <w:r w:rsidRPr="00736BD1">
        <w:rPr>
          <w:rFonts w:ascii="微软雅黑" w:eastAsia="微软雅黑" w:hAnsi="微软雅黑" w:cs="宋体"/>
          <w:kern w:val="0"/>
          <w:sz w:val="24"/>
          <w:szCs w:val="24"/>
        </w:rPr>
        <w:t>导的转录，而非直接靶向细胞周期CDK。这种转录抑制减弱了E2F驱动的转录扩增，而E2F驱动的转录扩增是视网膜母细胞瘤蛋白降解后产生CDK4/6i耐药性的关键机制。因此，将CDK7i以最低有效浓度与CDK4/6i联合使用，可有效抑制耐药肿瘤的生长。此外，CDK4/6 和 CDK7 的双重抑制可刺激癌细胞中免疫相关信号传导和细胞因子产生，从而促进肿瘤微环境中的抗肿瘤免疫反应。这些发现为 CDK 抑制的机制提供了新的见解，并支持将 CDK7 抑制剂与 CDK4/6 抑制剂联合用于乳腺癌治疗的潜在疗效。</w:t>
      </w:r>
    </w:p>
    <w:p w14:paraId="0EE43F39" w14:textId="77777777" w:rsidR="00736BD1" w:rsidRPr="00736BD1" w:rsidRDefault="00736BD1" w:rsidP="00736BD1">
      <w:pPr>
        <w:widowControl/>
        <w:rPr>
          <w:rFonts w:ascii="微软雅黑" w:eastAsia="微软雅黑" w:hAnsi="微软雅黑" w:cs="宋体"/>
          <w:kern w:val="0"/>
          <w:sz w:val="24"/>
          <w:szCs w:val="24"/>
        </w:rPr>
      </w:pPr>
      <w:r w:rsidRPr="00736BD1">
        <w:rPr>
          <w:rFonts w:ascii="微软雅黑" w:eastAsia="微软雅黑" w:hAnsi="微软雅黑" w:cs="宋体"/>
          <w:b/>
          <w:bCs/>
          <w:kern w:val="0"/>
          <w:sz w:val="24"/>
          <w:szCs w:val="24"/>
        </w:rPr>
        <w:t>关键词：</w:t>
      </w:r>
      <w:r w:rsidRPr="00736BD1">
        <w:rPr>
          <w:rFonts w:ascii="微软雅黑" w:eastAsia="微软雅黑" w:hAnsi="微软雅黑" w:cs="宋体"/>
          <w:kern w:val="0"/>
          <w:sz w:val="24"/>
          <w:szCs w:val="24"/>
        </w:rPr>
        <w:t>细胞生物学，肿瘤学</w:t>
      </w:r>
    </w:p>
    <w:p w14:paraId="655A1963" w14:textId="77777777" w:rsidR="00736BD1" w:rsidRPr="00736BD1" w:rsidRDefault="00736BD1" w:rsidP="00736BD1">
      <w:pPr>
        <w:widowControl/>
        <w:rPr>
          <w:rFonts w:ascii="微软雅黑" w:eastAsia="微软雅黑" w:hAnsi="微软雅黑" w:cs="宋体"/>
          <w:kern w:val="0"/>
          <w:sz w:val="24"/>
          <w:szCs w:val="24"/>
        </w:rPr>
      </w:pPr>
      <w:r w:rsidRPr="00736BD1">
        <w:rPr>
          <w:rFonts w:ascii="微软雅黑" w:eastAsia="微软雅黑" w:hAnsi="微软雅黑" w:cs="宋体"/>
          <w:b/>
          <w:bCs/>
          <w:kern w:val="0"/>
          <w:sz w:val="24"/>
          <w:szCs w:val="24"/>
        </w:rPr>
        <w:t>关键词：</w:t>
      </w:r>
      <w:r w:rsidRPr="00736BD1">
        <w:rPr>
          <w:rFonts w:ascii="微软雅黑" w:eastAsia="微软雅黑" w:hAnsi="微软雅黑" w:cs="宋体"/>
          <w:kern w:val="0"/>
          <w:sz w:val="24"/>
          <w:szCs w:val="24"/>
        </w:rPr>
        <w:t>乳腺癌</w:t>
      </w:r>
    </w:p>
    <w:p w14:paraId="4C8CE732" w14:textId="77777777" w:rsidR="00736BD1" w:rsidRPr="00736BD1" w:rsidRDefault="00736BD1" w:rsidP="00736BD1">
      <w:pPr>
        <w:widowControl/>
        <w:rPr>
          <w:rFonts w:ascii="微软雅黑" w:eastAsia="微软雅黑" w:hAnsi="微软雅黑" w:cs="宋体"/>
          <w:kern w:val="0"/>
          <w:sz w:val="24"/>
          <w:szCs w:val="24"/>
        </w:rPr>
      </w:pPr>
      <w:r w:rsidRPr="00736BD1">
        <w:rPr>
          <w:rFonts w:ascii="微软雅黑" w:eastAsia="微软雅黑" w:hAnsi="微软雅黑" w:cs="宋体"/>
          <w:kern w:val="0"/>
          <w:sz w:val="24"/>
          <w:szCs w:val="24"/>
        </w:rPr>
        <w:pict w14:anchorId="13DA1500">
          <v:rect id="_x0000_i1025" style="width:0;height:0" o:hralign="center" o:hrstd="t" o:hr="t" fillcolor="#a0a0a0" stroked="f"/>
        </w:pict>
      </w:r>
    </w:p>
    <w:p w14:paraId="548E4925" w14:textId="270DC58C" w:rsidR="00736BD1" w:rsidRPr="00736BD1" w:rsidRDefault="00736BD1" w:rsidP="00736BD1">
      <w:pPr>
        <w:widowControl/>
        <w:spacing w:before="450"/>
        <w:rPr>
          <w:rFonts w:ascii="微软雅黑" w:eastAsia="微软雅黑" w:hAnsi="微软雅黑" w:cs="宋体"/>
          <w:kern w:val="0"/>
          <w:sz w:val="24"/>
          <w:szCs w:val="24"/>
        </w:rPr>
      </w:pPr>
      <w:r w:rsidRPr="00736BD1">
        <w:rPr>
          <w:rFonts w:ascii="微软雅黑" w:eastAsia="微软雅黑" w:hAnsi="微软雅黑" w:cs="宋体"/>
          <w:noProof/>
          <w:kern w:val="0"/>
          <w:sz w:val="24"/>
          <w:szCs w:val="24"/>
        </w:rPr>
        <w:lastRenderedPageBreak/>
        <w:drawing>
          <wp:inline distT="0" distB="0" distL="0" distR="0" wp14:anchorId="30644DF5" wp14:editId="58509916">
            <wp:extent cx="5274310" cy="3290570"/>
            <wp:effectExtent l="0" t="0" r="2540" b="5080"/>
            <wp:docPr id="9" name="图片 9">
              <a:hlinkClick xmlns:a="http://schemas.openxmlformats.org/drawingml/2006/main" r:id="rId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a:hlinkClick r:id="rId5" tgtFrame="&quot;_blank&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4310" cy="3290570"/>
                    </a:xfrm>
                    <a:prstGeom prst="rect">
                      <a:avLst/>
                    </a:prstGeom>
                    <a:noFill/>
                    <a:ln>
                      <a:noFill/>
                    </a:ln>
                  </pic:spPr>
                </pic:pic>
              </a:graphicData>
            </a:graphic>
          </wp:inline>
        </w:drawing>
      </w:r>
    </w:p>
    <w:p w14:paraId="7199046D" w14:textId="77777777" w:rsidR="00736BD1" w:rsidRPr="00736BD1" w:rsidRDefault="00736BD1" w:rsidP="00736BD1">
      <w:pPr>
        <w:widowControl/>
        <w:rPr>
          <w:rFonts w:ascii="微软雅黑" w:eastAsia="微软雅黑" w:hAnsi="微软雅黑" w:cs="宋体"/>
          <w:kern w:val="0"/>
          <w:sz w:val="24"/>
          <w:szCs w:val="24"/>
        </w:rPr>
      </w:pPr>
      <w:r w:rsidRPr="00736BD1">
        <w:rPr>
          <w:rFonts w:ascii="微软雅黑" w:eastAsia="微软雅黑" w:hAnsi="微软雅黑" w:cs="宋体"/>
          <w:kern w:val="0"/>
          <w:sz w:val="24"/>
          <w:szCs w:val="24"/>
        </w:rPr>
        <w:pict w14:anchorId="130F893F">
          <v:rect id="_x0000_i1027" style="width:0;height:0" o:hralign="center" o:hrstd="t" o:hr="t" fillcolor="#a0a0a0" stroked="f"/>
        </w:pict>
      </w:r>
    </w:p>
    <w:p w14:paraId="164BD0B2" w14:textId="77777777" w:rsidR="00736BD1" w:rsidRPr="00736BD1" w:rsidRDefault="00736BD1" w:rsidP="00736BD1">
      <w:pPr>
        <w:widowControl/>
        <w:spacing w:before="450"/>
        <w:rPr>
          <w:rFonts w:ascii="微软雅黑" w:eastAsia="微软雅黑" w:hAnsi="微软雅黑" w:cs="宋体"/>
          <w:kern w:val="0"/>
          <w:sz w:val="24"/>
          <w:szCs w:val="24"/>
        </w:rPr>
      </w:pPr>
      <w:r w:rsidRPr="00736BD1">
        <w:rPr>
          <w:rFonts w:ascii="微软雅黑" w:eastAsia="微软雅黑" w:hAnsi="微软雅黑" w:cs="宋体"/>
          <w:kern w:val="0"/>
          <w:sz w:val="24"/>
          <w:szCs w:val="24"/>
        </w:rPr>
        <w:t>CDK4/6 和 CDK7 联合抑制可抑制乳腺肿瘤生长和耐药性，同时增强抗肿瘤免疫力，是一种有前景的治疗策略。</w:t>
      </w:r>
    </w:p>
    <w:p w14:paraId="75920352" w14:textId="77777777" w:rsidR="00736BD1" w:rsidRPr="00736BD1" w:rsidRDefault="00736BD1" w:rsidP="00736BD1">
      <w:pPr>
        <w:widowControl/>
        <w:pBdr>
          <w:bottom w:val="single" w:sz="6" w:space="0" w:color="97B1C8"/>
        </w:pBdr>
        <w:spacing w:line="450" w:lineRule="atLeast"/>
        <w:outlineLvl w:val="1"/>
        <w:rPr>
          <w:rFonts w:ascii="微软雅黑" w:eastAsia="微软雅黑" w:hAnsi="微软雅黑" w:cs="宋体"/>
          <w:kern w:val="0"/>
          <w:sz w:val="34"/>
          <w:szCs w:val="34"/>
        </w:rPr>
      </w:pPr>
      <w:r w:rsidRPr="00736BD1">
        <w:rPr>
          <w:rFonts w:ascii="微软雅黑" w:eastAsia="微软雅黑" w:hAnsi="微软雅黑" w:cs="宋体"/>
          <w:kern w:val="0"/>
          <w:sz w:val="34"/>
          <w:szCs w:val="34"/>
        </w:rPr>
        <w:t>介绍</w:t>
      </w:r>
    </w:p>
    <w:p w14:paraId="7D9645A4" w14:textId="77777777" w:rsidR="00736BD1" w:rsidRPr="00736BD1" w:rsidRDefault="00736BD1" w:rsidP="00736BD1">
      <w:pPr>
        <w:widowControl/>
        <w:spacing w:before="450"/>
        <w:rPr>
          <w:rFonts w:ascii="微软雅黑" w:eastAsia="微软雅黑" w:hAnsi="微软雅黑" w:cs="宋体"/>
          <w:kern w:val="0"/>
          <w:sz w:val="24"/>
          <w:szCs w:val="24"/>
        </w:rPr>
      </w:pPr>
      <w:r w:rsidRPr="00736BD1">
        <w:rPr>
          <w:rFonts w:ascii="微软雅黑" w:eastAsia="微软雅黑" w:hAnsi="微软雅黑" w:cs="宋体"/>
          <w:kern w:val="0"/>
          <w:sz w:val="24"/>
          <w:szCs w:val="24"/>
        </w:rPr>
        <w:t>转移性乳腺癌仍然是全球女性癌症相关死亡的主要原因之一 ( </w:t>
      </w:r>
      <w:hyperlink r:id="rId7" w:anchor="B1" w:history="1">
        <w:r w:rsidRPr="00736BD1">
          <w:rPr>
            <w:rFonts w:ascii="微软雅黑" w:eastAsia="微软雅黑" w:hAnsi="微软雅黑" w:cs="宋体"/>
            <w:kern w:val="0"/>
            <w:sz w:val="24"/>
            <w:szCs w:val="24"/>
            <w:u w:val="single"/>
          </w:rPr>
          <w:t>1</w:t>
        </w:r>
      </w:hyperlink>
      <w:r w:rsidRPr="00736BD1">
        <w:rPr>
          <w:rFonts w:ascii="微软雅黑" w:eastAsia="微软雅黑" w:hAnsi="微软雅黑" w:cs="宋体"/>
          <w:kern w:val="0"/>
          <w:sz w:val="24"/>
          <w:szCs w:val="24"/>
        </w:rPr>
        <w:t> )。驱动乳腺癌进展的核心机制涉及细胞周期蛋白依赖性激酶 4 和 6 (CDK4/6) 的过度激活，CDK4/6 是细胞周期启动的关键调控因子 ( </w:t>
      </w:r>
      <w:hyperlink r:id="rId8" w:anchor="B2" w:history="1">
        <w:r w:rsidRPr="00736BD1">
          <w:rPr>
            <w:rFonts w:ascii="微软雅黑" w:eastAsia="微软雅黑" w:hAnsi="微软雅黑" w:cs="宋体"/>
            <w:kern w:val="0"/>
            <w:sz w:val="24"/>
            <w:szCs w:val="24"/>
            <w:u w:val="single"/>
          </w:rPr>
          <w:t>2</w:t>
        </w:r>
      </w:hyperlink>
      <w:r w:rsidRPr="00736BD1">
        <w:rPr>
          <w:rFonts w:ascii="微软雅黑" w:eastAsia="微软雅黑" w:hAnsi="微软雅黑" w:cs="宋体"/>
          <w:kern w:val="0"/>
          <w:sz w:val="24"/>
          <w:szCs w:val="24"/>
        </w:rPr>
        <w:t> , </w:t>
      </w:r>
      <w:hyperlink r:id="rId9" w:anchor="B3" w:history="1">
        <w:r w:rsidRPr="00736BD1">
          <w:rPr>
            <w:rFonts w:ascii="微软雅黑" w:eastAsia="微软雅黑" w:hAnsi="微软雅黑" w:cs="宋体"/>
            <w:kern w:val="0"/>
            <w:sz w:val="24"/>
            <w:szCs w:val="24"/>
            <w:u w:val="single"/>
          </w:rPr>
          <w:t>3</w:t>
        </w:r>
      </w:hyperlink>
      <w:r w:rsidRPr="00736BD1">
        <w:rPr>
          <w:rFonts w:ascii="微软雅黑" w:eastAsia="微软雅黑" w:hAnsi="微软雅黑" w:cs="宋体"/>
          <w:kern w:val="0"/>
          <w:sz w:val="24"/>
          <w:szCs w:val="24"/>
        </w:rPr>
        <w:t> )。这一认识推动了靶</w:t>
      </w:r>
      <w:proofErr w:type="gramStart"/>
      <w:r w:rsidRPr="00736BD1">
        <w:rPr>
          <w:rFonts w:ascii="微软雅黑" w:eastAsia="微软雅黑" w:hAnsi="微软雅黑" w:cs="宋体"/>
          <w:kern w:val="0"/>
          <w:sz w:val="24"/>
          <w:szCs w:val="24"/>
        </w:rPr>
        <w:t>向治疗</w:t>
      </w:r>
      <w:proofErr w:type="gramEnd"/>
      <w:r w:rsidRPr="00736BD1">
        <w:rPr>
          <w:rFonts w:ascii="微软雅黑" w:eastAsia="微软雅黑" w:hAnsi="微软雅黑" w:cs="宋体"/>
          <w:kern w:val="0"/>
          <w:sz w:val="24"/>
          <w:szCs w:val="24"/>
        </w:rPr>
        <w:t>的重大进展，尤其是在激素受体</w:t>
      </w:r>
      <w:r w:rsidRPr="00736BD1">
        <w:rPr>
          <w:rFonts w:ascii="微软雅黑" w:eastAsia="微软雅黑" w:hAnsi="微软雅黑" w:cs="宋体"/>
          <w:kern w:val="0"/>
          <w:sz w:val="24"/>
          <w:szCs w:val="24"/>
          <w:vertAlign w:val="superscript"/>
        </w:rPr>
        <w:t>阳性</w:t>
      </w:r>
      <w:r w:rsidRPr="00736BD1">
        <w:rPr>
          <w:rFonts w:ascii="微软雅黑" w:eastAsia="微软雅黑" w:hAnsi="微软雅黑" w:cs="宋体"/>
          <w:kern w:val="0"/>
          <w:sz w:val="24"/>
          <w:szCs w:val="24"/>
        </w:rPr>
        <w:t>(HR </w:t>
      </w:r>
      <w:r w:rsidRPr="00736BD1">
        <w:rPr>
          <w:rFonts w:ascii="微软雅黑" w:eastAsia="微软雅黑" w:hAnsi="微软雅黑" w:cs="宋体"/>
          <w:kern w:val="0"/>
          <w:sz w:val="24"/>
          <w:szCs w:val="24"/>
          <w:vertAlign w:val="superscript"/>
        </w:rPr>
        <w:t>+</w:t>
      </w:r>
      <w:r w:rsidRPr="00736BD1">
        <w:rPr>
          <w:rFonts w:ascii="微软雅黑" w:eastAsia="微软雅黑" w:hAnsi="微软雅黑" w:cs="宋体"/>
          <w:kern w:val="0"/>
          <w:sz w:val="24"/>
          <w:szCs w:val="24"/>
        </w:rPr>
        <w:t> )/人表皮生长因子受体 2 阴性 (HER2- </w:t>
      </w:r>
      <w:r w:rsidRPr="00736BD1">
        <w:rPr>
          <w:rFonts w:ascii="微软雅黑" w:eastAsia="微软雅黑" w:hAnsi="微软雅黑" w:cs="宋体"/>
          <w:kern w:val="0"/>
          <w:sz w:val="24"/>
          <w:szCs w:val="24"/>
          <w:vertAlign w:val="superscript"/>
        </w:rPr>
        <w:t>)乳腺癌</w:t>
      </w:r>
      <w:r w:rsidRPr="00736BD1">
        <w:rPr>
          <w:rFonts w:ascii="微软雅黑" w:eastAsia="微软雅黑" w:hAnsi="微软雅黑" w:cs="宋体"/>
          <w:kern w:val="0"/>
          <w:sz w:val="24"/>
          <w:szCs w:val="24"/>
        </w:rPr>
        <w:fldChar w:fldCharType="begin"/>
      </w:r>
      <w:r w:rsidRPr="00736BD1">
        <w:rPr>
          <w:rFonts w:ascii="微软雅黑" w:eastAsia="微软雅黑" w:hAnsi="微软雅黑" w:cs="宋体"/>
          <w:kern w:val="0"/>
          <w:sz w:val="24"/>
          <w:szCs w:val="24"/>
        </w:rPr>
        <w:instrText xml:space="preserve"> HYPERLINK "https://pmc.ncbi.nlm.nih.gov/articles/PMC12520673/" \l "B5" </w:instrText>
      </w:r>
      <w:r w:rsidRPr="00736BD1">
        <w:rPr>
          <w:rFonts w:ascii="微软雅黑" w:eastAsia="微软雅黑" w:hAnsi="微软雅黑" w:cs="宋体"/>
          <w:kern w:val="0"/>
          <w:sz w:val="24"/>
          <w:szCs w:val="24"/>
        </w:rPr>
        <w:fldChar w:fldCharType="separate"/>
      </w:r>
      <w:r w:rsidRPr="00736BD1">
        <w:rPr>
          <w:rFonts w:ascii="微软雅黑" w:eastAsia="微软雅黑" w:hAnsi="微软雅黑" w:cs="宋体"/>
          <w:kern w:val="0"/>
          <w:sz w:val="24"/>
          <w:szCs w:val="24"/>
          <w:u w:val="single"/>
        </w:rPr>
        <w:t>领域</w:t>
      </w:r>
      <w:r w:rsidRPr="00736BD1">
        <w:rPr>
          <w:rFonts w:ascii="微软雅黑" w:eastAsia="微软雅黑" w:hAnsi="微软雅黑" w:cs="宋体"/>
          <w:kern w:val="0"/>
          <w:sz w:val="24"/>
          <w:szCs w:val="24"/>
        </w:rPr>
        <w:fldChar w:fldCharType="end"/>
      </w:r>
      <w:r w:rsidRPr="00736BD1">
        <w:rPr>
          <w:rFonts w:ascii="微软雅黑" w:eastAsia="微软雅黑" w:hAnsi="微软雅黑" w:cs="宋体"/>
          <w:kern w:val="0"/>
          <w:sz w:val="24"/>
          <w:szCs w:val="24"/>
        </w:rPr>
        <w:t>，这类乳腺癌约占所有乳腺癌病例的 70% ( 3-5 </w:t>
      </w:r>
      <w:hyperlink r:id="rId10" w:anchor="B3" w:history="1">
        <w:r w:rsidRPr="00736BD1">
          <w:rPr>
            <w:rFonts w:ascii="微软雅黑" w:eastAsia="微软雅黑" w:hAnsi="微软雅黑" w:cs="宋体"/>
            <w:kern w:val="0"/>
            <w:sz w:val="24"/>
            <w:szCs w:val="24"/>
            <w:u w:val="single"/>
          </w:rPr>
          <w:t>) 。目前，HR </w:t>
        </w:r>
      </w:hyperlink>
      <w:r w:rsidRPr="00736BD1">
        <w:rPr>
          <w:rFonts w:ascii="微软雅黑" w:eastAsia="微软雅黑" w:hAnsi="微软雅黑" w:cs="宋体"/>
          <w:kern w:val="0"/>
          <w:sz w:val="24"/>
          <w:szCs w:val="24"/>
          <w:vertAlign w:val="superscript"/>
        </w:rPr>
        <w:t>+</w:t>
      </w:r>
      <w:r w:rsidRPr="00736BD1">
        <w:rPr>
          <w:rFonts w:ascii="微软雅黑" w:eastAsia="微软雅黑" w:hAnsi="微软雅黑" w:cs="宋体"/>
          <w:kern w:val="0"/>
          <w:sz w:val="24"/>
          <w:szCs w:val="24"/>
        </w:rPr>
        <w:t> /HER2-</w:t>
      </w:r>
      <w:r w:rsidRPr="00736BD1">
        <w:rPr>
          <w:rFonts w:ascii="微软雅黑" w:eastAsia="微软雅黑" w:hAnsi="微软雅黑" w:cs="宋体"/>
          <w:kern w:val="0"/>
          <w:sz w:val="24"/>
          <w:szCs w:val="24"/>
          <w:vertAlign w:val="superscript"/>
        </w:rPr>
        <w:t>转移性</w:t>
      </w:r>
      <w:r w:rsidRPr="00736BD1">
        <w:rPr>
          <w:rFonts w:ascii="微软雅黑" w:eastAsia="微软雅黑" w:hAnsi="微软雅黑" w:cs="宋体"/>
          <w:kern w:val="0"/>
          <w:sz w:val="24"/>
          <w:szCs w:val="24"/>
        </w:rPr>
        <w:t>乳腺癌的一线标准治疗方案是 CDK4/6 抑制剂 (CDK4/6i) 联合内分泌治疗 (ET)。然而，约 30% 的患者会在 2 年内产生耐药性，限制了其长期疗效 ( </w:t>
      </w:r>
      <w:hyperlink r:id="rId11" w:anchor="B6" w:history="1">
        <w:r w:rsidRPr="00736BD1">
          <w:rPr>
            <w:rFonts w:ascii="微软雅黑" w:eastAsia="微软雅黑" w:hAnsi="微软雅黑" w:cs="宋体"/>
            <w:kern w:val="0"/>
            <w:sz w:val="24"/>
            <w:szCs w:val="24"/>
            <w:u w:val="single"/>
          </w:rPr>
          <w:t>6</w:t>
        </w:r>
      </w:hyperlink>
      <w:r w:rsidRPr="00736BD1">
        <w:rPr>
          <w:rFonts w:ascii="微软雅黑" w:eastAsia="微软雅黑" w:hAnsi="微软雅黑" w:cs="宋体"/>
          <w:kern w:val="0"/>
          <w:sz w:val="24"/>
          <w:szCs w:val="24"/>
        </w:rPr>
        <w:t> , </w:t>
      </w:r>
      <w:hyperlink r:id="rId12" w:anchor="B7" w:history="1">
        <w:r w:rsidRPr="00736BD1">
          <w:rPr>
            <w:rFonts w:ascii="微软雅黑" w:eastAsia="微软雅黑" w:hAnsi="微软雅黑" w:cs="宋体"/>
            <w:kern w:val="0"/>
            <w:sz w:val="24"/>
            <w:szCs w:val="24"/>
            <w:u w:val="single"/>
          </w:rPr>
          <w:t>7</w:t>
        </w:r>
      </w:hyperlink>
      <w:r w:rsidRPr="00736BD1">
        <w:rPr>
          <w:rFonts w:ascii="微软雅黑" w:eastAsia="微软雅黑" w:hAnsi="微软雅黑" w:cs="宋体"/>
          <w:kern w:val="0"/>
          <w:sz w:val="24"/>
          <w:szCs w:val="24"/>
        </w:rPr>
        <w:t> )。尽管PI3Kα抑制剂可能为</w:t>
      </w:r>
      <w:r w:rsidRPr="00736BD1">
        <w:rPr>
          <w:rFonts w:ascii="微软雅黑" w:eastAsia="微软雅黑" w:hAnsi="微软雅黑" w:cs="宋体"/>
          <w:i/>
          <w:iCs/>
          <w:kern w:val="0"/>
          <w:sz w:val="24"/>
          <w:szCs w:val="24"/>
        </w:rPr>
        <w:t>PIK3CA</w:t>
      </w:r>
      <w:r w:rsidRPr="00736BD1">
        <w:rPr>
          <w:rFonts w:ascii="微软雅黑" w:eastAsia="微软雅黑" w:hAnsi="微软雅黑" w:cs="宋体"/>
          <w:kern w:val="0"/>
          <w:sz w:val="24"/>
          <w:szCs w:val="24"/>
        </w:rPr>
        <w:t>突变肿瘤患者提供潜在的二线治疗选择（</w:t>
      </w:r>
      <w:r w:rsidRPr="00736BD1">
        <w:rPr>
          <w:rFonts w:ascii="微软雅黑" w:eastAsia="微软雅黑" w:hAnsi="微软雅黑" w:cs="宋体"/>
          <w:kern w:val="0"/>
          <w:sz w:val="24"/>
          <w:szCs w:val="24"/>
        </w:rPr>
        <w:fldChar w:fldCharType="begin"/>
      </w:r>
      <w:r w:rsidRPr="00736BD1">
        <w:rPr>
          <w:rFonts w:ascii="微软雅黑" w:eastAsia="微软雅黑" w:hAnsi="微软雅黑" w:cs="宋体"/>
          <w:kern w:val="0"/>
          <w:sz w:val="24"/>
          <w:szCs w:val="24"/>
        </w:rPr>
        <w:instrText xml:space="preserve"> HYPERLINK "https://pmc.ncbi.nlm.nih.gov/articles/PMC12520673/" \l "B8" </w:instrText>
      </w:r>
      <w:r w:rsidRPr="00736BD1">
        <w:rPr>
          <w:rFonts w:ascii="微软雅黑" w:eastAsia="微软雅黑" w:hAnsi="微软雅黑" w:cs="宋体"/>
          <w:kern w:val="0"/>
          <w:sz w:val="24"/>
          <w:szCs w:val="24"/>
        </w:rPr>
        <w:fldChar w:fldCharType="separate"/>
      </w:r>
      <w:r w:rsidRPr="00736BD1">
        <w:rPr>
          <w:rFonts w:ascii="微软雅黑" w:eastAsia="微软雅黑" w:hAnsi="微软雅黑" w:cs="宋体"/>
          <w:kern w:val="0"/>
          <w:sz w:val="24"/>
          <w:szCs w:val="24"/>
          <w:u w:val="single"/>
        </w:rPr>
        <w:t>8</w:t>
      </w:r>
      <w:r w:rsidRPr="00736BD1">
        <w:rPr>
          <w:rFonts w:ascii="微软雅黑" w:eastAsia="微软雅黑" w:hAnsi="微软雅黑" w:cs="宋体"/>
          <w:kern w:val="0"/>
          <w:sz w:val="24"/>
          <w:szCs w:val="24"/>
        </w:rPr>
        <w:fldChar w:fldCharType="end"/>
      </w:r>
      <w:r w:rsidRPr="00736BD1">
        <w:rPr>
          <w:rFonts w:ascii="微软雅黑" w:eastAsia="微软雅黑" w:hAnsi="微软雅黑" w:cs="宋体"/>
          <w:kern w:val="0"/>
          <w:sz w:val="24"/>
          <w:szCs w:val="24"/>
        </w:rPr>
        <w:t>），但对于CDK4/6抑制剂治疗后病情进展的患者，目前尚未建立广泛</w:t>
      </w:r>
      <w:r w:rsidRPr="00736BD1">
        <w:rPr>
          <w:rFonts w:ascii="微软雅黑" w:eastAsia="微软雅黑" w:hAnsi="微软雅黑" w:cs="宋体"/>
          <w:kern w:val="0"/>
          <w:sz w:val="24"/>
          <w:szCs w:val="24"/>
        </w:rPr>
        <w:lastRenderedPageBreak/>
        <w:t>有效的治疗策略。此外，CDK4/6抑制剂单药治疗在三阴性乳腺癌（TNBC）中疗效有限，而TNBC是一种侵袭性亚型，目前仍缺乏有效的靶向治疗（</w:t>
      </w:r>
      <w:r w:rsidRPr="00736BD1">
        <w:rPr>
          <w:rFonts w:ascii="微软雅黑" w:eastAsia="微软雅黑" w:hAnsi="微软雅黑" w:cs="宋体"/>
          <w:kern w:val="0"/>
          <w:sz w:val="24"/>
          <w:szCs w:val="24"/>
        </w:rPr>
        <w:fldChar w:fldCharType="begin"/>
      </w:r>
      <w:r w:rsidRPr="00736BD1">
        <w:rPr>
          <w:rFonts w:ascii="微软雅黑" w:eastAsia="微软雅黑" w:hAnsi="微软雅黑" w:cs="宋体"/>
          <w:kern w:val="0"/>
          <w:sz w:val="24"/>
          <w:szCs w:val="24"/>
        </w:rPr>
        <w:instrText xml:space="preserve"> HYPERLINK "https://pmc.ncbi.nlm.nih.gov/articles/PMC12520673/" \l "B9" </w:instrText>
      </w:r>
      <w:r w:rsidRPr="00736BD1">
        <w:rPr>
          <w:rFonts w:ascii="微软雅黑" w:eastAsia="微软雅黑" w:hAnsi="微软雅黑" w:cs="宋体"/>
          <w:kern w:val="0"/>
          <w:sz w:val="24"/>
          <w:szCs w:val="24"/>
        </w:rPr>
        <w:fldChar w:fldCharType="separate"/>
      </w:r>
      <w:r w:rsidRPr="00736BD1">
        <w:rPr>
          <w:rFonts w:ascii="微软雅黑" w:eastAsia="微软雅黑" w:hAnsi="微软雅黑" w:cs="宋体"/>
          <w:kern w:val="0"/>
          <w:sz w:val="24"/>
          <w:szCs w:val="24"/>
          <w:u w:val="single"/>
        </w:rPr>
        <w:t>9</w:t>
      </w:r>
      <w:r w:rsidRPr="00736BD1">
        <w:rPr>
          <w:rFonts w:ascii="微软雅黑" w:eastAsia="微软雅黑" w:hAnsi="微软雅黑" w:cs="宋体"/>
          <w:kern w:val="0"/>
          <w:sz w:val="24"/>
          <w:szCs w:val="24"/>
        </w:rPr>
        <w:fldChar w:fldCharType="end"/>
      </w:r>
      <w:r w:rsidRPr="00736BD1">
        <w:rPr>
          <w:rFonts w:ascii="微软雅黑" w:eastAsia="微软雅黑" w:hAnsi="微软雅黑" w:cs="宋体"/>
          <w:kern w:val="0"/>
          <w:sz w:val="24"/>
          <w:szCs w:val="24"/>
        </w:rPr>
        <w:t> , </w:t>
      </w:r>
      <w:hyperlink r:id="rId13" w:anchor="B10" w:history="1">
        <w:r w:rsidRPr="00736BD1">
          <w:rPr>
            <w:rFonts w:ascii="微软雅黑" w:eastAsia="微软雅黑" w:hAnsi="微软雅黑" w:cs="宋体"/>
            <w:kern w:val="0"/>
            <w:sz w:val="24"/>
            <w:szCs w:val="24"/>
            <w:u w:val="single"/>
          </w:rPr>
          <w:t>10</w:t>
        </w:r>
      </w:hyperlink>
      <w:r w:rsidRPr="00736BD1">
        <w:rPr>
          <w:rFonts w:ascii="微软雅黑" w:eastAsia="微软雅黑" w:hAnsi="微软雅黑" w:cs="宋体"/>
          <w:kern w:val="0"/>
          <w:sz w:val="24"/>
          <w:szCs w:val="24"/>
        </w:rPr>
        <w:t>）。</w:t>
      </w:r>
    </w:p>
    <w:p w14:paraId="08FA914E" w14:textId="77777777" w:rsidR="00736BD1" w:rsidRPr="00736BD1" w:rsidRDefault="00736BD1" w:rsidP="00736BD1">
      <w:pPr>
        <w:widowControl/>
        <w:spacing w:before="450"/>
        <w:rPr>
          <w:rFonts w:ascii="微软雅黑" w:eastAsia="微软雅黑" w:hAnsi="微软雅黑" w:cs="宋体"/>
          <w:kern w:val="0"/>
          <w:sz w:val="24"/>
          <w:szCs w:val="24"/>
        </w:rPr>
      </w:pPr>
      <w:r w:rsidRPr="00736BD1">
        <w:rPr>
          <w:rFonts w:ascii="微软雅黑" w:eastAsia="微软雅黑" w:hAnsi="微软雅黑" w:cs="宋体"/>
          <w:kern w:val="0"/>
          <w:sz w:val="24"/>
          <w:szCs w:val="24"/>
        </w:rPr>
        <w:t>在HR </w:t>
      </w:r>
      <w:r w:rsidRPr="00736BD1">
        <w:rPr>
          <w:rFonts w:ascii="微软雅黑" w:eastAsia="微软雅黑" w:hAnsi="微软雅黑" w:cs="宋体"/>
          <w:kern w:val="0"/>
          <w:sz w:val="24"/>
          <w:szCs w:val="24"/>
          <w:vertAlign w:val="superscript"/>
        </w:rPr>
        <w:t>+</w:t>
      </w:r>
      <w:r w:rsidRPr="00736BD1">
        <w:rPr>
          <w:rFonts w:ascii="微软雅黑" w:eastAsia="微软雅黑" w:hAnsi="微软雅黑" w:cs="宋体"/>
          <w:kern w:val="0"/>
          <w:sz w:val="24"/>
          <w:szCs w:val="24"/>
        </w:rPr>
        <w:t> /HER2-</w:t>
      </w:r>
      <w:r w:rsidRPr="00736BD1">
        <w:rPr>
          <w:rFonts w:ascii="微软雅黑" w:eastAsia="微软雅黑" w:hAnsi="微软雅黑" w:cs="宋体"/>
          <w:kern w:val="0"/>
          <w:sz w:val="24"/>
          <w:szCs w:val="24"/>
          <w:vertAlign w:val="superscript"/>
        </w:rPr>
        <w:t>乳腺癌中， </w:t>
      </w:r>
      <w:r w:rsidRPr="00736BD1">
        <w:rPr>
          <w:rFonts w:ascii="微软雅黑" w:eastAsia="微软雅黑" w:hAnsi="微软雅黑" w:cs="宋体"/>
          <w:i/>
          <w:iCs/>
          <w:kern w:val="0"/>
          <w:sz w:val="24"/>
          <w:szCs w:val="24"/>
        </w:rPr>
        <w:t>FAT1</w:t>
      </w:r>
      <w:r w:rsidRPr="00736BD1">
        <w:rPr>
          <w:rFonts w:ascii="微软雅黑" w:eastAsia="微软雅黑" w:hAnsi="微软雅黑" w:cs="宋体"/>
          <w:kern w:val="0"/>
          <w:sz w:val="24"/>
          <w:szCs w:val="24"/>
        </w:rPr>
        <w:t>缺失和</w:t>
      </w:r>
      <w:r w:rsidRPr="00736BD1">
        <w:rPr>
          <w:rFonts w:ascii="微软雅黑" w:eastAsia="微软雅黑" w:hAnsi="微软雅黑" w:cs="宋体"/>
          <w:i/>
          <w:iCs/>
          <w:kern w:val="0"/>
          <w:sz w:val="24"/>
          <w:szCs w:val="24"/>
        </w:rPr>
        <w:t>PTEN</w:t>
      </w:r>
      <w:r w:rsidRPr="00736BD1">
        <w:rPr>
          <w:rFonts w:ascii="微软雅黑" w:eastAsia="微软雅黑" w:hAnsi="微软雅黑" w:cs="宋体"/>
          <w:kern w:val="0"/>
          <w:sz w:val="24"/>
          <w:szCs w:val="24"/>
        </w:rPr>
        <w:t>缺失等特定基因突变与CDK4/ </w:t>
      </w:r>
      <w:hyperlink r:id="rId14" w:anchor="B15" w:history="1">
        <w:r w:rsidRPr="00736BD1">
          <w:rPr>
            <w:rFonts w:ascii="微软雅黑" w:eastAsia="微软雅黑" w:hAnsi="微软雅黑" w:cs="宋体"/>
            <w:kern w:val="0"/>
            <w:sz w:val="24"/>
            <w:szCs w:val="24"/>
            <w:u w:val="single"/>
          </w:rPr>
          <w:t>6</w:t>
        </w:r>
      </w:hyperlink>
      <w:r w:rsidRPr="00736BD1">
        <w:rPr>
          <w:rFonts w:ascii="微软雅黑" w:eastAsia="微软雅黑" w:hAnsi="微软雅黑" w:cs="宋体"/>
          <w:kern w:val="0"/>
          <w:sz w:val="24"/>
          <w:szCs w:val="24"/>
        </w:rPr>
        <w:t>抑制剂耐药相关（</w:t>
      </w:r>
      <w:r w:rsidRPr="00736BD1">
        <w:rPr>
          <w:rFonts w:ascii="微软雅黑" w:eastAsia="微软雅黑" w:hAnsi="微软雅黑" w:cs="宋体"/>
          <w:kern w:val="0"/>
          <w:sz w:val="24"/>
          <w:szCs w:val="24"/>
        </w:rPr>
        <w:fldChar w:fldCharType="begin"/>
      </w:r>
      <w:r w:rsidRPr="00736BD1">
        <w:rPr>
          <w:rFonts w:ascii="微软雅黑" w:eastAsia="微软雅黑" w:hAnsi="微软雅黑" w:cs="宋体"/>
          <w:kern w:val="0"/>
          <w:sz w:val="24"/>
          <w:szCs w:val="24"/>
        </w:rPr>
        <w:instrText xml:space="preserve"> HYPERLINK "https://pmc.ncbi.nlm.nih.gov/articles/PMC12520673/" \l "B7" </w:instrText>
      </w:r>
      <w:r w:rsidRPr="00736BD1">
        <w:rPr>
          <w:rFonts w:ascii="微软雅黑" w:eastAsia="微软雅黑" w:hAnsi="微软雅黑" w:cs="宋体"/>
          <w:kern w:val="0"/>
          <w:sz w:val="24"/>
          <w:szCs w:val="24"/>
        </w:rPr>
        <w:fldChar w:fldCharType="separate"/>
      </w:r>
      <w:r w:rsidRPr="00736BD1">
        <w:rPr>
          <w:rFonts w:ascii="微软雅黑" w:eastAsia="微软雅黑" w:hAnsi="微软雅黑" w:cs="宋体"/>
          <w:kern w:val="0"/>
          <w:sz w:val="24"/>
          <w:szCs w:val="24"/>
          <w:u w:val="single"/>
        </w:rPr>
        <w:t>7</w:t>
      </w:r>
      <w:r w:rsidRPr="00736BD1">
        <w:rPr>
          <w:rFonts w:ascii="微软雅黑" w:eastAsia="微软雅黑" w:hAnsi="微软雅黑" w:cs="宋体"/>
          <w:kern w:val="0"/>
          <w:sz w:val="24"/>
          <w:szCs w:val="24"/>
        </w:rPr>
        <w:fldChar w:fldCharType="end"/>
      </w:r>
      <w:r w:rsidRPr="00736BD1">
        <w:rPr>
          <w:rFonts w:ascii="微软雅黑" w:eastAsia="微软雅黑" w:hAnsi="微软雅黑" w:cs="宋体"/>
          <w:kern w:val="0"/>
          <w:sz w:val="24"/>
          <w:szCs w:val="24"/>
        </w:rPr>
        <w:t> , </w:t>
      </w:r>
      <w:hyperlink r:id="rId15" w:anchor="B11" w:history="1">
        <w:r w:rsidRPr="00736BD1">
          <w:rPr>
            <w:rFonts w:ascii="微软雅黑" w:eastAsia="微软雅黑" w:hAnsi="微软雅黑" w:cs="宋体"/>
            <w:kern w:val="0"/>
            <w:sz w:val="24"/>
            <w:szCs w:val="24"/>
            <w:u w:val="single"/>
          </w:rPr>
          <w:t>11-15</w:t>
        </w:r>
      </w:hyperlink>
      <w:r w:rsidRPr="00736BD1">
        <w:rPr>
          <w:rFonts w:ascii="微软雅黑" w:eastAsia="微软雅黑" w:hAnsi="微软雅黑" w:cs="宋体"/>
          <w:kern w:val="0"/>
          <w:sz w:val="24"/>
          <w:szCs w:val="24"/>
        </w:rPr>
        <w:t> ）。然而，约70%的耐药病例并非由新的体细胞突变引起，这凸显了非遗传机制的重要性（</w:t>
      </w:r>
      <w:r w:rsidRPr="00736BD1">
        <w:rPr>
          <w:rFonts w:ascii="微软雅黑" w:eastAsia="微软雅黑" w:hAnsi="微软雅黑" w:cs="宋体"/>
          <w:kern w:val="0"/>
          <w:sz w:val="24"/>
          <w:szCs w:val="24"/>
        </w:rPr>
        <w:fldChar w:fldCharType="begin"/>
      </w:r>
      <w:r w:rsidRPr="00736BD1">
        <w:rPr>
          <w:rFonts w:ascii="微软雅黑" w:eastAsia="微软雅黑" w:hAnsi="微软雅黑" w:cs="宋体"/>
          <w:kern w:val="0"/>
          <w:sz w:val="24"/>
          <w:szCs w:val="24"/>
        </w:rPr>
        <w:instrText xml:space="preserve"> HYPERLINK "https://pmc.ncbi.nlm.nih.gov/articles/PMC12520673/" \l "B6" </w:instrText>
      </w:r>
      <w:r w:rsidRPr="00736BD1">
        <w:rPr>
          <w:rFonts w:ascii="微软雅黑" w:eastAsia="微软雅黑" w:hAnsi="微软雅黑" w:cs="宋体"/>
          <w:kern w:val="0"/>
          <w:sz w:val="24"/>
          <w:szCs w:val="24"/>
        </w:rPr>
        <w:fldChar w:fldCharType="separate"/>
      </w:r>
      <w:r w:rsidRPr="00736BD1">
        <w:rPr>
          <w:rFonts w:ascii="微软雅黑" w:eastAsia="微软雅黑" w:hAnsi="微软雅黑" w:cs="宋体"/>
          <w:kern w:val="0"/>
          <w:sz w:val="24"/>
          <w:szCs w:val="24"/>
          <w:u w:val="single"/>
        </w:rPr>
        <w:t>6</w:t>
      </w:r>
      <w:r w:rsidRPr="00736BD1">
        <w:rPr>
          <w:rFonts w:ascii="微软雅黑" w:eastAsia="微软雅黑" w:hAnsi="微软雅黑" w:cs="宋体"/>
          <w:kern w:val="0"/>
          <w:sz w:val="24"/>
          <w:szCs w:val="24"/>
        </w:rPr>
        <w:fldChar w:fldCharType="end"/>
      </w:r>
      <w:r w:rsidRPr="00736BD1">
        <w:rPr>
          <w:rFonts w:ascii="微软雅黑" w:eastAsia="微软雅黑" w:hAnsi="微软雅黑" w:cs="宋体"/>
          <w:kern w:val="0"/>
          <w:sz w:val="24"/>
          <w:szCs w:val="24"/>
        </w:rPr>
        <w:t> , </w:t>
      </w:r>
      <w:hyperlink r:id="rId16" w:anchor="B7" w:history="1">
        <w:r w:rsidRPr="00736BD1">
          <w:rPr>
            <w:rFonts w:ascii="微软雅黑" w:eastAsia="微软雅黑" w:hAnsi="微软雅黑" w:cs="宋体"/>
            <w:kern w:val="0"/>
            <w:sz w:val="24"/>
            <w:szCs w:val="24"/>
            <w:u w:val="single"/>
          </w:rPr>
          <w:t>7</w:t>
        </w:r>
      </w:hyperlink>
      <w:r w:rsidRPr="00736BD1">
        <w:rPr>
          <w:rFonts w:ascii="微软雅黑" w:eastAsia="微软雅黑" w:hAnsi="微软雅黑" w:cs="宋体"/>
          <w:kern w:val="0"/>
          <w:sz w:val="24"/>
          <w:szCs w:val="24"/>
        </w:rPr>
        <w:t>）。CDK4/6的主要底物是视网膜母细胞瘤蛋白（Rb），它通过</w:t>
      </w:r>
      <w:proofErr w:type="gramStart"/>
      <w:r w:rsidRPr="00736BD1">
        <w:rPr>
          <w:rFonts w:ascii="微软雅黑" w:eastAsia="微软雅黑" w:hAnsi="微软雅黑" w:cs="宋体"/>
          <w:kern w:val="0"/>
          <w:sz w:val="24"/>
          <w:szCs w:val="24"/>
        </w:rPr>
        <w:t>螯</w:t>
      </w:r>
      <w:proofErr w:type="gramEnd"/>
      <w:r w:rsidRPr="00736BD1">
        <w:rPr>
          <w:rFonts w:ascii="微软雅黑" w:eastAsia="微软雅黑" w:hAnsi="微软雅黑" w:cs="宋体"/>
          <w:kern w:val="0"/>
          <w:sz w:val="24"/>
          <w:szCs w:val="24"/>
        </w:rPr>
        <w:t>合E2F转录因子来抑制细胞周期启动（</w:t>
      </w:r>
      <w:r w:rsidRPr="00736BD1">
        <w:rPr>
          <w:rFonts w:ascii="微软雅黑" w:eastAsia="微软雅黑" w:hAnsi="微软雅黑" w:cs="宋体"/>
          <w:kern w:val="0"/>
          <w:sz w:val="24"/>
          <w:szCs w:val="24"/>
        </w:rPr>
        <w:fldChar w:fldCharType="begin"/>
      </w:r>
      <w:r w:rsidRPr="00736BD1">
        <w:rPr>
          <w:rFonts w:ascii="微软雅黑" w:eastAsia="微软雅黑" w:hAnsi="微软雅黑" w:cs="宋体"/>
          <w:kern w:val="0"/>
          <w:sz w:val="24"/>
          <w:szCs w:val="24"/>
        </w:rPr>
        <w:instrText xml:space="preserve"> HYPERLINK "https://pmc.ncbi.nlm.nih.gov/articles/PMC12520673/" \l "B4" </w:instrText>
      </w:r>
      <w:r w:rsidRPr="00736BD1">
        <w:rPr>
          <w:rFonts w:ascii="微软雅黑" w:eastAsia="微软雅黑" w:hAnsi="微软雅黑" w:cs="宋体"/>
          <w:kern w:val="0"/>
          <w:sz w:val="24"/>
          <w:szCs w:val="24"/>
        </w:rPr>
        <w:fldChar w:fldCharType="separate"/>
      </w:r>
      <w:r w:rsidRPr="00736BD1">
        <w:rPr>
          <w:rFonts w:ascii="微软雅黑" w:eastAsia="微软雅黑" w:hAnsi="微软雅黑" w:cs="宋体"/>
          <w:kern w:val="0"/>
          <w:sz w:val="24"/>
          <w:szCs w:val="24"/>
          <w:u w:val="single"/>
        </w:rPr>
        <w:t>4</w:t>
      </w:r>
      <w:r w:rsidRPr="00736BD1">
        <w:rPr>
          <w:rFonts w:ascii="微软雅黑" w:eastAsia="微软雅黑" w:hAnsi="微软雅黑" w:cs="宋体"/>
          <w:kern w:val="0"/>
          <w:sz w:val="24"/>
          <w:szCs w:val="24"/>
        </w:rPr>
        <w:fldChar w:fldCharType="end"/>
      </w:r>
      <w:r w:rsidRPr="00736BD1">
        <w:rPr>
          <w:rFonts w:ascii="微软雅黑" w:eastAsia="微软雅黑" w:hAnsi="微软雅黑" w:cs="宋体"/>
          <w:kern w:val="0"/>
          <w:sz w:val="24"/>
          <w:szCs w:val="24"/>
        </w:rPr>
        <w:t> , </w:t>
      </w:r>
      <w:hyperlink r:id="rId17" w:anchor="B5" w:history="1">
        <w:r w:rsidRPr="00736BD1">
          <w:rPr>
            <w:rFonts w:ascii="微软雅黑" w:eastAsia="微软雅黑" w:hAnsi="微软雅黑" w:cs="宋体"/>
            <w:kern w:val="0"/>
            <w:sz w:val="24"/>
            <w:szCs w:val="24"/>
            <w:u w:val="single"/>
          </w:rPr>
          <w:t>5</w:t>
        </w:r>
      </w:hyperlink>
      <w:r w:rsidRPr="00736BD1">
        <w:rPr>
          <w:rFonts w:ascii="微软雅黑" w:eastAsia="微软雅黑" w:hAnsi="微软雅黑" w:cs="宋体"/>
          <w:kern w:val="0"/>
          <w:sz w:val="24"/>
          <w:szCs w:val="24"/>
        </w:rPr>
        <w:t>）。因此，Rb缺失是目前</w:t>
      </w:r>
      <w:proofErr w:type="gramStart"/>
      <w:r w:rsidRPr="00736BD1">
        <w:rPr>
          <w:rFonts w:ascii="微软雅黑" w:eastAsia="微软雅黑" w:hAnsi="微软雅黑" w:cs="宋体"/>
          <w:kern w:val="0"/>
          <w:sz w:val="24"/>
          <w:szCs w:val="24"/>
        </w:rPr>
        <w:t>最确定</w:t>
      </w:r>
      <w:proofErr w:type="gramEnd"/>
      <w:r w:rsidRPr="00736BD1">
        <w:rPr>
          <w:rFonts w:ascii="微软雅黑" w:eastAsia="微软雅黑" w:hAnsi="微软雅黑" w:cs="宋体"/>
          <w:kern w:val="0"/>
          <w:sz w:val="24"/>
          <w:szCs w:val="24"/>
        </w:rPr>
        <w:t>的CDK4/6抑制剂耐药机制（</w:t>
      </w:r>
      <w:r w:rsidRPr="00736BD1">
        <w:rPr>
          <w:rFonts w:ascii="微软雅黑" w:eastAsia="微软雅黑" w:hAnsi="微软雅黑" w:cs="宋体"/>
          <w:kern w:val="0"/>
          <w:sz w:val="24"/>
          <w:szCs w:val="24"/>
        </w:rPr>
        <w:fldChar w:fldCharType="begin"/>
      </w:r>
      <w:r w:rsidRPr="00736BD1">
        <w:rPr>
          <w:rFonts w:ascii="微软雅黑" w:eastAsia="微软雅黑" w:hAnsi="微软雅黑" w:cs="宋体"/>
          <w:kern w:val="0"/>
          <w:sz w:val="24"/>
          <w:szCs w:val="24"/>
        </w:rPr>
        <w:instrText xml:space="preserve"> HYPERLINK "https://pmc.ncbi.nlm.nih.gov/articles/PMC12520673/" \l "B2" </w:instrText>
      </w:r>
      <w:r w:rsidRPr="00736BD1">
        <w:rPr>
          <w:rFonts w:ascii="微软雅黑" w:eastAsia="微软雅黑" w:hAnsi="微软雅黑" w:cs="宋体"/>
          <w:kern w:val="0"/>
          <w:sz w:val="24"/>
          <w:szCs w:val="24"/>
        </w:rPr>
        <w:fldChar w:fldCharType="separate"/>
      </w:r>
      <w:r w:rsidRPr="00736BD1">
        <w:rPr>
          <w:rFonts w:ascii="微软雅黑" w:eastAsia="微软雅黑" w:hAnsi="微软雅黑" w:cs="宋体"/>
          <w:kern w:val="0"/>
          <w:sz w:val="24"/>
          <w:szCs w:val="24"/>
          <w:u w:val="single"/>
        </w:rPr>
        <w:t>2-4</w:t>
      </w:r>
      <w:r w:rsidRPr="00736BD1">
        <w:rPr>
          <w:rFonts w:ascii="微软雅黑" w:eastAsia="微软雅黑" w:hAnsi="微软雅黑" w:cs="宋体"/>
          <w:kern w:val="0"/>
          <w:sz w:val="24"/>
          <w:szCs w:val="24"/>
        </w:rPr>
        <w:fldChar w:fldCharType="end"/>
      </w:r>
      <w:r w:rsidRPr="00736BD1">
        <w:rPr>
          <w:rFonts w:ascii="微软雅黑" w:eastAsia="微软雅黑" w:hAnsi="微软雅黑" w:cs="宋体"/>
          <w:kern w:val="0"/>
          <w:sz w:val="24"/>
          <w:szCs w:val="24"/>
        </w:rPr>
        <w:t>）。虽然</w:t>
      </w:r>
      <w:r w:rsidRPr="00736BD1">
        <w:rPr>
          <w:rFonts w:ascii="微软雅黑" w:eastAsia="微软雅黑" w:hAnsi="微软雅黑" w:cs="宋体"/>
          <w:i/>
          <w:iCs/>
          <w:kern w:val="0"/>
          <w:sz w:val="24"/>
          <w:szCs w:val="24"/>
        </w:rPr>
        <w:t>Rb</w:t>
      </w:r>
      <w:r w:rsidRPr="00736BD1">
        <w:rPr>
          <w:rFonts w:ascii="微软雅黑" w:eastAsia="微软雅黑" w:hAnsi="微软雅黑" w:cs="宋体"/>
          <w:kern w:val="0"/>
          <w:sz w:val="24"/>
          <w:szCs w:val="24"/>
        </w:rPr>
        <w:t>功能缺失突变在HR </w:t>
      </w:r>
      <w:r w:rsidRPr="00736BD1">
        <w:rPr>
          <w:rFonts w:ascii="微软雅黑" w:eastAsia="微软雅黑" w:hAnsi="微软雅黑" w:cs="宋体"/>
          <w:kern w:val="0"/>
          <w:sz w:val="24"/>
          <w:szCs w:val="24"/>
          <w:vertAlign w:val="superscript"/>
        </w:rPr>
        <w:t>+</w:t>
      </w:r>
      <w:r w:rsidRPr="00736BD1">
        <w:rPr>
          <w:rFonts w:ascii="微软雅黑" w:eastAsia="微软雅黑" w:hAnsi="微软雅黑" w:cs="宋体"/>
          <w:kern w:val="0"/>
          <w:sz w:val="24"/>
          <w:szCs w:val="24"/>
        </w:rPr>
        <w:t> /HER2-</w:t>
      </w:r>
      <w:r w:rsidRPr="00736BD1">
        <w:rPr>
          <w:rFonts w:ascii="微软雅黑" w:eastAsia="微软雅黑" w:hAnsi="微软雅黑" w:cs="宋体"/>
          <w:kern w:val="0"/>
          <w:sz w:val="24"/>
          <w:szCs w:val="24"/>
          <w:vertAlign w:val="superscript"/>
        </w:rPr>
        <w:t>乳腺癌</w:t>
      </w:r>
      <w:r w:rsidRPr="00736BD1">
        <w:rPr>
          <w:rFonts w:ascii="微软雅黑" w:eastAsia="微软雅黑" w:hAnsi="微软雅黑" w:cs="宋体"/>
          <w:kern w:val="0"/>
          <w:sz w:val="24"/>
          <w:szCs w:val="24"/>
        </w:rPr>
        <w:t>中相对罕见（4.7%）（</w:t>
      </w:r>
      <w:hyperlink r:id="rId18" w:anchor="B7" w:history="1">
        <w:r w:rsidRPr="00736BD1">
          <w:rPr>
            <w:rFonts w:ascii="微软雅黑" w:eastAsia="微软雅黑" w:hAnsi="微软雅黑" w:cs="宋体"/>
            <w:kern w:val="0"/>
            <w:sz w:val="24"/>
            <w:szCs w:val="24"/>
            <w:u w:val="single"/>
          </w:rPr>
          <w:t>7 </w:t>
        </w:r>
      </w:hyperlink>
      <w:hyperlink r:id="rId19" w:anchor="B4" w:history="1">
        <w:r w:rsidRPr="00736BD1">
          <w:rPr>
            <w:rFonts w:ascii="微软雅黑" w:eastAsia="微软雅黑" w:hAnsi="微软雅黑" w:cs="宋体"/>
            <w:kern w:val="0"/>
            <w:sz w:val="24"/>
            <w:szCs w:val="24"/>
            <w:u w:val="single"/>
          </w:rPr>
          <w:t>, </w:t>
        </w:r>
      </w:hyperlink>
      <w:hyperlink r:id="rId20" w:anchor="B16" w:history="1">
        <w:r w:rsidRPr="00736BD1">
          <w:rPr>
            <w:rFonts w:ascii="微软雅黑" w:eastAsia="微软雅黑" w:hAnsi="微软雅黑" w:cs="宋体"/>
            <w:kern w:val="0"/>
            <w:sz w:val="24"/>
            <w:szCs w:val="24"/>
            <w:u w:val="single"/>
          </w:rPr>
          <w:t>16</w:t>
        </w:r>
      </w:hyperlink>
      <w:r w:rsidRPr="00736BD1">
        <w:rPr>
          <w:rFonts w:ascii="微软雅黑" w:eastAsia="微软雅黑" w:hAnsi="微软雅黑" w:cs="宋体"/>
          <w:kern w:val="0"/>
          <w:sz w:val="24"/>
          <w:szCs w:val="24"/>
        </w:rPr>
        <w:t> ），但在三阴性乳腺癌（TNBC ）中更为常见（20%-30%）（17 </w:t>
      </w:r>
      <w:hyperlink r:id="rId21" w:anchor="B17" w:history="1">
        <w:r w:rsidRPr="00736BD1">
          <w:rPr>
            <w:rFonts w:ascii="微软雅黑" w:eastAsia="微软雅黑" w:hAnsi="微软雅黑" w:cs="宋体"/>
            <w:kern w:val="0"/>
            <w:sz w:val="24"/>
            <w:szCs w:val="24"/>
            <w:u w:val="single"/>
          </w:rPr>
          <w:t>,</w:t>
        </w:r>
      </w:hyperlink>
      <w:r w:rsidRPr="00736BD1">
        <w:rPr>
          <w:rFonts w:ascii="微软雅黑" w:eastAsia="微软雅黑" w:hAnsi="微软雅黑" w:cs="宋体"/>
          <w:kern w:val="0"/>
          <w:sz w:val="24"/>
          <w:szCs w:val="24"/>
        </w:rPr>
        <w:t> 18 </w:t>
      </w:r>
      <w:hyperlink r:id="rId22" w:anchor="B18" w:history="1">
        <w:r w:rsidRPr="00736BD1">
          <w:rPr>
            <w:rFonts w:ascii="微软雅黑" w:eastAsia="微软雅黑" w:hAnsi="微软雅黑" w:cs="宋体"/>
            <w:kern w:val="0"/>
            <w:sz w:val="24"/>
            <w:szCs w:val="24"/>
            <w:u w:val="single"/>
          </w:rPr>
          <w:t>）</w:t>
        </w:r>
      </w:hyperlink>
      <w:r w:rsidRPr="00736BD1">
        <w:rPr>
          <w:rFonts w:ascii="微软雅黑" w:eastAsia="微软雅黑" w:hAnsi="微软雅黑" w:cs="宋体"/>
          <w:kern w:val="0"/>
          <w:sz w:val="24"/>
          <w:szCs w:val="24"/>
        </w:rPr>
        <w:t>。尽管如此，约 70% 的 TNBC 肿瘤保留了功能性 Rb/E2F 通路，表明相当一部分肿瘤可能对基于 CDK4/6i 的疗法有反应。</w:t>
      </w:r>
    </w:p>
    <w:p w14:paraId="0FA50008" w14:textId="77777777" w:rsidR="00736BD1" w:rsidRPr="00736BD1" w:rsidRDefault="00736BD1" w:rsidP="00736BD1">
      <w:pPr>
        <w:widowControl/>
        <w:spacing w:before="450"/>
        <w:rPr>
          <w:rFonts w:ascii="微软雅黑" w:eastAsia="微软雅黑" w:hAnsi="微软雅黑" w:cs="宋体"/>
          <w:kern w:val="0"/>
          <w:sz w:val="24"/>
          <w:szCs w:val="24"/>
        </w:rPr>
      </w:pPr>
      <w:r w:rsidRPr="00736BD1">
        <w:rPr>
          <w:rFonts w:ascii="微软雅黑" w:eastAsia="微软雅黑" w:hAnsi="微软雅黑" w:cs="宋体"/>
          <w:kern w:val="0"/>
          <w:sz w:val="24"/>
          <w:szCs w:val="24"/>
        </w:rPr>
        <w:t>我们近期的研究发现，在乳腺癌中，CDK4/6抑制会触发蛋白酶体降解，从而导致Rb蛋白失活（19-21 </w:t>
      </w:r>
      <w:hyperlink r:id="rId23" w:anchor="B19" w:history="1">
        <w:r w:rsidRPr="00736BD1">
          <w:rPr>
            <w:rFonts w:ascii="微软雅黑" w:eastAsia="微软雅黑" w:hAnsi="微软雅黑" w:cs="宋体"/>
            <w:kern w:val="0"/>
            <w:sz w:val="24"/>
            <w:szCs w:val="24"/>
            <w:u w:val="single"/>
          </w:rPr>
          <w:t>）</w:t>
        </w:r>
      </w:hyperlink>
      <w:r w:rsidRPr="00736BD1">
        <w:rPr>
          <w:rFonts w:ascii="微软雅黑" w:eastAsia="微软雅黑" w:hAnsi="微软雅黑" w:cs="宋体"/>
          <w:kern w:val="0"/>
          <w:sz w:val="24"/>
          <w:szCs w:val="24"/>
        </w:rPr>
        <w:t>。然而，这种被动的Rb失活会导致E2F活性不足，而E2F活性需要被放大才能驱动CDK4/6抑制剂耐药性。转录放大器c-</w:t>
      </w:r>
      <w:proofErr w:type="spellStart"/>
      <w:r w:rsidRPr="00736BD1">
        <w:rPr>
          <w:rFonts w:ascii="微软雅黑" w:eastAsia="微软雅黑" w:hAnsi="微软雅黑" w:cs="宋体"/>
          <w:kern w:val="0"/>
          <w:sz w:val="24"/>
          <w:szCs w:val="24"/>
        </w:rPr>
        <w:t>Myc</w:t>
      </w:r>
      <w:proofErr w:type="spellEnd"/>
      <w:r w:rsidRPr="00736BD1">
        <w:rPr>
          <w:rFonts w:ascii="微软雅黑" w:eastAsia="微软雅黑" w:hAnsi="微软雅黑" w:cs="宋体"/>
          <w:kern w:val="0"/>
          <w:sz w:val="24"/>
          <w:szCs w:val="24"/>
        </w:rPr>
        <w:t>在三阴性乳腺癌（TNBC）中经常过表达（</w:t>
      </w:r>
      <w:r w:rsidRPr="00736BD1">
        <w:rPr>
          <w:rFonts w:ascii="微软雅黑" w:eastAsia="微软雅黑" w:hAnsi="微软雅黑" w:cs="宋体"/>
          <w:kern w:val="0"/>
          <w:sz w:val="24"/>
          <w:szCs w:val="24"/>
        </w:rPr>
        <w:fldChar w:fldCharType="begin"/>
      </w:r>
      <w:r w:rsidRPr="00736BD1">
        <w:rPr>
          <w:rFonts w:ascii="微软雅黑" w:eastAsia="微软雅黑" w:hAnsi="微软雅黑" w:cs="宋体"/>
          <w:kern w:val="0"/>
          <w:sz w:val="24"/>
          <w:szCs w:val="24"/>
        </w:rPr>
        <w:instrText xml:space="preserve"> HYPERLINK "https://pmc.ncbi.nlm.nih.gov/articles/PMC12520673/" \l "B21" </w:instrText>
      </w:r>
      <w:r w:rsidRPr="00736BD1">
        <w:rPr>
          <w:rFonts w:ascii="微软雅黑" w:eastAsia="微软雅黑" w:hAnsi="微软雅黑" w:cs="宋体"/>
          <w:kern w:val="0"/>
          <w:sz w:val="24"/>
          <w:szCs w:val="24"/>
        </w:rPr>
        <w:fldChar w:fldCharType="separate"/>
      </w:r>
      <w:r w:rsidRPr="00736BD1">
        <w:rPr>
          <w:rFonts w:ascii="微软雅黑" w:eastAsia="微软雅黑" w:hAnsi="微软雅黑" w:cs="宋体"/>
          <w:kern w:val="0"/>
          <w:sz w:val="24"/>
          <w:szCs w:val="24"/>
          <w:u w:val="single"/>
        </w:rPr>
        <w:t>22 </w:t>
      </w:r>
      <w:r w:rsidRPr="00736BD1">
        <w:rPr>
          <w:rFonts w:ascii="微软雅黑" w:eastAsia="微软雅黑" w:hAnsi="微软雅黑" w:cs="宋体"/>
          <w:kern w:val="0"/>
          <w:sz w:val="24"/>
          <w:szCs w:val="24"/>
        </w:rPr>
        <w:fldChar w:fldCharType="end"/>
      </w:r>
      <w:hyperlink r:id="rId24" w:anchor="B22" w:history="1">
        <w:r w:rsidRPr="00736BD1">
          <w:rPr>
            <w:rFonts w:ascii="微软雅黑" w:eastAsia="微软雅黑" w:hAnsi="微软雅黑" w:cs="宋体"/>
            <w:kern w:val="0"/>
            <w:sz w:val="24"/>
            <w:szCs w:val="24"/>
            <w:u w:val="single"/>
          </w:rPr>
          <w:t>）</w:t>
        </w:r>
      </w:hyperlink>
      <w:r w:rsidRPr="00736BD1">
        <w:rPr>
          <w:rFonts w:ascii="微软雅黑" w:eastAsia="微软雅黑" w:hAnsi="微软雅黑" w:cs="宋体"/>
          <w:kern w:val="0"/>
          <w:sz w:val="24"/>
          <w:szCs w:val="24"/>
        </w:rPr>
        <w:t>，它在增强E2F转录活性方面起着关键作用。然而，由于缺乏明确的药物结合口袋，靶向c-</w:t>
      </w:r>
      <w:proofErr w:type="spellStart"/>
      <w:r w:rsidRPr="00736BD1">
        <w:rPr>
          <w:rFonts w:ascii="微软雅黑" w:eastAsia="微软雅黑" w:hAnsi="微软雅黑" w:cs="宋体"/>
          <w:kern w:val="0"/>
          <w:sz w:val="24"/>
          <w:szCs w:val="24"/>
        </w:rPr>
        <w:t>Myc</w:t>
      </w:r>
      <w:proofErr w:type="spellEnd"/>
      <w:r w:rsidRPr="00736BD1">
        <w:rPr>
          <w:rFonts w:ascii="微软雅黑" w:eastAsia="微软雅黑" w:hAnsi="微软雅黑" w:cs="宋体"/>
          <w:kern w:val="0"/>
          <w:sz w:val="24"/>
          <w:szCs w:val="24"/>
        </w:rPr>
        <w:t>极具挑战性。鉴于c-</w:t>
      </w:r>
      <w:proofErr w:type="spellStart"/>
      <w:r w:rsidRPr="00736BD1">
        <w:rPr>
          <w:rFonts w:ascii="微软雅黑" w:eastAsia="微软雅黑" w:hAnsi="微软雅黑" w:cs="宋体"/>
          <w:kern w:val="0"/>
          <w:sz w:val="24"/>
          <w:szCs w:val="24"/>
        </w:rPr>
        <w:t>Myc</w:t>
      </w:r>
      <w:proofErr w:type="spellEnd"/>
      <w:r w:rsidRPr="00736BD1">
        <w:rPr>
          <w:rFonts w:ascii="微软雅黑" w:eastAsia="微软雅黑" w:hAnsi="微软雅黑" w:cs="宋体"/>
          <w:kern w:val="0"/>
          <w:sz w:val="24"/>
          <w:szCs w:val="24"/>
        </w:rPr>
        <w:t>通过增强RNA聚合酶II活性来促进转录（</w:t>
      </w:r>
      <w:r w:rsidRPr="00736BD1">
        <w:rPr>
          <w:rFonts w:ascii="微软雅黑" w:eastAsia="微软雅黑" w:hAnsi="微软雅黑" w:cs="宋体"/>
          <w:kern w:val="0"/>
          <w:sz w:val="24"/>
          <w:szCs w:val="24"/>
        </w:rPr>
        <w:fldChar w:fldCharType="begin"/>
      </w:r>
      <w:r w:rsidRPr="00736BD1">
        <w:rPr>
          <w:rFonts w:ascii="微软雅黑" w:eastAsia="微软雅黑" w:hAnsi="微软雅黑" w:cs="宋体"/>
          <w:kern w:val="0"/>
          <w:sz w:val="24"/>
          <w:szCs w:val="24"/>
        </w:rPr>
        <w:instrText xml:space="preserve"> HYPERLINK "https://pmc.ncbi.nlm.nih.gov/articles/PMC12520673/" \l "B23" </w:instrText>
      </w:r>
      <w:r w:rsidRPr="00736BD1">
        <w:rPr>
          <w:rFonts w:ascii="微软雅黑" w:eastAsia="微软雅黑" w:hAnsi="微软雅黑" w:cs="宋体"/>
          <w:kern w:val="0"/>
          <w:sz w:val="24"/>
          <w:szCs w:val="24"/>
        </w:rPr>
        <w:fldChar w:fldCharType="separate"/>
      </w:r>
      <w:r w:rsidRPr="00736BD1">
        <w:rPr>
          <w:rFonts w:ascii="微软雅黑" w:eastAsia="微软雅黑" w:hAnsi="微软雅黑" w:cs="宋体"/>
          <w:kern w:val="0"/>
          <w:sz w:val="24"/>
          <w:szCs w:val="24"/>
          <w:u w:val="single"/>
        </w:rPr>
        <w:t>23-26 ），靶向转录机制可能为抑制c-Myc功能和CDK4/ </w:t>
      </w:r>
      <w:r w:rsidRPr="00736BD1">
        <w:rPr>
          <w:rFonts w:ascii="微软雅黑" w:eastAsia="微软雅黑" w:hAnsi="微软雅黑" w:cs="宋体"/>
          <w:kern w:val="0"/>
          <w:sz w:val="24"/>
          <w:szCs w:val="24"/>
        </w:rPr>
        <w:fldChar w:fldCharType="end"/>
      </w:r>
      <w:hyperlink r:id="rId25" w:anchor="B26" w:history="1">
        <w:r w:rsidRPr="00736BD1">
          <w:rPr>
            <w:rFonts w:ascii="微软雅黑" w:eastAsia="微软雅黑" w:hAnsi="微软雅黑" w:cs="宋体"/>
            <w:kern w:val="0"/>
            <w:sz w:val="24"/>
            <w:szCs w:val="24"/>
            <w:u w:val="single"/>
          </w:rPr>
          <w:t>6</w:t>
        </w:r>
      </w:hyperlink>
      <w:r w:rsidRPr="00736BD1">
        <w:rPr>
          <w:rFonts w:ascii="微软雅黑" w:eastAsia="微软雅黑" w:hAnsi="微软雅黑" w:cs="宋体"/>
          <w:kern w:val="0"/>
          <w:sz w:val="24"/>
          <w:szCs w:val="24"/>
        </w:rPr>
        <w:t>抑制剂耐药性提供一种替代策略，尤其适用于Rb/E2F通路完整的肿瘤。</w:t>
      </w:r>
    </w:p>
    <w:p w14:paraId="47FEEA34" w14:textId="77777777" w:rsidR="00736BD1" w:rsidRPr="00736BD1" w:rsidRDefault="00736BD1" w:rsidP="00736BD1">
      <w:pPr>
        <w:widowControl/>
        <w:spacing w:before="450"/>
        <w:rPr>
          <w:rFonts w:ascii="微软雅黑" w:eastAsia="微软雅黑" w:hAnsi="微软雅黑" w:cs="宋体"/>
          <w:kern w:val="0"/>
          <w:sz w:val="24"/>
          <w:szCs w:val="24"/>
        </w:rPr>
      </w:pPr>
      <w:r w:rsidRPr="00736BD1">
        <w:rPr>
          <w:rFonts w:ascii="微软雅黑" w:eastAsia="微软雅黑" w:hAnsi="微软雅黑" w:cs="宋体"/>
          <w:kern w:val="0"/>
          <w:sz w:val="24"/>
          <w:szCs w:val="24"/>
        </w:rPr>
        <w:lastRenderedPageBreak/>
        <w:t>CDK7在癌症生物学中具有独特的地位，因为它具有双重作用，分别通过磷酸化RNA聚合酶II和细胞周期CDK来调控mRNA转录和细胞周期进程（</w:t>
      </w:r>
      <w:r w:rsidRPr="00736BD1">
        <w:rPr>
          <w:rFonts w:ascii="微软雅黑" w:eastAsia="微软雅黑" w:hAnsi="微软雅黑" w:cs="宋体"/>
          <w:kern w:val="0"/>
          <w:sz w:val="24"/>
          <w:szCs w:val="24"/>
        </w:rPr>
        <w:fldChar w:fldCharType="begin"/>
      </w:r>
      <w:r w:rsidRPr="00736BD1">
        <w:rPr>
          <w:rFonts w:ascii="微软雅黑" w:eastAsia="微软雅黑" w:hAnsi="微软雅黑" w:cs="宋体"/>
          <w:kern w:val="0"/>
          <w:sz w:val="24"/>
          <w:szCs w:val="24"/>
        </w:rPr>
        <w:instrText xml:space="preserve"> HYPERLINK "https://pmc.ncbi.nlm.nih.gov/articles/PMC12520673/" \l "B27" </w:instrText>
      </w:r>
      <w:r w:rsidRPr="00736BD1">
        <w:rPr>
          <w:rFonts w:ascii="微软雅黑" w:eastAsia="微软雅黑" w:hAnsi="微软雅黑" w:cs="宋体"/>
          <w:kern w:val="0"/>
          <w:sz w:val="24"/>
          <w:szCs w:val="24"/>
        </w:rPr>
        <w:fldChar w:fldCharType="separate"/>
      </w:r>
      <w:r w:rsidRPr="00736BD1">
        <w:rPr>
          <w:rFonts w:ascii="微软雅黑" w:eastAsia="微软雅黑" w:hAnsi="微软雅黑" w:cs="宋体"/>
          <w:kern w:val="0"/>
          <w:sz w:val="24"/>
          <w:szCs w:val="24"/>
          <w:u w:val="single"/>
        </w:rPr>
        <w:t>27</w:t>
      </w:r>
      <w:r w:rsidRPr="00736BD1">
        <w:rPr>
          <w:rFonts w:ascii="微软雅黑" w:eastAsia="微软雅黑" w:hAnsi="微软雅黑" w:cs="宋体"/>
          <w:kern w:val="0"/>
          <w:sz w:val="24"/>
          <w:szCs w:val="24"/>
        </w:rPr>
        <w:fldChar w:fldCharType="end"/>
      </w:r>
      <w:r w:rsidRPr="00736BD1">
        <w:rPr>
          <w:rFonts w:ascii="微软雅黑" w:eastAsia="微软雅黑" w:hAnsi="微软雅黑" w:cs="宋体"/>
          <w:kern w:val="0"/>
          <w:sz w:val="24"/>
          <w:szCs w:val="24"/>
        </w:rPr>
        <w:t> , </w:t>
      </w:r>
      <w:hyperlink r:id="rId26" w:anchor="B28" w:history="1">
        <w:r w:rsidRPr="00736BD1">
          <w:rPr>
            <w:rFonts w:ascii="微软雅黑" w:eastAsia="微软雅黑" w:hAnsi="微软雅黑" w:cs="宋体"/>
            <w:kern w:val="0"/>
            <w:sz w:val="24"/>
            <w:szCs w:val="24"/>
            <w:u w:val="single"/>
          </w:rPr>
          <w:t>28</w:t>
        </w:r>
      </w:hyperlink>
      <w:r w:rsidRPr="00736BD1">
        <w:rPr>
          <w:rFonts w:ascii="微软雅黑" w:eastAsia="微软雅黑" w:hAnsi="微软雅黑" w:cs="宋体"/>
          <w:kern w:val="0"/>
          <w:sz w:val="24"/>
          <w:szCs w:val="24"/>
        </w:rPr>
        <w:t>）。这种双重功能使得CDK7抑制剂（CDK7i）作为乳腺癌的独立疗法极具吸引力，有望消除对其他CDK靶</w:t>
      </w:r>
      <w:proofErr w:type="gramStart"/>
      <w:r w:rsidRPr="00736BD1">
        <w:rPr>
          <w:rFonts w:ascii="微软雅黑" w:eastAsia="微软雅黑" w:hAnsi="微软雅黑" w:cs="宋体"/>
          <w:kern w:val="0"/>
          <w:sz w:val="24"/>
          <w:szCs w:val="24"/>
        </w:rPr>
        <w:t>向药物</w:t>
      </w:r>
      <w:proofErr w:type="gramEnd"/>
      <w:r w:rsidRPr="00736BD1">
        <w:rPr>
          <w:rFonts w:ascii="微软雅黑" w:eastAsia="微软雅黑" w:hAnsi="微软雅黑" w:cs="宋体"/>
          <w:kern w:val="0"/>
          <w:sz w:val="24"/>
          <w:szCs w:val="24"/>
        </w:rPr>
        <w:t>的需求（</w:t>
      </w:r>
      <w:r w:rsidRPr="00736BD1">
        <w:rPr>
          <w:rFonts w:ascii="微软雅黑" w:eastAsia="微软雅黑" w:hAnsi="微软雅黑" w:cs="宋体"/>
          <w:kern w:val="0"/>
          <w:sz w:val="24"/>
          <w:szCs w:val="24"/>
        </w:rPr>
        <w:fldChar w:fldCharType="begin"/>
      </w:r>
      <w:r w:rsidRPr="00736BD1">
        <w:rPr>
          <w:rFonts w:ascii="微软雅黑" w:eastAsia="微软雅黑" w:hAnsi="微软雅黑" w:cs="宋体"/>
          <w:kern w:val="0"/>
          <w:sz w:val="24"/>
          <w:szCs w:val="24"/>
        </w:rPr>
        <w:instrText xml:space="preserve"> HYPERLINK "https://pmc.ncbi.nlm.nih.gov/articles/PMC12520673/" \l "B29" </w:instrText>
      </w:r>
      <w:r w:rsidRPr="00736BD1">
        <w:rPr>
          <w:rFonts w:ascii="微软雅黑" w:eastAsia="微软雅黑" w:hAnsi="微软雅黑" w:cs="宋体"/>
          <w:kern w:val="0"/>
          <w:sz w:val="24"/>
          <w:szCs w:val="24"/>
        </w:rPr>
        <w:fldChar w:fldCharType="separate"/>
      </w:r>
      <w:r w:rsidRPr="00736BD1">
        <w:rPr>
          <w:rFonts w:ascii="微软雅黑" w:eastAsia="微软雅黑" w:hAnsi="微软雅黑" w:cs="宋体"/>
          <w:kern w:val="0"/>
          <w:sz w:val="24"/>
          <w:szCs w:val="24"/>
          <w:u w:val="single"/>
        </w:rPr>
        <w:t>29</w:t>
      </w:r>
      <w:r w:rsidRPr="00736BD1">
        <w:rPr>
          <w:rFonts w:ascii="微软雅黑" w:eastAsia="微软雅黑" w:hAnsi="微软雅黑" w:cs="宋体"/>
          <w:kern w:val="0"/>
          <w:sz w:val="24"/>
          <w:szCs w:val="24"/>
        </w:rPr>
        <w:fldChar w:fldCharType="end"/>
      </w:r>
      <w:r w:rsidRPr="00736BD1">
        <w:rPr>
          <w:rFonts w:ascii="微软雅黑" w:eastAsia="微软雅黑" w:hAnsi="微软雅黑" w:cs="宋体"/>
          <w:kern w:val="0"/>
          <w:sz w:val="24"/>
          <w:szCs w:val="24"/>
        </w:rPr>
        <w:t>）。近期临床试验评估了CDK7i作为二线疗法在接受CDK4/6i和ET治疗后进展的HR </w:t>
      </w:r>
      <w:r w:rsidRPr="00736BD1">
        <w:rPr>
          <w:rFonts w:ascii="微软雅黑" w:eastAsia="微软雅黑" w:hAnsi="微软雅黑" w:cs="宋体"/>
          <w:kern w:val="0"/>
          <w:sz w:val="24"/>
          <w:szCs w:val="24"/>
          <w:vertAlign w:val="superscript"/>
        </w:rPr>
        <w:t>+</w:t>
      </w:r>
      <w:r w:rsidRPr="00736BD1">
        <w:rPr>
          <w:rFonts w:ascii="微软雅黑" w:eastAsia="微软雅黑" w:hAnsi="微软雅黑" w:cs="宋体"/>
          <w:kern w:val="0"/>
          <w:sz w:val="24"/>
          <w:szCs w:val="24"/>
        </w:rPr>
        <w:t> /HER2-</w:t>
      </w:r>
      <w:r w:rsidRPr="00736BD1">
        <w:rPr>
          <w:rFonts w:ascii="微软雅黑" w:eastAsia="微软雅黑" w:hAnsi="微软雅黑" w:cs="宋体"/>
          <w:kern w:val="0"/>
          <w:sz w:val="24"/>
          <w:szCs w:val="24"/>
          <w:vertAlign w:val="superscript"/>
        </w:rPr>
        <w:t>乳腺癌</w:t>
      </w:r>
      <w:r w:rsidRPr="00736BD1">
        <w:rPr>
          <w:rFonts w:ascii="微软雅黑" w:eastAsia="微软雅黑" w:hAnsi="微软雅黑" w:cs="宋体"/>
          <w:kern w:val="0"/>
          <w:sz w:val="24"/>
          <w:szCs w:val="24"/>
        </w:rPr>
        <w:t>患者中的最大耐受剂量，以及作为三阴性乳腺癌（TNBC）一线疗法的疗效（ClinicalTrials.gov </w:t>
      </w:r>
      <w:hyperlink r:id="rId27" w:tgtFrame="_blank" w:history="1">
        <w:r w:rsidRPr="00736BD1">
          <w:rPr>
            <w:rFonts w:ascii="微软雅黑" w:eastAsia="微软雅黑" w:hAnsi="微软雅黑" w:cs="宋体"/>
            <w:kern w:val="0"/>
            <w:sz w:val="24"/>
            <w:szCs w:val="24"/>
            <w:u w:val="single"/>
          </w:rPr>
          <w:t>NCT03363893</w:t>
        </w:r>
      </w:hyperlink>
      <w:r w:rsidRPr="00736BD1">
        <w:rPr>
          <w:rFonts w:ascii="微软雅黑" w:eastAsia="微软雅黑" w:hAnsi="微软雅黑" w:cs="宋体"/>
          <w:kern w:val="0"/>
          <w:sz w:val="24"/>
          <w:szCs w:val="24"/>
        </w:rPr>
        <w:t>和</w:t>
      </w:r>
      <w:r w:rsidRPr="00736BD1">
        <w:rPr>
          <w:rFonts w:ascii="微软雅黑" w:eastAsia="微软雅黑" w:hAnsi="微软雅黑" w:cs="宋体"/>
          <w:kern w:val="0"/>
          <w:sz w:val="24"/>
          <w:szCs w:val="24"/>
        </w:rPr>
        <w:fldChar w:fldCharType="begin"/>
      </w:r>
      <w:r w:rsidRPr="00736BD1">
        <w:rPr>
          <w:rFonts w:ascii="微软雅黑" w:eastAsia="微软雅黑" w:hAnsi="微软雅黑" w:cs="宋体"/>
          <w:kern w:val="0"/>
          <w:sz w:val="24"/>
          <w:szCs w:val="24"/>
        </w:rPr>
        <w:instrText xml:space="preserve"> HYPERLINK "https://clinicaltrials.gov/ct2/show/NCT04247126" \t "_blank" </w:instrText>
      </w:r>
      <w:r w:rsidRPr="00736BD1">
        <w:rPr>
          <w:rFonts w:ascii="微软雅黑" w:eastAsia="微软雅黑" w:hAnsi="微软雅黑" w:cs="宋体"/>
          <w:kern w:val="0"/>
          <w:sz w:val="24"/>
          <w:szCs w:val="24"/>
        </w:rPr>
        <w:fldChar w:fldCharType="separate"/>
      </w:r>
      <w:r w:rsidRPr="00736BD1">
        <w:rPr>
          <w:rFonts w:ascii="微软雅黑" w:eastAsia="微软雅黑" w:hAnsi="微软雅黑" w:cs="宋体"/>
          <w:kern w:val="0"/>
          <w:sz w:val="24"/>
          <w:szCs w:val="24"/>
          <w:u w:val="single"/>
        </w:rPr>
        <w:t>NCT04247126</w:t>
      </w:r>
      <w:r w:rsidRPr="00736BD1">
        <w:rPr>
          <w:rFonts w:ascii="微软雅黑" w:eastAsia="微软雅黑" w:hAnsi="微软雅黑" w:cs="宋体"/>
          <w:kern w:val="0"/>
          <w:sz w:val="24"/>
          <w:szCs w:val="24"/>
        </w:rPr>
        <w:fldChar w:fldCharType="end"/>
      </w:r>
      <w:r w:rsidRPr="00736BD1">
        <w:rPr>
          <w:rFonts w:ascii="微软雅黑" w:eastAsia="微软雅黑" w:hAnsi="微软雅黑" w:cs="宋体"/>
          <w:kern w:val="0"/>
          <w:sz w:val="24"/>
          <w:szCs w:val="24"/>
        </w:rPr>
        <w:t>）（</w:t>
      </w:r>
      <w:hyperlink r:id="rId28" w:anchor="B30" w:history="1">
        <w:r w:rsidRPr="00736BD1">
          <w:rPr>
            <w:rFonts w:ascii="微软雅黑" w:eastAsia="微软雅黑" w:hAnsi="微软雅黑" w:cs="宋体"/>
            <w:kern w:val="0"/>
            <w:sz w:val="24"/>
            <w:szCs w:val="24"/>
            <w:u w:val="single"/>
          </w:rPr>
          <w:t>30 ）。此外，一项先前的研究表明，CDK7i联合ET可能为克服HR </w:t>
        </w:r>
      </w:hyperlink>
      <w:r w:rsidRPr="00736BD1">
        <w:rPr>
          <w:rFonts w:ascii="微软雅黑" w:eastAsia="微软雅黑" w:hAnsi="微软雅黑" w:cs="宋体"/>
          <w:kern w:val="0"/>
          <w:sz w:val="24"/>
          <w:szCs w:val="24"/>
          <w:vertAlign w:val="superscript"/>
        </w:rPr>
        <w:t>+</w:t>
      </w:r>
      <w:r w:rsidRPr="00736BD1">
        <w:rPr>
          <w:rFonts w:ascii="微软雅黑" w:eastAsia="微软雅黑" w:hAnsi="微软雅黑" w:cs="宋体"/>
          <w:kern w:val="0"/>
          <w:sz w:val="24"/>
          <w:szCs w:val="24"/>
        </w:rPr>
        <w:t> /HER2-</w:t>
      </w:r>
      <w:r w:rsidRPr="00736BD1">
        <w:rPr>
          <w:rFonts w:ascii="微软雅黑" w:eastAsia="微软雅黑" w:hAnsi="微软雅黑" w:cs="宋体"/>
          <w:kern w:val="0"/>
          <w:sz w:val="24"/>
          <w:szCs w:val="24"/>
          <w:vertAlign w:val="superscript"/>
        </w:rPr>
        <w:t>乳腺癌</w:t>
      </w:r>
      <w:r w:rsidRPr="00736BD1">
        <w:rPr>
          <w:rFonts w:ascii="微软雅黑" w:eastAsia="微软雅黑" w:hAnsi="微软雅黑" w:cs="宋体"/>
          <w:kern w:val="0"/>
          <w:sz w:val="24"/>
          <w:szCs w:val="24"/>
        </w:rPr>
        <w:t>的治疗耐药性提供一种有效的二线治疗策略（</w:t>
      </w:r>
      <w:hyperlink r:id="rId29" w:anchor="B31" w:history="1">
        <w:r w:rsidRPr="00736BD1">
          <w:rPr>
            <w:rFonts w:ascii="微软雅黑" w:eastAsia="微软雅黑" w:hAnsi="微软雅黑" w:cs="宋体"/>
            <w:kern w:val="0"/>
            <w:sz w:val="24"/>
            <w:szCs w:val="24"/>
            <w:u w:val="single"/>
          </w:rPr>
          <w:t>31</w:t>
        </w:r>
      </w:hyperlink>
      <w:r w:rsidRPr="00736BD1">
        <w:rPr>
          <w:rFonts w:ascii="微软雅黑" w:eastAsia="微软雅黑" w:hAnsi="微软雅黑" w:cs="宋体"/>
          <w:kern w:val="0"/>
          <w:sz w:val="24"/>
          <w:szCs w:val="24"/>
        </w:rPr>
        <w:t>）。尽管取得了这些令人鼓舞的进展，但 CDK7 抑制在乳腺癌中的确切作用机制仍未完全阐明。值得注意的是，鉴于 CDK 活性依赖于细胞周期蛋白的表达，CDK7 抑制剂对 RNA 聚合酶 II 的最大抑制作用可能间接影响细胞周期进程，从而使对其下游效应的机制解释变得复杂。</w:t>
      </w:r>
    </w:p>
    <w:p w14:paraId="196BA8AE" w14:textId="77777777" w:rsidR="00736BD1" w:rsidRPr="00736BD1" w:rsidRDefault="00736BD1" w:rsidP="00736BD1">
      <w:pPr>
        <w:widowControl/>
        <w:spacing w:before="450"/>
        <w:rPr>
          <w:rFonts w:ascii="微软雅黑" w:eastAsia="微软雅黑" w:hAnsi="微软雅黑" w:cs="宋体"/>
          <w:kern w:val="0"/>
          <w:sz w:val="24"/>
          <w:szCs w:val="24"/>
        </w:rPr>
      </w:pPr>
      <w:r w:rsidRPr="00736BD1">
        <w:rPr>
          <w:rFonts w:ascii="微软雅黑" w:eastAsia="微软雅黑" w:hAnsi="微软雅黑" w:cs="宋体"/>
          <w:kern w:val="0"/>
          <w:sz w:val="24"/>
          <w:szCs w:val="24"/>
        </w:rPr>
        <w:t>本研究表明，CDK7抑制剂主要抑制RNA聚合酶II</w:t>
      </w:r>
      <w:proofErr w:type="gramStart"/>
      <w:r w:rsidRPr="00736BD1">
        <w:rPr>
          <w:rFonts w:ascii="微软雅黑" w:eastAsia="微软雅黑" w:hAnsi="微软雅黑" w:cs="宋体"/>
          <w:kern w:val="0"/>
          <w:sz w:val="24"/>
          <w:szCs w:val="24"/>
        </w:rPr>
        <w:t>介</w:t>
      </w:r>
      <w:proofErr w:type="gramEnd"/>
      <w:r w:rsidRPr="00736BD1">
        <w:rPr>
          <w:rFonts w:ascii="微软雅黑" w:eastAsia="微软雅黑" w:hAnsi="微软雅黑" w:cs="宋体"/>
          <w:kern w:val="0"/>
          <w:sz w:val="24"/>
          <w:szCs w:val="24"/>
        </w:rPr>
        <w:t>导的转录，而非直接靶向细胞周期CDK。我们提出，CDK4/6和CDK7的双重抑制是一种合理的治疗策略，有望成为三阴性乳腺癌的一线治疗方案，以及在CDK4/6抑制剂和内分泌治疗后进展的HR </w:t>
      </w:r>
      <w:r w:rsidRPr="00736BD1">
        <w:rPr>
          <w:rFonts w:ascii="微软雅黑" w:eastAsia="微软雅黑" w:hAnsi="微软雅黑" w:cs="宋体"/>
          <w:kern w:val="0"/>
          <w:sz w:val="24"/>
          <w:szCs w:val="24"/>
          <w:vertAlign w:val="superscript"/>
        </w:rPr>
        <w:t>+</w:t>
      </w:r>
      <w:r w:rsidRPr="00736BD1">
        <w:rPr>
          <w:rFonts w:ascii="微软雅黑" w:eastAsia="微软雅黑" w:hAnsi="微软雅黑" w:cs="宋体"/>
          <w:kern w:val="0"/>
          <w:sz w:val="24"/>
          <w:szCs w:val="24"/>
        </w:rPr>
        <w:t> /HER2-</w:t>
      </w:r>
      <w:r w:rsidRPr="00736BD1">
        <w:rPr>
          <w:rFonts w:ascii="微软雅黑" w:eastAsia="微软雅黑" w:hAnsi="微软雅黑" w:cs="宋体"/>
          <w:kern w:val="0"/>
          <w:sz w:val="24"/>
          <w:szCs w:val="24"/>
          <w:vertAlign w:val="superscript"/>
        </w:rPr>
        <w:t>乳腺癌</w:t>
      </w:r>
      <w:r w:rsidRPr="00736BD1">
        <w:rPr>
          <w:rFonts w:ascii="微软雅黑" w:eastAsia="微软雅黑" w:hAnsi="微软雅黑" w:cs="宋体"/>
          <w:kern w:val="0"/>
          <w:sz w:val="24"/>
          <w:szCs w:val="24"/>
        </w:rPr>
        <w:t>的二线治疗方案。我们的研究结果揭示了CDK抑制的机制，并强调了联合使用CDK7抑制剂和CDK4/6抑制剂在克服乳腺癌模型耐药性方面的治疗潜力。</w:t>
      </w:r>
    </w:p>
    <w:p w14:paraId="5232E23E" w14:textId="77777777" w:rsidR="00736BD1" w:rsidRPr="00736BD1" w:rsidRDefault="00736BD1" w:rsidP="00736BD1">
      <w:pPr>
        <w:widowControl/>
        <w:pBdr>
          <w:bottom w:val="single" w:sz="6" w:space="0" w:color="97B1C8"/>
        </w:pBdr>
        <w:spacing w:line="450" w:lineRule="atLeast"/>
        <w:outlineLvl w:val="1"/>
        <w:rPr>
          <w:rFonts w:ascii="微软雅黑" w:eastAsia="微软雅黑" w:hAnsi="微软雅黑" w:cs="宋体"/>
          <w:kern w:val="0"/>
          <w:sz w:val="34"/>
          <w:szCs w:val="34"/>
        </w:rPr>
      </w:pPr>
      <w:r w:rsidRPr="00736BD1">
        <w:rPr>
          <w:rFonts w:ascii="微软雅黑" w:eastAsia="微软雅黑" w:hAnsi="微软雅黑" w:cs="宋体"/>
          <w:kern w:val="0"/>
          <w:sz w:val="34"/>
          <w:szCs w:val="34"/>
        </w:rPr>
        <w:t>结果</w:t>
      </w:r>
    </w:p>
    <w:p w14:paraId="051E45DC" w14:textId="77777777" w:rsidR="00736BD1" w:rsidRPr="00736BD1" w:rsidRDefault="00736BD1" w:rsidP="00736BD1">
      <w:pPr>
        <w:widowControl/>
        <w:spacing w:line="450" w:lineRule="atLeast"/>
        <w:outlineLvl w:val="2"/>
        <w:rPr>
          <w:rFonts w:ascii="微软雅黑" w:eastAsia="微软雅黑" w:hAnsi="微软雅黑" w:cs="宋体"/>
          <w:kern w:val="0"/>
          <w:sz w:val="32"/>
          <w:szCs w:val="32"/>
        </w:rPr>
      </w:pPr>
      <w:r w:rsidRPr="00736BD1">
        <w:rPr>
          <w:rFonts w:ascii="微软雅黑" w:eastAsia="微软雅黑" w:hAnsi="微软雅黑" w:cs="宋体"/>
          <w:kern w:val="0"/>
          <w:sz w:val="32"/>
          <w:szCs w:val="32"/>
        </w:rPr>
        <w:t>RNA聚合酶II是CDK7i的主要靶点，CDK抑制剂单药治疗在TNBC中的局限性。</w:t>
      </w:r>
    </w:p>
    <w:p w14:paraId="756ABA85" w14:textId="77777777" w:rsidR="00736BD1" w:rsidRPr="00736BD1" w:rsidRDefault="00736BD1" w:rsidP="00736BD1">
      <w:pPr>
        <w:widowControl/>
        <w:spacing w:before="450"/>
        <w:rPr>
          <w:rFonts w:ascii="微软雅黑" w:eastAsia="微软雅黑" w:hAnsi="微软雅黑" w:cs="宋体"/>
          <w:kern w:val="0"/>
          <w:sz w:val="24"/>
          <w:szCs w:val="24"/>
        </w:rPr>
      </w:pPr>
      <w:r w:rsidRPr="00736BD1">
        <w:rPr>
          <w:rFonts w:ascii="微软雅黑" w:eastAsia="微软雅黑" w:hAnsi="微软雅黑" w:cs="宋体"/>
          <w:kern w:val="0"/>
          <w:sz w:val="24"/>
          <w:szCs w:val="24"/>
        </w:rPr>
        <w:lastRenderedPageBreak/>
        <w:t>我们研究了两种特异性 CDK7 抑制剂（SY5609 和 LDC4297）对三阴性乳腺癌 (TNBC，MDA-MB-231) 和激素受体阳性/HER2 阴性 (HR </w:t>
      </w:r>
      <w:r w:rsidRPr="00736BD1">
        <w:rPr>
          <w:rFonts w:ascii="微软雅黑" w:eastAsia="微软雅黑" w:hAnsi="微软雅黑" w:cs="宋体"/>
          <w:kern w:val="0"/>
          <w:sz w:val="24"/>
          <w:szCs w:val="24"/>
          <w:vertAlign w:val="superscript"/>
        </w:rPr>
        <w:t>+</w:t>
      </w:r>
      <w:r w:rsidRPr="00736BD1">
        <w:rPr>
          <w:rFonts w:ascii="微软雅黑" w:eastAsia="微软雅黑" w:hAnsi="微软雅黑" w:cs="宋体"/>
          <w:kern w:val="0"/>
          <w:sz w:val="24"/>
          <w:szCs w:val="24"/>
        </w:rPr>
        <w:t> /HER2- </w:t>
      </w:r>
      <w:r w:rsidRPr="00736BD1">
        <w:rPr>
          <w:rFonts w:ascii="微软雅黑" w:eastAsia="微软雅黑" w:hAnsi="微软雅黑" w:cs="宋体"/>
          <w:kern w:val="0"/>
          <w:sz w:val="24"/>
          <w:szCs w:val="24"/>
          <w:vertAlign w:val="superscript"/>
        </w:rPr>
        <w:t>，</w:t>
      </w:r>
      <w:r w:rsidRPr="00736BD1">
        <w:rPr>
          <w:rFonts w:ascii="微软雅黑" w:eastAsia="微软雅黑" w:hAnsi="微软雅黑" w:cs="宋体"/>
          <w:kern w:val="0"/>
          <w:sz w:val="24"/>
          <w:szCs w:val="24"/>
        </w:rPr>
        <w:t> MCF-7) 细胞系中 mRNA 转录、细胞周期 CDK 活性和细胞增殖的影响。我们使用活细胞传感器监测 CDK4/6 和 CDK2 的活性 ( </w:t>
      </w:r>
      <w:hyperlink r:id="rId30" w:anchor="B32" w:history="1">
        <w:r w:rsidRPr="00736BD1">
          <w:rPr>
            <w:rFonts w:ascii="微软雅黑" w:eastAsia="微软雅黑" w:hAnsi="微软雅黑" w:cs="宋体"/>
            <w:kern w:val="0"/>
            <w:sz w:val="24"/>
            <w:szCs w:val="24"/>
            <w:u w:val="single"/>
          </w:rPr>
          <w:t>32</w:t>
        </w:r>
      </w:hyperlink>
      <w:r w:rsidRPr="00736BD1">
        <w:rPr>
          <w:rFonts w:ascii="微软雅黑" w:eastAsia="微软雅黑" w:hAnsi="微软雅黑" w:cs="宋体"/>
          <w:kern w:val="0"/>
          <w:sz w:val="24"/>
          <w:szCs w:val="24"/>
        </w:rPr>
        <w:t> , </w:t>
      </w:r>
      <w:hyperlink r:id="rId31" w:anchor="B33" w:history="1">
        <w:r w:rsidRPr="00736BD1">
          <w:rPr>
            <w:rFonts w:ascii="微软雅黑" w:eastAsia="微软雅黑" w:hAnsi="微软雅黑" w:cs="宋体"/>
            <w:kern w:val="0"/>
            <w:sz w:val="24"/>
            <w:szCs w:val="24"/>
            <w:u w:val="single"/>
          </w:rPr>
          <w:t>33</w:t>
        </w:r>
      </w:hyperlink>
      <w:r w:rsidRPr="00736BD1">
        <w:rPr>
          <w:rFonts w:ascii="微软雅黑" w:eastAsia="微软雅黑" w:hAnsi="微软雅黑" w:cs="宋体"/>
          <w:kern w:val="0"/>
          <w:sz w:val="24"/>
          <w:szCs w:val="24"/>
        </w:rPr>
        <w:t> )，并分别通过 5-乙炔基尿苷 (EU) 和 5-乙炔基-2′-脱氧尿苷 (</w:t>
      </w:r>
      <w:proofErr w:type="spellStart"/>
      <w:r w:rsidRPr="00736BD1">
        <w:rPr>
          <w:rFonts w:ascii="微软雅黑" w:eastAsia="微软雅黑" w:hAnsi="微软雅黑" w:cs="宋体"/>
          <w:kern w:val="0"/>
          <w:sz w:val="24"/>
          <w:szCs w:val="24"/>
        </w:rPr>
        <w:t>EdU</w:t>
      </w:r>
      <w:proofErr w:type="spellEnd"/>
      <w:r w:rsidRPr="00736BD1">
        <w:rPr>
          <w:rFonts w:ascii="微软雅黑" w:eastAsia="微软雅黑" w:hAnsi="微软雅黑" w:cs="宋体"/>
          <w:kern w:val="0"/>
          <w:sz w:val="24"/>
          <w:szCs w:val="24"/>
        </w:rPr>
        <w:t xml:space="preserve">) 掺入法评估 mRNA 转录和细胞增殖（S 期细胞百分比）。将细胞用不同浓度的 CDK7 抑制剂处理 48 小时，以确定其半数抑制浓度 (IC50)。我们发现，与抑制 CDK4/6 和 CDK2 活性或细胞增殖所需的 IC50 值（152–1,557 </w:t>
      </w:r>
      <w:proofErr w:type="spellStart"/>
      <w:r w:rsidRPr="00736BD1">
        <w:rPr>
          <w:rFonts w:ascii="微软雅黑" w:eastAsia="微软雅黑" w:hAnsi="微软雅黑" w:cs="宋体"/>
          <w:kern w:val="0"/>
          <w:sz w:val="24"/>
          <w:szCs w:val="24"/>
        </w:rPr>
        <w:t>nM</w:t>
      </w:r>
      <w:proofErr w:type="spellEnd"/>
      <w:r w:rsidRPr="00736BD1">
        <w:rPr>
          <w:rFonts w:ascii="微软雅黑" w:eastAsia="微软雅黑" w:hAnsi="微软雅黑" w:cs="宋体"/>
          <w:kern w:val="0"/>
          <w:sz w:val="24"/>
          <w:szCs w:val="24"/>
        </w:rPr>
        <w:t xml:space="preserve">）相比，CDK7i 对 mRNA 转录的 IC50 </w:t>
      </w:r>
      <w:proofErr w:type="gramStart"/>
      <w:r w:rsidRPr="00736BD1">
        <w:rPr>
          <w:rFonts w:ascii="微软雅黑" w:eastAsia="微软雅黑" w:hAnsi="微软雅黑" w:cs="宋体"/>
          <w:kern w:val="0"/>
          <w:sz w:val="24"/>
          <w:szCs w:val="24"/>
        </w:rPr>
        <w:t>值显著</w:t>
      </w:r>
      <w:proofErr w:type="gramEnd"/>
      <w:r w:rsidRPr="00736BD1">
        <w:rPr>
          <w:rFonts w:ascii="微软雅黑" w:eastAsia="微软雅黑" w:hAnsi="微软雅黑" w:cs="宋体"/>
          <w:kern w:val="0"/>
          <w:sz w:val="24"/>
          <w:szCs w:val="24"/>
        </w:rPr>
        <w:t xml:space="preserve">降低（3–16 </w:t>
      </w:r>
      <w:proofErr w:type="spellStart"/>
      <w:r w:rsidRPr="00736BD1">
        <w:rPr>
          <w:rFonts w:ascii="微软雅黑" w:eastAsia="微软雅黑" w:hAnsi="微软雅黑" w:cs="宋体"/>
          <w:kern w:val="0"/>
          <w:sz w:val="24"/>
          <w:szCs w:val="24"/>
        </w:rPr>
        <w:t>nM</w:t>
      </w:r>
      <w:proofErr w:type="spellEnd"/>
      <w:r w:rsidRPr="00736BD1">
        <w:rPr>
          <w:rFonts w:ascii="微软雅黑" w:eastAsia="微软雅黑" w:hAnsi="微软雅黑" w:cs="宋体"/>
          <w:kern w:val="0"/>
          <w:sz w:val="24"/>
          <w:szCs w:val="24"/>
        </w:rPr>
        <w:t>）（</w:t>
      </w:r>
      <w:hyperlink r:id="rId32" w:anchor="F1" w:history="1">
        <w:r w:rsidRPr="00736BD1">
          <w:rPr>
            <w:rFonts w:ascii="微软雅黑" w:eastAsia="微软雅黑" w:hAnsi="微软雅黑" w:cs="宋体"/>
            <w:kern w:val="0"/>
            <w:sz w:val="24"/>
            <w:szCs w:val="24"/>
            <w:u w:val="single"/>
          </w:rPr>
          <w:t>图 1A</w:t>
        </w:r>
      </w:hyperlink>
      <w:r w:rsidRPr="00736BD1">
        <w:rPr>
          <w:rFonts w:ascii="微软雅黑" w:eastAsia="微软雅黑" w:hAnsi="微软雅黑" w:cs="宋体"/>
          <w:kern w:val="0"/>
          <w:sz w:val="24"/>
          <w:szCs w:val="24"/>
        </w:rPr>
        <w:t>和</w:t>
      </w:r>
      <w:r w:rsidRPr="00736BD1">
        <w:rPr>
          <w:rFonts w:ascii="微软雅黑" w:eastAsia="微软雅黑" w:hAnsi="微软雅黑" w:cs="宋体"/>
          <w:kern w:val="0"/>
          <w:sz w:val="24"/>
          <w:szCs w:val="24"/>
        </w:rPr>
        <w:fldChar w:fldCharType="begin"/>
      </w:r>
      <w:r w:rsidRPr="00736BD1">
        <w:rPr>
          <w:rFonts w:ascii="微软雅黑" w:eastAsia="微软雅黑" w:hAnsi="微软雅黑" w:cs="宋体"/>
          <w:kern w:val="0"/>
          <w:sz w:val="24"/>
          <w:szCs w:val="24"/>
        </w:rPr>
        <w:instrText xml:space="preserve"> HYPERLINK "https://pmc.ncbi.nlm.nih.gov/articles/PMC12520673/" \l "sd" </w:instrText>
      </w:r>
      <w:r w:rsidRPr="00736BD1">
        <w:rPr>
          <w:rFonts w:ascii="微软雅黑" w:eastAsia="微软雅黑" w:hAnsi="微软雅黑" w:cs="宋体"/>
          <w:kern w:val="0"/>
          <w:sz w:val="24"/>
          <w:szCs w:val="24"/>
        </w:rPr>
        <w:fldChar w:fldCharType="separate"/>
      </w:r>
      <w:r w:rsidRPr="00736BD1">
        <w:rPr>
          <w:rFonts w:ascii="微软雅黑" w:eastAsia="微软雅黑" w:hAnsi="微软雅黑" w:cs="宋体"/>
          <w:kern w:val="0"/>
          <w:sz w:val="24"/>
          <w:szCs w:val="24"/>
          <w:u w:val="single"/>
        </w:rPr>
        <w:t>补充图 1</w:t>
      </w:r>
      <w:r w:rsidRPr="00736BD1">
        <w:rPr>
          <w:rFonts w:ascii="微软雅黑" w:eastAsia="微软雅黑" w:hAnsi="微软雅黑" w:cs="宋体"/>
          <w:kern w:val="0"/>
          <w:sz w:val="24"/>
          <w:szCs w:val="24"/>
        </w:rPr>
        <w:fldChar w:fldCharType="end"/>
      </w:r>
      <w:r w:rsidRPr="00736BD1">
        <w:rPr>
          <w:rFonts w:ascii="微软雅黑" w:eastAsia="微软雅黑" w:hAnsi="微软雅黑" w:cs="宋体"/>
          <w:kern w:val="0"/>
          <w:sz w:val="24"/>
          <w:szCs w:val="24"/>
        </w:rPr>
        <w:t>；补充材料可在线获取；</w:t>
      </w:r>
      <w:r w:rsidRPr="00736BD1">
        <w:rPr>
          <w:rFonts w:ascii="微软雅黑" w:eastAsia="微软雅黑" w:hAnsi="微软雅黑" w:cs="宋体"/>
          <w:kern w:val="0"/>
          <w:sz w:val="24"/>
          <w:szCs w:val="24"/>
        </w:rPr>
        <w:fldChar w:fldCharType="begin"/>
      </w:r>
      <w:r w:rsidRPr="00736BD1">
        <w:rPr>
          <w:rFonts w:ascii="微软雅黑" w:eastAsia="微软雅黑" w:hAnsi="微软雅黑" w:cs="宋体"/>
          <w:kern w:val="0"/>
          <w:sz w:val="24"/>
          <w:szCs w:val="24"/>
        </w:rPr>
        <w:instrText xml:space="preserve"> HYPERLINK "https://doi.org/10.1172/JCI188839DS1" \t "_blank" </w:instrText>
      </w:r>
      <w:r w:rsidRPr="00736BD1">
        <w:rPr>
          <w:rFonts w:ascii="微软雅黑" w:eastAsia="微软雅黑" w:hAnsi="微软雅黑" w:cs="宋体"/>
          <w:kern w:val="0"/>
          <w:sz w:val="24"/>
          <w:szCs w:val="24"/>
        </w:rPr>
        <w:fldChar w:fldCharType="separate"/>
      </w:r>
      <w:r w:rsidRPr="00736BD1">
        <w:rPr>
          <w:rFonts w:ascii="微软雅黑" w:eastAsia="微软雅黑" w:hAnsi="微软雅黑" w:cs="宋体"/>
          <w:kern w:val="0"/>
          <w:sz w:val="24"/>
          <w:szCs w:val="24"/>
          <w:u w:val="single"/>
        </w:rPr>
        <w:t>https://doi.org/10.1172/JCI188839DS1</w:t>
      </w:r>
      <w:r w:rsidRPr="00736BD1">
        <w:rPr>
          <w:rFonts w:ascii="微软雅黑" w:eastAsia="微软雅黑" w:hAnsi="微软雅黑" w:cs="宋体"/>
          <w:kern w:val="0"/>
          <w:sz w:val="24"/>
          <w:szCs w:val="24"/>
        </w:rPr>
        <w:fldChar w:fldCharType="end"/>
      </w:r>
      <w:r w:rsidRPr="00736BD1">
        <w:rPr>
          <w:rFonts w:ascii="微软雅黑" w:eastAsia="微软雅黑" w:hAnsi="微软雅黑" w:cs="宋体"/>
          <w:kern w:val="0"/>
          <w:sz w:val="24"/>
          <w:szCs w:val="24"/>
        </w:rPr>
        <w:t>）。值得注意的是，动力学分析表明，CDK7i 处理降低了 RNA 聚合酶 II 的磷酸化和 mRNA 转录，而对 CDK4/6 或 CDK2 的活性没有影响（</w:t>
      </w:r>
      <w:r w:rsidRPr="00736BD1">
        <w:rPr>
          <w:rFonts w:ascii="微软雅黑" w:eastAsia="微软雅黑" w:hAnsi="微软雅黑" w:cs="宋体"/>
          <w:kern w:val="0"/>
          <w:sz w:val="24"/>
          <w:szCs w:val="24"/>
        </w:rPr>
        <w:fldChar w:fldCharType="begin"/>
      </w:r>
      <w:r w:rsidRPr="00736BD1">
        <w:rPr>
          <w:rFonts w:ascii="微软雅黑" w:eastAsia="微软雅黑" w:hAnsi="微软雅黑" w:cs="宋体"/>
          <w:kern w:val="0"/>
          <w:sz w:val="24"/>
          <w:szCs w:val="24"/>
        </w:rPr>
        <w:instrText xml:space="preserve"> HYPERLINK "https://pmc.ncbi.nlm.nih.gov/articles/PMC12520673/" \l "F1" </w:instrText>
      </w:r>
      <w:r w:rsidRPr="00736BD1">
        <w:rPr>
          <w:rFonts w:ascii="微软雅黑" w:eastAsia="微软雅黑" w:hAnsi="微软雅黑" w:cs="宋体"/>
          <w:kern w:val="0"/>
          <w:sz w:val="24"/>
          <w:szCs w:val="24"/>
        </w:rPr>
        <w:fldChar w:fldCharType="separate"/>
      </w:r>
      <w:r w:rsidRPr="00736BD1">
        <w:rPr>
          <w:rFonts w:ascii="微软雅黑" w:eastAsia="微软雅黑" w:hAnsi="微软雅黑" w:cs="宋体"/>
          <w:kern w:val="0"/>
          <w:sz w:val="24"/>
          <w:szCs w:val="24"/>
          <w:u w:val="single"/>
        </w:rPr>
        <w:t>图 1B 和 1C</w:t>
      </w:r>
      <w:r w:rsidRPr="00736BD1">
        <w:rPr>
          <w:rFonts w:ascii="微软雅黑" w:eastAsia="微软雅黑" w:hAnsi="微软雅黑" w:cs="宋体"/>
          <w:kern w:val="0"/>
          <w:sz w:val="24"/>
          <w:szCs w:val="24"/>
        </w:rPr>
        <w:fldChar w:fldCharType="end"/>
      </w:r>
      <w:r w:rsidRPr="00736BD1">
        <w:rPr>
          <w:rFonts w:ascii="微软雅黑" w:eastAsia="微软雅黑" w:hAnsi="微软雅黑" w:cs="宋体"/>
          <w:kern w:val="0"/>
          <w:sz w:val="24"/>
          <w:szCs w:val="24"/>
        </w:rPr>
        <w:t>，以及</w:t>
      </w:r>
      <w:r w:rsidRPr="00736BD1">
        <w:rPr>
          <w:rFonts w:ascii="微软雅黑" w:eastAsia="微软雅黑" w:hAnsi="微软雅黑" w:cs="宋体"/>
          <w:kern w:val="0"/>
          <w:sz w:val="24"/>
          <w:szCs w:val="24"/>
        </w:rPr>
        <w:fldChar w:fldCharType="begin"/>
      </w:r>
      <w:r w:rsidRPr="00736BD1">
        <w:rPr>
          <w:rFonts w:ascii="微软雅黑" w:eastAsia="微软雅黑" w:hAnsi="微软雅黑" w:cs="宋体"/>
          <w:kern w:val="0"/>
          <w:sz w:val="24"/>
          <w:szCs w:val="24"/>
        </w:rPr>
        <w:instrText xml:space="preserve"> HYPERLINK "https://pmc.ncbi.nlm.nih.gov/articles/PMC12520673/" \l "sd" </w:instrText>
      </w:r>
      <w:r w:rsidRPr="00736BD1">
        <w:rPr>
          <w:rFonts w:ascii="微软雅黑" w:eastAsia="微软雅黑" w:hAnsi="微软雅黑" w:cs="宋体"/>
          <w:kern w:val="0"/>
          <w:sz w:val="24"/>
          <w:szCs w:val="24"/>
        </w:rPr>
        <w:fldChar w:fldCharType="separate"/>
      </w:r>
      <w:r w:rsidRPr="00736BD1">
        <w:rPr>
          <w:rFonts w:ascii="微软雅黑" w:eastAsia="微软雅黑" w:hAnsi="微软雅黑" w:cs="宋体"/>
          <w:kern w:val="0"/>
          <w:sz w:val="24"/>
          <w:szCs w:val="24"/>
          <w:u w:val="single"/>
        </w:rPr>
        <w:t>补充图 2A</w:t>
      </w:r>
      <w:r w:rsidRPr="00736BD1">
        <w:rPr>
          <w:rFonts w:ascii="微软雅黑" w:eastAsia="微软雅黑" w:hAnsi="微软雅黑" w:cs="宋体"/>
          <w:kern w:val="0"/>
          <w:sz w:val="24"/>
          <w:szCs w:val="24"/>
        </w:rPr>
        <w:fldChar w:fldCharType="end"/>
      </w:r>
      <w:r w:rsidRPr="00736BD1">
        <w:rPr>
          <w:rFonts w:ascii="微软雅黑" w:eastAsia="微软雅黑" w:hAnsi="微软雅黑" w:cs="宋体"/>
          <w:kern w:val="0"/>
          <w:sz w:val="24"/>
          <w:szCs w:val="24"/>
        </w:rPr>
        <w:t> –F）。此外，CDK7i 处理不改变细胞周期分布（</w:t>
      </w:r>
      <w:r w:rsidRPr="00736BD1">
        <w:rPr>
          <w:rFonts w:ascii="微软雅黑" w:eastAsia="微软雅黑" w:hAnsi="微软雅黑" w:cs="宋体"/>
          <w:kern w:val="0"/>
          <w:sz w:val="24"/>
          <w:szCs w:val="24"/>
        </w:rPr>
        <w:fldChar w:fldCharType="begin"/>
      </w:r>
      <w:r w:rsidRPr="00736BD1">
        <w:rPr>
          <w:rFonts w:ascii="微软雅黑" w:eastAsia="微软雅黑" w:hAnsi="微软雅黑" w:cs="宋体"/>
          <w:kern w:val="0"/>
          <w:sz w:val="24"/>
          <w:szCs w:val="24"/>
        </w:rPr>
        <w:instrText xml:space="preserve"> HYPERLINK "https://pmc.ncbi.nlm.nih.gov/articles/PMC12520673/" \l "sd" </w:instrText>
      </w:r>
      <w:r w:rsidRPr="00736BD1">
        <w:rPr>
          <w:rFonts w:ascii="微软雅黑" w:eastAsia="微软雅黑" w:hAnsi="微软雅黑" w:cs="宋体"/>
          <w:kern w:val="0"/>
          <w:sz w:val="24"/>
          <w:szCs w:val="24"/>
        </w:rPr>
        <w:fldChar w:fldCharType="separate"/>
      </w:r>
      <w:r w:rsidRPr="00736BD1">
        <w:rPr>
          <w:rFonts w:ascii="微软雅黑" w:eastAsia="微软雅黑" w:hAnsi="微软雅黑" w:cs="宋体"/>
          <w:kern w:val="0"/>
          <w:sz w:val="24"/>
          <w:szCs w:val="24"/>
          <w:u w:val="single"/>
        </w:rPr>
        <w:t>补充图 2G</w:t>
      </w:r>
      <w:r w:rsidRPr="00736BD1">
        <w:rPr>
          <w:rFonts w:ascii="微软雅黑" w:eastAsia="微软雅黑" w:hAnsi="微软雅黑" w:cs="宋体"/>
          <w:kern w:val="0"/>
          <w:sz w:val="24"/>
          <w:szCs w:val="24"/>
        </w:rPr>
        <w:fldChar w:fldCharType="end"/>
      </w:r>
      <w:r w:rsidRPr="00736BD1">
        <w:rPr>
          <w:rFonts w:ascii="微软雅黑" w:eastAsia="微软雅黑" w:hAnsi="微软雅黑" w:cs="宋体"/>
          <w:kern w:val="0"/>
          <w:sz w:val="24"/>
          <w:szCs w:val="24"/>
        </w:rPr>
        <w:t xml:space="preserve">）。根据报道的 CDK7i 靶向 IC50 值（SY5609，0.07 </w:t>
      </w:r>
      <w:proofErr w:type="spellStart"/>
      <w:r w:rsidRPr="00736BD1">
        <w:rPr>
          <w:rFonts w:ascii="微软雅黑" w:eastAsia="微软雅黑" w:hAnsi="微软雅黑" w:cs="宋体"/>
          <w:kern w:val="0"/>
          <w:sz w:val="24"/>
          <w:szCs w:val="24"/>
        </w:rPr>
        <w:t>nM</w:t>
      </w:r>
      <w:proofErr w:type="spellEnd"/>
      <w:r w:rsidRPr="00736BD1">
        <w:rPr>
          <w:rFonts w:ascii="微软雅黑" w:eastAsia="微软雅黑" w:hAnsi="微软雅黑" w:cs="宋体"/>
          <w:kern w:val="0"/>
          <w:sz w:val="24"/>
          <w:szCs w:val="24"/>
        </w:rPr>
        <w:t xml:space="preserve">；LDC4297，0.13 </w:t>
      </w:r>
      <w:proofErr w:type="spellStart"/>
      <w:r w:rsidRPr="00736BD1">
        <w:rPr>
          <w:rFonts w:ascii="微软雅黑" w:eastAsia="微软雅黑" w:hAnsi="微软雅黑" w:cs="宋体"/>
          <w:kern w:val="0"/>
          <w:sz w:val="24"/>
          <w:szCs w:val="24"/>
        </w:rPr>
        <w:t>nM</w:t>
      </w:r>
      <w:proofErr w:type="spellEnd"/>
      <w:r w:rsidRPr="00736BD1">
        <w:rPr>
          <w:rFonts w:ascii="微软雅黑" w:eastAsia="微软雅黑" w:hAnsi="微软雅黑" w:cs="宋体"/>
          <w:kern w:val="0"/>
          <w:sz w:val="24"/>
          <w:szCs w:val="24"/>
        </w:rPr>
        <w:t>）（</w:t>
      </w:r>
      <w:hyperlink r:id="rId33" w:anchor="B34" w:history="1">
        <w:r w:rsidRPr="00736BD1">
          <w:rPr>
            <w:rFonts w:ascii="微软雅黑" w:eastAsia="微软雅黑" w:hAnsi="微软雅黑" w:cs="宋体"/>
            <w:kern w:val="0"/>
            <w:sz w:val="24"/>
            <w:szCs w:val="24"/>
            <w:u w:val="single"/>
          </w:rPr>
          <w:t>34，35 </w:t>
        </w:r>
      </w:hyperlink>
      <w:hyperlink r:id="rId34" w:anchor="B35" w:history="1">
        <w:r w:rsidRPr="00736BD1">
          <w:rPr>
            <w:rFonts w:ascii="微软雅黑" w:eastAsia="微软雅黑" w:hAnsi="微软雅黑" w:cs="宋体"/>
            <w:kern w:val="0"/>
            <w:sz w:val="24"/>
            <w:szCs w:val="24"/>
            <w:u w:val="single"/>
          </w:rPr>
          <w:t>）</w:t>
        </w:r>
      </w:hyperlink>
      <w:r w:rsidRPr="00736BD1">
        <w:rPr>
          <w:rFonts w:ascii="微软雅黑" w:eastAsia="微软雅黑" w:hAnsi="微软雅黑" w:cs="宋体"/>
          <w:kern w:val="0"/>
          <w:sz w:val="24"/>
          <w:szCs w:val="24"/>
        </w:rPr>
        <w:t>，我们的数据表明 CDK7i 主要靶向 mRNA 转录，而不是细胞周期 CDK 活性。</w:t>
      </w:r>
    </w:p>
    <w:p w14:paraId="1A8289F6" w14:textId="77777777" w:rsidR="00736BD1" w:rsidRPr="00736BD1" w:rsidRDefault="00736BD1" w:rsidP="00736BD1">
      <w:pPr>
        <w:widowControl/>
        <w:spacing w:line="450" w:lineRule="atLeast"/>
        <w:outlineLvl w:val="3"/>
        <w:rPr>
          <w:rFonts w:ascii="微软雅黑" w:eastAsia="微软雅黑" w:hAnsi="微软雅黑" w:cs="宋体"/>
          <w:kern w:val="0"/>
          <w:sz w:val="30"/>
          <w:szCs w:val="30"/>
        </w:rPr>
      </w:pPr>
      <w:r w:rsidRPr="00736BD1">
        <w:rPr>
          <w:rFonts w:ascii="微软雅黑" w:eastAsia="微软雅黑" w:hAnsi="微软雅黑" w:cs="宋体"/>
          <w:kern w:val="0"/>
          <w:sz w:val="30"/>
          <w:szCs w:val="30"/>
        </w:rPr>
        <w:t>图 1. CDK7i 和 CDK 抑制剂单药治疗对乳腺癌的影响。</w:t>
      </w:r>
    </w:p>
    <w:p w14:paraId="1CF36FC5" w14:textId="51A2AFF6" w:rsidR="00736BD1" w:rsidRPr="00736BD1" w:rsidRDefault="00736BD1" w:rsidP="00736BD1">
      <w:pPr>
        <w:widowControl/>
        <w:spacing w:before="450"/>
        <w:rPr>
          <w:rFonts w:ascii="微软雅黑" w:eastAsia="微软雅黑" w:hAnsi="微软雅黑" w:cs="宋体"/>
          <w:kern w:val="0"/>
          <w:sz w:val="24"/>
          <w:szCs w:val="24"/>
        </w:rPr>
      </w:pPr>
      <w:r w:rsidRPr="00736BD1">
        <w:rPr>
          <w:rFonts w:ascii="微软雅黑" w:eastAsia="微软雅黑" w:hAnsi="微软雅黑" w:cs="宋体"/>
          <w:noProof/>
          <w:kern w:val="0"/>
          <w:sz w:val="24"/>
          <w:szCs w:val="24"/>
        </w:rPr>
        <w:lastRenderedPageBreak/>
        <w:drawing>
          <wp:inline distT="0" distB="0" distL="0" distR="0" wp14:anchorId="5610F62D" wp14:editId="4E41E95F">
            <wp:extent cx="5274310" cy="4831080"/>
            <wp:effectExtent l="0" t="0" r="2540" b="7620"/>
            <wp:docPr id="8" name="图片 8" descr="图 1">
              <a:hlinkClick xmlns:a="http://schemas.openxmlformats.org/drawingml/2006/main" r:id="rId3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图 1">
                      <a:hlinkClick r:id="rId35" tgtFrame="&quot;_blank&quot;"/>
                    </pic:cNvPr>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274310" cy="4831080"/>
                    </a:xfrm>
                    <a:prstGeom prst="rect">
                      <a:avLst/>
                    </a:prstGeom>
                    <a:noFill/>
                    <a:ln>
                      <a:noFill/>
                    </a:ln>
                  </pic:spPr>
                </pic:pic>
              </a:graphicData>
            </a:graphic>
          </wp:inline>
        </w:drawing>
      </w:r>
    </w:p>
    <w:p w14:paraId="069689A4" w14:textId="77777777" w:rsidR="00736BD1" w:rsidRPr="00736BD1" w:rsidRDefault="00736BD1" w:rsidP="00736BD1">
      <w:pPr>
        <w:widowControl/>
        <w:rPr>
          <w:rFonts w:ascii="微软雅黑" w:eastAsia="微软雅黑" w:hAnsi="微软雅黑" w:cs="宋体"/>
          <w:kern w:val="0"/>
          <w:sz w:val="24"/>
          <w:szCs w:val="24"/>
        </w:rPr>
      </w:pPr>
      <w:r w:rsidRPr="00736BD1">
        <w:rPr>
          <w:rFonts w:ascii="微软雅黑" w:eastAsia="微软雅黑" w:hAnsi="微软雅黑" w:cs="宋体"/>
          <w:kern w:val="0"/>
          <w:sz w:val="24"/>
          <w:szCs w:val="24"/>
        </w:rPr>
        <w:t>( </w:t>
      </w:r>
      <w:r w:rsidRPr="00736BD1">
        <w:rPr>
          <w:rFonts w:ascii="微软雅黑" w:eastAsia="微软雅黑" w:hAnsi="微软雅黑" w:cs="宋体"/>
          <w:b/>
          <w:bCs/>
          <w:kern w:val="0"/>
          <w:sz w:val="24"/>
          <w:szCs w:val="24"/>
        </w:rPr>
        <w:t>A</w:t>
      </w:r>
      <w:r w:rsidRPr="00736BD1">
        <w:rPr>
          <w:rFonts w:ascii="微软雅黑" w:eastAsia="微软雅黑" w:hAnsi="微软雅黑" w:cs="宋体"/>
          <w:kern w:val="0"/>
          <w:sz w:val="24"/>
          <w:szCs w:val="24"/>
        </w:rPr>
        <w:t> ) CDK7抑制剂SY5609和LDC4297处理MDA-MB-231和MCF-7细胞48小时后，对mRNA转录率、CDK2和CDK4/6活性以及S期细胞百分比的IC50值。数据以均值±标准差（n = 3个生物学重复）表示</w:t>
      </w:r>
      <w:r w:rsidRPr="00736BD1">
        <w:rPr>
          <w:rFonts w:ascii="微软雅黑" w:eastAsia="微软雅黑" w:hAnsi="微软雅黑" w:cs="宋体"/>
          <w:i/>
          <w:iCs/>
          <w:kern w:val="0"/>
          <w:sz w:val="24"/>
          <w:szCs w:val="24"/>
        </w:rPr>
        <w:t>。P值</w:t>
      </w:r>
      <w:r w:rsidRPr="00736BD1">
        <w:rPr>
          <w:rFonts w:ascii="微软雅黑" w:eastAsia="微软雅黑" w:hAnsi="微软雅黑" w:cs="宋体"/>
          <w:kern w:val="0"/>
          <w:sz w:val="24"/>
          <w:szCs w:val="24"/>
        </w:rPr>
        <w:t>采用单因素方差分析（ANOVA）和Tukey事后检验计算（* </w:t>
      </w:r>
      <w:r w:rsidRPr="00736BD1">
        <w:rPr>
          <w:rFonts w:ascii="微软雅黑" w:eastAsia="微软雅黑" w:hAnsi="微软雅黑" w:cs="宋体"/>
          <w:i/>
          <w:iCs/>
          <w:kern w:val="0"/>
          <w:sz w:val="24"/>
          <w:szCs w:val="24"/>
        </w:rPr>
        <w:t>P</w:t>
      </w:r>
      <w:r w:rsidRPr="00736BD1">
        <w:rPr>
          <w:rFonts w:ascii="微软雅黑" w:eastAsia="微软雅黑" w:hAnsi="微软雅黑" w:cs="宋体"/>
          <w:kern w:val="0"/>
          <w:sz w:val="24"/>
          <w:szCs w:val="24"/>
        </w:rPr>
        <w:t> ≤ 0.05；** </w:t>
      </w:r>
      <w:r w:rsidRPr="00736BD1">
        <w:rPr>
          <w:rFonts w:ascii="微软雅黑" w:eastAsia="微软雅黑" w:hAnsi="微软雅黑" w:cs="宋体"/>
          <w:i/>
          <w:iCs/>
          <w:kern w:val="0"/>
          <w:sz w:val="24"/>
          <w:szCs w:val="24"/>
        </w:rPr>
        <w:t>P</w:t>
      </w:r>
      <w:r w:rsidRPr="00736BD1">
        <w:rPr>
          <w:rFonts w:ascii="微软雅黑" w:eastAsia="微软雅黑" w:hAnsi="微软雅黑" w:cs="宋体"/>
          <w:kern w:val="0"/>
          <w:sz w:val="24"/>
          <w:szCs w:val="24"/>
        </w:rPr>
        <w:t> ≤ 0.001；*** </w:t>
      </w:r>
      <w:r w:rsidRPr="00736BD1">
        <w:rPr>
          <w:rFonts w:ascii="微软雅黑" w:eastAsia="微软雅黑" w:hAnsi="微软雅黑" w:cs="宋体"/>
          <w:i/>
          <w:iCs/>
          <w:kern w:val="0"/>
          <w:sz w:val="24"/>
          <w:szCs w:val="24"/>
        </w:rPr>
        <w:t>P</w:t>
      </w:r>
      <w:r w:rsidRPr="00736BD1">
        <w:rPr>
          <w:rFonts w:ascii="微软雅黑" w:eastAsia="微软雅黑" w:hAnsi="微软雅黑" w:cs="宋体"/>
          <w:kern w:val="0"/>
          <w:sz w:val="24"/>
          <w:szCs w:val="24"/>
        </w:rPr>
        <w:t> ≤ 0.0001）。( </w:t>
      </w:r>
      <w:r w:rsidRPr="00736BD1">
        <w:rPr>
          <w:rFonts w:ascii="微软雅黑" w:eastAsia="微软雅黑" w:hAnsi="微软雅黑" w:cs="宋体"/>
          <w:b/>
          <w:bCs/>
          <w:kern w:val="0"/>
          <w:sz w:val="24"/>
          <w:szCs w:val="24"/>
        </w:rPr>
        <w:t>B</w:t>
      </w:r>
      <w:r w:rsidRPr="00736BD1">
        <w:rPr>
          <w:rFonts w:ascii="微软雅黑" w:eastAsia="微软雅黑" w:hAnsi="微软雅黑" w:cs="宋体"/>
          <w:kern w:val="0"/>
          <w:sz w:val="24"/>
          <w:szCs w:val="24"/>
        </w:rPr>
        <w:t xml:space="preserve"> ) SY5609 (50 </w:t>
      </w:r>
      <w:proofErr w:type="spellStart"/>
      <w:r w:rsidRPr="00736BD1">
        <w:rPr>
          <w:rFonts w:ascii="微软雅黑" w:eastAsia="微软雅黑" w:hAnsi="微软雅黑" w:cs="宋体"/>
          <w:kern w:val="0"/>
          <w:sz w:val="24"/>
          <w:szCs w:val="24"/>
        </w:rPr>
        <w:t>nM</w:t>
      </w:r>
      <w:proofErr w:type="spellEnd"/>
      <w:r w:rsidRPr="00736BD1">
        <w:rPr>
          <w:rFonts w:ascii="微软雅黑" w:eastAsia="微软雅黑" w:hAnsi="微软雅黑" w:cs="宋体"/>
          <w:kern w:val="0"/>
          <w:sz w:val="24"/>
          <w:szCs w:val="24"/>
        </w:rPr>
        <w:t xml:space="preserve">)或LDC4297 (50 </w:t>
      </w:r>
      <w:proofErr w:type="spellStart"/>
      <w:r w:rsidRPr="00736BD1">
        <w:rPr>
          <w:rFonts w:ascii="微软雅黑" w:eastAsia="微软雅黑" w:hAnsi="微软雅黑" w:cs="宋体"/>
          <w:kern w:val="0"/>
          <w:sz w:val="24"/>
          <w:szCs w:val="24"/>
        </w:rPr>
        <w:t>nM</w:t>
      </w:r>
      <w:proofErr w:type="spellEnd"/>
      <w:r w:rsidRPr="00736BD1">
        <w:rPr>
          <w:rFonts w:ascii="微软雅黑" w:eastAsia="微软雅黑" w:hAnsi="微软雅黑" w:cs="宋体"/>
          <w:kern w:val="0"/>
          <w:sz w:val="24"/>
          <w:szCs w:val="24"/>
        </w:rPr>
        <w:t>)处理MDA-MB-231细胞后，EU掺入量的Violin图。每个重复中，每种处理条件随机选取1000个细胞。数据以均值±标准差（</w:t>
      </w:r>
      <w:r w:rsidRPr="00736BD1">
        <w:rPr>
          <w:rFonts w:ascii="微软雅黑" w:eastAsia="微软雅黑" w:hAnsi="微软雅黑" w:cs="宋体"/>
          <w:i/>
          <w:iCs/>
          <w:kern w:val="0"/>
          <w:sz w:val="24"/>
          <w:szCs w:val="24"/>
        </w:rPr>
        <w:t>n</w:t>
      </w:r>
      <w:r w:rsidRPr="00736BD1">
        <w:rPr>
          <w:rFonts w:ascii="微软雅黑" w:eastAsia="微软雅黑" w:hAnsi="微软雅黑" w:cs="宋体"/>
          <w:kern w:val="0"/>
          <w:sz w:val="24"/>
          <w:szCs w:val="24"/>
        </w:rPr>
        <w:t> = 3个生物学重复）表示。</w:t>
      </w:r>
      <w:r w:rsidRPr="00736BD1">
        <w:rPr>
          <w:rFonts w:ascii="微软雅黑" w:eastAsia="微软雅黑" w:hAnsi="微软雅黑" w:cs="宋体"/>
          <w:i/>
          <w:iCs/>
          <w:kern w:val="0"/>
          <w:sz w:val="24"/>
          <w:szCs w:val="24"/>
        </w:rPr>
        <w:t>P</w:t>
      </w:r>
      <w:r w:rsidRPr="00736BD1">
        <w:rPr>
          <w:rFonts w:ascii="微软雅黑" w:eastAsia="微软雅黑" w:hAnsi="微软雅黑" w:cs="宋体"/>
          <w:kern w:val="0"/>
          <w:sz w:val="24"/>
          <w:szCs w:val="24"/>
        </w:rPr>
        <w:t>值采用</w:t>
      </w:r>
      <w:proofErr w:type="gramStart"/>
      <w:r w:rsidRPr="00736BD1">
        <w:rPr>
          <w:rFonts w:ascii="微软雅黑" w:eastAsia="微软雅黑" w:hAnsi="微软雅黑" w:cs="宋体"/>
          <w:kern w:val="0"/>
          <w:sz w:val="24"/>
          <w:szCs w:val="24"/>
        </w:rPr>
        <w:t>双因素</w:t>
      </w:r>
      <w:proofErr w:type="gramEnd"/>
      <w:r w:rsidRPr="00736BD1">
        <w:rPr>
          <w:rFonts w:ascii="微软雅黑" w:eastAsia="微软雅黑" w:hAnsi="微软雅黑" w:cs="宋体"/>
          <w:kern w:val="0"/>
          <w:sz w:val="24"/>
          <w:szCs w:val="24"/>
        </w:rPr>
        <w:t>方差分析（ANOVA）和 Tukey 事后检验计算（* </w:t>
      </w:r>
      <w:r w:rsidRPr="00736BD1">
        <w:rPr>
          <w:rFonts w:ascii="微软雅黑" w:eastAsia="微软雅黑" w:hAnsi="微软雅黑" w:cs="宋体"/>
          <w:i/>
          <w:iCs/>
          <w:kern w:val="0"/>
          <w:sz w:val="24"/>
          <w:szCs w:val="24"/>
        </w:rPr>
        <w:t>P</w:t>
      </w:r>
      <w:r w:rsidRPr="00736BD1">
        <w:rPr>
          <w:rFonts w:ascii="微软雅黑" w:eastAsia="微软雅黑" w:hAnsi="微软雅黑" w:cs="宋体"/>
          <w:kern w:val="0"/>
          <w:sz w:val="24"/>
          <w:szCs w:val="24"/>
        </w:rPr>
        <w:t> ≤ 0.05）。（</w:t>
      </w:r>
      <w:r w:rsidRPr="00736BD1">
        <w:rPr>
          <w:rFonts w:ascii="微软雅黑" w:eastAsia="微软雅黑" w:hAnsi="微软雅黑" w:cs="宋体"/>
          <w:b/>
          <w:bCs/>
          <w:kern w:val="0"/>
          <w:sz w:val="24"/>
          <w:szCs w:val="24"/>
        </w:rPr>
        <w:t>C</w:t>
      </w:r>
      <w:r w:rsidRPr="00736BD1">
        <w:rPr>
          <w:rFonts w:ascii="微软雅黑" w:eastAsia="微软雅黑" w:hAnsi="微软雅黑" w:cs="宋体"/>
          <w:kern w:val="0"/>
          <w:sz w:val="24"/>
          <w:szCs w:val="24"/>
        </w:rPr>
        <w:t xml:space="preserve">）用 DMSO、SY5609 (50 </w:t>
      </w:r>
      <w:proofErr w:type="spellStart"/>
      <w:r w:rsidRPr="00736BD1">
        <w:rPr>
          <w:rFonts w:ascii="微软雅黑" w:eastAsia="微软雅黑" w:hAnsi="微软雅黑" w:cs="宋体"/>
          <w:kern w:val="0"/>
          <w:sz w:val="24"/>
          <w:szCs w:val="24"/>
        </w:rPr>
        <w:t>nM</w:t>
      </w:r>
      <w:proofErr w:type="spellEnd"/>
      <w:r w:rsidRPr="00736BD1">
        <w:rPr>
          <w:rFonts w:ascii="微软雅黑" w:eastAsia="微软雅黑" w:hAnsi="微软雅黑" w:cs="宋体"/>
          <w:kern w:val="0"/>
          <w:sz w:val="24"/>
          <w:szCs w:val="24"/>
        </w:rPr>
        <w:t xml:space="preserve">)、LDC4297 (50 </w:t>
      </w:r>
      <w:proofErr w:type="spellStart"/>
      <w:r w:rsidRPr="00736BD1">
        <w:rPr>
          <w:rFonts w:ascii="微软雅黑" w:eastAsia="微软雅黑" w:hAnsi="微软雅黑" w:cs="宋体"/>
          <w:kern w:val="0"/>
          <w:sz w:val="24"/>
          <w:szCs w:val="24"/>
        </w:rPr>
        <w:t>nM</w:t>
      </w:r>
      <w:proofErr w:type="spellEnd"/>
      <w:r w:rsidRPr="00736BD1">
        <w:rPr>
          <w:rFonts w:ascii="微软雅黑" w:eastAsia="微软雅黑" w:hAnsi="微软雅黑" w:cs="宋体"/>
          <w:kern w:val="0"/>
          <w:sz w:val="24"/>
          <w:szCs w:val="24"/>
        </w:rPr>
        <w:t xml:space="preserve">)、帕博西尼 (1 </w:t>
      </w:r>
      <w:proofErr w:type="spellStart"/>
      <w:r w:rsidRPr="00736BD1">
        <w:rPr>
          <w:rFonts w:ascii="微软雅黑" w:eastAsia="微软雅黑" w:hAnsi="微软雅黑" w:cs="宋体"/>
          <w:kern w:val="0"/>
          <w:sz w:val="24"/>
          <w:szCs w:val="24"/>
        </w:rPr>
        <w:t>μM</w:t>
      </w:r>
      <w:proofErr w:type="spellEnd"/>
      <w:r w:rsidRPr="00736BD1">
        <w:rPr>
          <w:rFonts w:ascii="微软雅黑" w:eastAsia="微软雅黑" w:hAnsi="微软雅黑" w:cs="宋体"/>
          <w:kern w:val="0"/>
          <w:sz w:val="24"/>
          <w:szCs w:val="24"/>
        </w:rPr>
        <w:t>)、</w:t>
      </w:r>
      <w:proofErr w:type="spellStart"/>
      <w:r w:rsidRPr="00736BD1">
        <w:rPr>
          <w:rFonts w:ascii="微软雅黑" w:eastAsia="微软雅黑" w:hAnsi="微软雅黑" w:cs="宋体"/>
          <w:kern w:val="0"/>
          <w:sz w:val="24"/>
          <w:szCs w:val="24"/>
        </w:rPr>
        <w:t>tagtociclib</w:t>
      </w:r>
      <w:proofErr w:type="spellEnd"/>
      <w:r w:rsidRPr="00736BD1">
        <w:rPr>
          <w:rFonts w:ascii="微软雅黑" w:eastAsia="微软雅黑" w:hAnsi="微软雅黑" w:cs="宋体"/>
          <w:kern w:val="0"/>
          <w:sz w:val="24"/>
          <w:szCs w:val="24"/>
        </w:rPr>
        <w:t xml:space="preserve"> (5 </w:t>
      </w:r>
      <w:proofErr w:type="spellStart"/>
      <w:r w:rsidRPr="00736BD1">
        <w:rPr>
          <w:rFonts w:ascii="微软雅黑" w:eastAsia="微软雅黑" w:hAnsi="微软雅黑" w:cs="宋体"/>
          <w:kern w:val="0"/>
          <w:sz w:val="24"/>
          <w:szCs w:val="24"/>
        </w:rPr>
        <w:t>μM</w:t>
      </w:r>
      <w:proofErr w:type="spellEnd"/>
      <w:r w:rsidRPr="00736BD1">
        <w:rPr>
          <w:rFonts w:ascii="微软雅黑" w:eastAsia="微软雅黑" w:hAnsi="微软雅黑" w:cs="宋体"/>
          <w:kern w:val="0"/>
          <w:sz w:val="24"/>
          <w:szCs w:val="24"/>
        </w:rPr>
        <w:t xml:space="preserve">) 或帕博西尼 + </w:t>
      </w:r>
      <w:proofErr w:type="spellStart"/>
      <w:r w:rsidRPr="00736BD1">
        <w:rPr>
          <w:rFonts w:ascii="微软雅黑" w:eastAsia="微软雅黑" w:hAnsi="微软雅黑" w:cs="宋体"/>
          <w:kern w:val="0"/>
          <w:sz w:val="24"/>
          <w:szCs w:val="24"/>
        </w:rPr>
        <w:t>tagtociclib</w:t>
      </w:r>
      <w:proofErr w:type="spellEnd"/>
      <w:r w:rsidRPr="00736BD1">
        <w:rPr>
          <w:rFonts w:ascii="微软雅黑" w:eastAsia="微软雅黑" w:hAnsi="微软雅黑" w:cs="宋体"/>
          <w:kern w:val="0"/>
          <w:sz w:val="24"/>
          <w:szCs w:val="24"/>
        </w:rPr>
        <w:t xml:space="preserve"> 处理 MDA-MB-231 细胞后，测定 CDK4/6 和 CDK2 活</w:t>
      </w:r>
      <w:r w:rsidRPr="00736BD1">
        <w:rPr>
          <w:rFonts w:ascii="微软雅黑" w:eastAsia="微软雅黑" w:hAnsi="微软雅黑" w:cs="宋体"/>
          <w:kern w:val="0"/>
          <w:sz w:val="24"/>
          <w:szCs w:val="24"/>
        </w:rPr>
        <w:lastRenderedPageBreak/>
        <w:t>性的平均活细胞轨迹。数据以平均值 ± 95% 置信区间表示（每组</w:t>
      </w:r>
      <w:r w:rsidRPr="00736BD1">
        <w:rPr>
          <w:rFonts w:ascii="微软雅黑" w:eastAsia="微软雅黑" w:hAnsi="微软雅黑" w:cs="宋体"/>
          <w:i/>
          <w:iCs/>
          <w:kern w:val="0"/>
          <w:sz w:val="24"/>
          <w:szCs w:val="24"/>
        </w:rPr>
        <w:t>n</w:t>
      </w:r>
      <w:r w:rsidRPr="00736BD1">
        <w:rPr>
          <w:rFonts w:ascii="微软雅黑" w:eastAsia="微软雅黑" w:hAnsi="微软雅黑" w:cs="宋体"/>
          <w:kern w:val="0"/>
          <w:sz w:val="24"/>
          <w:szCs w:val="24"/>
        </w:rPr>
        <w:t xml:space="preserve"> &gt; 1800 </w:t>
      </w:r>
      <w:proofErr w:type="gramStart"/>
      <w:r w:rsidRPr="00736BD1">
        <w:rPr>
          <w:rFonts w:ascii="微软雅黑" w:eastAsia="微软雅黑" w:hAnsi="微软雅黑" w:cs="宋体"/>
          <w:kern w:val="0"/>
          <w:sz w:val="24"/>
          <w:szCs w:val="24"/>
        </w:rPr>
        <w:t>个</w:t>
      </w:r>
      <w:proofErr w:type="gramEnd"/>
      <w:r w:rsidRPr="00736BD1">
        <w:rPr>
          <w:rFonts w:ascii="微软雅黑" w:eastAsia="微软雅黑" w:hAnsi="微软雅黑" w:cs="宋体"/>
          <w:kern w:val="0"/>
          <w:sz w:val="24"/>
          <w:szCs w:val="24"/>
        </w:rPr>
        <w:t>细胞）。（</w:t>
      </w:r>
      <w:r w:rsidRPr="00736BD1">
        <w:rPr>
          <w:rFonts w:ascii="微软雅黑" w:eastAsia="微软雅黑" w:hAnsi="微软雅黑" w:cs="宋体"/>
          <w:b/>
          <w:bCs/>
          <w:kern w:val="0"/>
          <w:sz w:val="24"/>
          <w:szCs w:val="24"/>
        </w:rPr>
        <w:t>D</w:t>
      </w:r>
      <w:r w:rsidRPr="00736BD1">
        <w:rPr>
          <w:rFonts w:ascii="微软雅黑" w:eastAsia="微软雅黑" w:hAnsi="微软雅黑" w:cs="宋体"/>
          <w:kern w:val="0"/>
          <w:sz w:val="24"/>
          <w:szCs w:val="24"/>
        </w:rPr>
        <w:t> ）用载体或递增剂量的 SY5609（2、5、10 或 25 mg/kg）处理AT3 </w:t>
      </w:r>
      <w:r w:rsidRPr="00736BD1">
        <w:rPr>
          <w:rFonts w:ascii="微软雅黑" w:eastAsia="微软雅黑" w:hAnsi="微软雅黑" w:cs="宋体"/>
          <w:kern w:val="0"/>
          <w:sz w:val="24"/>
          <w:szCs w:val="24"/>
          <w:vertAlign w:val="superscript"/>
        </w:rPr>
        <w:t>OVA</w:t>
      </w:r>
      <w:r w:rsidRPr="00736BD1">
        <w:rPr>
          <w:rFonts w:ascii="微软雅黑" w:eastAsia="微软雅黑" w:hAnsi="微软雅黑" w:cs="宋体"/>
          <w:kern w:val="0"/>
          <w:sz w:val="24"/>
          <w:szCs w:val="24"/>
        </w:rPr>
        <w:t>同源小鼠模型后，绘制肿瘤生长曲线。数据以平均值 ± 标准误表示（每组</w:t>
      </w:r>
      <w:r w:rsidRPr="00736BD1">
        <w:rPr>
          <w:rFonts w:ascii="微软雅黑" w:eastAsia="微软雅黑" w:hAnsi="微软雅黑" w:cs="宋体"/>
          <w:i/>
          <w:iCs/>
          <w:kern w:val="0"/>
          <w:sz w:val="24"/>
          <w:szCs w:val="24"/>
        </w:rPr>
        <w:t>n = 5 只小鼠）。 P</w:t>
      </w:r>
      <w:proofErr w:type="gramStart"/>
      <w:r w:rsidRPr="00736BD1">
        <w:rPr>
          <w:rFonts w:ascii="微软雅黑" w:eastAsia="微软雅黑" w:hAnsi="微软雅黑" w:cs="宋体"/>
          <w:kern w:val="0"/>
          <w:sz w:val="24"/>
          <w:szCs w:val="24"/>
        </w:rPr>
        <w:t>值通过</w:t>
      </w:r>
      <w:proofErr w:type="gramEnd"/>
      <w:r w:rsidRPr="00736BD1">
        <w:rPr>
          <w:rFonts w:ascii="微软雅黑" w:eastAsia="微软雅黑" w:hAnsi="微软雅黑" w:cs="宋体"/>
          <w:kern w:val="0"/>
          <w:sz w:val="24"/>
          <w:szCs w:val="24"/>
        </w:rPr>
        <w:t>混合效应模型计算（* </w:t>
      </w:r>
      <w:r w:rsidRPr="00736BD1">
        <w:rPr>
          <w:rFonts w:ascii="微软雅黑" w:eastAsia="微软雅黑" w:hAnsi="微软雅黑" w:cs="宋体"/>
          <w:i/>
          <w:iCs/>
          <w:kern w:val="0"/>
          <w:sz w:val="24"/>
          <w:szCs w:val="24"/>
        </w:rPr>
        <w:t>P</w:t>
      </w:r>
      <w:r w:rsidRPr="00736BD1">
        <w:rPr>
          <w:rFonts w:ascii="微软雅黑" w:eastAsia="微软雅黑" w:hAnsi="微软雅黑" w:cs="宋体"/>
          <w:kern w:val="0"/>
          <w:sz w:val="24"/>
          <w:szCs w:val="24"/>
        </w:rPr>
        <w:t> ≤ 0.05；** </w:t>
      </w:r>
      <w:r w:rsidRPr="00736BD1">
        <w:rPr>
          <w:rFonts w:ascii="微软雅黑" w:eastAsia="微软雅黑" w:hAnsi="微软雅黑" w:cs="宋体"/>
          <w:i/>
          <w:iCs/>
          <w:kern w:val="0"/>
          <w:sz w:val="24"/>
          <w:szCs w:val="24"/>
        </w:rPr>
        <w:t>P</w:t>
      </w:r>
      <w:r w:rsidRPr="00736BD1">
        <w:rPr>
          <w:rFonts w:ascii="微软雅黑" w:eastAsia="微软雅黑" w:hAnsi="微软雅黑" w:cs="宋体"/>
          <w:kern w:val="0"/>
          <w:sz w:val="24"/>
          <w:szCs w:val="24"/>
        </w:rPr>
        <w:t> ≤ 0.001；*** </w:t>
      </w:r>
      <w:r w:rsidRPr="00736BD1">
        <w:rPr>
          <w:rFonts w:ascii="微软雅黑" w:eastAsia="微软雅黑" w:hAnsi="微软雅黑" w:cs="宋体"/>
          <w:i/>
          <w:iCs/>
          <w:kern w:val="0"/>
          <w:sz w:val="24"/>
          <w:szCs w:val="24"/>
        </w:rPr>
        <w:t>P</w:t>
      </w:r>
      <w:r w:rsidRPr="00736BD1">
        <w:rPr>
          <w:rFonts w:ascii="微软雅黑" w:eastAsia="微软雅黑" w:hAnsi="微软雅黑" w:cs="宋体"/>
          <w:kern w:val="0"/>
          <w:sz w:val="24"/>
          <w:szCs w:val="24"/>
        </w:rPr>
        <w:t> ≤ 0.0001）。（</w:t>
      </w:r>
      <w:r w:rsidRPr="00736BD1">
        <w:rPr>
          <w:rFonts w:ascii="微软雅黑" w:eastAsia="微软雅黑" w:hAnsi="微软雅黑" w:cs="宋体"/>
          <w:b/>
          <w:bCs/>
          <w:kern w:val="0"/>
          <w:sz w:val="24"/>
          <w:szCs w:val="24"/>
        </w:rPr>
        <w:t>E</w:t>
      </w:r>
      <w:r w:rsidRPr="00736BD1">
        <w:rPr>
          <w:rFonts w:ascii="微软雅黑" w:eastAsia="微软雅黑" w:hAnsi="微软雅黑" w:cs="宋体"/>
          <w:kern w:val="0"/>
          <w:sz w:val="24"/>
          <w:szCs w:val="24"/>
        </w:rPr>
        <w:t>和</w:t>
      </w:r>
      <w:r w:rsidRPr="00736BD1">
        <w:rPr>
          <w:rFonts w:ascii="微软雅黑" w:eastAsia="微软雅黑" w:hAnsi="微软雅黑" w:cs="宋体"/>
          <w:b/>
          <w:bCs/>
          <w:kern w:val="0"/>
          <w:sz w:val="24"/>
          <w:szCs w:val="24"/>
        </w:rPr>
        <w:t>F</w:t>
      </w:r>
      <w:r w:rsidRPr="00736BD1">
        <w:rPr>
          <w:rFonts w:ascii="微软雅黑" w:eastAsia="微软雅黑" w:hAnsi="微软雅黑" w:cs="宋体"/>
          <w:kern w:val="0"/>
          <w:sz w:val="24"/>
          <w:szCs w:val="24"/>
        </w:rPr>
        <w:t>）用载体、帕博西尼（50 mg/kg）、塔格托西尼（50 mg/kg）或 SY5609（10 mg/kg）治疗的 AT3 </w:t>
      </w:r>
      <w:r w:rsidRPr="00736BD1">
        <w:rPr>
          <w:rFonts w:ascii="微软雅黑" w:eastAsia="微软雅黑" w:hAnsi="微软雅黑" w:cs="宋体"/>
          <w:kern w:val="0"/>
          <w:sz w:val="24"/>
          <w:szCs w:val="24"/>
          <w:vertAlign w:val="superscript"/>
        </w:rPr>
        <w:t>OVA</w:t>
      </w:r>
      <w:r w:rsidRPr="00736BD1">
        <w:rPr>
          <w:rFonts w:ascii="微软雅黑" w:eastAsia="微软雅黑" w:hAnsi="微软雅黑" w:cs="宋体"/>
          <w:kern w:val="0"/>
          <w:sz w:val="24"/>
          <w:szCs w:val="24"/>
        </w:rPr>
        <w:t>荷瘤 C57BL/6J 小鼠的个体（ </w:t>
      </w:r>
      <w:r w:rsidRPr="00736BD1">
        <w:rPr>
          <w:rFonts w:ascii="微软雅黑" w:eastAsia="微软雅黑" w:hAnsi="微软雅黑" w:cs="宋体"/>
          <w:b/>
          <w:bCs/>
          <w:kern w:val="0"/>
          <w:sz w:val="24"/>
          <w:szCs w:val="24"/>
        </w:rPr>
        <w:t>E</w:t>
      </w:r>
      <w:r w:rsidRPr="00736BD1">
        <w:rPr>
          <w:rFonts w:ascii="微软雅黑" w:eastAsia="微软雅黑" w:hAnsi="微软雅黑" w:cs="宋体"/>
          <w:kern w:val="0"/>
          <w:sz w:val="24"/>
          <w:szCs w:val="24"/>
        </w:rPr>
        <w:t>）和最终（</w:t>
      </w:r>
      <w:r w:rsidRPr="00736BD1">
        <w:rPr>
          <w:rFonts w:ascii="微软雅黑" w:eastAsia="微软雅黑" w:hAnsi="微软雅黑" w:cs="宋体"/>
          <w:b/>
          <w:bCs/>
          <w:kern w:val="0"/>
          <w:sz w:val="24"/>
          <w:szCs w:val="24"/>
        </w:rPr>
        <w:t>F</w:t>
      </w:r>
      <w:r w:rsidRPr="00736BD1">
        <w:rPr>
          <w:rFonts w:ascii="微软雅黑" w:eastAsia="微软雅黑" w:hAnsi="微软雅黑" w:cs="宋体"/>
          <w:kern w:val="0"/>
          <w:sz w:val="24"/>
          <w:szCs w:val="24"/>
        </w:rPr>
        <w:t>）肿瘤体积。</w:t>
      </w:r>
    </w:p>
    <w:p w14:paraId="582B0EFA" w14:textId="77777777" w:rsidR="00736BD1" w:rsidRPr="00736BD1" w:rsidRDefault="00736BD1" w:rsidP="00736BD1">
      <w:pPr>
        <w:widowControl/>
        <w:spacing w:before="450"/>
        <w:rPr>
          <w:rFonts w:ascii="微软雅黑" w:eastAsia="微软雅黑" w:hAnsi="微软雅黑" w:cs="宋体"/>
          <w:kern w:val="0"/>
          <w:sz w:val="24"/>
          <w:szCs w:val="24"/>
        </w:rPr>
      </w:pPr>
      <w:r w:rsidRPr="00736BD1">
        <w:rPr>
          <w:rFonts w:ascii="微软雅黑" w:eastAsia="微软雅黑" w:hAnsi="微软雅黑" w:cs="宋体"/>
          <w:kern w:val="0"/>
          <w:sz w:val="24"/>
          <w:szCs w:val="24"/>
        </w:rPr>
        <w:t>为了模拟 CDK7i 在乳腺癌中最大耐受剂量的临床评估（</w:t>
      </w:r>
      <w:r w:rsidRPr="00736BD1">
        <w:rPr>
          <w:rFonts w:ascii="微软雅黑" w:eastAsia="微软雅黑" w:hAnsi="微软雅黑" w:cs="宋体"/>
          <w:kern w:val="0"/>
          <w:sz w:val="24"/>
          <w:szCs w:val="24"/>
        </w:rPr>
        <w:fldChar w:fldCharType="begin"/>
      </w:r>
      <w:r w:rsidRPr="00736BD1">
        <w:rPr>
          <w:rFonts w:ascii="微软雅黑" w:eastAsia="微软雅黑" w:hAnsi="微软雅黑" w:cs="宋体"/>
          <w:kern w:val="0"/>
          <w:sz w:val="24"/>
          <w:szCs w:val="24"/>
        </w:rPr>
        <w:instrText xml:space="preserve"> HYPERLINK "https://pmc.ncbi.nlm.nih.gov/articles/PMC12520673/" \l "B30" </w:instrText>
      </w:r>
      <w:r w:rsidRPr="00736BD1">
        <w:rPr>
          <w:rFonts w:ascii="微软雅黑" w:eastAsia="微软雅黑" w:hAnsi="微软雅黑" w:cs="宋体"/>
          <w:kern w:val="0"/>
          <w:sz w:val="24"/>
          <w:szCs w:val="24"/>
        </w:rPr>
        <w:fldChar w:fldCharType="separate"/>
      </w:r>
      <w:r w:rsidRPr="00736BD1">
        <w:rPr>
          <w:rFonts w:ascii="微软雅黑" w:eastAsia="微软雅黑" w:hAnsi="微软雅黑" w:cs="宋体"/>
          <w:kern w:val="0"/>
          <w:sz w:val="24"/>
          <w:szCs w:val="24"/>
          <w:u w:val="single"/>
        </w:rPr>
        <w:t>30</w:t>
      </w:r>
      <w:r w:rsidRPr="00736BD1">
        <w:rPr>
          <w:rFonts w:ascii="微软雅黑" w:eastAsia="微软雅黑" w:hAnsi="微软雅黑" w:cs="宋体"/>
          <w:kern w:val="0"/>
          <w:sz w:val="24"/>
          <w:szCs w:val="24"/>
        </w:rPr>
        <w:fldChar w:fldCharType="end"/>
      </w:r>
      <w:r w:rsidRPr="00736BD1">
        <w:rPr>
          <w:rFonts w:ascii="微软雅黑" w:eastAsia="微软雅黑" w:hAnsi="微软雅黑" w:cs="宋体"/>
          <w:kern w:val="0"/>
          <w:sz w:val="24"/>
          <w:szCs w:val="24"/>
        </w:rPr>
        <w:t>），我们通过将表达卵清蛋白的 AT3 细胞（AT3&lt;sup&gt; </w:t>
      </w:r>
      <w:r w:rsidRPr="00736BD1">
        <w:rPr>
          <w:rFonts w:ascii="微软雅黑" w:eastAsia="微软雅黑" w:hAnsi="微软雅黑" w:cs="宋体"/>
          <w:kern w:val="0"/>
          <w:sz w:val="24"/>
          <w:szCs w:val="24"/>
          <w:vertAlign w:val="superscript"/>
        </w:rPr>
        <w:t>OVA&lt;/sup&gt;</w:t>
      </w:r>
      <w:r w:rsidRPr="00736BD1">
        <w:rPr>
          <w:rFonts w:ascii="微软雅黑" w:eastAsia="微软雅黑" w:hAnsi="微软雅黑" w:cs="宋体"/>
          <w:kern w:val="0"/>
          <w:sz w:val="24"/>
          <w:szCs w:val="24"/>
        </w:rPr>
        <w:t>）原位注射到 C57BL/6J 小鼠的乳腺脂肪垫中，在同源小鼠三阴性乳腺癌（TNBC）模型中评估了 CDK7i 的剂量依赖性抗肿瘤疗效（</w:t>
      </w:r>
      <w:r w:rsidRPr="00736BD1">
        <w:rPr>
          <w:rFonts w:ascii="微软雅黑" w:eastAsia="微软雅黑" w:hAnsi="微软雅黑" w:cs="宋体"/>
          <w:kern w:val="0"/>
          <w:sz w:val="24"/>
          <w:szCs w:val="24"/>
        </w:rPr>
        <w:fldChar w:fldCharType="begin"/>
      </w:r>
      <w:r w:rsidRPr="00736BD1">
        <w:rPr>
          <w:rFonts w:ascii="微软雅黑" w:eastAsia="微软雅黑" w:hAnsi="微软雅黑" w:cs="宋体"/>
          <w:kern w:val="0"/>
          <w:sz w:val="24"/>
          <w:szCs w:val="24"/>
        </w:rPr>
        <w:instrText xml:space="preserve"> HYPERLINK "https://pmc.ncbi.nlm.nih.gov/articles/PMC12520673/" \l "B36" </w:instrText>
      </w:r>
      <w:r w:rsidRPr="00736BD1">
        <w:rPr>
          <w:rFonts w:ascii="微软雅黑" w:eastAsia="微软雅黑" w:hAnsi="微软雅黑" w:cs="宋体"/>
          <w:kern w:val="0"/>
          <w:sz w:val="24"/>
          <w:szCs w:val="24"/>
        </w:rPr>
        <w:fldChar w:fldCharType="separate"/>
      </w:r>
      <w:r w:rsidRPr="00736BD1">
        <w:rPr>
          <w:rFonts w:ascii="微软雅黑" w:eastAsia="微软雅黑" w:hAnsi="微软雅黑" w:cs="宋体"/>
          <w:kern w:val="0"/>
          <w:sz w:val="24"/>
          <w:szCs w:val="24"/>
          <w:u w:val="single"/>
        </w:rPr>
        <w:t>36</w:t>
      </w:r>
      <w:r w:rsidRPr="00736BD1">
        <w:rPr>
          <w:rFonts w:ascii="微软雅黑" w:eastAsia="微软雅黑" w:hAnsi="微软雅黑" w:cs="宋体"/>
          <w:kern w:val="0"/>
          <w:sz w:val="24"/>
          <w:szCs w:val="24"/>
        </w:rPr>
        <w:fldChar w:fldCharType="end"/>
      </w:r>
      <w:r w:rsidRPr="00736BD1">
        <w:rPr>
          <w:rFonts w:ascii="微软雅黑" w:eastAsia="微软雅黑" w:hAnsi="微软雅黑" w:cs="宋体"/>
          <w:kern w:val="0"/>
          <w:sz w:val="24"/>
          <w:szCs w:val="24"/>
        </w:rPr>
        <w:t>）。当肿瘤平均体积达到 100 mm&lt;sup&gt;3&lt;/sup&gt; 时，我们用递增剂量的 CDK7i（SY5609；0、2、5、10 和 25 mg/kg）治疗小鼠。CDK7i 治疗诱导了剂量依赖性的抗肿瘤反应（</w:t>
      </w:r>
      <w:r w:rsidRPr="00736BD1">
        <w:rPr>
          <w:rFonts w:ascii="微软雅黑" w:eastAsia="微软雅黑" w:hAnsi="微软雅黑" w:cs="宋体"/>
          <w:kern w:val="0"/>
          <w:sz w:val="24"/>
          <w:szCs w:val="24"/>
        </w:rPr>
        <w:fldChar w:fldCharType="begin"/>
      </w:r>
      <w:r w:rsidRPr="00736BD1">
        <w:rPr>
          <w:rFonts w:ascii="微软雅黑" w:eastAsia="微软雅黑" w:hAnsi="微软雅黑" w:cs="宋体"/>
          <w:kern w:val="0"/>
          <w:sz w:val="24"/>
          <w:szCs w:val="24"/>
        </w:rPr>
        <w:instrText xml:space="preserve"> HYPERLINK "https://pmc.ncbi.nlm.nih.gov/articles/PMC12520673/" \l "F1" </w:instrText>
      </w:r>
      <w:r w:rsidRPr="00736BD1">
        <w:rPr>
          <w:rFonts w:ascii="微软雅黑" w:eastAsia="微软雅黑" w:hAnsi="微软雅黑" w:cs="宋体"/>
          <w:kern w:val="0"/>
          <w:sz w:val="24"/>
          <w:szCs w:val="24"/>
        </w:rPr>
        <w:fldChar w:fldCharType="separate"/>
      </w:r>
      <w:r w:rsidRPr="00736BD1">
        <w:rPr>
          <w:rFonts w:ascii="微软雅黑" w:eastAsia="微软雅黑" w:hAnsi="微软雅黑" w:cs="宋体"/>
          <w:kern w:val="0"/>
          <w:sz w:val="24"/>
          <w:szCs w:val="24"/>
          <w:u w:val="single"/>
        </w:rPr>
        <w:t>图 1D</w:t>
      </w:r>
      <w:r w:rsidRPr="00736BD1">
        <w:rPr>
          <w:rFonts w:ascii="微软雅黑" w:eastAsia="微软雅黑" w:hAnsi="微软雅黑" w:cs="宋体"/>
          <w:kern w:val="0"/>
          <w:sz w:val="24"/>
          <w:szCs w:val="24"/>
        </w:rPr>
        <w:fldChar w:fldCharType="end"/>
      </w:r>
      <w:r w:rsidRPr="00736BD1">
        <w:rPr>
          <w:rFonts w:ascii="微软雅黑" w:eastAsia="微软雅黑" w:hAnsi="微软雅黑" w:cs="宋体"/>
          <w:kern w:val="0"/>
          <w:sz w:val="24"/>
          <w:szCs w:val="24"/>
        </w:rPr>
        <w:t>和</w:t>
      </w:r>
      <w:r w:rsidRPr="00736BD1">
        <w:rPr>
          <w:rFonts w:ascii="微软雅黑" w:eastAsia="微软雅黑" w:hAnsi="微软雅黑" w:cs="宋体"/>
          <w:kern w:val="0"/>
          <w:sz w:val="24"/>
          <w:szCs w:val="24"/>
        </w:rPr>
        <w:fldChar w:fldCharType="begin"/>
      </w:r>
      <w:r w:rsidRPr="00736BD1">
        <w:rPr>
          <w:rFonts w:ascii="微软雅黑" w:eastAsia="微软雅黑" w:hAnsi="微软雅黑" w:cs="宋体"/>
          <w:kern w:val="0"/>
          <w:sz w:val="24"/>
          <w:szCs w:val="24"/>
        </w:rPr>
        <w:instrText xml:space="preserve"> HYPERLINK "https://pmc.ncbi.nlm.nih.gov/articles/PMC12520673/" \l "sd" </w:instrText>
      </w:r>
      <w:r w:rsidRPr="00736BD1">
        <w:rPr>
          <w:rFonts w:ascii="微软雅黑" w:eastAsia="微软雅黑" w:hAnsi="微软雅黑" w:cs="宋体"/>
          <w:kern w:val="0"/>
          <w:sz w:val="24"/>
          <w:szCs w:val="24"/>
        </w:rPr>
        <w:fldChar w:fldCharType="separate"/>
      </w:r>
      <w:r w:rsidRPr="00736BD1">
        <w:rPr>
          <w:rFonts w:ascii="微软雅黑" w:eastAsia="微软雅黑" w:hAnsi="微软雅黑" w:cs="宋体"/>
          <w:kern w:val="0"/>
          <w:sz w:val="24"/>
          <w:szCs w:val="24"/>
          <w:u w:val="single"/>
        </w:rPr>
        <w:t>补充图 3A</w:t>
      </w:r>
      <w:r w:rsidRPr="00736BD1">
        <w:rPr>
          <w:rFonts w:ascii="微软雅黑" w:eastAsia="微软雅黑" w:hAnsi="微软雅黑" w:cs="宋体"/>
          <w:kern w:val="0"/>
          <w:sz w:val="24"/>
          <w:szCs w:val="24"/>
        </w:rPr>
        <w:fldChar w:fldCharType="end"/>
      </w:r>
      <w:r w:rsidRPr="00736BD1">
        <w:rPr>
          <w:rFonts w:ascii="微软雅黑" w:eastAsia="微软雅黑" w:hAnsi="微软雅黑" w:cs="宋体"/>
          <w:kern w:val="0"/>
          <w:sz w:val="24"/>
          <w:szCs w:val="24"/>
        </w:rPr>
        <w:t>）。然而，25 mg/kg 剂量与毒性相关，表现为体重减轻和死亡（</w:t>
      </w:r>
      <w:r w:rsidRPr="00736BD1">
        <w:rPr>
          <w:rFonts w:ascii="微软雅黑" w:eastAsia="微软雅黑" w:hAnsi="微软雅黑" w:cs="宋体"/>
          <w:kern w:val="0"/>
          <w:sz w:val="24"/>
          <w:szCs w:val="24"/>
        </w:rPr>
        <w:fldChar w:fldCharType="begin"/>
      </w:r>
      <w:r w:rsidRPr="00736BD1">
        <w:rPr>
          <w:rFonts w:ascii="微软雅黑" w:eastAsia="微软雅黑" w:hAnsi="微软雅黑" w:cs="宋体"/>
          <w:kern w:val="0"/>
          <w:sz w:val="24"/>
          <w:szCs w:val="24"/>
        </w:rPr>
        <w:instrText xml:space="preserve"> HYPERLINK "https://pmc.ncbi.nlm.nih.gov/articles/PMC12520673/" \l "sd" </w:instrText>
      </w:r>
      <w:r w:rsidRPr="00736BD1">
        <w:rPr>
          <w:rFonts w:ascii="微软雅黑" w:eastAsia="微软雅黑" w:hAnsi="微软雅黑" w:cs="宋体"/>
          <w:kern w:val="0"/>
          <w:sz w:val="24"/>
          <w:szCs w:val="24"/>
        </w:rPr>
        <w:fldChar w:fldCharType="separate"/>
      </w:r>
      <w:r w:rsidRPr="00736BD1">
        <w:rPr>
          <w:rFonts w:ascii="微软雅黑" w:eastAsia="微软雅黑" w:hAnsi="微软雅黑" w:cs="宋体"/>
          <w:kern w:val="0"/>
          <w:sz w:val="24"/>
          <w:szCs w:val="24"/>
          <w:u w:val="single"/>
        </w:rPr>
        <w:t>补充图 3B</w:t>
      </w:r>
      <w:r w:rsidRPr="00736BD1">
        <w:rPr>
          <w:rFonts w:ascii="微软雅黑" w:eastAsia="微软雅黑" w:hAnsi="微软雅黑" w:cs="宋体"/>
          <w:kern w:val="0"/>
          <w:sz w:val="24"/>
          <w:szCs w:val="24"/>
        </w:rPr>
        <w:fldChar w:fldCharType="end"/>
      </w:r>
      <w:r w:rsidRPr="00736BD1">
        <w:rPr>
          <w:rFonts w:ascii="微软雅黑" w:eastAsia="微软雅黑" w:hAnsi="微软雅黑" w:cs="宋体"/>
          <w:kern w:val="0"/>
          <w:sz w:val="24"/>
          <w:szCs w:val="24"/>
        </w:rPr>
        <w:t>）。在10 mg/kg剂量下，肿瘤生长被延缓，但在治疗期间</w:t>
      </w:r>
      <w:proofErr w:type="gramStart"/>
      <w:r w:rsidRPr="00736BD1">
        <w:rPr>
          <w:rFonts w:ascii="微软雅黑" w:eastAsia="微软雅黑" w:hAnsi="微软雅黑" w:cs="宋体"/>
          <w:kern w:val="0"/>
          <w:sz w:val="24"/>
          <w:szCs w:val="24"/>
        </w:rPr>
        <w:t>仍观察</w:t>
      </w:r>
      <w:proofErr w:type="gramEnd"/>
      <w:r w:rsidRPr="00736BD1">
        <w:rPr>
          <w:rFonts w:ascii="微软雅黑" w:eastAsia="微软雅黑" w:hAnsi="微软雅黑" w:cs="宋体"/>
          <w:kern w:val="0"/>
          <w:sz w:val="24"/>
          <w:szCs w:val="24"/>
        </w:rPr>
        <w:t>到肿瘤持续进展，表明该剂量下的疗效持续时间有限。这些结果表明，CDK7抑制剂单药治疗在三阴性乳腺癌（TNBC）中的疗效可能受到剂量限制性毒性和长期肿瘤控制不足的双重制约。为了进一步探索CDK抑制剂单药治疗在TNBC中的潜力，我们在AT3 </w:t>
      </w:r>
      <w:r w:rsidRPr="00736BD1">
        <w:rPr>
          <w:rFonts w:ascii="微软雅黑" w:eastAsia="微软雅黑" w:hAnsi="微软雅黑" w:cs="宋体"/>
          <w:kern w:val="0"/>
          <w:sz w:val="24"/>
          <w:szCs w:val="24"/>
          <w:vertAlign w:val="superscript"/>
        </w:rPr>
        <w:t>OVA</w:t>
      </w:r>
      <w:r w:rsidRPr="00736BD1">
        <w:rPr>
          <w:rFonts w:ascii="微软雅黑" w:eastAsia="微软雅黑" w:hAnsi="微软雅黑" w:cs="宋体"/>
          <w:kern w:val="0"/>
          <w:sz w:val="24"/>
          <w:szCs w:val="24"/>
        </w:rPr>
        <w:t>模型中评估了CDK7抑制剂、CDK4/6抑制剂和CDK2抑制剂的单药治疗效果。与CDK4/6类似，CDK2是细胞周期的关键调控因子，尤其是在G1/S期转换中（</w:t>
      </w:r>
      <w:r w:rsidRPr="00736BD1">
        <w:rPr>
          <w:rFonts w:ascii="微软雅黑" w:eastAsia="微软雅黑" w:hAnsi="微软雅黑" w:cs="宋体"/>
          <w:kern w:val="0"/>
          <w:sz w:val="24"/>
          <w:szCs w:val="24"/>
        </w:rPr>
        <w:fldChar w:fldCharType="begin"/>
      </w:r>
      <w:r w:rsidRPr="00736BD1">
        <w:rPr>
          <w:rFonts w:ascii="微软雅黑" w:eastAsia="微软雅黑" w:hAnsi="微软雅黑" w:cs="宋体"/>
          <w:kern w:val="0"/>
          <w:sz w:val="24"/>
          <w:szCs w:val="24"/>
        </w:rPr>
        <w:instrText xml:space="preserve"> HYPERLINK "https://pmc.ncbi.nlm.nih.gov/articles/PMC12520673/" \l "B37" </w:instrText>
      </w:r>
      <w:r w:rsidRPr="00736BD1">
        <w:rPr>
          <w:rFonts w:ascii="微软雅黑" w:eastAsia="微软雅黑" w:hAnsi="微软雅黑" w:cs="宋体"/>
          <w:kern w:val="0"/>
          <w:sz w:val="24"/>
          <w:szCs w:val="24"/>
        </w:rPr>
        <w:fldChar w:fldCharType="separate"/>
      </w:r>
      <w:r w:rsidRPr="00736BD1">
        <w:rPr>
          <w:rFonts w:ascii="微软雅黑" w:eastAsia="微软雅黑" w:hAnsi="微软雅黑" w:cs="宋体"/>
          <w:kern w:val="0"/>
          <w:sz w:val="24"/>
          <w:szCs w:val="24"/>
          <w:u w:val="single"/>
        </w:rPr>
        <w:t>37</w:t>
      </w:r>
      <w:r w:rsidRPr="00736BD1">
        <w:rPr>
          <w:rFonts w:ascii="微软雅黑" w:eastAsia="微软雅黑" w:hAnsi="微软雅黑" w:cs="宋体"/>
          <w:kern w:val="0"/>
          <w:sz w:val="24"/>
          <w:szCs w:val="24"/>
        </w:rPr>
        <w:fldChar w:fldCharType="end"/>
      </w:r>
      <w:r w:rsidRPr="00736BD1">
        <w:rPr>
          <w:rFonts w:ascii="微软雅黑" w:eastAsia="微软雅黑" w:hAnsi="微软雅黑" w:cs="宋体"/>
          <w:kern w:val="0"/>
          <w:sz w:val="24"/>
          <w:szCs w:val="24"/>
        </w:rPr>
        <w:t> , </w:t>
      </w:r>
      <w:hyperlink r:id="rId37" w:anchor="B38" w:history="1">
        <w:r w:rsidRPr="00736BD1">
          <w:rPr>
            <w:rFonts w:ascii="微软雅黑" w:eastAsia="微软雅黑" w:hAnsi="微软雅黑" w:cs="宋体"/>
            <w:kern w:val="0"/>
            <w:sz w:val="24"/>
            <w:szCs w:val="24"/>
            <w:u w:val="single"/>
          </w:rPr>
          <w:t>38</w:t>
        </w:r>
      </w:hyperlink>
      <w:r w:rsidRPr="00736BD1">
        <w:rPr>
          <w:rFonts w:ascii="微软雅黑" w:eastAsia="微软雅黑" w:hAnsi="微软雅黑" w:cs="宋体"/>
          <w:kern w:val="0"/>
          <w:sz w:val="24"/>
          <w:szCs w:val="24"/>
        </w:rPr>
        <w:t>）。尽管每种单药治疗均能延缓肿瘤进展，但疗效不一，TNBC肿瘤最</w:t>
      </w:r>
      <w:r w:rsidRPr="00736BD1">
        <w:rPr>
          <w:rFonts w:ascii="微软雅黑" w:eastAsia="微软雅黑" w:hAnsi="微软雅黑" w:cs="宋体"/>
          <w:kern w:val="0"/>
          <w:sz w:val="24"/>
          <w:szCs w:val="24"/>
        </w:rPr>
        <w:lastRenderedPageBreak/>
        <w:t>终对所有CDK抑制剂治疗均产生了耐药性（</w:t>
      </w:r>
      <w:r w:rsidRPr="00736BD1">
        <w:rPr>
          <w:rFonts w:ascii="微软雅黑" w:eastAsia="微软雅黑" w:hAnsi="微软雅黑" w:cs="宋体"/>
          <w:kern w:val="0"/>
          <w:sz w:val="24"/>
          <w:szCs w:val="24"/>
        </w:rPr>
        <w:fldChar w:fldCharType="begin"/>
      </w:r>
      <w:r w:rsidRPr="00736BD1">
        <w:rPr>
          <w:rFonts w:ascii="微软雅黑" w:eastAsia="微软雅黑" w:hAnsi="微软雅黑" w:cs="宋体"/>
          <w:kern w:val="0"/>
          <w:sz w:val="24"/>
          <w:szCs w:val="24"/>
        </w:rPr>
        <w:instrText xml:space="preserve"> HYPERLINK "https://pmc.ncbi.nlm.nih.gov/articles/PMC12520673/" \l "F1" </w:instrText>
      </w:r>
      <w:r w:rsidRPr="00736BD1">
        <w:rPr>
          <w:rFonts w:ascii="微软雅黑" w:eastAsia="微软雅黑" w:hAnsi="微软雅黑" w:cs="宋体"/>
          <w:kern w:val="0"/>
          <w:sz w:val="24"/>
          <w:szCs w:val="24"/>
        </w:rPr>
        <w:fldChar w:fldCharType="separate"/>
      </w:r>
      <w:r w:rsidRPr="00736BD1">
        <w:rPr>
          <w:rFonts w:ascii="微软雅黑" w:eastAsia="微软雅黑" w:hAnsi="微软雅黑" w:cs="宋体"/>
          <w:kern w:val="0"/>
          <w:sz w:val="24"/>
          <w:szCs w:val="24"/>
          <w:u w:val="single"/>
        </w:rPr>
        <w:t>图1，E和F</w:t>
      </w:r>
      <w:r w:rsidRPr="00736BD1">
        <w:rPr>
          <w:rFonts w:ascii="微软雅黑" w:eastAsia="微软雅黑" w:hAnsi="微软雅黑" w:cs="宋体"/>
          <w:kern w:val="0"/>
          <w:sz w:val="24"/>
          <w:szCs w:val="24"/>
        </w:rPr>
        <w:fldChar w:fldCharType="end"/>
      </w:r>
      <w:r w:rsidRPr="00736BD1">
        <w:rPr>
          <w:rFonts w:ascii="微软雅黑" w:eastAsia="微软雅黑" w:hAnsi="微软雅黑" w:cs="宋体"/>
          <w:kern w:val="0"/>
          <w:sz w:val="24"/>
          <w:szCs w:val="24"/>
        </w:rPr>
        <w:t>，以及</w:t>
      </w:r>
      <w:r w:rsidRPr="00736BD1">
        <w:rPr>
          <w:rFonts w:ascii="微软雅黑" w:eastAsia="微软雅黑" w:hAnsi="微软雅黑" w:cs="宋体"/>
          <w:kern w:val="0"/>
          <w:sz w:val="24"/>
          <w:szCs w:val="24"/>
        </w:rPr>
        <w:fldChar w:fldCharType="begin"/>
      </w:r>
      <w:r w:rsidRPr="00736BD1">
        <w:rPr>
          <w:rFonts w:ascii="微软雅黑" w:eastAsia="微软雅黑" w:hAnsi="微软雅黑" w:cs="宋体"/>
          <w:kern w:val="0"/>
          <w:sz w:val="24"/>
          <w:szCs w:val="24"/>
        </w:rPr>
        <w:instrText xml:space="preserve"> HYPERLINK "https://pmc.ncbi.nlm.nih.gov/articles/PMC12520673/" \l "sd" </w:instrText>
      </w:r>
      <w:r w:rsidRPr="00736BD1">
        <w:rPr>
          <w:rFonts w:ascii="微软雅黑" w:eastAsia="微软雅黑" w:hAnsi="微软雅黑" w:cs="宋体"/>
          <w:kern w:val="0"/>
          <w:sz w:val="24"/>
          <w:szCs w:val="24"/>
        </w:rPr>
        <w:fldChar w:fldCharType="separate"/>
      </w:r>
      <w:r w:rsidRPr="00736BD1">
        <w:rPr>
          <w:rFonts w:ascii="微软雅黑" w:eastAsia="微软雅黑" w:hAnsi="微软雅黑" w:cs="宋体"/>
          <w:kern w:val="0"/>
          <w:sz w:val="24"/>
          <w:szCs w:val="24"/>
          <w:u w:val="single"/>
        </w:rPr>
        <w:t>补充图3C</w:t>
      </w:r>
      <w:r w:rsidRPr="00736BD1">
        <w:rPr>
          <w:rFonts w:ascii="微软雅黑" w:eastAsia="微软雅黑" w:hAnsi="微软雅黑" w:cs="宋体"/>
          <w:kern w:val="0"/>
          <w:sz w:val="24"/>
          <w:szCs w:val="24"/>
        </w:rPr>
        <w:fldChar w:fldCharType="end"/>
      </w:r>
      <w:r w:rsidRPr="00736BD1">
        <w:rPr>
          <w:rFonts w:ascii="微软雅黑" w:eastAsia="微软雅黑" w:hAnsi="微软雅黑" w:cs="宋体"/>
          <w:kern w:val="0"/>
          <w:sz w:val="24"/>
          <w:szCs w:val="24"/>
        </w:rPr>
        <w:t>）。这些发现表明CDK抑制剂单药治疗在TNBC治疗中存在局限性，强调了联合治疗以实现持久抗肿瘤疗效的必要性。</w:t>
      </w:r>
    </w:p>
    <w:p w14:paraId="06EA61B8" w14:textId="77777777" w:rsidR="00736BD1" w:rsidRPr="00736BD1" w:rsidRDefault="00736BD1" w:rsidP="00736BD1">
      <w:pPr>
        <w:widowControl/>
        <w:spacing w:line="450" w:lineRule="atLeast"/>
        <w:outlineLvl w:val="2"/>
        <w:rPr>
          <w:rFonts w:ascii="微软雅黑" w:eastAsia="微软雅黑" w:hAnsi="微软雅黑" w:cs="宋体"/>
          <w:kern w:val="0"/>
          <w:sz w:val="32"/>
          <w:szCs w:val="32"/>
        </w:rPr>
      </w:pPr>
      <w:r w:rsidRPr="00736BD1">
        <w:rPr>
          <w:rFonts w:ascii="微软雅黑" w:eastAsia="微软雅黑" w:hAnsi="微软雅黑" w:cs="宋体"/>
          <w:kern w:val="0"/>
          <w:sz w:val="32"/>
          <w:szCs w:val="32"/>
        </w:rPr>
        <w:t>使用 CDK7i 靶向转录扩增可防止 CDK4/6i 耐药性。</w:t>
      </w:r>
    </w:p>
    <w:p w14:paraId="68B37B9A" w14:textId="77777777" w:rsidR="00736BD1" w:rsidRPr="00736BD1" w:rsidRDefault="00736BD1" w:rsidP="00736BD1">
      <w:pPr>
        <w:widowControl/>
        <w:spacing w:before="450"/>
        <w:rPr>
          <w:rFonts w:ascii="微软雅黑" w:eastAsia="微软雅黑" w:hAnsi="微软雅黑" w:cs="宋体"/>
          <w:kern w:val="0"/>
          <w:sz w:val="24"/>
          <w:szCs w:val="24"/>
        </w:rPr>
      </w:pPr>
      <w:r w:rsidRPr="00736BD1">
        <w:rPr>
          <w:rFonts w:ascii="微软雅黑" w:eastAsia="微软雅黑" w:hAnsi="微软雅黑" w:cs="宋体"/>
          <w:kern w:val="0"/>
          <w:sz w:val="24"/>
          <w:szCs w:val="24"/>
        </w:rPr>
        <w:t>为了研究 CDK4/6i 耐药性背后的信号通路，我们分离了持续性细胞（驱动残余肿瘤生长和耐药性产生的细胞）（</w:t>
      </w:r>
      <w:r w:rsidRPr="00736BD1">
        <w:rPr>
          <w:rFonts w:ascii="微软雅黑" w:eastAsia="微软雅黑" w:hAnsi="微软雅黑" w:cs="宋体"/>
          <w:kern w:val="0"/>
          <w:sz w:val="24"/>
          <w:szCs w:val="24"/>
        </w:rPr>
        <w:fldChar w:fldCharType="begin"/>
      </w:r>
      <w:r w:rsidRPr="00736BD1">
        <w:rPr>
          <w:rFonts w:ascii="微软雅黑" w:eastAsia="微软雅黑" w:hAnsi="微软雅黑" w:cs="宋体"/>
          <w:kern w:val="0"/>
          <w:sz w:val="24"/>
          <w:szCs w:val="24"/>
        </w:rPr>
        <w:instrText xml:space="preserve"> HYPERLINK "https://pmc.ncbi.nlm.nih.gov/articles/PMC12520673/" \l "B39" </w:instrText>
      </w:r>
      <w:r w:rsidRPr="00736BD1">
        <w:rPr>
          <w:rFonts w:ascii="微软雅黑" w:eastAsia="微软雅黑" w:hAnsi="微软雅黑" w:cs="宋体"/>
          <w:kern w:val="0"/>
          <w:sz w:val="24"/>
          <w:szCs w:val="24"/>
        </w:rPr>
        <w:fldChar w:fldCharType="separate"/>
      </w:r>
      <w:r w:rsidRPr="00736BD1">
        <w:rPr>
          <w:rFonts w:ascii="微软雅黑" w:eastAsia="微软雅黑" w:hAnsi="微软雅黑" w:cs="宋体"/>
          <w:kern w:val="0"/>
          <w:sz w:val="24"/>
          <w:szCs w:val="24"/>
          <w:u w:val="single"/>
        </w:rPr>
        <w:t>39</w:t>
      </w:r>
      <w:r w:rsidRPr="00736BD1">
        <w:rPr>
          <w:rFonts w:ascii="微软雅黑" w:eastAsia="微软雅黑" w:hAnsi="微软雅黑" w:cs="宋体"/>
          <w:kern w:val="0"/>
          <w:sz w:val="24"/>
          <w:szCs w:val="24"/>
        </w:rPr>
        <w:fldChar w:fldCharType="end"/>
      </w:r>
      <w:r w:rsidRPr="00736BD1">
        <w:rPr>
          <w:rFonts w:ascii="微软雅黑" w:eastAsia="微软雅黑" w:hAnsi="微软雅黑" w:cs="宋体"/>
          <w:kern w:val="0"/>
          <w:sz w:val="24"/>
          <w:szCs w:val="24"/>
        </w:rPr>
        <w:t> , </w:t>
      </w:r>
      <w:hyperlink r:id="rId38" w:anchor="B40" w:history="1">
        <w:r w:rsidRPr="00736BD1">
          <w:rPr>
            <w:rFonts w:ascii="微软雅黑" w:eastAsia="微软雅黑" w:hAnsi="微软雅黑" w:cs="宋体"/>
            <w:kern w:val="0"/>
            <w:sz w:val="24"/>
            <w:szCs w:val="24"/>
            <w:u w:val="single"/>
          </w:rPr>
          <w:t>40</w:t>
        </w:r>
      </w:hyperlink>
      <w:r w:rsidRPr="00736BD1">
        <w:rPr>
          <w:rFonts w:ascii="微软雅黑" w:eastAsia="微软雅黑" w:hAnsi="微软雅黑" w:cs="宋体"/>
          <w:kern w:val="0"/>
          <w:sz w:val="24"/>
          <w:szCs w:val="24"/>
        </w:rPr>
        <w:t>），并进行了 RNA-Seq 分析。在 MDA-MB-231 细胞中用 CDK4/6i 处理 14 天后，我们使用带有 geminin 降解子的流式细胞术 (FACS) 对持续性细胞和非持续性细胞进行分类。geminin 降解子选择性地在 S 期和 G2 期积累（</w:t>
      </w:r>
      <w:r w:rsidRPr="00736BD1">
        <w:rPr>
          <w:rFonts w:ascii="微软雅黑" w:eastAsia="微软雅黑" w:hAnsi="微软雅黑" w:cs="宋体"/>
          <w:kern w:val="0"/>
          <w:sz w:val="24"/>
          <w:szCs w:val="24"/>
        </w:rPr>
        <w:fldChar w:fldCharType="begin"/>
      </w:r>
      <w:r w:rsidRPr="00736BD1">
        <w:rPr>
          <w:rFonts w:ascii="微软雅黑" w:eastAsia="微软雅黑" w:hAnsi="微软雅黑" w:cs="宋体"/>
          <w:kern w:val="0"/>
          <w:sz w:val="24"/>
          <w:szCs w:val="24"/>
        </w:rPr>
        <w:instrText xml:space="preserve"> HYPERLINK "https://pmc.ncbi.nlm.nih.gov/articles/PMC12520673/" \l "B41" </w:instrText>
      </w:r>
      <w:r w:rsidRPr="00736BD1">
        <w:rPr>
          <w:rFonts w:ascii="微软雅黑" w:eastAsia="微软雅黑" w:hAnsi="微软雅黑" w:cs="宋体"/>
          <w:kern w:val="0"/>
          <w:sz w:val="24"/>
          <w:szCs w:val="24"/>
        </w:rPr>
        <w:fldChar w:fldCharType="separate"/>
      </w:r>
      <w:r w:rsidRPr="00736BD1">
        <w:rPr>
          <w:rFonts w:ascii="微软雅黑" w:eastAsia="微软雅黑" w:hAnsi="微软雅黑" w:cs="宋体"/>
          <w:kern w:val="0"/>
          <w:sz w:val="24"/>
          <w:szCs w:val="24"/>
          <w:u w:val="single"/>
        </w:rPr>
        <w:t>41</w:t>
      </w:r>
      <w:r w:rsidRPr="00736BD1">
        <w:rPr>
          <w:rFonts w:ascii="微软雅黑" w:eastAsia="微软雅黑" w:hAnsi="微软雅黑" w:cs="宋体"/>
          <w:kern w:val="0"/>
          <w:sz w:val="24"/>
          <w:szCs w:val="24"/>
        </w:rPr>
        <w:fldChar w:fldCharType="end"/>
      </w:r>
      <w:r w:rsidRPr="00736BD1">
        <w:rPr>
          <w:rFonts w:ascii="微软雅黑" w:eastAsia="微软雅黑" w:hAnsi="微软雅黑" w:cs="宋体"/>
          <w:kern w:val="0"/>
          <w:sz w:val="24"/>
          <w:szCs w:val="24"/>
        </w:rPr>
        <w:t>），可作为增殖细胞的标志物。基因集富集分析 (GSEA) 显示，与非持续性细胞相比，持续性细胞中存在不同的上调和下调通路（</w:t>
      </w:r>
      <w:hyperlink r:id="rId39" w:anchor="F2" w:history="1">
        <w:r w:rsidRPr="00736BD1">
          <w:rPr>
            <w:rFonts w:ascii="微软雅黑" w:eastAsia="微软雅黑" w:hAnsi="微软雅黑" w:cs="宋体"/>
            <w:kern w:val="0"/>
            <w:sz w:val="24"/>
            <w:szCs w:val="24"/>
            <w:u w:val="single"/>
          </w:rPr>
          <w:t>图 2A</w:t>
        </w:r>
      </w:hyperlink>
      <w:r w:rsidRPr="00736BD1">
        <w:rPr>
          <w:rFonts w:ascii="微软雅黑" w:eastAsia="微软雅黑" w:hAnsi="微软雅黑" w:cs="宋体"/>
          <w:kern w:val="0"/>
          <w:sz w:val="24"/>
          <w:szCs w:val="24"/>
        </w:rPr>
        <w:t>和</w:t>
      </w:r>
      <w:r w:rsidRPr="00736BD1">
        <w:rPr>
          <w:rFonts w:ascii="微软雅黑" w:eastAsia="微软雅黑" w:hAnsi="微软雅黑" w:cs="宋体"/>
          <w:kern w:val="0"/>
          <w:sz w:val="24"/>
          <w:szCs w:val="24"/>
        </w:rPr>
        <w:fldChar w:fldCharType="begin"/>
      </w:r>
      <w:r w:rsidRPr="00736BD1">
        <w:rPr>
          <w:rFonts w:ascii="微软雅黑" w:eastAsia="微软雅黑" w:hAnsi="微软雅黑" w:cs="宋体"/>
          <w:kern w:val="0"/>
          <w:sz w:val="24"/>
          <w:szCs w:val="24"/>
        </w:rPr>
        <w:instrText xml:space="preserve"> HYPERLINK "https://pmc.ncbi.nlm.nih.gov/articles/PMC12520673/" \l "sd" </w:instrText>
      </w:r>
      <w:r w:rsidRPr="00736BD1">
        <w:rPr>
          <w:rFonts w:ascii="微软雅黑" w:eastAsia="微软雅黑" w:hAnsi="微软雅黑" w:cs="宋体"/>
          <w:kern w:val="0"/>
          <w:sz w:val="24"/>
          <w:szCs w:val="24"/>
        </w:rPr>
        <w:fldChar w:fldCharType="separate"/>
      </w:r>
      <w:r w:rsidRPr="00736BD1">
        <w:rPr>
          <w:rFonts w:ascii="微软雅黑" w:eastAsia="微软雅黑" w:hAnsi="微软雅黑" w:cs="宋体"/>
          <w:kern w:val="0"/>
          <w:sz w:val="24"/>
          <w:szCs w:val="24"/>
          <w:u w:val="single"/>
        </w:rPr>
        <w:t>补充图 4A</w:t>
      </w:r>
      <w:r w:rsidRPr="00736BD1">
        <w:rPr>
          <w:rFonts w:ascii="微软雅黑" w:eastAsia="微软雅黑" w:hAnsi="微软雅黑" w:cs="宋体"/>
          <w:kern w:val="0"/>
          <w:sz w:val="24"/>
          <w:szCs w:val="24"/>
        </w:rPr>
        <w:fldChar w:fldCharType="end"/>
      </w:r>
      <w:r w:rsidRPr="00736BD1">
        <w:rPr>
          <w:rFonts w:ascii="微软雅黑" w:eastAsia="微软雅黑" w:hAnsi="微软雅黑" w:cs="宋体"/>
          <w:kern w:val="0"/>
          <w:sz w:val="24"/>
          <w:szCs w:val="24"/>
        </w:rPr>
        <w:t xml:space="preserve">）。我们发现，RNA 聚合酶 II </w:t>
      </w:r>
      <w:proofErr w:type="gramStart"/>
      <w:r w:rsidRPr="00736BD1">
        <w:rPr>
          <w:rFonts w:ascii="微软雅黑" w:eastAsia="微软雅黑" w:hAnsi="微软雅黑" w:cs="宋体"/>
          <w:kern w:val="0"/>
          <w:sz w:val="24"/>
          <w:szCs w:val="24"/>
        </w:rPr>
        <w:t>介</w:t>
      </w:r>
      <w:proofErr w:type="gramEnd"/>
      <w:r w:rsidRPr="00736BD1">
        <w:rPr>
          <w:rFonts w:ascii="微软雅黑" w:eastAsia="微软雅黑" w:hAnsi="微软雅黑" w:cs="宋体"/>
          <w:kern w:val="0"/>
          <w:sz w:val="24"/>
          <w:szCs w:val="24"/>
        </w:rPr>
        <w:t>导的转录活性在持续性细胞中显著上调（</w:t>
      </w:r>
      <w:r w:rsidRPr="00736BD1">
        <w:rPr>
          <w:rFonts w:ascii="微软雅黑" w:eastAsia="微软雅黑" w:hAnsi="微软雅黑" w:cs="宋体"/>
          <w:kern w:val="0"/>
          <w:sz w:val="24"/>
          <w:szCs w:val="24"/>
        </w:rPr>
        <w:fldChar w:fldCharType="begin"/>
      </w:r>
      <w:r w:rsidRPr="00736BD1">
        <w:rPr>
          <w:rFonts w:ascii="微软雅黑" w:eastAsia="微软雅黑" w:hAnsi="微软雅黑" w:cs="宋体"/>
          <w:kern w:val="0"/>
          <w:sz w:val="24"/>
          <w:szCs w:val="24"/>
        </w:rPr>
        <w:instrText xml:space="preserve"> HYPERLINK "https://pmc.ncbi.nlm.nih.gov/articles/PMC12520673/" \l "F2" </w:instrText>
      </w:r>
      <w:r w:rsidRPr="00736BD1">
        <w:rPr>
          <w:rFonts w:ascii="微软雅黑" w:eastAsia="微软雅黑" w:hAnsi="微软雅黑" w:cs="宋体"/>
          <w:kern w:val="0"/>
          <w:sz w:val="24"/>
          <w:szCs w:val="24"/>
        </w:rPr>
        <w:fldChar w:fldCharType="separate"/>
      </w:r>
      <w:r w:rsidRPr="00736BD1">
        <w:rPr>
          <w:rFonts w:ascii="微软雅黑" w:eastAsia="微软雅黑" w:hAnsi="微软雅黑" w:cs="宋体"/>
          <w:kern w:val="0"/>
          <w:sz w:val="24"/>
          <w:szCs w:val="24"/>
          <w:u w:val="single"/>
        </w:rPr>
        <w:t>图 2A 和 2B</w:t>
      </w:r>
      <w:r w:rsidRPr="00736BD1">
        <w:rPr>
          <w:rFonts w:ascii="微软雅黑" w:eastAsia="微软雅黑" w:hAnsi="微软雅黑" w:cs="宋体"/>
          <w:kern w:val="0"/>
          <w:sz w:val="24"/>
          <w:szCs w:val="24"/>
        </w:rPr>
        <w:fldChar w:fldCharType="end"/>
      </w:r>
      <w:r w:rsidRPr="00736BD1">
        <w:rPr>
          <w:rFonts w:ascii="微软雅黑" w:eastAsia="微软雅黑" w:hAnsi="微软雅黑" w:cs="宋体"/>
          <w:kern w:val="0"/>
          <w:sz w:val="24"/>
          <w:szCs w:val="24"/>
        </w:rPr>
        <w:t>）。与这些发现一致，我们近期的研究强调了转录</w:t>
      </w:r>
      <w:r w:rsidRPr="00736BD1">
        <w:rPr>
          <w:rFonts w:ascii="微软雅黑" w:eastAsia="微软雅黑" w:hAnsi="微软雅黑" w:cs="宋体"/>
          <w:kern w:val="0"/>
          <w:sz w:val="24"/>
          <w:szCs w:val="24"/>
        </w:rPr>
        <w:fldChar w:fldCharType="begin"/>
      </w:r>
      <w:r w:rsidRPr="00736BD1">
        <w:rPr>
          <w:rFonts w:ascii="微软雅黑" w:eastAsia="微软雅黑" w:hAnsi="微软雅黑" w:cs="宋体"/>
          <w:kern w:val="0"/>
          <w:sz w:val="24"/>
          <w:szCs w:val="24"/>
        </w:rPr>
        <w:instrText xml:space="preserve"> HYPERLINK "https://pmc.ncbi.nlm.nih.gov/articles/PMC12520673/" \l "B21" </w:instrText>
      </w:r>
      <w:r w:rsidRPr="00736BD1">
        <w:rPr>
          <w:rFonts w:ascii="微软雅黑" w:eastAsia="微软雅黑" w:hAnsi="微软雅黑" w:cs="宋体"/>
          <w:kern w:val="0"/>
          <w:sz w:val="24"/>
          <w:szCs w:val="24"/>
        </w:rPr>
        <w:fldChar w:fldCharType="separate"/>
      </w:r>
      <w:r w:rsidRPr="00736BD1">
        <w:rPr>
          <w:rFonts w:ascii="微软雅黑" w:eastAsia="微软雅黑" w:hAnsi="微软雅黑" w:cs="宋体"/>
          <w:kern w:val="0"/>
          <w:sz w:val="24"/>
          <w:szCs w:val="24"/>
          <w:u w:val="single"/>
        </w:rPr>
        <w:t>活性在驱动 CDK4/6 抑制剂耐药性中的关键作用 (19-21</w:t>
      </w:r>
      <w:r w:rsidRPr="00736BD1">
        <w:rPr>
          <w:rFonts w:ascii="微软雅黑" w:eastAsia="微软雅黑" w:hAnsi="微软雅黑" w:cs="宋体"/>
          <w:kern w:val="0"/>
          <w:sz w:val="24"/>
          <w:szCs w:val="24"/>
        </w:rPr>
        <w:fldChar w:fldCharType="end"/>
      </w:r>
      <w:r w:rsidRPr="00736BD1">
        <w:rPr>
          <w:rFonts w:ascii="微软雅黑" w:eastAsia="微软雅黑" w:hAnsi="微软雅黑" w:cs="宋体"/>
          <w:kern w:val="0"/>
          <w:sz w:val="24"/>
          <w:szCs w:val="24"/>
        </w:rPr>
        <w:t> ) 。</w:t>
      </w:r>
      <w:r w:rsidRPr="00736BD1">
        <w:rPr>
          <w:rFonts w:ascii="微软雅黑" w:eastAsia="微软雅黑" w:hAnsi="微软雅黑" w:cs="宋体"/>
          <w:kern w:val="0"/>
          <w:sz w:val="24"/>
          <w:szCs w:val="24"/>
        </w:rPr>
        <w:fldChar w:fldCharType="begin"/>
      </w:r>
      <w:r w:rsidRPr="00736BD1">
        <w:rPr>
          <w:rFonts w:ascii="微软雅黑" w:eastAsia="微软雅黑" w:hAnsi="微软雅黑" w:cs="宋体"/>
          <w:kern w:val="0"/>
          <w:sz w:val="24"/>
          <w:szCs w:val="24"/>
        </w:rPr>
        <w:instrText xml:space="preserve"> HYPERLINK "https://pmc.ncbi.nlm.nih.gov/articles/PMC12520673/" \l "B19" </w:instrText>
      </w:r>
      <w:r w:rsidRPr="00736BD1">
        <w:rPr>
          <w:rFonts w:ascii="微软雅黑" w:eastAsia="微软雅黑" w:hAnsi="微软雅黑" w:cs="宋体"/>
          <w:kern w:val="0"/>
          <w:sz w:val="24"/>
          <w:szCs w:val="24"/>
        </w:rPr>
        <w:fldChar w:fldCharType="separate"/>
      </w:r>
      <w:r w:rsidRPr="00736BD1">
        <w:rPr>
          <w:rFonts w:ascii="微软雅黑" w:eastAsia="微软雅黑" w:hAnsi="微软雅黑" w:cs="宋体"/>
          <w:kern w:val="0"/>
          <w:sz w:val="24"/>
          <w:szCs w:val="24"/>
          <w:u w:val="single"/>
        </w:rPr>
        <w:t>乳腺癌</w:t>
      </w:r>
      <w:r w:rsidRPr="00736BD1">
        <w:rPr>
          <w:rFonts w:ascii="微软雅黑" w:eastAsia="微软雅黑" w:hAnsi="微软雅黑" w:cs="宋体"/>
          <w:kern w:val="0"/>
          <w:sz w:val="24"/>
          <w:szCs w:val="24"/>
        </w:rPr>
        <w:fldChar w:fldCharType="end"/>
      </w:r>
      <w:r w:rsidRPr="00736BD1">
        <w:rPr>
          <w:rFonts w:ascii="微软雅黑" w:eastAsia="微软雅黑" w:hAnsi="微软雅黑" w:cs="宋体"/>
          <w:kern w:val="0"/>
          <w:sz w:val="24"/>
          <w:szCs w:val="24"/>
        </w:rPr>
        <w:t xml:space="preserve">细胞在 Rb 蛋白通过降解而发生替代性失活后，需要增强转录活性来放大低水平的 E2F 活性，最终导致 CDK4/6 抑制剂耐药性。鉴于 CDK7 抑制剂主要靶向 RNA 聚合酶 II </w:t>
      </w:r>
      <w:proofErr w:type="gramStart"/>
      <w:r w:rsidRPr="00736BD1">
        <w:rPr>
          <w:rFonts w:ascii="微软雅黑" w:eastAsia="微软雅黑" w:hAnsi="微软雅黑" w:cs="宋体"/>
          <w:kern w:val="0"/>
          <w:sz w:val="24"/>
          <w:szCs w:val="24"/>
        </w:rPr>
        <w:t>介</w:t>
      </w:r>
      <w:proofErr w:type="gramEnd"/>
      <w:r w:rsidRPr="00736BD1">
        <w:rPr>
          <w:rFonts w:ascii="微软雅黑" w:eastAsia="微软雅黑" w:hAnsi="微软雅黑" w:cs="宋体"/>
          <w:kern w:val="0"/>
          <w:sz w:val="24"/>
          <w:szCs w:val="24"/>
        </w:rPr>
        <w:t>导的转录，我们假设同时抑制 CDK4/6 和 CDK7 可以协同抑制 E2F 活性，从而为克服耐药性提供一种有前景的治疗策略。</w:t>
      </w:r>
    </w:p>
    <w:p w14:paraId="48999FC8" w14:textId="77777777" w:rsidR="00736BD1" w:rsidRPr="00736BD1" w:rsidRDefault="00736BD1" w:rsidP="00736BD1">
      <w:pPr>
        <w:widowControl/>
        <w:spacing w:line="450" w:lineRule="atLeast"/>
        <w:outlineLvl w:val="3"/>
        <w:rPr>
          <w:rFonts w:ascii="微软雅黑" w:eastAsia="微软雅黑" w:hAnsi="微软雅黑" w:cs="宋体"/>
          <w:kern w:val="0"/>
          <w:sz w:val="30"/>
          <w:szCs w:val="30"/>
        </w:rPr>
      </w:pPr>
      <w:r w:rsidRPr="00736BD1">
        <w:rPr>
          <w:rFonts w:ascii="微软雅黑" w:eastAsia="微软雅黑" w:hAnsi="微软雅黑" w:cs="宋体"/>
          <w:kern w:val="0"/>
          <w:sz w:val="30"/>
          <w:szCs w:val="30"/>
        </w:rPr>
        <w:t>图 2. CDK4/6i 和 CDK7i 联合应用可协同抑制持续性细胞的发育和耐药性。</w:t>
      </w:r>
    </w:p>
    <w:p w14:paraId="48939785" w14:textId="589C3031" w:rsidR="00736BD1" w:rsidRPr="00736BD1" w:rsidRDefault="00736BD1" w:rsidP="00736BD1">
      <w:pPr>
        <w:widowControl/>
        <w:spacing w:before="450"/>
        <w:rPr>
          <w:rFonts w:ascii="微软雅黑" w:eastAsia="微软雅黑" w:hAnsi="微软雅黑" w:cs="宋体"/>
          <w:kern w:val="0"/>
          <w:sz w:val="24"/>
          <w:szCs w:val="24"/>
        </w:rPr>
      </w:pPr>
      <w:r w:rsidRPr="00736BD1">
        <w:rPr>
          <w:rFonts w:ascii="微软雅黑" w:eastAsia="微软雅黑" w:hAnsi="微软雅黑" w:cs="宋体"/>
          <w:noProof/>
          <w:kern w:val="0"/>
          <w:sz w:val="24"/>
          <w:szCs w:val="24"/>
        </w:rPr>
        <w:lastRenderedPageBreak/>
        <w:drawing>
          <wp:inline distT="0" distB="0" distL="0" distR="0" wp14:anchorId="63C0F057" wp14:editId="66369FC5">
            <wp:extent cx="5274310" cy="5194935"/>
            <wp:effectExtent l="0" t="0" r="2540" b="5715"/>
            <wp:docPr id="7" name="图片 7" descr="图 2">
              <a:hlinkClick xmlns:a="http://schemas.openxmlformats.org/drawingml/2006/main" r:id="rId40"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图 2">
                      <a:hlinkClick r:id="rId40" tgtFrame="&quot;_blank&quot;"/>
                    </pic:cNvPr>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274310" cy="5194935"/>
                    </a:xfrm>
                    <a:prstGeom prst="rect">
                      <a:avLst/>
                    </a:prstGeom>
                    <a:noFill/>
                    <a:ln>
                      <a:noFill/>
                    </a:ln>
                  </pic:spPr>
                </pic:pic>
              </a:graphicData>
            </a:graphic>
          </wp:inline>
        </w:drawing>
      </w:r>
    </w:p>
    <w:p w14:paraId="6D41DBA2" w14:textId="77777777" w:rsidR="00736BD1" w:rsidRPr="00736BD1" w:rsidRDefault="00736BD1" w:rsidP="00736BD1">
      <w:pPr>
        <w:widowControl/>
        <w:rPr>
          <w:rFonts w:ascii="微软雅黑" w:eastAsia="微软雅黑" w:hAnsi="微软雅黑" w:cs="宋体"/>
          <w:kern w:val="0"/>
          <w:sz w:val="24"/>
          <w:szCs w:val="24"/>
        </w:rPr>
      </w:pPr>
      <w:r w:rsidRPr="00736BD1">
        <w:rPr>
          <w:rFonts w:ascii="微软雅黑" w:eastAsia="微软雅黑" w:hAnsi="微软雅黑" w:cs="宋体"/>
          <w:kern w:val="0"/>
          <w:sz w:val="24"/>
          <w:szCs w:val="24"/>
        </w:rPr>
        <w:t>（</w:t>
      </w:r>
      <w:r w:rsidRPr="00736BD1">
        <w:rPr>
          <w:rFonts w:ascii="微软雅黑" w:eastAsia="微软雅黑" w:hAnsi="微软雅黑" w:cs="宋体"/>
          <w:b/>
          <w:bCs/>
          <w:kern w:val="0"/>
          <w:sz w:val="24"/>
          <w:szCs w:val="24"/>
        </w:rPr>
        <w:t>A</w:t>
      </w:r>
      <w:r w:rsidRPr="00736BD1">
        <w:rPr>
          <w:rFonts w:ascii="微软雅黑" w:eastAsia="微软雅黑" w:hAnsi="微软雅黑" w:cs="宋体"/>
          <w:kern w:val="0"/>
          <w:sz w:val="24"/>
          <w:szCs w:val="24"/>
        </w:rPr>
        <w:t xml:space="preserve">）帕博西尼（1 </w:t>
      </w:r>
      <w:proofErr w:type="spellStart"/>
      <w:r w:rsidRPr="00736BD1">
        <w:rPr>
          <w:rFonts w:ascii="微软雅黑" w:eastAsia="微软雅黑" w:hAnsi="微软雅黑" w:cs="宋体"/>
          <w:kern w:val="0"/>
          <w:sz w:val="24"/>
          <w:szCs w:val="24"/>
        </w:rPr>
        <w:t>μM</w:t>
      </w:r>
      <w:proofErr w:type="spellEnd"/>
      <w:r w:rsidRPr="00736BD1">
        <w:rPr>
          <w:rFonts w:ascii="微软雅黑" w:eastAsia="微软雅黑" w:hAnsi="微软雅黑" w:cs="宋体"/>
          <w:kern w:val="0"/>
          <w:sz w:val="24"/>
          <w:szCs w:val="24"/>
        </w:rPr>
        <w:t>）处理14天后，持续性MDA-MB-231细胞与非持续性MDA-MB-231细胞中富集</w:t>
      </w:r>
      <w:proofErr w:type="gramStart"/>
      <w:r w:rsidRPr="00736BD1">
        <w:rPr>
          <w:rFonts w:ascii="微软雅黑" w:eastAsia="微软雅黑" w:hAnsi="微软雅黑" w:cs="宋体"/>
          <w:kern w:val="0"/>
          <w:sz w:val="24"/>
          <w:szCs w:val="24"/>
        </w:rPr>
        <w:t>反应组</w:t>
      </w:r>
      <w:proofErr w:type="gramEnd"/>
      <w:r w:rsidRPr="00736BD1">
        <w:rPr>
          <w:rFonts w:ascii="微软雅黑" w:eastAsia="微软雅黑" w:hAnsi="微软雅黑" w:cs="宋体"/>
          <w:kern w:val="0"/>
          <w:sz w:val="24"/>
          <w:szCs w:val="24"/>
        </w:rPr>
        <w:t>基因集的散点图。显著富集通路定义为校正后</w:t>
      </w:r>
      <w:r w:rsidRPr="00736BD1">
        <w:rPr>
          <w:rFonts w:ascii="微软雅黑" w:eastAsia="微软雅黑" w:hAnsi="微软雅黑" w:cs="宋体"/>
          <w:i/>
          <w:iCs/>
          <w:kern w:val="0"/>
          <w:sz w:val="24"/>
          <w:szCs w:val="24"/>
        </w:rPr>
        <w:t>P值</w:t>
      </w:r>
      <w:r w:rsidRPr="00736BD1">
        <w:rPr>
          <w:rFonts w:ascii="微软雅黑" w:eastAsia="微软雅黑" w:hAnsi="微软雅黑" w:cs="宋体"/>
          <w:kern w:val="0"/>
          <w:sz w:val="24"/>
          <w:szCs w:val="24"/>
        </w:rPr>
        <w:t>&lt;0.05且FDR&lt;0.25。点的大小表示基因数量，颜色表示校正后的</w:t>
      </w:r>
      <w:r w:rsidRPr="00736BD1">
        <w:rPr>
          <w:rFonts w:ascii="微软雅黑" w:eastAsia="微软雅黑" w:hAnsi="微软雅黑" w:cs="宋体"/>
          <w:i/>
          <w:iCs/>
          <w:kern w:val="0"/>
          <w:sz w:val="24"/>
          <w:szCs w:val="24"/>
        </w:rPr>
        <w:t>P</w:t>
      </w:r>
      <w:r w:rsidRPr="00736BD1">
        <w:rPr>
          <w:rFonts w:ascii="微软雅黑" w:eastAsia="微软雅黑" w:hAnsi="微软雅黑" w:cs="宋体"/>
          <w:kern w:val="0"/>
          <w:sz w:val="24"/>
          <w:szCs w:val="24"/>
        </w:rPr>
        <w:t>值。（</w:t>
      </w:r>
      <w:r w:rsidRPr="00736BD1">
        <w:rPr>
          <w:rFonts w:ascii="微软雅黑" w:eastAsia="微软雅黑" w:hAnsi="微软雅黑" w:cs="宋体"/>
          <w:b/>
          <w:bCs/>
          <w:kern w:val="0"/>
          <w:sz w:val="24"/>
          <w:szCs w:val="24"/>
        </w:rPr>
        <w:t>B</w:t>
      </w:r>
      <w:r w:rsidRPr="00736BD1">
        <w:rPr>
          <w:rFonts w:ascii="微软雅黑" w:eastAsia="微软雅黑" w:hAnsi="微软雅黑" w:cs="宋体"/>
          <w:kern w:val="0"/>
          <w:sz w:val="24"/>
          <w:szCs w:val="24"/>
        </w:rPr>
        <w:t>）GSEA图显示，与非持续性细胞相比，持续性细胞中RNA聚合酶II信号通路增强。图中显示了归一化富集评分（NES）和</w:t>
      </w:r>
      <w:r w:rsidRPr="00736BD1">
        <w:rPr>
          <w:rFonts w:ascii="微软雅黑" w:eastAsia="微软雅黑" w:hAnsi="微软雅黑" w:cs="宋体"/>
          <w:i/>
          <w:iCs/>
          <w:kern w:val="0"/>
          <w:sz w:val="24"/>
          <w:szCs w:val="24"/>
        </w:rPr>
        <w:t>q</w:t>
      </w:r>
      <w:r w:rsidRPr="00736BD1">
        <w:rPr>
          <w:rFonts w:ascii="微软雅黑" w:eastAsia="微软雅黑" w:hAnsi="微软雅黑" w:cs="宋体"/>
          <w:kern w:val="0"/>
          <w:sz w:val="24"/>
          <w:szCs w:val="24"/>
        </w:rPr>
        <w:t>值。（</w:t>
      </w:r>
      <w:r w:rsidRPr="00736BD1">
        <w:rPr>
          <w:rFonts w:ascii="微软雅黑" w:eastAsia="微软雅黑" w:hAnsi="微软雅黑" w:cs="宋体"/>
          <w:b/>
          <w:bCs/>
          <w:kern w:val="0"/>
          <w:sz w:val="24"/>
          <w:szCs w:val="24"/>
        </w:rPr>
        <w:t>C</w:t>
      </w:r>
      <w:r w:rsidRPr="00736BD1">
        <w:rPr>
          <w:rFonts w:ascii="微软雅黑" w:eastAsia="微软雅黑" w:hAnsi="微软雅黑" w:cs="宋体"/>
          <w:kern w:val="0"/>
          <w:sz w:val="24"/>
          <w:szCs w:val="24"/>
        </w:rPr>
        <w:t>）帕博西尼和SY5609的协同作用分析。协同作用评分±95%置信区间采用Bliss独立模型计算（</w:t>
      </w:r>
      <w:r w:rsidRPr="00736BD1">
        <w:rPr>
          <w:rFonts w:ascii="微软雅黑" w:eastAsia="微软雅黑" w:hAnsi="微软雅黑" w:cs="宋体"/>
          <w:i/>
          <w:iCs/>
          <w:kern w:val="0"/>
          <w:sz w:val="24"/>
          <w:szCs w:val="24"/>
        </w:rPr>
        <w:t>n</w:t>
      </w:r>
      <w:r w:rsidRPr="00736BD1">
        <w:rPr>
          <w:rFonts w:ascii="微软雅黑" w:eastAsia="微软雅黑" w:hAnsi="微软雅黑" w:cs="宋体"/>
          <w:kern w:val="0"/>
          <w:sz w:val="24"/>
          <w:szCs w:val="24"/>
        </w:rPr>
        <w:t> =3个生物学重复）。 （</w:t>
      </w:r>
      <w:r w:rsidRPr="00736BD1">
        <w:rPr>
          <w:rFonts w:ascii="微软雅黑" w:eastAsia="微软雅黑" w:hAnsi="微软雅黑" w:cs="宋体"/>
          <w:b/>
          <w:bCs/>
          <w:kern w:val="0"/>
          <w:sz w:val="24"/>
          <w:szCs w:val="24"/>
        </w:rPr>
        <w:t>D</w:t>
      </w:r>
      <w:r w:rsidRPr="00736BD1">
        <w:rPr>
          <w:rFonts w:ascii="微软雅黑" w:eastAsia="微软雅黑" w:hAnsi="微软雅黑" w:cs="宋体"/>
          <w:kern w:val="0"/>
          <w:sz w:val="24"/>
          <w:szCs w:val="24"/>
        </w:rPr>
        <w:t>和</w:t>
      </w:r>
      <w:r w:rsidRPr="00736BD1">
        <w:rPr>
          <w:rFonts w:ascii="微软雅黑" w:eastAsia="微软雅黑" w:hAnsi="微软雅黑" w:cs="宋体"/>
          <w:b/>
          <w:bCs/>
          <w:kern w:val="0"/>
          <w:sz w:val="24"/>
          <w:szCs w:val="24"/>
        </w:rPr>
        <w:t>E</w:t>
      </w:r>
      <w:r w:rsidRPr="00736BD1">
        <w:rPr>
          <w:rFonts w:ascii="微软雅黑" w:eastAsia="微软雅黑" w:hAnsi="微软雅黑" w:cs="宋体"/>
          <w:kern w:val="0"/>
          <w:sz w:val="24"/>
          <w:szCs w:val="24"/>
        </w:rPr>
        <w:t xml:space="preserve">）用 </w:t>
      </w:r>
      <w:proofErr w:type="spellStart"/>
      <w:r w:rsidRPr="00736BD1">
        <w:rPr>
          <w:rFonts w:ascii="微软雅黑" w:eastAsia="微软雅黑" w:hAnsi="微软雅黑" w:cs="宋体"/>
          <w:kern w:val="0"/>
          <w:sz w:val="24"/>
          <w:szCs w:val="24"/>
        </w:rPr>
        <w:t>palbociclib</w:t>
      </w:r>
      <w:proofErr w:type="spellEnd"/>
      <w:r w:rsidRPr="00736BD1">
        <w:rPr>
          <w:rFonts w:ascii="微软雅黑" w:eastAsia="微软雅黑" w:hAnsi="微软雅黑" w:cs="宋体"/>
          <w:kern w:val="0"/>
          <w:sz w:val="24"/>
          <w:szCs w:val="24"/>
        </w:rPr>
        <w:t xml:space="preserve"> (1 </w:t>
      </w:r>
      <w:proofErr w:type="spellStart"/>
      <w:r w:rsidRPr="00736BD1">
        <w:rPr>
          <w:rFonts w:ascii="微软雅黑" w:eastAsia="微软雅黑" w:hAnsi="微软雅黑" w:cs="宋体"/>
          <w:kern w:val="0"/>
          <w:sz w:val="24"/>
          <w:szCs w:val="24"/>
        </w:rPr>
        <w:t>μM</w:t>
      </w:r>
      <w:proofErr w:type="spellEnd"/>
      <w:r w:rsidRPr="00736BD1">
        <w:rPr>
          <w:rFonts w:ascii="微软雅黑" w:eastAsia="微软雅黑" w:hAnsi="微软雅黑" w:cs="宋体"/>
          <w:kern w:val="0"/>
          <w:sz w:val="24"/>
          <w:szCs w:val="24"/>
        </w:rPr>
        <w:t>) 单独处理 ( </w:t>
      </w:r>
      <w:r w:rsidRPr="00736BD1">
        <w:rPr>
          <w:rFonts w:ascii="微软雅黑" w:eastAsia="微软雅黑" w:hAnsi="微软雅黑" w:cs="宋体"/>
          <w:b/>
          <w:bCs/>
          <w:kern w:val="0"/>
          <w:sz w:val="24"/>
          <w:szCs w:val="24"/>
        </w:rPr>
        <w:t>D</w:t>
      </w:r>
      <w:r w:rsidRPr="00736BD1">
        <w:rPr>
          <w:rFonts w:ascii="微软雅黑" w:eastAsia="微软雅黑" w:hAnsi="微软雅黑" w:cs="宋体"/>
          <w:kern w:val="0"/>
          <w:sz w:val="24"/>
          <w:szCs w:val="24"/>
        </w:rPr>
        <w:t xml:space="preserve"> ) 或与 SY5609 (50 </w:t>
      </w:r>
      <w:proofErr w:type="spellStart"/>
      <w:r w:rsidRPr="00736BD1">
        <w:rPr>
          <w:rFonts w:ascii="微软雅黑" w:eastAsia="微软雅黑" w:hAnsi="微软雅黑" w:cs="宋体"/>
          <w:kern w:val="0"/>
          <w:sz w:val="24"/>
          <w:szCs w:val="24"/>
        </w:rPr>
        <w:t>nM</w:t>
      </w:r>
      <w:proofErr w:type="spellEnd"/>
      <w:r w:rsidRPr="00736BD1">
        <w:rPr>
          <w:rFonts w:ascii="微软雅黑" w:eastAsia="微软雅黑" w:hAnsi="微软雅黑" w:cs="宋体"/>
          <w:kern w:val="0"/>
          <w:sz w:val="24"/>
          <w:szCs w:val="24"/>
        </w:rPr>
        <w:t>) 联合处理 ( </w:t>
      </w:r>
      <w:r w:rsidRPr="00736BD1">
        <w:rPr>
          <w:rFonts w:ascii="微软雅黑" w:eastAsia="微软雅黑" w:hAnsi="微软雅黑" w:cs="宋体"/>
          <w:b/>
          <w:bCs/>
          <w:kern w:val="0"/>
          <w:sz w:val="24"/>
          <w:szCs w:val="24"/>
        </w:rPr>
        <w:t>E</w:t>
      </w:r>
      <w:r w:rsidRPr="00736BD1">
        <w:rPr>
          <w:rFonts w:ascii="微软雅黑" w:eastAsia="微软雅黑" w:hAnsi="微软雅黑" w:cs="宋体"/>
          <w:kern w:val="0"/>
          <w:sz w:val="24"/>
          <w:szCs w:val="24"/>
        </w:rPr>
        <w:t> ) 的 MDA-MB-231 细胞中单细胞 CDK4/6 和 CDK2 活性轨迹的热图。百分比表示持续性细胞的比例（处理后 30-48 小</w:t>
      </w:r>
      <w:r w:rsidRPr="00736BD1">
        <w:rPr>
          <w:rFonts w:ascii="微软雅黑" w:eastAsia="微软雅黑" w:hAnsi="微软雅黑" w:cs="宋体"/>
          <w:kern w:val="0"/>
          <w:sz w:val="24"/>
          <w:szCs w:val="24"/>
        </w:rPr>
        <w:lastRenderedPageBreak/>
        <w:t>时内 CDK2 活性 &gt; 1.0 超过 4 小时）。（</w:t>
      </w:r>
      <w:r w:rsidRPr="00736BD1">
        <w:rPr>
          <w:rFonts w:ascii="微软雅黑" w:eastAsia="微软雅黑" w:hAnsi="微软雅黑" w:cs="宋体"/>
          <w:b/>
          <w:bCs/>
          <w:kern w:val="0"/>
          <w:sz w:val="24"/>
          <w:szCs w:val="24"/>
        </w:rPr>
        <w:t>F ）对不同处理条件下 MDA-MB-231 和 MCF-7 细胞中的持续性细胞进行定量分析。数据以均值 ± 标准差 ( </w:t>
      </w:r>
      <w:r w:rsidRPr="00736BD1">
        <w:rPr>
          <w:rFonts w:ascii="微软雅黑" w:eastAsia="微软雅黑" w:hAnsi="微软雅黑" w:cs="宋体"/>
          <w:i/>
          <w:iCs/>
          <w:kern w:val="0"/>
          <w:sz w:val="24"/>
          <w:szCs w:val="24"/>
        </w:rPr>
        <w:t>n</w:t>
      </w:r>
      <w:r w:rsidRPr="00736BD1">
        <w:rPr>
          <w:rFonts w:ascii="微软雅黑" w:eastAsia="微软雅黑" w:hAnsi="微软雅黑" w:cs="宋体"/>
          <w:kern w:val="0"/>
          <w:sz w:val="24"/>
          <w:szCs w:val="24"/>
        </w:rPr>
        <w:t xml:space="preserve"> = 3 </w:t>
      </w:r>
      <w:proofErr w:type="gramStart"/>
      <w:r w:rsidRPr="00736BD1">
        <w:rPr>
          <w:rFonts w:ascii="微软雅黑" w:eastAsia="微软雅黑" w:hAnsi="微软雅黑" w:cs="宋体"/>
          <w:kern w:val="0"/>
          <w:sz w:val="24"/>
          <w:szCs w:val="24"/>
        </w:rPr>
        <w:t>个</w:t>
      </w:r>
      <w:proofErr w:type="gramEnd"/>
      <w:r w:rsidRPr="00736BD1">
        <w:rPr>
          <w:rFonts w:ascii="微软雅黑" w:eastAsia="微软雅黑" w:hAnsi="微软雅黑" w:cs="宋体"/>
          <w:kern w:val="0"/>
          <w:sz w:val="24"/>
          <w:szCs w:val="24"/>
        </w:rPr>
        <w:t>生物学重复)表示。P</w:t>
      </w:r>
      <w:proofErr w:type="gramStart"/>
      <w:r w:rsidRPr="00736BD1">
        <w:rPr>
          <w:rFonts w:ascii="微软雅黑" w:eastAsia="微软雅黑" w:hAnsi="微软雅黑" w:cs="宋体"/>
          <w:i/>
          <w:iCs/>
          <w:kern w:val="0"/>
          <w:sz w:val="24"/>
          <w:szCs w:val="24"/>
        </w:rPr>
        <w:t>值</w:t>
      </w:r>
      <w:r w:rsidRPr="00736BD1">
        <w:rPr>
          <w:rFonts w:ascii="微软雅黑" w:eastAsia="微软雅黑" w:hAnsi="微软雅黑" w:cs="宋体"/>
          <w:kern w:val="0"/>
          <w:sz w:val="24"/>
          <w:szCs w:val="24"/>
        </w:rPr>
        <w:t>通过</w:t>
      </w:r>
      <w:proofErr w:type="gramEnd"/>
      <w:r w:rsidRPr="00736BD1">
        <w:rPr>
          <w:rFonts w:ascii="微软雅黑" w:eastAsia="微软雅黑" w:hAnsi="微软雅黑" w:cs="宋体"/>
          <w:kern w:val="0"/>
          <w:sz w:val="24"/>
          <w:szCs w:val="24"/>
        </w:rPr>
        <w:t>单因素方差分析和 Tukey 事后检验计算（* </w:t>
      </w:r>
      <w:r w:rsidRPr="00736BD1">
        <w:rPr>
          <w:rFonts w:ascii="微软雅黑" w:eastAsia="微软雅黑" w:hAnsi="微软雅黑" w:cs="宋体"/>
          <w:i/>
          <w:iCs/>
          <w:kern w:val="0"/>
          <w:sz w:val="24"/>
          <w:szCs w:val="24"/>
        </w:rPr>
        <w:t>P</w:t>
      </w:r>
      <w:r w:rsidRPr="00736BD1">
        <w:rPr>
          <w:rFonts w:ascii="微软雅黑" w:eastAsia="微软雅黑" w:hAnsi="微软雅黑" w:cs="宋体"/>
          <w:kern w:val="0"/>
          <w:sz w:val="24"/>
          <w:szCs w:val="24"/>
        </w:rPr>
        <w:t> ≤ 0.05；*** </w:t>
      </w:r>
      <w:r w:rsidRPr="00736BD1">
        <w:rPr>
          <w:rFonts w:ascii="微软雅黑" w:eastAsia="微软雅黑" w:hAnsi="微软雅黑" w:cs="宋体"/>
          <w:i/>
          <w:iCs/>
          <w:kern w:val="0"/>
          <w:sz w:val="24"/>
          <w:szCs w:val="24"/>
        </w:rPr>
        <w:t>P</w:t>
      </w:r>
      <w:r w:rsidRPr="00736BD1">
        <w:rPr>
          <w:rFonts w:ascii="微软雅黑" w:eastAsia="微软雅黑" w:hAnsi="微软雅黑" w:cs="宋体"/>
          <w:kern w:val="0"/>
          <w:sz w:val="24"/>
          <w:szCs w:val="24"/>
        </w:rPr>
        <w:t> ≤ 0.0001）。 ( </w:t>
      </w:r>
      <w:r w:rsidRPr="00736BD1">
        <w:rPr>
          <w:rFonts w:ascii="微软雅黑" w:eastAsia="微软雅黑" w:hAnsi="微软雅黑" w:cs="宋体"/>
          <w:b/>
          <w:bCs/>
          <w:kern w:val="0"/>
          <w:sz w:val="24"/>
          <w:szCs w:val="24"/>
        </w:rPr>
        <w:t>G</w:t>
      </w:r>
      <w:r w:rsidRPr="00736BD1">
        <w:rPr>
          <w:rFonts w:ascii="微软雅黑" w:eastAsia="微软雅黑" w:hAnsi="微软雅黑" w:cs="宋体"/>
          <w:kern w:val="0"/>
          <w:sz w:val="24"/>
          <w:szCs w:val="24"/>
        </w:rPr>
        <w:t xml:space="preserve"> ) 用DMSO、帕博西尼（1 </w:t>
      </w:r>
      <w:proofErr w:type="spellStart"/>
      <w:r w:rsidRPr="00736BD1">
        <w:rPr>
          <w:rFonts w:ascii="微软雅黑" w:eastAsia="微软雅黑" w:hAnsi="微软雅黑" w:cs="宋体"/>
          <w:kern w:val="0"/>
          <w:sz w:val="24"/>
          <w:szCs w:val="24"/>
        </w:rPr>
        <w:t>μM</w:t>
      </w:r>
      <w:proofErr w:type="spellEnd"/>
      <w:r w:rsidRPr="00736BD1">
        <w:rPr>
          <w:rFonts w:ascii="微软雅黑" w:eastAsia="微软雅黑" w:hAnsi="微软雅黑" w:cs="宋体"/>
          <w:kern w:val="0"/>
          <w:sz w:val="24"/>
          <w:szCs w:val="24"/>
        </w:rPr>
        <w:t xml:space="preserve">）或帕博西尼+SY5609（50 </w:t>
      </w:r>
      <w:proofErr w:type="spellStart"/>
      <w:r w:rsidRPr="00736BD1">
        <w:rPr>
          <w:rFonts w:ascii="微软雅黑" w:eastAsia="微软雅黑" w:hAnsi="微软雅黑" w:cs="宋体"/>
          <w:kern w:val="0"/>
          <w:sz w:val="24"/>
          <w:szCs w:val="24"/>
        </w:rPr>
        <w:t>nM</w:t>
      </w:r>
      <w:proofErr w:type="spellEnd"/>
      <w:r w:rsidRPr="00736BD1">
        <w:rPr>
          <w:rFonts w:ascii="微软雅黑" w:eastAsia="微软雅黑" w:hAnsi="微软雅黑" w:cs="宋体"/>
          <w:kern w:val="0"/>
          <w:sz w:val="24"/>
          <w:szCs w:val="24"/>
        </w:rPr>
        <w:t>）处理48小时后，对细胞进行Rb和β-肌动蛋白的免疫印迹分析。( </w:t>
      </w:r>
      <w:r w:rsidRPr="00736BD1">
        <w:rPr>
          <w:rFonts w:ascii="微软雅黑" w:eastAsia="微软雅黑" w:hAnsi="微软雅黑" w:cs="宋体"/>
          <w:b/>
          <w:bCs/>
          <w:kern w:val="0"/>
          <w:sz w:val="24"/>
          <w:szCs w:val="24"/>
        </w:rPr>
        <w:t>H</w:t>
      </w:r>
      <w:r w:rsidRPr="00736BD1">
        <w:rPr>
          <w:rFonts w:ascii="微软雅黑" w:eastAsia="微软雅黑" w:hAnsi="微软雅黑" w:cs="宋体"/>
          <w:kern w:val="0"/>
          <w:sz w:val="24"/>
          <w:szCs w:val="24"/>
        </w:rPr>
        <w:t xml:space="preserve"> ) 代表性的克隆形成实验显示，用帕博西尼（1 </w:t>
      </w:r>
      <w:proofErr w:type="spellStart"/>
      <w:r w:rsidRPr="00736BD1">
        <w:rPr>
          <w:rFonts w:ascii="微软雅黑" w:eastAsia="微软雅黑" w:hAnsi="微软雅黑" w:cs="宋体"/>
          <w:kern w:val="0"/>
          <w:sz w:val="24"/>
          <w:szCs w:val="24"/>
        </w:rPr>
        <w:t>μM</w:t>
      </w:r>
      <w:proofErr w:type="spellEnd"/>
      <w:r w:rsidRPr="00736BD1">
        <w:rPr>
          <w:rFonts w:ascii="微软雅黑" w:eastAsia="微软雅黑" w:hAnsi="微软雅黑" w:cs="宋体"/>
          <w:kern w:val="0"/>
          <w:sz w:val="24"/>
          <w:szCs w:val="24"/>
        </w:rPr>
        <w:t xml:space="preserve">）、SY5609（50 </w:t>
      </w:r>
      <w:proofErr w:type="spellStart"/>
      <w:r w:rsidRPr="00736BD1">
        <w:rPr>
          <w:rFonts w:ascii="微软雅黑" w:eastAsia="微软雅黑" w:hAnsi="微软雅黑" w:cs="宋体"/>
          <w:kern w:val="0"/>
          <w:sz w:val="24"/>
          <w:szCs w:val="24"/>
        </w:rPr>
        <w:t>nM</w:t>
      </w:r>
      <w:proofErr w:type="spellEnd"/>
      <w:r w:rsidRPr="00736BD1">
        <w:rPr>
          <w:rFonts w:ascii="微软雅黑" w:eastAsia="微软雅黑" w:hAnsi="微软雅黑" w:cs="宋体"/>
          <w:kern w:val="0"/>
          <w:sz w:val="24"/>
          <w:szCs w:val="24"/>
        </w:rPr>
        <w:t>）或二者联合处理28天后，细胞形成克隆的情况（</w:t>
      </w:r>
      <w:r w:rsidRPr="00736BD1">
        <w:rPr>
          <w:rFonts w:ascii="微软雅黑" w:eastAsia="微软雅黑" w:hAnsi="微软雅黑" w:cs="宋体"/>
          <w:i/>
          <w:iCs/>
          <w:kern w:val="0"/>
          <w:sz w:val="24"/>
          <w:szCs w:val="24"/>
        </w:rPr>
        <w:t>n</w:t>
      </w:r>
      <w:r w:rsidRPr="00736BD1">
        <w:rPr>
          <w:rFonts w:ascii="微软雅黑" w:eastAsia="微软雅黑" w:hAnsi="微软雅黑" w:cs="宋体"/>
          <w:kern w:val="0"/>
          <w:sz w:val="24"/>
          <w:szCs w:val="24"/>
        </w:rPr>
        <w:t> = 3个生物学重复）。( </w:t>
      </w:r>
      <w:r w:rsidRPr="00736BD1">
        <w:rPr>
          <w:rFonts w:ascii="微软雅黑" w:eastAsia="微软雅黑" w:hAnsi="微软雅黑" w:cs="宋体"/>
          <w:b/>
          <w:bCs/>
          <w:kern w:val="0"/>
          <w:sz w:val="24"/>
          <w:szCs w:val="24"/>
        </w:rPr>
        <w:t>I ) 各处</w:t>
      </w:r>
      <w:proofErr w:type="gramStart"/>
      <w:r w:rsidRPr="00736BD1">
        <w:rPr>
          <w:rFonts w:ascii="微软雅黑" w:eastAsia="微软雅黑" w:hAnsi="微软雅黑" w:cs="宋体"/>
          <w:b/>
          <w:bCs/>
          <w:kern w:val="0"/>
          <w:sz w:val="24"/>
          <w:szCs w:val="24"/>
        </w:rPr>
        <w:t>理组克隆</w:t>
      </w:r>
      <w:proofErr w:type="gramEnd"/>
      <w:r w:rsidRPr="00736BD1">
        <w:rPr>
          <w:rFonts w:ascii="微软雅黑" w:eastAsia="微软雅黑" w:hAnsi="微软雅黑" w:cs="宋体"/>
          <w:b/>
          <w:bCs/>
          <w:kern w:val="0"/>
          <w:sz w:val="24"/>
          <w:szCs w:val="24"/>
        </w:rPr>
        <w:t>面积（%）的定量分析。数据以均值±</w:t>
      </w:r>
      <w:r w:rsidRPr="00736BD1">
        <w:rPr>
          <w:rFonts w:ascii="微软雅黑" w:eastAsia="微软雅黑" w:hAnsi="微软雅黑" w:cs="宋体"/>
          <w:i/>
          <w:iCs/>
          <w:kern w:val="0"/>
          <w:sz w:val="24"/>
          <w:szCs w:val="24"/>
        </w:rPr>
        <w:t>标准差（ n</w:t>
      </w:r>
      <w:r w:rsidRPr="00736BD1">
        <w:rPr>
          <w:rFonts w:ascii="微软雅黑" w:eastAsia="微软雅黑" w:hAnsi="微软雅黑" w:cs="宋体"/>
          <w:kern w:val="0"/>
          <w:sz w:val="24"/>
          <w:szCs w:val="24"/>
        </w:rPr>
        <w:t> = 3个生物学重复）表示。P值采用单因素方差分析和Tukey事后检验计算（* </w:t>
      </w:r>
      <w:r w:rsidRPr="00736BD1">
        <w:rPr>
          <w:rFonts w:ascii="微软雅黑" w:eastAsia="微软雅黑" w:hAnsi="微软雅黑" w:cs="宋体"/>
          <w:i/>
          <w:iCs/>
          <w:kern w:val="0"/>
          <w:sz w:val="24"/>
          <w:szCs w:val="24"/>
        </w:rPr>
        <w:t>P</w:t>
      </w:r>
      <w:r w:rsidRPr="00736BD1">
        <w:rPr>
          <w:rFonts w:ascii="微软雅黑" w:eastAsia="微软雅黑" w:hAnsi="微软雅黑" w:cs="宋体"/>
          <w:kern w:val="0"/>
          <w:sz w:val="24"/>
          <w:szCs w:val="24"/>
        </w:rPr>
        <w:t> ≤ 0.05；** </w:t>
      </w:r>
      <w:r w:rsidRPr="00736BD1">
        <w:rPr>
          <w:rFonts w:ascii="微软雅黑" w:eastAsia="微软雅黑" w:hAnsi="微软雅黑" w:cs="宋体"/>
          <w:i/>
          <w:iCs/>
          <w:kern w:val="0"/>
          <w:sz w:val="24"/>
          <w:szCs w:val="24"/>
        </w:rPr>
        <w:t>P</w:t>
      </w:r>
      <w:r w:rsidRPr="00736BD1">
        <w:rPr>
          <w:rFonts w:ascii="微软雅黑" w:eastAsia="微软雅黑" w:hAnsi="微软雅黑" w:cs="宋体"/>
          <w:kern w:val="0"/>
          <w:sz w:val="24"/>
          <w:szCs w:val="24"/>
        </w:rPr>
        <w:t> ≤ 0.001；*** </w:t>
      </w:r>
      <w:r w:rsidRPr="00736BD1">
        <w:rPr>
          <w:rFonts w:ascii="微软雅黑" w:eastAsia="微软雅黑" w:hAnsi="微软雅黑" w:cs="宋体"/>
          <w:i/>
          <w:iCs/>
          <w:kern w:val="0"/>
          <w:sz w:val="24"/>
          <w:szCs w:val="24"/>
        </w:rPr>
        <w:t>P</w:t>
      </w:r>
      <w:r w:rsidRPr="00736BD1">
        <w:rPr>
          <w:rFonts w:ascii="微软雅黑" w:eastAsia="微软雅黑" w:hAnsi="微软雅黑" w:cs="宋体"/>
          <w:kern w:val="0"/>
          <w:sz w:val="24"/>
          <w:szCs w:val="24"/>
        </w:rPr>
        <w:t> ≤ 0.0001）。</w:t>
      </w:r>
    </w:p>
    <w:p w14:paraId="1293D48F" w14:textId="77777777" w:rsidR="00736BD1" w:rsidRPr="00736BD1" w:rsidRDefault="00736BD1" w:rsidP="00736BD1">
      <w:pPr>
        <w:widowControl/>
        <w:spacing w:before="450"/>
        <w:rPr>
          <w:rFonts w:ascii="微软雅黑" w:eastAsia="微软雅黑" w:hAnsi="微软雅黑" w:cs="宋体"/>
          <w:kern w:val="0"/>
          <w:sz w:val="24"/>
          <w:szCs w:val="24"/>
        </w:rPr>
      </w:pPr>
      <w:r w:rsidRPr="00736BD1">
        <w:rPr>
          <w:rFonts w:ascii="微软雅黑" w:eastAsia="微软雅黑" w:hAnsi="微软雅黑" w:cs="宋体"/>
          <w:kern w:val="0"/>
          <w:sz w:val="24"/>
          <w:szCs w:val="24"/>
        </w:rPr>
        <w:t>为了验证这一假设，我们进行了 CDK4/6 抑制剂和 CDK7 抑制剂的剂量滴定实验，并观察到协同作用（</w:t>
      </w:r>
      <w:r w:rsidRPr="00736BD1">
        <w:rPr>
          <w:rFonts w:ascii="微软雅黑" w:eastAsia="微软雅黑" w:hAnsi="微软雅黑" w:cs="宋体"/>
          <w:kern w:val="0"/>
          <w:sz w:val="24"/>
          <w:szCs w:val="24"/>
        </w:rPr>
        <w:fldChar w:fldCharType="begin"/>
      </w:r>
      <w:r w:rsidRPr="00736BD1">
        <w:rPr>
          <w:rFonts w:ascii="微软雅黑" w:eastAsia="微软雅黑" w:hAnsi="微软雅黑" w:cs="宋体"/>
          <w:kern w:val="0"/>
          <w:sz w:val="24"/>
          <w:szCs w:val="24"/>
        </w:rPr>
        <w:instrText xml:space="preserve"> HYPERLINK "https://pmc.ncbi.nlm.nih.gov/articles/PMC12520673/" \l "F2" </w:instrText>
      </w:r>
      <w:r w:rsidRPr="00736BD1">
        <w:rPr>
          <w:rFonts w:ascii="微软雅黑" w:eastAsia="微软雅黑" w:hAnsi="微软雅黑" w:cs="宋体"/>
          <w:kern w:val="0"/>
          <w:sz w:val="24"/>
          <w:szCs w:val="24"/>
        </w:rPr>
        <w:fldChar w:fldCharType="separate"/>
      </w:r>
      <w:r w:rsidRPr="00736BD1">
        <w:rPr>
          <w:rFonts w:ascii="微软雅黑" w:eastAsia="微软雅黑" w:hAnsi="微软雅黑" w:cs="宋体"/>
          <w:kern w:val="0"/>
          <w:sz w:val="24"/>
          <w:szCs w:val="24"/>
          <w:u w:val="single"/>
        </w:rPr>
        <w:t>图 2C</w:t>
      </w:r>
      <w:r w:rsidRPr="00736BD1">
        <w:rPr>
          <w:rFonts w:ascii="微软雅黑" w:eastAsia="微软雅黑" w:hAnsi="微软雅黑" w:cs="宋体"/>
          <w:kern w:val="0"/>
          <w:sz w:val="24"/>
          <w:szCs w:val="24"/>
        </w:rPr>
        <w:fldChar w:fldCharType="end"/>
      </w:r>
      <w:r w:rsidRPr="00736BD1">
        <w:rPr>
          <w:rFonts w:ascii="微软雅黑" w:eastAsia="微软雅黑" w:hAnsi="微软雅黑" w:cs="宋体"/>
          <w:kern w:val="0"/>
          <w:sz w:val="24"/>
          <w:szCs w:val="24"/>
        </w:rPr>
        <w:t>）。接下来，我们使用表达 CDK4/6 和 CDK2 活性活细胞传感器的 MDA-MB-231 和 MCF-7 细胞系，以及用于监测细胞周期转换的 Cdt1 降解</w:t>
      </w:r>
      <w:proofErr w:type="gramStart"/>
      <w:r w:rsidRPr="00736BD1">
        <w:rPr>
          <w:rFonts w:ascii="微软雅黑" w:eastAsia="微软雅黑" w:hAnsi="微软雅黑" w:cs="宋体"/>
          <w:kern w:val="0"/>
          <w:sz w:val="24"/>
          <w:szCs w:val="24"/>
        </w:rPr>
        <w:t>子报告</w:t>
      </w:r>
      <w:proofErr w:type="gramEnd"/>
      <w:r w:rsidRPr="00736BD1">
        <w:rPr>
          <w:rFonts w:ascii="微软雅黑" w:eastAsia="微软雅黑" w:hAnsi="微软雅黑" w:cs="宋体"/>
          <w:kern w:val="0"/>
          <w:sz w:val="24"/>
          <w:szCs w:val="24"/>
        </w:rPr>
        <w:t>基因（</w:t>
      </w:r>
      <w:r w:rsidRPr="00736BD1">
        <w:rPr>
          <w:rFonts w:ascii="微软雅黑" w:eastAsia="微软雅黑" w:hAnsi="微软雅黑" w:cs="宋体"/>
          <w:kern w:val="0"/>
          <w:sz w:val="24"/>
          <w:szCs w:val="24"/>
        </w:rPr>
        <w:fldChar w:fldCharType="begin"/>
      </w:r>
      <w:r w:rsidRPr="00736BD1">
        <w:rPr>
          <w:rFonts w:ascii="微软雅黑" w:eastAsia="微软雅黑" w:hAnsi="微软雅黑" w:cs="宋体"/>
          <w:kern w:val="0"/>
          <w:sz w:val="24"/>
          <w:szCs w:val="24"/>
        </w:rPr>
        <w:instrText xml:space="preserve"> HYPERLINK "https://pmc.ncbi.nlm.nih.gov/articles/PMC12520673/" \l "B42" </w:instrText>
      </w:r>
      <w:r w:rsidRPr="00736BD1">
        <w:rPr>
          <w:rFonts w:ascii="微软雅黑" w:eastAsia="微软雅黑" w:hAnsi="微软雅黑" w:cs="宋体"/>
          <w:kern w:val="0"/>
          <w:sz w:val="24"/>
          <w:szCs w:val="24"/>
        </w:rPr>
        <w:fldChar w:fldCharType="separate"/>
      </w:r>
      <w:r w:rsidRPr="00736BD1">
        <w:rPr>
          <w:rFonts w:ascii="微软雅黑" w:eastAsia="微软雅黑" w:hAnsi="微软雅黑" w:cs="宋体"/>
          <w:kern w:val="0"/>
          <w:sz w:val="24"/>
          <w:szCs w:val="24"/>
          <w:u w:val="single"/>
        </w:rPr>
        <w:t>42</w:t>
      </w:r>
      <w:r w:rsidRPr="00736BD1">
        <w:rPr>
          <w:rFonts w:ascii="微软雅黑" w:eastAsia="微软雅黑" w:hAnsi="微软雅黑" w:cs="宋体"/>
          <w:kern w:val="0"/>
          <w:sz w:val="24"/>
          <w:szCs w:val="24"/>
        </w:rPr>
        <w:fldChar w:fldCharType="end"/>
      </w:r>
      <w:r w:rsidRPr="00736BD1">
        <w:rPr>
          <w:rFonts w:ascii="微软雅黑" w:eastAsia="微软雅黑" w:hAnsi="微软雅黑" w:cs="宋体"/>
          <w:kern w:val="0"/>
          <w:sz w:val="24"/>
          <w:szCs w:val="24"/>
        </w:rPr>
        <w:t> , </w:t>
      </w:r>
      <w:hyperlink r:id="rId42" w:anchor="B43" w:history="1">
        <w:r w:rsidRPr="00736BD1">
          <w:rPr>
            <w:rFonts w:ascii="微软雅黑" w:eastAsia="微软雅黑" w:hAnsi="微软雅黑" w:cs="宋体"/>
            <w:kern w:val="0"/>
            <w:sz w:val="24"/>
            <w:szCs w:val="24"/>
            <w:u w:val="single"/>
          </w:rPr>
          <w:t>43</w:t>
        </w:r>
      </w:hyperlink>
      <w:r w:rsidRPr="00736BD1">
        <w:rPr>
          <w:rFonts w:ascii="微软雅黑" w:eastAsia="微软雅黑" w:hAnsi="微软雅黑" w:cs="宋体"/>
          <w:kern w:val="0"/>
          <w:sz w:val="24"/>
          <w:szCs w:val="24"/>
        </w:rPr>
        <w:t>），研究了这种组合对持续性细胞发育的影响。Cdt1 降解子在 S 期降解，标志着 G1/S 期和 S/G2 期转换。该系统使我们能够追踪细胞周期进入的不同步骤，并评估癌细胞在药物治疗下如何发展为持续性表型（</w:t>
      </w:r>
      <w:r w:rsidRPr="00736BD1">
        <w:rPr>
          <w:rFonts w:ascii="微软雅黑" w:eastAsia="微软雅黑" w:hAnsi="微软雅黑" w:cs="宋体"/>
          <w:kern w:val="0"/>
          <w:sz w:val="24"/>
          <w:szCs w:val="24"/>
        </w:rPr>
        <w:fldChar w:fldCharType="begin"/>
      </w:r>
      <w:r w:rsidRPr="00736BD1">
        <w:rPr>
          <w:rFonts w:ascii="微软雅黑" w:eastAsia="微软雅黑" w:hAnsi="微软雅黑" w:cs="宋体"/>
          <w:kern w:val="0"/>
          <w:sz w:val="24"/>
          <w:szCs w:val="24"/>
        </w:rPr>
        <w:instrText xml:space="preserve"> HYPERLINK "https://pmc.ncbi.nlm.nih.gov/articles/PMC12520673/" \l "sd" </w:instrText>
      </w:r>
      <w:r w:rsidRPr="00736BD1">
        <w:rPr>
          <w:rFonts w:ascii="微软雅黑" w:eastAsia="微软雅黑" w:hAnsi="微软雅黑" w:cs="宋体"/>
          <w:kern w:val="0"/>
          <w:sz w:val="24"/>
          <w:szCs w:val="24"/>
        </w:rPr>
        <w:fldChar w:fldCharType="separate"/>
      </w:r>
      <w:r w:rsidRPr="00736BD1">
        <w:rPr>
          <w:rFonts w:ascii="微软雅黑" w:eastAsia="微软雅黑" w:hAnsi="微软雅黑" w:cs="宋体"/>
          <w:kern w:val="0"/>
          <w:sz w:val="24"/>
          <w:szCs w:val="24"/>
          <w:u w:val="single"/>
        </w:rPr>
        <w:t>补充图 4B</w:t>
      </w:r>
      <w:r w:rsidRPr="00736BD1">
        <w:rPr>
          <w:rFonts w:ascii="微软雅黑" w:eastAsia="微软雅黑" w:hAnsi="微软雅黑" w:cs="宋体"/>
          <w:kern w:val="0"/>
          <w:sz w:val="24"/>
          <w:szCs w:val="24"/>
        </w:rPr>
        <w:fldChar w:fldCharType="end"/>
      </w:r>
      <w:r w:rsidRPr="00736BD1">
        <w:rPr>
          <w:rFonts w:ascii="微软雅黑" w:eastAsia="微软雅黑" w:hAnsi="微软雅黑" w:cs="宋体"/>
          <w:kern w:val="0"/>
          <w:sz w:val="24"/>
          <w:szCs w:val="24"/>
        </w:rPr>
        <w:t>）。在未接受治疗的情况下，大多数细胞（MDA-MB-231，89%；MCF-7，96%）持续激活 CDK4/6 和 CDK2，启动持续增殖（</w:t>
      </w:r>
      <w:r w:rsidRPr="00736BD1">
        <w:rPr>
          <w:rFonts w:ascii="微软雅黑" w:eastAsia="微软雅黑" w:hAnsi="微软雅黑" w:cs="宋体"/>
          <w:kern w:val="0"/>
          <w:sz w:val="24"/>
          <w:szCs w:val="24"/>
        </w:rPr>
        <w:fldChar w:fldCharType="begin"/>
      </w:r>
      <w:r w:rsidRPr="00736BD1">
        <w:rPr>
          <w:rFonts w:ascii="微软雅黑" w:eastAsia="微软雅黑" w:hAnsi="微软雅黑" w:cs="宋体"/>
          <w:kern w:val="0"/>
          <w:sz w:val="24"/>
          <w:szCs w:val="24"/>
        </w:rPr>
        <w:instrText xml:space="preserve"> HYPERLINK "https://pmc.ncbi.nlm.nih.gov/articles/PMC12520673/" \l "sd" </w:instrText>
      </w:r>
      <w:r w:rsidRPr="00736BD1">
        <w:rPr>
          <w:rFonts w:ascii="微软雅黑" w:eastAsia="微软雅黑" w:hAnsi="微软雅黑" w:cs="宋体"/>
          <w:kern w:val="0"/>
          <w:sz w:val="24"/>
          <w:szCs w:val="24"/>
        </w:rPr>
        <w:fldChar w:fldCharType="separate"/>
      </w:r>
      <w:r w:rsidRPr="00736BD1">
        <w:rPr>
          <w:rFonts w:ascii="微软雅黑" w:eastAsia="微软雅黑" w:hAnsi="微软雅黑" w:cs="宋体"/>
          <w:kern w:val="0"/>
          <w:sz w:val="24"/>
          <w:szCs w:val="24"/>
          <w:u w:val="single"/>
        </w:rPr>
        <w:t>补充图 4C</w:t>
      </w:r>
      <w:r w:rsidRPr="00736BD1">
        <w:rPr>
          <w:rFonts w:ascii="微软雅黑" w:eastAsia="微软雅黑" w:hAnsi="微软雅黑" w:cs="宋体"/>
          <w:kern w:val="0"/>
          <w:sz w:val="24"/>
          <w:szCs w:val="24"/>
        </w:rPr>
        <w:fldChar w:fldCharType="end"/>
      </w:r>
      <w:r w:rsidRPr="00736BD1">
        <w:rPr>
          <w:rFonts w:ascii="微软雅黑" w:eastAsia="微软雅黑" w:hAnsi="微软雅黑" w:cs="宋体"/>
          <w:kern w:val="0"/>
          <w:sz w:val="24"/>
          <w:szCs w:val="24"/>
        </w:rPr>
        <w:t>）。 CDK4/6抑制剂在24小时内诱导所有细胞发生显著的细胞周期阻滞（</w:t>
      </w:r>
      <w:r w:rsidRPr="00736BD1">
        <w:rPr>
          <w:rFonts w:ascii="微软雅黑" w:eastAsia="微软雅黑" w:hAnsi="微软雅黑" w:cs="宋体"/>
          <w:kern w:val="0"/>
          <w:sz w:val="24"/>
          <w:szCs w:val="24"/>
        </w:rPr>
        <w:fldChar w:fldCharType="begin"/>
      </w:r>
      <w:r w:rsidRPr="00736BD1">
        <w:rPr>
          <w:rFonts w:ascii="微软雅黑" w:eastAsia="微软雅黑" w:hAnsi="微软雅黑" w:cs="宋体"/>
          <w:kern w:val="0"/>
          <w:sz w:val="24"/>
          <w:szCs w:val="24"/>
        </w:rPr>
        <w:instrText xml:space="preserve"> HYPERLINK "https://pmc.ncbi.nlm.nih.gov/articles/PMC12520673/" \l "F2" </w:instrText>
      </w:r>
      <w:r w:rsidRPr="00736BD1">
        <w:rPr>
          <w:rFonts w:ascii="微软雅黑" w:eastAsia="微软雅黑" w:hAnsi="微软雅黑" w:cs="宋体"/>
          <w:kern w:val="0"/>
          <w:sz w:val="24"/>
          <w:szCs w:val="24"/>
        </w:rPr>
        <w:fldChar w:fldCharType="separate"/>
      </w:r>
      <w:r w:rsidRPr="00736BD1">
        <w:rPr>
          <w:rFonts w:ascii="微软雅黑" w:eastAsia="微软雅黑" w:hAnsi="微软雅黑" w:cs="宋体"/>
          <w:kern w:val="0"/>
          <w:sz w:val="24"/>
          <w:szCs w:val="24"/>
          <w:u w:val="single"/>
        </w:rPr>
        <w:t>图2D</w:t>
      </w:r>
      <w:r w:rsidRPr="00736BD1">
        <w:rPr>
          <w:rFonts w:ascii="微软雅黑" w:eastAsia="微软雅黑" w:hAnsi="微软雅黑" w:cs="宋体"/>
          <w:kern w:val="0"/>
          <w:sz w:val="24"/>
          <w:szCs w:val="24"/>
        </w:rPr>
        <w:fldChar w:fldCharType="end"/>
      </w:r>
      <w:r w:rsidRPr="00736BD1">
        <w:rPr>
          <w:rFonts w:ascii="微软雅黑" w:eastAsia="微软雅黑" w:hAnsi="微软雅黑" w:cs="宋体"/>
          <w:kern w:val="0"/>
          <w:sz w:val="24"/>
          <w:szCs w:val="24"/>
        </w:rPr>
        <w:t>和</w:t>
      </w:r>
      <w:r w:rsidRPr="00736BD1">
        <w:rPr>
          <w:rFonts w:ascii="微软雅黑" w:eastAsia="微软雅黑" w:hAnsi="微软雅黑" w:cs="宋体"/>
          <w:kern w:val="0"/>
          <w:sz w:val="24"/>
          <w:szCs w:val="24"/>
        </w:rPr>
        <w:fldChar w:fldCharType="begin"/>
      </w:r>
      <w:r w:rsidRPr="00736BD1">
        <w:rPr>
          <w:rFonts w:ascii="微软雅黑" w:eastAsia="微软雅黑" w:hAnsi="微软雅黑" w:cs="宋体"/>
          <w:kern w:val="0"/>
          <w:sz w:val="24"/>
          <w:szCs w:val="24"/>
        </w:rPr>
        <w:instrText xml:space="preserve"> HYPERLINK "https://pmc.ncbi.nlm.nih.gov/articles/PMC12520673/" \l "sd" </w:instrText>
      </w:r>
      <w:r w:rsidRPr="00736BD1">
        <w:rPr>
          <w:rFonts w:ascii="微软雅黑" w:eastAsia="微软雅黑" w:hAnsi="微软雅黑" w:cs="宋体"/>
          <w:kern w:val="0"/>
          <w:sz w:val="24"/>
          <w:szCs w:val="24"/>
        </w:rPr>
        <w:fldChar w:fldCharType="separate"/>
      </w:r>
      <w:r w:rsidRPr="00736BD1">
        <w:rPr>
          <w:rFonts w:ascii="微软雅黑" w:eastAsia="微软雅黑" w:hAnsi="微软雅黑" w:cs="宋体"/>
          <w:kern w:val="0"/>
          <w:sz w:val="24"/>
          <w:szCs w:val="24"/>
          <w:u w:val="single"/>
        </w:rPr>
        <w:t>补充图4D</w:t>
      </w:r>
      <w:r w:rsidRPr="00736BD1">
        <w:rPr>
          <w:rFonts w:ascii="微软雅黑" w:eastAsia="微软雅黑" w:hAnsi="微软雅黑" w:cs="宋体"/>
          <w:kern w:val="0"/>
          <w:sz w:val="24"/>
          <w:szCs w:val="24"/>
        </w:rPr>
        <w:fldChar w:fldCharType="end"/>
      </w:r>
      <w:r w:rsidRPr="00736BD1">
        <w:rPr>
          <w:rFonts w:ascii="微软雅黑" w:eastAsia="微软雅黑" w:hAnsi="微软雅黑" w:cs="宋体"/>
          <w:kern w:val="0"/>
          <w:sz w:val="24"/>
          <w:szCs w:val="24"/>
        </w:rPr>
        <w:t>），证实具有完整Rb/E2F通路的乳腺癌细胞最初对CDK4/6抑制剂有反应。然而，部分细胞（MDA-MB-231，48%；MCF-7，</w:t>
      </w:r>
      <w:r w:rsidRPr="00736BD1">
        <w:rPr>
          <w:rFonts w:ascii="微软雅黑" w:eastAsia="微软雅黑" w:hAnsi="微软雅黑" w:cs="宋体"/>
          <w:kern w:val="0"/>
          <w:sz w:val="24"/>
          <w:szCs w:val="24"/>
        </w:rPr>
        <w:lastRenderedPageBreak/>
        <w:t>45%）获得了持续性表型，其特征是在CDK4/6活性不高的情况下CDK2被激活。虽然单独使用CDK7抑制剂不能有效抑制CDK4/6活性或细胞增殖，但其与CDK4/6抑制剂联合使用可显著减少持续性细胞的出现，优于任何一种单药治疗（</w:t>
      </w:r>
      <w:r w:rsidRPr="00736BD1">
        <w:rPr>
          <w:rFonts w:ascii="微软雅黑" w:eastAsia="微软雅黑" w:hAnsi="微软雅黑" w:cs="宋体"/>
          <w:kern w:val="0"/>
          <w:sz w:val="24"/>
          <w:szCs w:val="24"/>
        </w:rPr>
        <w:fldChar w:fldCharType="begin"/>
      </w:r>
      <w:r w:rsidRPr="00736BD1">
        <w:rPr>
          <w:rFonts w:ascii="微软雅黑" w:eastAsia="微软雅黑" w:hAnsi="微软雅黑" w:cs="宋体"/>
          <w:kern w:val="0"/>
          <w:sz w:val="24"/>
          <w:szCs w:val="24"/>
        </w:rPr>
        <w:instrText xml:space="preserve"> HYPERLINK "https://pmc.ncbi.nlm.nih.gov/articles/PMC12520673/" \l "F2" </w:instrText>
      </w:r>
      <w:r w:rsidRPr="00736BD1">
        <w:rPr>
          <w:rFonts w:ascii="微软雅黑" w:eastAsia="微软雅黑" w:hAnsi="微软雅黑" w:cs="宋体"/>
          <w:kern w:val="0"/>
          <w:sz w:val="24"/>
          <w:szCs w:val="24"/>
        </w:rPr>
        <w:fldChar w:fldCharType="separate"/>
      </w:r>
      <w:r w:rsidRPr="00736BD1">
        <w:rPr>
          <w:rFonts w:ascii="微软雅黑" w:eastAsia="微软雅黑" w:hAnsi="微软雅黑" w:cs="宋体"/>
          <w:kern w:val="0"/>
          <w:sz w:val="24"/>
          <w:szCs w:val="24"/>
          <w:u w:val="single"/>
        </w:rPr>
        <w:t>图2E和F</w:t>
      </w:r>
      <w:r w:rsidRPr="00736BD1">
        <w:rPr>
          <w:rFonts w:ascii="微软雅黑" w:eastAsia="微软雅黑" w:hAnsi="微软雅黑" w:cs="宋体"/>
          <w:kern w:val="0"/>
          <w:sz w:val="24"/>
          <w:szCs w:val="24"/>
        </w:rPr>
        <w:fldChar w:fldCharType="end"/>
      </w:r>
      <w:r w:rsidRPr="00736BD1">
        <w:rPr>
          <w:rFonts w:ascii="微软雅黑" w:eastAsia="微软雅黑" w:hAnsi="微软雅黑" w:cs="宋体"/>
          <w:kern w:val="0"/>
          <w:sz w:val="24"/>
          <w:szCs w:val="24"/>
        </w:rPr>
        <w:t>，以及</w:t>
      </w:r>
      <w:r w:rsidRPr="00736BD1">
        <w:rPr>
          <w:rFonts w:ascii="微软雅黑" w:eastAsia="微软雅黑" w:hAnsi="微软雅黑" w:cs="宋体"/>
          <w:kern w:val="0"/>
          <w:sz w:val="24"/>
          <w:szCs w:val="24"/>
        </w:rPr>
        <w:fldChar w:fldCharType="begin"/>
      </w:r>
      <w:r w:rsidRPr="00736BD1">
        <w:rPr>
          <w:rFonts w:ascii="微软雅黑" w:eastAsia="微软雅黑" w:hAnsi="微软雅黑" w:cs="宋体"/>
          <w:kern w:val="0"/>
          <w:sz w:val="24"/>
          <w:szCs w:val="24"/>
        </w:rPr>
        <w:instrText xml:space="preserve"> HYPERLINK "https://pmc.ncbi.nlm.nih.gov/articles/PMC12520673/" \l "sd" </w:instrText>
      </w:r>
      <w:r w:rsidRPr="00736BD1">
        <w:rPr>
          <w:rFonts w:ascii="微软雅黑" w:eastAsia="微软雅黑" w:hAnsi="微软雅黑" w:cs="宋体"/>
          <w:kern w:val="0"/>
          <w:sz w:val="24"/>
          <w:szCs w:val="24"/>
        </w:rPr>
        <w:fldChar w:fldCharType="separate"/>
      </w:r>
      <w:r w:rsidRPr="00736BD1">
        <w:rPr>
          <w:rFonts w:ascii="微软雅黑" w:eastAsia="微软雅黑" w:hAnsi="微软雅黑" w:cs="宋体"/>
          <w:kern w:val="0"/>
          <w:sz w:val="24"/>
          <w:szCs w:val="24"/>
          <w:u w:val="single"/>
        </w:rPr>
        <w:t>补充图4E</w:t>
      </w:r>
      <w:r w:rsidRPr="00736BD1">
        <w:rPr>
          <w:rFonts w:ascii="微软雅黑" w:eastAsia="微软雅黑" w:hAnsi="微软雅黑" w:cs="宋体"/>
          <w:kern w:val="0"/>
          <w:sz w:val="24"/>
          <w:szCs w:val="24"/>
        </w:rPr>
        <w:fldChar w:fldCharType="end"/>
      </w:r>
      <w:r w:rsidRPr="00736BD1">
        <w:rPr>
          <w:rFonts w:ascii="微软雅黑" w:eastAsia="微软雅黑" w:hAnsi="微软雅黑" w:cs="宋体"/>
          <w:kern w:val="0"/>
          <w:sz w:val="24"/>
          <w:szCs w:val="24"/>
        </w:rPr>
        <w:t>和F）。这种联合治疗效果在14天的治疗期内持续存在（</w:t>
      </w:r>
      <w:hyperlink r:id="rId43" w:anchor="sd" w:history="1">
        <w:r w:rsidRPr="00736BD1">
          <w:rPr>
            <w:rFonts w:ascii="微软雅黑" w:eastAsia="微软雅黑" w:hAnsi="微软雅黑" w:cs="宋体"/>
            <w:kern w:val="0"/>
            <w:sz w:val="24"/>
            <w:szCs w:val="24"/>
            <w:u w:val="single"/>
          </w:rPr>
          <w:t>补充图5</w:t>
        </w:r>
      </w:hyperlink>
      <w:r w:rsidRPr="00736BD1">
        <w:rPr>
          <w:rFonts w:ascii="微软雅黑" w:eastAsia="微软雅黑" w:hAnsi="微软雅黑" w:cs="宋体"/>
          <w:kern w:val="0"/>
          <w:sz w:val="24"/>
          <w:szCs w:val="24"/>
        </w:rPr>
        <w:t>）。重要的是，无论是否联合使用 CDK7i，CDK4/6i 均能降低 Rb 水平（</w:t>
      </w:r>
      <w:r w:rsidRPr="00736BD1">
        <w:rPr>
          <w:rFonts w:ascii="微软雅黑" w:eastAsia="微软雅黑" w:hAnsi="微软雅黑" w:cs="宋体"/>
          <w:kern w:val="0"/>
          <w:sz w:val="24"/>
          <w:szCs w:val="24"/>
        </w:rPr>
        <w:fldChar w:fldCharType="begin"/>
      </w:r>
      <w:r w:rsidRPr="00736BD1">
        <w:rPr>
          <w:rFonts w:ascii="微软雅黑" w:eastAsia="微软雅黑" w:hAnsi="微软雅黑" w:cs="宋体"/>
          <w:kern w:val="0"/>
          <w:sz w:val="24"/>
          <w:szCs w:val="24"/>
        </w:rPr>
        <w:instrText xml:space="preserve"> HYPERLINK "https://pmc.ncbi.nlm.nih.gov/articles/PMC12520673/" \l "F2" </w:instrText>
      </w:r>
      <w:r w:rsidRPr="00736BD1">
        <w:rPr>
          <w:rFonts w:ascii="微软雅黑" w:eastAsia="微软雅黑" w:hAnsi="微软雅黑" w:cs="宋体"/>
          <w:kern w:val="0"/>
          <w:sz w:val="24"/>
          <w:szCs w:val="24"/>
        </w:rPr>
        <w:fldChar w:fldCharType="separate"/>
      </w:r>
      <w:r w:rsidRPr="00736BD1">
        <w:rPr>
          <w:rFonts w:ascii="微软雅黑" w:eastAsia="微软雅黑" w:hAnsi="微软雅黑" w:cs="宋体"/>
          <w:kern w:val="0"/>
          <w:sz w:val="24"/>
          <w:szCs w:val="24"/>
          <w:u w:val="single"/>
        </w:rPr>
        <w:t>图 2G</w:t>
      </w:r>
      <w:r w:rsidRPr="00736BD1">
        <w:rPr>
          <w:rFonts w:ascii="微软雅黑" w:eastAsia="微软雅黑" w:hAnsi="微软雅黑" w:cs="宋体"/>
          <w:kern w:val="0"/>
          <w:sz w:val="24"/>
          <w:szCs w:val="24"/>
        </w:rPr>
        <w:fldChar w:fldCharType="end"/>
      </w:r>
      <w:r w:rsidRPr="00736BD1">
        <w:rPr>
          <w:rFonts w:ascii="微软雅黑" w:eastAsia="微软雅黑" w:hAnsi="微软雅黑" w:cs="宋体"/>
          <w:kern w:val="0"/>
          <w:sz w:val="24"/>
          <w:szCs w:val="24"/>
        </w:rPr>
        <w:t>），这表明 CDK7i 作用于下游，阻断 Rb 降解后耐药所需的转录扩增。此外，长期克隆形成实验表明，与单药治疗相比， CDK4/6i 和 CDK7i 联合治疗显著抑制了 TNBC 和 HR </w:t>
      </w:r>
      <w:r w:rsidRPr="00736BD1">
        <w:rPr>
          <w:rFonts w:ascii="微软雅黑" w:eastAsia="微软雅黑" w:hAnsi="微软雅黑" w:cs="宋体"/>
          <w:kern w:val="0"/>
          <w:sz w:val="24"/>
          <w:szCs w:val="24"/>
          <w:vertAlign w:val="superscript"/>
        </w:rPr>
        <w:t>+</w:t>
      </w:r>
      <w:r w:rsidRPr="00736BD1">
        <w:rPr>
          <w:rFonts w:ascii="微软雅黑" w:eastAsia="微软雅黑" w:hAnsi="微软雅黑" w:cs="宋体"/>
          <w:kern w:val="0"/>
          <w:sz w:val="24"/>
          <w:szCs w:val="24"/>
        </w:rPr>
        <w:t> /HER2-</w:t>
      </w:r>
      <w:r w:rsidRPr="00736BD1">
        <w:rPr>
          <w:rFonts w:ascii="微软雅黑" w:eastAsia="微软雅黑" w:hAnsi="微软雅黑" w:cs="宋体"/>
          <w:kern w:val="0"/>
          <w:sz w:val="24"/>
          <w:szCs w:val="24"/>
          <w:vertAlign w:val="superscript"/>
        </w:rPr>
        <w:t>模型中的克隆形成（</w:t>
      </w:r>
      <w:r w:rsidRPr="00736BD1">
        <w:rPr>
          <w:rFonts w:ascii="微软雅黑" w:eastAsia="微软雅黑" w:hAnsi="微软雅黑" w:cs="宋体"/>
          <w:kern w:val="0"/>
          <w:sz w:val="24"/>
          <w:szCs w:val="24"/>
        </w:rPr>
        <w:fldChar w:fldCharType="begin"/>
      </w:r>
      <w:r w:rsidRPr="00736BD1">
        <w:rPr>
          <w:rFonts w:ascii="微软雅黑" w:eastAsia="微软雅黑" w:hAnsi="微软雅黑" w:cs="宋体"/>
          <w:kern w:val="0"/>
          <w:sz w:val="24"/>
          <w:szCs w:val="24"/>
        </w:rPr>
        <w:instrText xml:space="preserve"> HYPERLINK "https://pmc.ncbi.nlm.nih.gov/articles/PMC12520673/" \l "F2" </w:instrText>
      </w:r>
      <w:r w:rsidRPr="00736BD1">
        <w:rPr>
          <w:rFonts w:ascii="微软雅黑" w:eastAsia="微软雅黑" w:hAnsi="微软雅黑" w:cs="宋体"/>
          <w:kern w:val="0"/>
          <w:sz w:val="24"/>
          <w:szCs w:val="24"/>
        </w:rPr>
        <w:fldChar w:fldCharType="separate"/>
      </w:r>
      <w:r w:rsidRPr="00736BD1">
        <w:rPr>
          <w:rFonts w:ascii="微软雅黑" w:eastAsia="微软雅黑" w:hAnsi="微软雅黑" w:cs="宋体"/>
          <w:kern w:val="0"/>
          <w:sz w:val="24"/>
          <w:szCs w:val="24"/>
          <w:u w:val="single"/>
        </w:rPr>
        <w:t>图 2H 和 2I</w:t>
      </w:r>
      <w:r w:rsidRPr="00736BD1">
        <w:rPr>
          <w:rFonts w:ascii="微软雅黑" w:eastAsia="微软雅黑" w:hAnsi="微软雅黑" w:cs="宋体"/>
          <w:kern w:val="0"/>
          <w:sz w:val="24"/>
          <w:szCs w:val="24"/>
        </w:rPr>
        <w:fldChar w:fldCharType="end"/>
      </w:r>
      <w:r w:rsidRPr="00736BD1">
        <w:rPr>
          <w:rFonts w:ascii="微软雅黑" w:eastAsia="微软雅黑" w:hAnsi="微软雅黑" w:cs="宋体"/>
          <w:kern w:val="0"/>
          <w:sz w:val="24"/>
          <w:szCs w:val="24"/>
        </w:rPr>
        <w:t>）。综上所述，这些结果表明，CDK4/6 和 CDK7 的双重抑制可有效预防乳腺癌中持续性细胞和耐药细胞的出现。</w:t>
      </w:r>
    </w:p>
    <w:p w14:paraId="4C4E2B6B" w14:textId="77777777" w:rsidR="00736BD1" w:rsidRPr="00736BD1" w:rsidRDefault="00736BD1" w:rsidP="00736BD1">
      <w:pPr>
        <w:widowControl/>
        <w:spacing w:line="450" w:lineRule="atLeast"/>
        <w:outlineLvl w:val="2"/>
        <w:rPr>
          <w:rFonts w:ascii="微软雅黑" w:eastAsia="微软雅黑" w:hAnsi="微软雅黑" w:cs="宋体"/>
          <w:kern w:val="0"/>
          <w:sz w:val="32"/>
          <w:szCs w:val="32"/>
        </w:rPr>
      </w:pPr>
      <w:r w:rsidRPr="00736BD1">
        <w:rPr>
          <w:rFonts w:ascii="微软雅黑" w:eastAsia="微软雅黑" w:hAnsi="微软雅黑" w:cs="宋体"/>
          <w:kern w:val="0"/>
          <w:sz w:val="32"/>
          <w:szCs w:val="32"/>
        </w:rPr>
        <w:t xml:space="preserve">CDK4/6i 和 CDK7i 治疗可协同抑制 E2F 和 </w:t>
      </w:r>
      <w:proofErr w:type="spellStart"/>
      <w:r w:rsidRPr="00736BD1">
        <w:rPr>
          <w:rFonts w:ascii="微软雅黑" w:eastAsia="微软雅黑" w:hAnsi="微软雅黑" w:cs="宋体"/>
          <w:kern w:val="0"/>
          <w:sz w:val="32"/>
          <w:szCs w:val="32"/>
        </w:rPr>
        <w:t>Myc</w:t>
      </w:r>
      <w:proofErr w:type="spellEnd"/>
      <w:r w:rsidRPr="00736BD1">
        <w:rPr>
          <w:rFonts w:ascii="微软雅黑" w:eastAsia="微软雅黑" w:hAnsi="微软雅黑" w:cs="宋体"/>
          <w:kern w:val="0"/>
          <w:sz w:val="32"/>
          <w:szCs w:val="32"/>
        </w:rPr>
        <w:t xml:space="preserve"> 通路，并上调免疫反应。</w:t>
      </w:r>
    </w:p>
    <w:p w14:paraId="6DE48DEC" w14:textId="77777777" w:rsidR="00736BD1" w:rsidRPr="00736BD1" w:rsidRDefault="00736BD1" w:rsidP="00736BD1">
      <w:pPr>
        <w:widowControl/>
        <w:spacing w:before="450"/>
        <w:rPr>
          <w:rFonts w:ascii="微软雅黑" w:eastAsia="微软雅黑" w:hAnsi="微软雅黑" w:cs="宋体"/>
          <w:kern w:val="0"/>
          <w:sz w:val="24"/>
          <w:szCs w:val="24"/>
        </w:rPr>
      </w:pPr>
      <w:r w:rsidRPr="00736BD1">
        <w:rPr>
          <w:rFonts w:ascii="微软雅黑" w:eastAsia="微软雅黑" w:hAnsi="微软雅黑" w:cs="宋体"/>
          <w:kern w:val="0"/>
          <w:sz w:val="24"/>
          <w:szCs w:val="24"/>
        </w:rPr>
        <w:t>为了研究 CDK4/6i 和 CDK7i 联合疗法在乳腺癌中的分子效应，我们对药物暴露后出现的持续性细胞进行了 RNA-Seq 分析。在治疗 42 小时后，我们利用基于 geminin 降解子积累的 F</w:t>
      </w:r>
      <w:r w:rsidRPr="00736BD1">
        <w:rPr>
          <w:rFonts w:ascii="MS Gothic" w:eastAsia="MS Gothic" w:hAnsi="MS Gothic" w:cs="MS Gothic" w:hint="eastAsia"/>
          <w:kern w:val="0"/>
          <w:sz w:val="24"/>
          <w:szCs w:val="24"/>
        </w:rPr>
        <w:t>​​</w:t>
      </w:r>
      <w:r w:rsidRPr="00736BD1">
        <w:rPr>
          <w:rFonts w:ascii="微软雅黑" w:eastAsia="微软雅黑" w:hAnsi="微软雅黑" w:cs="宋体"/>
          <w:kern w:val="0"/>
          <w:sz w:val="24"/>
          <w:szCs w:val="24"/>
        </w:rPr>
        <w:t>ACS 方法分离出持续性细胞，并以未经处理的增殖细胞作为对照（</w:t>
      </w:r>
      <w:r w:rsidRPr="00736BD1">
        <w:rPr>
          <w:rFonts w:ascii="微软雅黑" w:eastAsia="微软雅黑" w:hAnsi="微软雅黑" w:cs="宋体"/>
          <w:kern w:val="0"/>
          <w:sz w:val="24"/>
          <w:szCs w:val="24"/>
        </w:rPr>
        <w:fldChar w:fldCharType="begin"/>
      </w:r>
      <w:r w:rsidRPr="00736BD1">
        <w:rPr>
          <w:rFonts w:ascii="微软雅黑" w:eastAsia="微软雅黑" w:hAnsi="微软雅黑" w:cs="宋体"/>
          <w:kern w:val="0"/>
          <w:sz w:val="24"/>
          <w:szCs w:val="24"/>
        </w:rPr>
        <w:instrText xml:space="preserve"> HYPERLINK "https://pmc.ncbi.nlm.nih.gov/articles/PMC12520673/" \l "F3" </w:instrText>
      </w:r>
      <w:r w:rsidRPr="00736BD1">
        <w:rPr>
          <w:rFonts w:ascii="微软雅黑" w:eastAsia="微软雅黑" w:hAnsi="微软雅黑" w:cs="宋体"/>
          <w:kern w:val="0"/>
          <w:sz w:val="24"/>
          <w:szCs w:val="24"/>
        </w:rPr>
        <w:fldChar w:fldCharType="separate"/>
      </w:r>
      <w:r w:rsidRPr="00736BD1">
        <w:rPr>
          <w:rFonts w:ascii="微软雅黑" w:eastAsia="微软雅黑" w:hAnsi="微软雅黑" w:cs="宋体"/>
          <w:kern w:val="0"/>
          <w:sz w:val="24"/>
          <w:szCs w:val="24"/>
          <w:u w:val="single"/>
        </w:rPr>
        <w:t>图 3A</w:t>
      </w:r>
      <w:r w:rsidRPr="00736BD1">
        <w:rPr>
          <w:rFonts w:ascii="微软雅黑" w:eastAsia="微软雅黑" w:hAnsi="微软雅黑" w:cs="宋体"/>
          <w:kern w:val="0"/>
          <w:sz w:val="24"/>
          <w:szCs w:val="24"/>
        </w:rPr>
        <w:fldChar w:fldCharType="end"/>
      </w:r>
      <w:r w:rsidRPr="00736BD1">
        <w:rPr>
          <w:rFonts w:ascii="微软雅黑" w:eastAsia="微软雅黑" w:hAnsi="微软雅黑" w:cs="宋体"/>
          <w:kern w:val="0"/>
          <w:sz w:val="24"/>
          <w:szCs w:val="24"/>
        </w:rPr>
        <w:t>）。我们使用分子特征数据库 (</w:t>
      </w:r>
      <w:proofErr w:type="spellStart"/>
      <w:r w:rsidRPr="00736BD1">
        <w:rPr>
          <w:rFonts w:ascii="微软雅黑" w:eastAsia="微软雅黑" w:hAnsi="微软雅黑" w:cs="宋体"/>
          <w:kern w:val="0"/>
          <w:sz w:val="24"/>
          <w:szCs w:val="24"/>
        </w:rPr>
        <w:t>MSigDB</w:t>
      </w:r>
      <w:proofErr w:type="spellEnd"/>
      <w:r w:rsidRPr="00736BD1">
        <w:rPr>
          <w:rFonts w:ascii="微软雅黑" w:eastAsia="微软雅黑" w:hAnsi="微软雅黑" w:cs="宋体"/>
          <w:kern w:val="0"/>
          <w:sz w:val="24"/>
          <w:szCs w:val="24"/>
        </w:rPr>
        <w:t>) 中的标志性基因</w:t>
      </w:r>
      <w:proofErr w:type="gramStart"/>
      <w:r w:rsidRPr="00736BD1">
        <w:rPr>
          <w:rFonts w:ascii="微软雅黑" w:eastAsia="微软雅黑" w:hAnsi="微软雅黑" w:cs="宋体"/>
          <w:kern w:val="0"/>
          <w:sz w:val="24"/>
          <w:szCs w:val="24"/>
        </w:rPr>
        <w:t>集分析</w:t>
      </w:r>
      <w:proofErr w:type="gramEnd"/>
      <w:r w:rsidRPr="00736BD1">
        <w:rPr>
          <w:rFonts w:ascii="微软雅黑" w:eastAsia="微软雅黑" w:hAnsi="微软雅黑" w:cs="宋体"/>
          <w:kern w:val="0"/>
          <w:sz w:val="24"/>
          <w:szCs w:val="24"/>
        </w:rPr>
        <w:t xml:space="preserve">了基因表达谱，重点关注 E2F 和 </w:t>
      </w:r>
      <w:proofErr w:type="spellStart"/>
      <w:r w:rsidRPr="00736BD1">
        <w:rPr>
          <w:rFonts w:ascii="微软雅黑" w:eastAsia="微软雅黑" w:hAnsi="微软雅黑" w:cs="宋体"/>
          <w:kern w:val="0"/>
          <w:sz w:val="24"/>
          <w:szCs w:val="24"/>
        </w:rPr>
        <w:t>Myc</w:t>
      </w:r>
      <w:proofErr w:type="spellEnd"/>
      <w:r w:rsidRPr="00736BD1">
        <w:rPr>
          <w:rFonts w:ascii="微软雅黑" w:eastAsia="微软雅黑" w:hAnsi="微软雅黑" w:cs="宋体"/>
          <w:kern w:val="0"/>
          <w:sz w:val="24"/>
          <w:szCs w:val="24"/>
        </w:rPr>
        <w:t xml:space="preserve"> 靶向通路。正如预期的那样，对照细胞表现出最高的 E2F 和 </w:t>
      </w:r>
      <w:proofErr w:type="spellStart"/>
      <w:r w:rsidRPr="00736BD1">
        <w:rPr>
          <w:rFonts w:ascii="微软雅黑" w:eastAsia="微软雅黑" w:hAnsi="微软雅黑" w:cs="宋体"/>
          <w:kern w:val="0"/>
          <w:sz w:val="24"/>
          <w:szCs w:val="24"/>
        </w:rPr>
        <w:t>Myc</w:t>
      </w:r>
      <w:proofErr w:type="spellEnd"/>
      <w:r w:rsidRPr="00736BD1">
        <w:rPr>
          <w:rFonts w:ascii="微软雅黑" w:eastAsia="微软雅黑" w:hAnsi="微软雅黑" w:cs="宋体"/>
          <w:kern w:val="0"/>
          <w:sz w:val="24"/>
          <w:szCs w:val="24"/>
        </w:rPr>
        <w:t xml:space="preserve"> 靶基因表达水平，而接受联合治疗的持续性细胞则表现出这些通路最显著的抑制（</w:t>
      </w:r>
      <w:r w:rsidRPr="00736BD1">
        <w:rPr>
          <w:rFonts w:ascii="微软雅黑" w:eastAsia="微软雅黑" w:hAnsi="微软雅黑" w:cs="宋体"/>
          <w:kern w:val="0"/>
          <w:sz w:val="24"/>
          <w:szCs w:val="24"/>
        </w:rPr>
        <w:fldChar w:fldCharType="begin"/>
      </w:r>
      <w:r w:rsidRPr="00736BD1">
        <w:rPr>
          <w:rFonts w:ascii="微软雅黑" w:eastAsia="微软雅黑" w:hAnsi="微软雅黑" w:cs="宋体"/>
          <w:kern w:val="0"/>
          <w:sz w:val="24"/>
          <w:szCs w:val="24"/>
        </w:rPr>
        <w:instrText xml:space="preserve"> HYPERLINK "https://pmc.ncbi.nlm.nih.gov/articles/PMC12520673/" \l "F3" </w:instrText>
      </w:r>
      <w:r w:rsidRPr="00736BD1">
        <w:rPr>
          <w:rFonts w:ascii="微软雅黑" w:eastAsia="微软雅黑" w:hAnsi="微软雅黑" w:cs="宋体"/>
          <w:kern w:val="0"/>
          <w:sz w:val="24"/>
          <w:szCs w:val="24"/>
        </w:rPr>
        <w:fldChar w:fldCharType="separate"/>
      </w:r>
      <w:r w:rsidRPr="00736BD1">
        <w:rPr>
          <w:rFonts w:ascii="微软雅黑" w:eastAsia="微软雅黑" w:hAnsi="微软雅黑" w:cs="宋体"/>
          <w:kern w:val="0"/>
          <w:sz w:val="24"/>
          <w:szCs w:val="24"/>
          <w:u w:val="single"/>
        </w:rPr>
        <w:t>图 3B 和 3C</w:t>
      </w:r>
      <w:r w:rsidRPr="00736BD1">
        <w:rPr>
          <w:rFonts w:ascii="微软雅黑" w:eastAsia="微软雅黑" w:hAnsi="微软雅黑" w:cs="宋体"/>
          <w:kern w:val="0"/>
          <w:sz w:val="24"/>
          <w:szCs w:val="24"/>
        </w:rPr>
        <w:fldChar w:fldCharType="end"/>
      </w:r>
      <w:r w:rsidRPr="00736BD1">
        <w:rPr>
          <w:rFonts w:ascii="微软雅黑" w:eastAsia="微软雅黑" w:hAnsi="微软雅黑" w:cs="宋体"/>
          <w:kern w:val="0"/>
          <w:sz w:val="24"/>
          <w:szCs w:val="24"/>
        </w:rPr>
        <w:t>）。GSEA 分析证实，尽管细胞增殖活跃，但联合治疗显著下调了细胞周期相关通路，包括 E2F 靶基因、G2/M 检查点和 DNA 修复机制（</w:t>
      </w:r>
      <w:r w:rsidRPr="00736BD1">
        <w:rPr>
          <w:rFonts w:ascii="微软雅黑" w:eastAsia="微软雅黑" w:hAnsi="微软雅黑" w:cs="宋体"/>
          <w:kern w:val="0"/>
          <w:sz w:val="24"/>
          <w:szCs w:val="24"/>
        </w:rPr>
        <w:fldChar w:fldCharType="begin"/>
      </w:r>
      <w:r w:rsidRPr="00736BD1">
        <w:rPr>
          <w:rFonts w:ascii="微软雅黑" w:eastAsia="微软雅黑" w:hAnsi="微软雅黑" w:cs="宋体"/>
          <w:kern w:val="0"/>
          <w:sz w:val="24"/>
          <w:szCs w:val="24"/>
        </w:rPr>
        <w:instrText xml:space="preserve"> HYPERLINK "https://pmc.ncbi.nlm.nih.gov/articles/PMC12520673/" \l "F3" </w:instrText>
      </w:r>
      <w:r w:rsidRPr="00736BD1">
        <w:rPr>
          <w:rFonts w:ascii="微软雅黑" w:eastAsia="微软雅黑" w:hAnsi="微软雅黑" w:cs="宋体"/>
          <w:kern w:val="0"/>
          <w:sz w:val="24"/>
          <w:szCs w:val="24"/>
        </w:rPr>
        <w:fldChar w:fldCharType="separate"/>
      </w:r>
      <w:r w:rsidRPr="00736BD1">
        <w:rPr>
          <w:rFonts w:ascii="微软雅黑" w:eastAsia="微软雅黑" w:hAnsi="微软雅黑" w:cs="宋体"/>
          <w:kern w:val="0"/>
          <w:sz w:val="24"/>
          <w:szCs w:val="24"/>
          <w:u w:val="single"/>
        </w:rPr>
        <w:t>图 3D</w:t>
      </w:r>
      <w:r w:rsidRPr="00736BD1">
        <w:rPr>
          <w:rFonts w:ascii="微软雅黑" w:eastAsia="微软雅黑" w:hAnsi="微软雅黑" w:cs="宋体"/>
          <w:kern w:val="0"/>
          <w:sz w:val="24"/>
          <w:szCs w:val="24"/>
        </w:rPr>
        <w:fldChar w:fldCharType="end"/>
      </w:r>
      <w:r w:rsidRPr="00736BD1">
        <w:rPr>
          <w:rFonts w:ascii="微软雅黑" w:eastAsia="微软雅黑" w:hAnsi="微软雅黑" w:cs="宋体"/>
          <w:kern w:val="0"/>
          <w:sz w:val="24"/>
          <w:szCs w:val="24"/>
        </w:rPr>
        <w:t>）。此外，我们观察到与上皮-间质转</w:t>
      </w:r>
      <w:r w:rsidRPr="00736BD1">
        <w:rPr>
          <w:rFonts w:ascii="微软雅黑" w:eastAsia="微软雅黑" w:hAnsi="微软雅黑" w:cs="宋体"/>
          <w:kern w:val="0"/>
          <w:sz w:val="24"/>
          <w:szCs w:val="24"/>
        </w:rPr>
        <w:lastRenderedPageBreak/>
        <w:t>化和免疫反应相关的通路（包括TNF-α和IFN信号通路）上调。这些变化提示联合治疗可能调节肿瘤微环境（TME）内的免疫细胞群。综上所述，这些发现支持以下假设：CDK7抑制剂在Rb降解和c-</w:t>
      </w:r>
      <w:proofErr w:type="spellStart"/>
      <w:r w:rsidRPr="00736BD1">
        <w:rPr>
          <w:rFonts w:ascii="微软雅黑" w:eastAsia="微软雅黑" w:hAnsi="微软雅黑" w:cs="宋体"/>
          <w:kern w:val="0"/>
          <w:sz w:val="24"/>
          <w:szCs w:val="24"/>
        </w:rPr>
        <w:t>Myc</w:t>
      </w:r>
      <w:proofErr w:type="spellEnd"/>
      <w:r w:rsidRPr="00736BD1">
        <w:rPr>
          <w:rFonts w:ascii="微软雅黑" w:eastAsia="微软雅黑" w:hAnsi="微软雅黑" w:cs="宋体"/>
          <w:kern w:val="0"/>
          <w:sz w:val="24"/>
          <w:szCs w:val="24"/>
        </w:rPr>
        <w:t>驱动的转录扩增后抑制E2F活性。这种双重抑制策略为预防或克服乳腺癌耐药性提供了一种有前景的治疗方法。</w:t>
      </w:r>
    </w:p>
    <w:p w14:paraId="74257FB5" w14:textId="77777777" w:rsidR="00736BD1" w:rsidRPr="00736BD1" w:rsidRDefault="00736BD1" w:rsidP="00736BD1">
      <w:pPr>
        <w:widowControl/>
        <w:spacing w:line="450" w:lineRule="atLeast"/>
        <w:outlineLvl w:val="3"/>
        <w:rPr>
          <w:rFonts w:ascii="微软雅黑" w:eastAsia="微软雅黑" w:hAnsi="微软雅黑" w:cs="宋体"/>
          <w:kern w:val="0"/>
          <w:sz w:val="30"/>
          <w:szCs w:val="30"/>
        </w:rPr>
      </w:pPr>
      <w:r w:rsidRPr="00736BD1">
        <w:rPr>
          <w:rFonts w:ascii="微软雅黑" w:eastAsia="微软雅黑" w:hAnsi="微软雅黑" w:cs="宋体"/>
          <w:kern w:val="0"/>
          <w:sz w:val="30"/>
          <w:szCs w:val="30"/>
        </w:rPr>
        <w:t>图 3. 持久细胞中的差异基因表达和通路调控。</w:t>
      </w:r>
    </w:p>
    <w:p w14:paraId="5DA12F06" w14:textId="66691A75" w:rsidR="00736BD1" w:rsidRPr="00736BD1" w:rsidRDefault="00736BD1" w:rsidP="00736BD1">
      <w:pPr>
        <w:widowControl/>
        <w:spacing w:before="450"/>
        <w:rPr>
          <w:rFonts w:ascii="微软雅黑" w:eastAsia="微软雅黑" w:hAnsi="微软雅黑" w:cs="宋体"/>
          <w:kern w:val="0"/>
          <w:sz w:val="24"/>
          <w:szCs w:val="24"/>
        </w:rPr>
      </w:pPr>
      <w:r w:rsidRPr="00736BD1">
        <w:rPr>
          <w:rFonts w:ascii="微软雅黑" w:eastAsia="微软雅黑" w:hAnsi="微软雅黑" w:cs="宋体"/>
          <w:noProof/>
          <w:kern w:val="0"/>
          <w:sz w:val="24"/>
          <w:szCs w:val="24"/>
        </w:rPr>
        <w:drawing>
          <wp:inline distT="0" distB="0" distL="0" distR="0" wp14:anchorId="7BD12B32" wp14:editId="0F41B27D">
            <wp:extent cx="5274310" cy="3994150"/>
            <wp:effectExtent l="0" t="0" r="2540" b="6350"/>
            <wp:docPr id="6" name="图片 6" descr="图 3">
              <a:hlinkClick xmlns:a="http://schemas.openxmlformats.org/drawingml/2006/main" r:id="rId4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图 3">
                      <a:hlinkClick r:id="rId44" tgtFrame="&quot;_blank&quot;"/>
                    </pic:cNvPr>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274310" cy="3994150"/>
                    </a:xfrm>
                    <a:prstGeom prst="rect">
                      <a:avLst/>
                    </a:prstGeom>
                    <a:noFill/>
                    <a:ln>
                      <a:noFill/>
                    </a:ln>
                  </pic:spPr>
                </pic:pic>
              </a:graphicData>
            </a:graphic>
          </wp:inline>
        </w:drawing>
      </w:r>
    </w:p>
    <w:p w14:paraId="1084D932" w14:textId="77777777" w:rsidR="00736BD1" w:rsidRPr="00736BD1" w:rsidRDefault="00736BD1" w:rsidP="00736BD1">
      <w:pPr>
        <w:widowControl/>
        <w:rPr>
          <w:rFonts w:ascii="微软雅黑" w:eastAsia="微软雅黑" w:hAnsi="微软雅黑" w:cs="宋体"/>
          <w:kern w:val="0"/>
          <w:sz w:val="24"/>
          <w:szCs w:val="24"/>
        </w:rPr>
      </w:pPr>
      <w:r w:rsidRPr="00736BD1">
        <w:rPr>
          <w:rFonts w:ascii="微软雅黑" w:eastAsia="微软雅黑" w:hAnsi="微软雅黑" w:cs="宋体"/>
          <w:kern w:val="0"/>
          <w:sz w:val="24"/>
          <w:szCs w:val="24"/>
        </w:rPr>
        <w:t>（</w:t>
      </w:r>
      <w:r w:rsidRPr="00736BD1">
        <w:rPr>
          <w:rFonts w:ascii="微软雅黑" w:eastAsia="微软雅黑" w:hAnsi="微软雅黑" w:cs="宋体"/>
          <w:b/>
          <w:bCs/>
          <w:kern w:val="0"/>
          <w:sz w:val="24"/>
          <w:szCs w:val="24"/>
        </w:rPr>
        <w:t>A</w:t>
      </w:r>
      <w:r w:rsidRPr="00736BD1">
        <w:rPr>
          <w:rFonts w:ascii="微软雅黑" w:eastAsia="微软雅黑" w:hAnsi="微软雅黑" w:cs="宋体"/>
          <w:kern w:val="0"/>
          <w:sz w:val="24"/>
          <w:szCs w:val="24"/>
        </w:rPr>
        <w:t>）基于geminin降解</w:t>
      </w:r>
      <w:proofErr w:type="gramStart"/>
      <w:r w:rsidRPr="00736BD1">
        <w:rPr>
          <w:rFonts w:ascii="微软雅黑" w:eastAsia="微软雅黑" w:hAnsi="微软雅黑" w:cs="宋体"/>
          <w:kern w:val="0"/>
          <w:sz w:val="24"/>
          <w:szCs w:val="24"/>
        </w:rPr>
        <w:t>子表达</w:t>
      </w:r>
      <w:proofErr w:type="gramEnd"/>
      <w:r w:rsidRPr="00736BD1">
        <w:rPr>
          <w:rFonts w:ascii="微软雅黑" w:eastAsia="微软雅黑" w:hAnsi="微软雅黑" w:cs="宋体"/>
          <w:kern w:val="0"/>
          <w:sz w:val="24"/>
          <w:szCs w:val="24"/>
        </w:rPr>
        <w:t>分离持续性细胞进行RNA-Seq分析的实验流程示意图。（</w:t>
      </w:r>
      <w:r w:rsidRPr="00736BD1">
        <w:rPr>
          <w:rFonts w:ascii="微软雅黑" w:eastAsia="微软雅黑" w:hAnsi="微软雅黑" w:cs="宋体"/>
          <w:b/>
          <w:bCs/>
          <w:kern w:val="0"/>
          <w:sz w:val="24"/>
          <w:szCs w:val="24"/>
        </w:rPr>
        <w:t>B</w:t>
      </w:r>
      <w:r w:rsidRPr="00736BD1">
        <w:rPr>
          <w:rFonts w:ascii="微软雅黑" w:eastAsia="微软雅黑" w:hAnsi="微软雅黑" w:cs="宋体"/>
          <w:kern w:val="0"/>
          <w:sz w:val="24"/>
          <w:szCs w:val="24"/>
        </w:rPr>
        <w:t>和</w:t>
      </w:r>
      <w:r w:rsidRPr="00736BD1">
        <w:rPr>
          <w:rFonts w:ascii="微软雅黑" w:eastAsia="微软雅黑" w:hAnsi="微软雅黑" w:cs="宋体"/>
          <w:b/>
          <w:bCs/>
          <w:kern w:val="0"/>
          <w:sz w:val="24"/>
          <w:szCs w:val="24"/>
        </w:rPr>
        <w:t>C</w:t>
      </w:r>
      <w:r w:rsidRPr="00736BD1">
        <w:rPr>
          <w:rFonts w:ascii="微软雅黑" w:eastAsia="微软雅黑" w:hAnsi="微软雅黑" w:cs="宋体"/>
          <w:kern w:val="0"/>
          <w:sz w:val="24"/>
          <w:szCs w:val="24"/>
        </w:rPr>
        <w:t> ）</w:t>
      </w:r>
      <w:proofErr w:type="gramStart"/>
      <w:r w:rsidRPr="00736BD1">
        <w:rPr>
          <w:rFonts w:ascii="微软雅黑" w:eastAsia="微软雅黑" w:hAnsi="微软雅黑" w:cs="宋体"/>
          <w:kern w:val="0"/>
          <w:sz w:val="24"/>
          <w:szCs w:val="24"/>
        </w:rPr>
        <w:t>热图显示</w:t>
      </w:r>
      <w:proofErr w:type="gramEnd"/>
      <w:r w:rsidRPr="00736BD1">
        <w:rPr>
          <w:rFonts w:ascii="微软雅黑" w:eastAsia="微软雅黑" w:hAnsi="微软雅黑" w:cs="宋体"/>
          <w:kern w:val="0"/>
          <w:sz w:val="24"/>
          <w:szCs w:val="24"/>
        </w:rPr>
        <w:t>了经</w:t>
      </w:r>
      <w:proofErr w:type="spellStart"/>
      <w:r w:rsidRPr="00736BD1">
        <w:rPr>
          <w:rFonts w:ascii="微软雅黑" w:eastAsia="微软雅黑" w:hAnsi="微软雅黑" w:cs="宋体"/>
          <w:kern w:val="0"/>
          <w:sz w:val="24"/>
          <w:szCs w:val="24"/>
        </w:rPr>
        <w:t>palbociclib</w:t>
      </w:r>
      <w:proofErr w:type="spellEnd"/>
      <w:r w:rsidRPr="00736BD1">
        <w:rPr>
          <w:rFonts w:ascii="微软雅黑" w:eastAsia="微软雅黑" w:hAnsi="微软雅黑" w:cs="宋体"/>
          <w:kern w:val="0"/>
          <w:sz w:val="24"/>
          <w:szCs w:val="24"/>
        </w:rPr>
        <w:t xml:space="preserve">（1 </w:t>
      </w:r>
      <w:proofErr w:type="spellStart"/>
      <w:r w:rsidRPr="00736BD1">
        <w:rPr>
          <w:rFonts w:ascii="微软雅黑" w:eastAsia="微软雅黑" w:hAnsi="微软雅黑" w:cs="宋体"/>
          <w:kern w:val="0"/>
          <w:sz w:val="24"/>
          <w:szCs w:val="24"/>
        </w:rPr>
        <w:t>μM</w:t>
      </w:r>
      <w:proofErr w:type="spellEnd"/>
      <w:r w:rsidRPr="00736BD1">
        <w:rPr>
          <w:rFonts w:ascii="微软雅黑" w:eastAsia="微软雅黑" w:hAnsi="微软雅黑" w:cs="宋体"/>
          <w:kern w:val="0"/>
          <w:sz w:val="24"/>
          <w:szCs w:val="24"/>
        </w:rPr>
        <w:t xml:space="preserve">）、SY5609（50 </w:t>
      </w:r>
      <w:proofErr w:type="spellStart"/>
      <w:r w:rsidRPr="00736BD1">
        <w:rPr>
          <w:rFonts w:ascii="微软雅黑" w:eastAsia="微软雅黑" w:hAnsi="微软雅黑" w:cs="宋体"/>
          <w:kern w:val="0"/>
          <w:sz w:val="24"/>
          <w:szCs w:val="24"/>
        </w:rPr>
        <w:t>nM</w:t>
      </w:r>
      <w:proofErr w:type="spellEnd"/>
      <w:r w:rsidRPr="00736BD1">
        <w:rPr>
          <w:rFonts w:ascii="微软雅黑" w:eastAsia="微软雅黑" w:hAnsi="微软雅黑" w:cs="宋体"/>
          <w:kern w:val="0"/>
          <w:sz w:val="24"/>
          <w:szCs w:val="24"/>
        </w:rPr>
        <w:t>）或二者联合处理的持续性细胞中E2F（ </w:t>
      </w:r>
      <w:r w:rsidRPr="00736BD1">
        <w:rPr>
          <w:rFonts w:ascii="微软雅黑" w:eastAsia="微软雅黑" w:hAnsi="微软雅黑" w:cs="宋体"/>
          <w:b/>
          <w:bCs/>
          <w:kern w:val="0"/>
          <w:sz w:val="24"/>
          <w:szCs w:val="24"/>
        </w:rPr>
        <w:t>B</w:t>
      </w:r>
      <w:r w:rsidRPr="00736BD1">
        <w:rPr>
          <w:rFonts w:ascii="微软雅黑" w:eastAsia="微软雅黑" w:hAnsi="微软雅黑" w:cs="宋体"/>
          <w:kern w:val="0"/>
          <w:sz w:val="24"/>
          <w:szCs w:val="24"/>
        </w:rPr>
        <w:t>）和</w:t>
      </w:r>
      <w:proofErr w:type="spellStart"/>
      <w:r w:rsidRPr="00736BD1">
        <w:rPr>
          <w:rFonts w:ascii="微软雅黑" w:eastAsia="微软雅黑" w:hAnsi="微软雅黑" w:cs="宋体"/>
          <w:kern w:val="0"/>
          <w:sz w:val="24"/>
          <w:szCs w:val="24"/>
        </w:rPr>
        <w:t>Myc</w:t>
      </w:r>
      <w:proofErr w:type="spellEnd"/>
      <w:r w:rsidRPr="00736BD1">
        <w:rPr>
          <w:rFonts w:ascii="微软雅黑" w:eastAsia="微软雅黑" w:hAnsi="微软雅黑" w:cs="宋体"/>
          <w:kern w:val="0"/>
          <w:sz w:val="24"/>
          <w:szCs w:val="24"/>
        </w:rPr>
        <w:t>（</w:t>
      </w:r>
      <w:r w:rsidRPr="00736BD1">
        <w:rPr>
          <w:rFonts w:ascii="微软雅黑" w:eastAsia="微软雅黑" w:hAnsi="微软雅黑" w:cs="宋体"/>
          <w:b/>
          <w:bCs/>
          <w:kern w:val="0"/>
          <w:sz w:val="24"/>
          <w:szCs w:val="24"/>
        </w:rPr>
        <w:t>C</w:t>
      </w:r>
      <w:r w:rsidRPr="00736BD1">
        <w:rPr>
          <w:rFonts w:ascii="微软雅黑" w:eastAsia="微软雅黑" w:hAnsi="微软雅黑" w:cs="宋体"/>
          <w:kern w:val="0"/>
          <w:sz w:val="24"/>
          <w:szCs w:val="24"/>
        </w:rPr>
        <w:t> ）靶基因的表达水平。（ </w:t>
      </w:r>
      <w:r w:rsidRPr="00736BD1">
        <w:rPr>
          <w:rFonts w:ascii="微软雅黑" w:eastAsia="微软雅黑" w:hAnsi="微软雅黑" w:cs="宋体"/>
          <w:b/>
          <w:bCs/>
          <w:kern w:val="0"/>
          <w:sz w:val="24"/>
          <w:szCs w:val="24"/>
        </w:rPr>
        <w:t>D ）散点图展示了与未处理的对照组相比，经</w:t>
      </w:r>
      <w:proofErr w:type="spellStart"/>
      <w:r w:rsidRPr="00736BD1">
        <w:rPr>
          <w:rFonts w:ascii="微软雅黑" w:eastAsia="微软雅黑" w:hAnsi="微软雅黑" w:cs="宋体"/>
          <w:b/>
          <w:bCs/>
          <w:kern w:val="0"/>
          <w:sz w:val="24"/>
          <w:szCs w:val="24"/>
        </w:rPr>
        <w:t>palbociclib</w:t>
      </w:r>
      <w:proofErr w:type="spellEnd"/>
      <w:r w:rsidRPr="00736BD1">
        <w:rPr>
          <w:rFonts w:ascii="微软雅黑" w:eastAsia="微软雅黑" w:hAnsi="微软雅黑" w:cs="宋体"/>
          <w:b/>
          <w:bCs/>
          <w:kern w:val="0"/>
          <w:sz w:val="24"/>
          <w:szCs w:val="24"/>
        </w:rPr>
        <w:t xml:space="preserve">（1 </w:t>
      </w:r>
      <w:proofErr w:type="spellStart"/>
      <w:r w:rsidRPr="00736BD1">
        <w:rPr>
          <w:rFonts w:ascii="微软雅黑" w:eastAsia="微软雅黑" w:hAnsi="微软雅黑" w:cs="宋体"/>
          <w:b/>
          <w:bCs/>
          <w:kern w:val="0"/>
          <w:sz w:val="24"/>
          <w:szCs w:val="24"/>
        </w:rPr>
        <w:t>μM</w:t>
      </w:r>
      <w:proofErr w:type="spellEnd"/>
      <w:r w:rsidRPr="00736BD1">
        <w:rPr>
          <w:rFonts w:ascii="微软雅黑" w:eastAsia="微软雅黑" w:hAnsi="微软雅黑" w:cs="宋体"/>
          <w:b/>
          <w:bCs/>
          <w:kern w:val="0"/>
          <w:sz w:val="24"/>
          <w:szCs w:val="24"/>
        </w:rPr>
        <w:t xml:space="preserve">）+ SY5609（50 </w:t>
      </w:r>
      <w:proofErr w:type="spellStart"/>
      <w:r w:rsidRPr="00736BD1">
        <w:rPr>
          <w:rFonts w:ascii="微软雅黑" w:eastAsia="微软雅黑" w:hAnsi="微软雅黑" w:cs="宋体"/>
          <w:b/>
          <w:bCs/>
          <w:kern w:val="0"/>
          <w:sz w:val="24"/>
          <w:szCs w:val="24"/>
        </w:rPr>
        <w:t>nM</w:t>
      </w:r>
      <w:proofErr w:type="spellEnd"/>
      <w:r w:rsidRPr="00736BD1">
        <w:rPr>
          <w:rFonts w:ascii="微软雅黑" w:eastAsia="微软雅黑" w:hAnsi="微软雅黑" w:cs="宋体"/>
          <w:b/>
          <w:bCs/>
          <w:kern w:val="0"/>
          <w:sz w:val="24"/>
          <w:szCs w:val="24"/>
        </w:rPr>
        <w:t>）联合处理的持续性细胞中显著富集或缺失的标志性基因集。富集程度</w:t>
      </w:r>
      <w:r w:rsidRPr="00736BD1">
        <w:rPr>
          <w:rFonts w:ascii="微软雅黑" w:eastAsia="微软雅黑" w:hAnsi="微软雅黑" w:cs="宋体"/>
          <w:b/>
          <w:bCs/>
          <w:kern w:val="0"/>
          <w:sz w:val="24"/>
          <w:szCs w:val="24"/>
        </w:rPr>
        <w:lastRenderedPageBreak/>
        <w:t>由校正后的</w:t>
      </w:r>
      <w:r w:rsidRPr="00736BD1">
        <w:rPr>
          <w:rFonts w:ascii="微软雅黑" w:eastAsia="微软雅黑" w:hAnsi="微软雅黑" w:cs="宋体"/>
          <w:i/>
          <w:iCs/>
          <w:kern w:val="0"/>
          <w:sz w:val="24"/>
          <w:szCs w:val="24"/>
        </w:rPr>
        <w:t>P值</w:t>
      </w:r>
      <w:r w:rsidRPr="00736BD1">
        <w:rPr>
          <w:rFonts w:ascii="微软雅黑" w:eastAsia="微软雅黑" w:hAnsi="微软雅黑" w:cs="宋体"/>
          <w:kern w:val="0"/>
          <w:sz w:val="24"/>
          <w:szCs w:val="24"/>
        </w:rPr>
        <w:t>&lt;0.05和FDR&lt;0.25确定。点的大小表示基因数量，颜色表示校正后的</w:t>
      </w:r>
      <w:r w:rsidRPr="00736BD1">
        <w:rPr>
          <w:rFonts w:ascii="微软雅黑" w:eastAsia="微软雅黑" w:hAnsi="微软雅黑" w:cs="宋体"/>
          <w:i/>
          <w:iCs/>
          <w:kern w:val="0"/>
          <w:sz w:val="24"/>
          <w:szCs w:val="24"/>
        </w:rPr>
        <w:t>P</w:t>
      </w:r>
      <w:r w:rsidRPr="00736BD1">
        <w:rPr>
          <w:rFonts w:ascii="微软雅黑" w:eastAsia="微软雅黑" w:hAnsi="微软雅黑" w:cs="宋体"/>
          <w:kern w:val="0"/>
          <w:sz w:val="24"/>
          <w:szCs w:val="24"/>
        </w:rPr>
        <w:t>值。</w:t>
      </w:r>
    </w:p>
    <w:p w14:paraId="538D0657" w14:textId="77777777" w:rsidR="00736BD1" w:rsidRPr="00736BD1" w:rsidRDefault="00736BD1" w:rsidP="00736BD1">
      <w:pPr>
        <w:widowControl/>
        <w:spacing w:line="450" w:lineRule="atLeast"/>
        <w:outlineLvl w:val="2"/>
        <w:rPr>
          <w:rFonts w:ascii="微软雅黑" w:eastAsia="微软雅黑" w:hAnsi="微软雅黑" w:cs="宋体"/>
          <w:kern w:val="0"/>
          <w:sz w:val="32"/>
          <w:szCs w:val="32"/>
        </w:rPr>
      </w:pPr>
      <w:r w:rsidRPr="00736BD1">
        <w:rPr>
          <w:rFonts w:ascii="微软雅黑" w:eastAsia="微软雅黑" w:hAnsi="微软雅黑" w:cs="宋体"/>
          <w:kern w:val="0"/>
          <w:sz w:val="32"/>
          <w:szCs w:val="32"/>
        </w:rPr>
        <w:t>CDK4/6i 和 CDK7i 联合疗法用于对 CDK4/6i 和 ET 耐药的 HR </w:t>
      </w:r>
      <w:r w:rsidRPr="00736BD1">
        <w:rPr>
          <w:rFonts w:ascii="微软雅黑" w:eastAsia="微软雅黑" w:hAnsi="微软雅黑" w:cs="宋体"/>
          <w:kern w:val="0"/>
          <w:sz w:val="32"/>
          <w:szCs w:val="32"/>
          <w:vertAlign w:val="superscript"/>
        </w:rPr>
        <w:t>+</w:t>
      </w:r>
      <w:r w:rsidRPr="00736BD1">
        <w:rPr>
          <w:rFonts w:ascii="微软雅黑" w:eastAsia="微软雅黑" w:hAnsi="微软雅黑" w:cs="宋体"/>
          <w:kern w:val="0"/>
          <w:sz w:val="32"/>
          <w:szCs w:val="32"/>
        </w:rPr>
        <w:t> /HER2 </w:t>
      </w:r>
      <w:r w:rsidRPr="00736BD1">
        <w:rPr>
          <w:rFonts w:ascii="微软雅黑" w:eastAsia="微软雅黑" w:hAnsi="微软雅黑" w:cs="宋体"/>
          <w:kern w:val="0"/>
          <w:sz w:val="32"/>
          <w:szCs w:val="32"/>
          <w:vertAlign w:val="superscript"/>
        </w:rPr>
        <w:t>–</w:t>
      </w:r>
      <w:r w:rsidRPr="00736BD1">
        <w:rPr>
          <w:rFonts w:ascii="微软雅黑" w:eastAsia="微软雅黑" w:hAnsi="微软雅黑" w:cs="宋体"/>
          <w:kern w:val="0"/>
          <w:sz w:val="32"/>
          <w:szCs w:val="32"/>
        </w:rPr>
        <w:t>乳腺癌。</w:t>
      </w:r>
    </w:p>
    <w:p w14:paraId="643913C4" w14:textId="77777777" w:rsidR="00736BD1" w:rsidRPr="00736BD1" w:rsidRDefault="00736BD1" w:rsidP="00736BD1">
      <w:pPr>
        <w:widowControl/>
        <w:spacing w:before="450"/>
        <w:rPr>
          <w:rFonts w:ascii="微软雅黑" w:eastAsia="微软雅黑" w:hAnsi="微软雅黑" w:cs="宋体"/>
          <w:kern w:val="0"/>
          <w:sz w:val="24"/>
          <w:szCs w:val="24"/>
        </w:rPr>
      </w:pPr>
      <w:r w:rsidRPr="00736BD1">
        <w:rPr>
          <w:rFonts w:ascii="微软雅黑" w:eastAsia="微软雅黑" w:hAnsi="微软雅黑" w:cs="宋体"/>
          <w:kern w:val="0"/>
          <w:sz w:val="24"/>
          <w:szCs w:val="24"/>
        </w:rPr>
        <w:t xml:space="preserve">我们评估了 CDK7 抑制剂对已对 CDK4/6 抑制剂和内分泌治疗 (ET) 产生耐药性的 HR </w:t>
      </w:r>
      <w:r w:rsidRPr="00736BD1">
        <w:rPr>
          <w:rFonts w:ascii="微软雅黑" w:eastAsia="微软雅黑" w:hAnsi="微软雅黑" w:cs="宋体"/>
          <w:kern w:val="0"/>
          <w:sz w:val="24"/>
          <w:szCs w:val="24"/>
          <w:vertAlign w:val="superscript"/>
        </w:rPr>
        <w:t>+</w:t>
      </w:r>
      <w:r w:rsidRPr="00736BD1">
        <w:rPr>
          <w:rFonts w:ascii="微软雅黑" w:eastAsia="微软雅黑" w:hAnsi="微软雅黑" w:cs="宋体"/>
          <w:kern w:val="0"/>
          <w:sz w:val="24"/>
          <w:szCs w:val="24"/>
        </w:rPr>
        <w:t> /HER2-乳腺癌模型的治疗潜力。基于我们的机制模型，ET 和 CDK7 抑制剂均可通过靶向 c-</w:t>
      </w:r>
      <w:proofErr w:type="spellStart"/>
      <w:r w:rsidRPr="00736BD1">
        <w:rPr>
          <w:rFonts w:ascii="微软雅黑" w:eastAsia="微软雅黑" w:hAnsi="微软雅黑" w:cs="宋体"/>
          <w:kern w:val="0"/>
          <w:sz w:val="24"/>
          <w:szCs w:val="24"/>
        </w:rPr>
        <w:t>Myc</w:t>
      </w:r>
      <w:proofErr w:type="spellEnd"/>
      <w:r w:rsidRPr="00736BD1">
        <w:rPr>
          <w:rFonts w:ascii="微软雅黑" w:eastAsia="微软雅黑" w:hAnsi="微软雅黑" w:cs="宋体"/>
          <w:kern w:val="0"/>
          <w:sz w:val="24"/>
          <w:szCs w:val="24"/>
        </w:rPr>
        <w:t xml:space="preserve"> </w:t>
      </w:r>
      <w:proofErr w:type="gramStart"/>
      <w:r w:rsidRPr="00736BD1">
        <w:rPr>
          <w:rFonts w:ascii="微软雅黑" w:eastAsia="微软雅黑" w:hAnsi="微软雅黑" w:cs="宋体"/>
          <w:kern w:val="0"/>
          <w:sz w:val="24"/>
          <w:szCs w:val="24"/>
        </w:rPr>
        <w:t>介</w:t>
      </w:r>
      <w:proofErr w:type="gramEnd"/>
      <w:r w:rsidRPr="00736BD1">
        <w:rPr>
          <w:rFonts w:ascii="微软雅黑" w:eastAsia="微软雅黑" w:hAnsi="微软雅黑" w:cs="宋体"/>
          <w:kern w:val="0"/>
          <w:sz w:val="24"/>
          <w:szCs w:val="24"/>
        </w:rPr>
        <w:t>导的 E2F 活性扩增来抑制 CDK4/6 抑制剂耐药肿瘤的生长。因此，我们假设在 CDK4/6 抑制剂和 CDK7 抑制剂联合用药的基础上再加入 ET 不会带来额外的治疗获益。为了验证这一假设，我们使用了对帕博西尼和雌激素受体拮抗剂 (</w:t>
      </w:r>
      <w:proofErr w:type="spellStart"/>
      <w:r w:rsidRPr="00736BD1">
        <w:rPr>
          <w:rFonts w:ascii="微软雅黑" w:eastAsia="微软雅黑" w:hAnsi="微软雅黑" w:cs="宋体"/>
          <w:kern w:val="0"/>
          <w:sz w:val="24"/>
          <w:szCs w:val="24"/>
        </w:rPr>
        <w:t>ERa</w:t>
      </w:r>
      <w:proofErr w:type="spellEnd"/>
      <w:r w:rsidRPr="00736BD1">
        <w:rPr>
          <w:rFonts w:ascii="微软雅黑" w:eastAsia="微软雅黑" w:hAnsi="微软雅黑" w:cs="宋体"/>
          <w:kern w:val="0"/>
          <w:sz w:val="24"/>
          <w:szCs w:val="24"/>
        </w:rPr>
        <w:t xml:space="preserve">) </w:t>
      </w:r>
      <w:proofErr w:type="gramStart"/>
      <w:r w:rsidRPr="00736BD1">
        <w:rPr>
          <w:rFonts w:ascii="微软雅黑" w:eastAsia="微软雅黑" w:hAnsi="微软雅黑" w:cs="宋体"/>
          <w:kern w:val="0"/>
          <w:sz w:val="24"/>
          <w:szCs w:val="24"/>
        </w:rPr>
        <w:t>氟维司群</w:t>
      </w:r>
      <w:proofErr w:type="gramEnd"/>
      <w:r w:rsidRPr="00736BD1">
        <w:rPr>
          <w:rFonts w:ascii="微软雅黑" w:eastAsia="微软雅黑" w:hAnsi="微软雅黑" w:cs="宋体"/>
          <w:kern w:val="0"/>
          <w:sz w:val="24"/>
          <w:szCs w:val="24"/>
        </w:rPr>
        <w:t xml:space="preserve">均耐药的 MCF-7 和 CAMA-1 细胞系。这些耐药细胞接受了以下不同的联合治疗：持续使用 CDK4/6 抑制剂 + 雌激素受体拮抗剂，或交替使用 CDK4/6 抑制剂 + 雌激素受体拮抗剂 + </w:t>
      </w:r>
      <w:proofErr w:type="gramStart"/>
      <w:r w:rsidRPr="00736BD1">
        <w:rPr>
          <w:rFonts w:ascii="微软雅黑" w:eastAsia="微软雅黑" w:hAnsi="微软雅黑" w:cs="宋体"/>
          <w:kern w:val="0"/>
          <w:sz w:val="24"/>
          <w:szCs w:val="24"/>
        </w:rPr>
        <w:t>氟维司群</w:t>
      </w:r>
      <w:proofErr w:type="gramEnd"/>
      <w:r w:rsidRPr="00736BD1">
        <w:rPr>
          <w:rFonts w:ascii="微软雅黑" w:eastAsia="微软雅黑" w:hAnsi="微软雅黑" w:cs="宋体"/>
          <w:kern w:val="0"/>
          <w:sz w:val="24"/>
          <w:szCs w:val="24"/>
        </w:rPr>
        <w:t xml:space="preserve">、CDK4/6 抑制剂 + CDK7 抑制剂或 CDK4/6 抑制剂 + CDK7 抑制剂 + 雌激素受体拮抗剂。其中，CDK4/6i 和 CDK7i 的联合应用对细胞生长抑制最为有效，而添加 </w:t>
      </w:r>
      <w:proofErr w:type="spellStart"/>
      <w:r w:rsidRPr="00736BD1">
        <w:rPr>
          <w:rFonts w:ascii="微软雅黑" w:eastAsia="微软雅黑" w:hAnsi="微软雅黑" w:cs="宋体"/>
          <w:kern w:val="0"/>
          <w:sz w:val="24"/>
          <w:szCs w:val="24"/>
        </w:rPr>
        <w:t>ERa</w:t>
      </w:r>
      <w:proofErr w:type="spellEnd"/>
      <w:r w:rsidRPr="00736BD1">
        <w:rPr>
          <w:rFonts w:ascii="微软雅黑" w:eastAsia="微软雅黑" w:hAnsi="微软雅黑" w:cs="宋体"/>
          <w:kern w:val="0"/>
          <w:sz w:val="24"/>
          <w:szCs w:val="24"/>
        </w:rPr>
        <w:t xml:space="preserve"> 并未带来进一步的益处（</w:t>
      </w:r>
      <w:r w:rsidRPr="00736BD1">
        <w:rPr>
          <w:rFonts w:ascii="微软雅黑" w:eastAsia="微软雅黑" w:hAnsi="微软雅黑" w:cs="宋体"/>
          <w:kern w:val="0"/>
          <w:sz w:val="24"/>
          <w:szCs w:val="24"/>
        </w:rPr>
        <w:fldChar w:fldCharType="begin"/>
      </w:r>
      <w:r w:rsidRPr="00736BD1">
        <w:rPr>
          <w:rFonts w:ascii="微软雅黑" w:eastAsia="微软雅黑" w:hAnsi="微软雅黑" w:cs="宋体"/>
          <w:kern w:val="0"/>
          <w:sz w:val="24"/>
          <w:szCs w:val="24"/>
        </w:rPr>
        <w:instrText xml:space="preserve"> HYPERLINK "https://pmc.ncbi.nlm.nih.gov/articles/PMC12520673/" \l "F4" </w:instrText>
      </w:r>
      <w:r w:rsidRPr="00736BD1">
        <w:rPr>
          <w:rFonts w:ascii="微软雅黑" w:eastAsia="微软雅黑" w:hAnsi="微软雅黑" w:cs="宋体"/>
          <w:kern w:val="0"/>
          <w:sz w:val="24"/>
          <w:szCs w:val="24"/>
        </w:rPr>
        <w:fldChar w:fldCharType="separate"/>
      </w:r>
      <w:r w:rsidRPr="00736BD1">
        <w:rPr>
          <w:rFonts w:ascii="微软雅黑" w:eastAsia="微软雅黑" w:hAnsi="微软雅黑" w:cs="宋体"/>
          <w:kern w:val="0"/>
          <w:sz w:val="24"/>
          <w:szCs w:val="24"/>
          <w:u w:val="single"/>
        </w:rPr>
        <w:t>图 4A 和 4B</w:t>
      </w:r>
      <w:r w:rsidRPr="00736BD1">
        <w:rPr>
          <w:rFonts w:ascii="微软雅黑" w:eastAsia="微软雅黑" w:hAnsi="微软雅黑" w:cs="宋体"/>
          <w:kern w:val="0"/>
          <w:sz w:val="24"/>
          <w:szCs w:val="24"/>
        </w:rPr>
        <w:fldChar w:fldCharType="end"/>
      </w:r>
      <w:r w:rsidRPr="00736BD1">
        <w:rPr>
          <w:rFonts w:ascii="微软雅黑" w:eastAsia="微软雅黑" w:hAnsi="微软雅黑" w:cs="宋体"/>
          <w:kern w:val="0"/>
          <w:sz w:val="24"/>
          <w:szCs w:val="24"/>
        </w:rPr>
        <w:t xml:space="preserve">）。克隆形成实验证实，CDK4/6 和 CDK7 的双重抑制显著降低了克隆形成，而 </w:t>
      </w:r>
      <w:proofErr w:type="spellStart"/>
      <w:r w:rsidRPr="00736BD1">
        <w:rPr>
          <w:rFonts w:ascii="微软雅黑" w:eastAsia="微软雅黑" w:hAnsi="微软雅黑" w:cs="宋体"/>
          <w:kern w:val="0"/>
          <w:sz w:val="24"/>
          <w:szCs w:val="24"/>
        </w:rPr>
        <w:t>ERa</w:t>
      </w:r>
      <w:proofErr w:type="spellEnd"/>
      <w:r w:rsidRPr="00736BD1">
        <w:rPr>
          <w:rFonts w:ascii="微软雅黑" w:eastAsia="微软雅黑" w:hAnsi="微软雅黑" w:cs="宋体"/>
          <w:kern w:val="0"/>
          <w:sz w:val="24"/>
          <w:szCs w:val="24"/>
        </w:rPr>
        <w:t xml:space="preserve"> 的联合治疗并未产生额外作用（</w:t>
      </w:r>
      <w:r w:rsidRPr="00736BD1">
        <w:rPr>
          <w:rFonts w:ascii="微软雅黑" w:eastAsia="微软雅黑" w:hAnsi="微软雅黑" w:cs="宋体"/>
          <w:kern w:val="0"/>
          <w:sz w:val="24"/>
          <w:szCs w:val="24"/>
        </w:rPr>
        <w:fldChar w:fldCharType="begin"/>
      </w:r>
      <w:r w:rsidRPr="00736BD1">
        <w:rPr>
          <w:rFonts w:ascii="微软雅黑" w:eastAsia="微软雅黑" w:hAnsi="微软雅黑" w:cs="宋体"/>
          <w:kern w:val="0"/>
          <w:sz w:val="24"/>
          <w:szCs w:val="24"/>
        </w:rPr>
        <w:instrText xml:space="preserve"> HYPERLINK "https://pmc.ncbi.nlm.nih.gov/articles/PMC12520673/" \l "F4" </w:instrText>
      </w:r>
      <w:r w:rsidRPr="00736BD1">
        <w:rPr>
          <w:rFonts w:ascii="微软雅黑" w:eastAsia="微软雅黑" w:hAnsi="微软雅黑" w:cs="宋体"/>
          <w:kern w:val="0"/>
          <w:sz w:val="24"/>
          <w:szCs w:val="24"/>
        </w:rPr>
        <w:fldChar w:fldCharType="separate"/>
      </w:r>
      <w:r w:rsidRPr="00736BD1">
        <w:rPr>
          <w:rFonts w:ascii="微软雅黑" w:eastAsia="微软雅黑" w:hAnsi="微软雅黑" w:cs="宋体"/>
          <w:kern w:val="0"/>
          <w:sz w:val="24"/>
          <w:szCs w:val="24"/>
          <w:u w:val="single"/>
        </w:rPr>
        <w:t xml:space="preserve">图 4C 和 4D ）。我们使用 2 </w:t>
      </w:r>
      <w:proofErr w:type="gramStart"/>
      <w:r w:rsidRPr="00736BD1">
        <w:rPr>
          <w:rFonts w:ascii="微软雅黑" w:eastAsia="微软雅黑" w:hAnsi="微软雅黑" w:cs="宋体"/>
          <w:kern w:val="0"/>
          <w:sz w:val="24"/>
          <w:szCs w:val="24"/>
          <w:u w:val="single"/>
        </w:rPr>
        <w:t>个</w:t>
      </w:r>
      <w:proofErr w:type="gramEnd"/>
      <w:r w:rsidRPr="00736BD1">
        <w:rPr>
          <w:rFonts w:ascii="微软雅黑" w:eastAsia="微软雅黑" w:hAnsi="微软雅黑" w:cs="宋体"/>
          <w:kern w:val="0"/>
          <w:sz w:val="24"/>
          <w:szCs w:val="24"/>
          <w:u w:val="single"/>
        </w:rPr>
        <w:t xml:space="preserve"> HR </w:t>
      </w:r>
      <w:r w:rsidRPr="00736BD1">
        <w:rPr>
          <w:rFonts w:ascii="微软雅黑" w:eastAsia="微软雅黑" w:hAnsi="微软雅黑" w:cs="宋体"/>
          <w:kern w:val="0"/>
          <w:sz w:val="24"/>
          <w:szCs w:val="24"/>
        </w:rPr>
        <w:fldChar w:fldCharType="end"/>
      </w:r>
      <w:r w:rsidRPr="00736BD1">
        <w:rPr>
          <w:rFonts w:ascii="微软雅黑" w:eastAsia="微软雅黑" w:hAnsi="微软雅黑" w:cs="宋体"/>
          <w:kern w:val="0"/>
          <w:sz w:val="24"/>
          <w:szCs w:val="24"/>
          <w:vertAlign w:val="superscript"/>
        </w:rPr>
        <w:t>+</w:t>
      </w:r>
      <w:r w:rsidRPr="00736BD1">
        <w:rPr>
          <w:rFonts w:ascii="微软雅黑" w:eastAsia="微软雅黑" w:hAnsi="微软雅黑" w:cs="宋体"/>
          <w:kern w:val="0"/>
          <w:sz w:val="24"/>
          <w:szCs w:val="24"/>
        </w:rPr>
        <w:t> /HER2-</w:t>
      </w:r>
      <w:r w:rsidRPr="00736BD1">
        <w:rPr>
          <w:rFonts w:ascii="微软雅黑" w:eastAsia="微软雅黑" w:hAnsi="微软雅黑" w:cs="宋体"/>
          <w:kern w:val="0"/>
          <w:sz w:val="24"/>
          <w:szCs w:val="24"/>
          <w:vertAlign w:val="superscript"/>
        </w:rPr>
        <w:t>患者</w:t>
      </w:r>
      <w:r w:rsidRPr="00736BD1">
        <w:rPr>
          <w:rFonts w:ascii="微软雅黑" w:eastAsia="微软雅黑" w:hAnsi="微软雅黑" w:cs="宋体"/>
          <w:kern w:val="0"/>
          <w:sz w:val="24"/>
          <w:szCs w:val="24"/>
        </w:rPr>
        <w:t>来源的异种移植类器官 (</w:t>
      </w:r>
      <w:proofErr w:type="spellStart"/>
      <w:r w:rsidRPr="00736BD1">
        <w:rPr>
          <w:rFonts w:ascii="微软雅黑" w:eastAsia="微软雅黑" w:hAnsi="微软雅黑" w:cs="宋体"/>
          <w:kern w:val="0"/>
          <w:sz w:val="24"/>
          <w:szCs w:val="24"/>
        </w:rPr>
        <w:t>PDxO</w:t>
      </w:r>
      <w:proofErr w:type="spellEnd"/>
      <w:r w:rsidRPr="00736BD1">
        <w:rPr>
          <w:rFonts w:ascii="微软雅黑" w:eastAsia="微软雅黑" w:hAnsi="微软雅黑" w:cs="宋体"/>
          <w:kern w:val="0"/>
          <w:sz w:val="24"/>
          <w:szCs w:val="24"/>
        </w:rPr>
        <w:t>)进一步验证了这些发现。同样，CDK4/6i 和 CDK7i 的联合治疗显著抑制了类器官的生长，</w:t>
      </w:r>
      <w:proofErr w:type="spellStart"/>
      <w:r w:rsidRPr="00736BD1">
        <w:rPr>
          <w:rFonts w:ascii="微软雅黑" w:eastAsia="微软雅黑" w:hAnsi="微软雅黑" w:cs="宋体"/>
          <w:kern w:val="0"/>
          <w:sz w:val="24"/>
          <w:szCs w:val="24"/>
        </w:rPr>
        <w:t>ERa</w:t>
      </w:r>
      <w:proofErr w:type="spellEnd"/>
      <w:r w:rsidRPr="00736BD1">
        <w:rPr>
          <w:rFonts w:ascii="微软雅黑" w:eastAsia="微软雅黑" w:hAnsi="微软雅黑" w:cs="宋体"/>
          <w:kern w:val="0"/>
          <w:sz w:val="24"/>
          <w:szCs w:val="24"/>
        </w:rPr>
        <w:t xml:space="preserve"> 也未进一步增强其抑制作用（</w:t>
      </w:r>
      <w:r w:rsidRPr="00736BD1">
        <w:rPr>
          <w:rFonts w:ascii="微软雅黑" w:eastAsia="微软雅黑" w:hAnsi="微软雅黑" w:cs="宋体"/>
          <w:kern w:val="0"/>
          <w:sz w:val="24"/>
          <w:szCs w:val="24"/>
        </w:rPr>
        <w:fldChar w:fldCharType="begin"/>
      </w:r>
      <w:r w:rsidRPr="00736BD1">
        <w:rPr>
          <w:rFonts w:ascii="微软雅黑" w:eastAsia="微软雅黑" w:hAnsi="微软雅黑" w:cs="宋体"/>
          <w:kern w:val="0"/>
          <w:sz w:val="24"/>
          <w:szCs w:val="24"/>
        </w:rPr>
        <w:instrText xml:space="preserve"> HYPERLINK "https://pmc.ncbi.nlm.nih.gov/articles/PMC12520673/" \l "F4" </w:instrText>
      </w:r>
      <w:r w:rsidRPr="00736BD1">
        <w:rPr>
          <w:rFonts w:ascii="微软雅黑" w:eastAsia="微软雅黑" w:hAnsi="微软雅黑" w:cs="宋体"/>
          <w:kern w:val="0"/>
          <w:sz w:val="24"/>
          <w:szCs w:val="24"/>
        </w:rPr>
        <w:fldChar w:fldCharType="separate"/>
      </w:r>
      <w:r w:rsidRPr="00736BD1">
        <w:rPr>
          <w:rFonts w:ascii="微软雅黑" w:eastAsia="微软雅黑" w:hAnsi="微软雅黑" w:cs="宋体"/>
          <w:kern w:val="0"/>
          <w:sz w:val="24"/>
          <w:szCs w:val="24"/>
          <w:u w:val="single"/>
        </w:rPr>
        <w:t>图 4E 和 4F</w:t>
      </w:r>
      <w:r w:rsidRPr="00736BD1">
        <w:rPr>
          <w:rFonts w:ascii="微软雅黑" w:eastAsia="微软雅黑" w:hAnsi="微软雅黑" w:cs="宋体"/>
          <w:kern w:val="0"/>
          <w:sz w:val="24"/>
          <w:szCs w:val="24"/>
        </w:rPr>
        <w:fldChar w:fldCharType="end"/>
      </w:r>
      <w:r w:rsidRPr="00736BD1">
        <w:rPr>
          <w:rFonts w:ascii="微软雅黑" w:eastAsia="微软雅黑" w:hAnsi="微软雅黑" w:cs="宋体"/>
          <w:kern w:val="0"/>
          <w:sz w:val="24"/>
          <w:szCs w:val="24"/>
        </w:rPr>
        <w:t>，以及</w:t>
      </w:r>
      <w:r w:rsidRPr="00736BD1">
        <w:rPr>
          <w:rFonts w:ascii="微软雅黑" w:eastAsia="微软雅黑" w:hAnsi="微软雅黑" w:cs="宋体"/>
          <w:kern w:val="0"/>
          <w:sz w:val="24"/>
          <w:szCs w:val="24"/>
        </w:rPr>
        <w:fldChar w:fldCharType="begin"/>
      </w:r>
      <w:r w:rsidRPr="00736BD1">
        <w:rPr>
          <w:rFonts w:ascii="微软雅黑" w:eastAsia="微软雅黑" w:hAnsi="微软雅黑" w:cs="宋体"/>
          <w:kern w:val="0"/>
          <w:sz w:val="24"/>
          <w:szCs w:val="24"/>
        </w:rPr>
        <w:instrText xml:space="preserve"> HYPERLINK "https://pmc.ncbi.nlm.nih.gov/articles/PMC12520673/" \l "sd" </w:instrText>
      </w:r>
      <w:r w:rsidRPr="00736BD1">
        <w:rPr>
          <w:rFonts w:ascii="微软雅黑" w:eastAsia="微软雅黑" w:hAnsi="微软雅黑" w:cs="宋体"/>
          <w:kern w:val="0"/>
          <w:sz w:val="24"/>
          <w:szCs w:val="24"/>
        </w:rPr>
        <w:fldChar w:fldCharType="separate"/>
      </w:r>
      <w:r w:rsidRPr="00736BD1">
        <w:rPr>
          <w:rFonts w:ascii="微软雅黑" w:eastAsia="微软雅黑" w:hAnsi="微软雅黑" w:cs="宋体"/>
          <w:kern w:val="0"/>
          <w:sz w:val="24"/>
          <w:szCs w:val="24"/>
          <w:u w:val="single"/>
        </w:rPr>
        <w:t>补充图 6A ）。综上所述，这些结果表明，对于 CDK4/6i 和 ET 治疗后病情进展的 HR </w:t>
      </w:r>
      <w:r w:rsidRPr="00736BD1">
        <w:rPr>
          <w:rFonts w:ascii="微软雅黑" w:eastAsia="微软雅黑" w:hAnsi="微软雅黑" w:cs="宋体"/>
          <w:kern w:val="0"/>
          <w:sz w:val="24"/>
          <w:szCs w:val="24"/>
        </w:rPr>
        <w:fldChar w:fldCharType="end"/>
      </w:r>
      <w:r w:rsidRPr="00736BD1">
        <w:rPr>
          <w:rFonts w:ascii="微软雅黑" w:eastAsia="微软雅黑" w:hAnsi="微软雅黑" w:cs="宋体"/>
          <w:kern w:val="0"/>
          <w:sz w:val="24"/>
          <w:szCs w:val="24"/>
          <w:vertAlign w:val="superscript"/>
        </w:rPr>
        <w:t>+</w:t>
      </w:r>
      <w:r w:rsidRPr="00736BD1">
        <w:rPr>
          <w:rFonts w:ascii="微软雅黑" w:eastAsia="微软雅黑" w:hAnsi="微软雅黑" w:cs="宋体"/>
          <w:kern w:val="0"/>
          <w:sz w:val="24"/>
          <w:szCs w:val="24"/>
        </w:rPr>
        <w:t> /HER2-</w:t>
      </w:r>
      <w:r w:rsidRPr="00736BD1">
        <w:rPr>
          <w:rFonts w:ascii="微软雅黑" w:eastAsia="微软雅黑" w:hAnsi="微软雅黑" w:cs="宋体"/>
          <w:kern w:val="0"/>
          <w:sz w:val="24"/>
          <w:szCs w:val="24"/>
          <w:vertAlign w:val="superscript"/>
        </w:rPr>
        <w:t>乳腺癌</w:t>
      </w:r>
      <w:r w:rsidRPr="00736BD1">
        <w:rPr>
          <w:rFonts w:ascii="微软雅黑" w:eastAsia="微软雅黑" w:hAnsi="微软雅黑" w:cs="宋体"/>
          <w:kern w:val="0"/>
          <w:sz w:val="24"/>
          <w:szCs w:val="24"/>
        </w:rPr>
        <w:t>患者，在不继</w:t>
      </w:r>
      <w:r w:rsidRPr="00736BD1">
        <w:rPr>
          <w:rFonts w:ascii="微软雅黑" w:eastAsia="微软雅黑" w:hAnsi="微软雅黑" w:cs="宋体"/>
          <w:kern w:val="0"/>
          <w:sz w:val="24"/>
          <w:szCs w:val="24"/>
        </w:rPr>
        <w:lastRenderedPageBreak/>
        <w:t>续进行内分泌治疗 (ET) 的情况下，CDK4/6 和 CDK7 的双重抑制是一种有前景的治疗策略。</w:t>
      </w:r>
    </w:p>
    <w:p w14:paraId="7CB83013" w14:textId="77777777" w:rsidR="00736BD1" w:rsidRPr="00736BD1" w:rsidRDefault="00736BD1" w:rsidP="00736BD1">
      <w:pPr>
        <w:widowControl/>
        <w:spacing w:line="450" w:lineRule="atLeast"/>
        <w:outlineLvl w:val="3"/>
        <w:rPr>
          <w:rFonts w:ascii="微软雅黑" w:eastAsia="微软雅黑" w:hAnsi="微软雅黑" w:cs="宋体"/>
          <w:kern w:val="0"/>
          <w:sz w:val="30"/>
          <w:szCs w:val="30"/>
        </w:rPr>
      </w:pPr>
      <w:r w:rsidRPr="00736BD1">
        <w:rPr>
          <w:rFonts w:ascii="微软雅黑" w:eastAsia="微软雅黑" w:hAnsi="微软雅黑" w:cs="宋体"/>
          <w:kern w:val="0"/>
          <w:sz w:val="30"/>
          <w:szCs w:val="30"/>
        </w:rPr>
        <w:t>图 4. CDK4/6i 和 CDK7i 联合治疗在 HR </w:t>
      </w:r>
      <w:r w:rsidRPr="00736BD1">
        <w:rPr>
          <w:rFonts w:ascii="微软雅黑" w:eastAsia="微软雅黑" w:hAnsi="微软雅黑" w:cs="宋体"/>
          <w:kern w:val="0"/>
          <w:sz w:val="30"/>
          <w:szCs w:val="30"/>
          <w:vertAlign w:val="superscript"/>
        </w:rPr>
        <w:t>+</w:t>
      </w:r>
      <w:r w:rsidRPr="00736BD1">
        <w:rPr>
          <w:rFonts w:ascii="微软雅黑" w:eastAsia="微软雅黑" w:hAnsi="微软雅黑" w:cs="宋体"/>
          <w:kern w:val="0"/>
          <w:sz w:val="30"/>
          <w:szCs w:val="30"/>
        </w:rPr>
        <w:t> /HER2 </w:t>
      </w:r>
      <w:r w:rsidRPr="00736BD1">
        <w:rPr>
          <w:rFonts w:ascii="微软雅黑" w:eastAsia="微软雅黑" w:hAnsi="微软雅黑" w:cs="宋体"/>
          <w:kern w:val="0"/>
          <w:sz w:val="30"/>
          <w:szCs w:val="30"/>
          <w:vertAlign w:val="superscript"/>
        </w:rPr>
        <w:t>–</w:t>
      </w:r>
      <w:r w:rsidRPr="00736BD1">
        <w:rPr>
          <w:rFonts w:ascii="微软雅黑" w:eastAsia="微软雅黑" w:hAnsi="微软雅黑" w:cs="宋体"/>
          <w:kern w:val="0"/>
          <w:sz w:val="30"/>
          <w:szCs w:val="30"/>
        </w:rPr>
        <w:t>乳腺癌模型中的疗效。</w:t>
      </w:r>
    </w:p>
    <w:p w14:paraId="41193BFE" w14:textId="789C1734" w:rsidR="00736BD1" w:rsidRPr="00736BD1" w:rsidRDefault="00736BD1" w:rsidP="00736BD1">
      <w:pPr>
        <w:widowControl/>
        <w:spacing w:before="450"/>
        <w:rPr>
          <w:rFonts w:ascii="微软雅黑" w:eastAsia="微软雅黑" w:hAnsi="微软雅黑" w:cs="宋体"/>
          <w:kern w:val="0"/>
          <w:sz w:val="24"/>
          <w:szCs w:val="24"/>
        </w:rPr>
      </w:pPr>
      <w:r w:rsidRPr="00736BD1">
        <w:rPr>
          <w:rFonts w:ascii="微软雅黑" w:eastAsia="微软雅黑" w:hAnsi="微软雅黑" w:cs="宋体"/>
          <w:noProof/>
          <w:kern w:val="0"/>
          <w:sz w:val="24"/>
          <w:szCs w:val="24"/>
        </w:rPr>
        <w:drawing>
          <wp:inline distT="0" distB="0" distL="0" distR="0" wp14:anchorId="22730517" wp14:editId="6D65E200">
            <wp:extent cx="5274310" cy="5333365"/>
            <wp:effectExtent l="0" t="0" r="2540" b="635"/>
            <wp:docPr id="5" name="图片 5" descr="图 4">
              <a:hlinkClick xmlns:a="http://schemas.openxmlformats.org/drawingml/2006/main" r:id="rId4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图 4">
                      <a:hlinkClick r:id="rId46" tgtFrame="&quot;_blank&quo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274310" cy="5333365"/>
                    </a:xfrm>
                    <a:prstGeom prst="rect">
                      <a:avLst/>
                    </a:prstGeom>
                    <a:noFill/>
                    <a:ln>
                      <a:noFill/>
                    </a:ln>
                  </pic:spPr>
                </pic:pic>
              </a:graphicData>
            </a:graphic>
          </wp:inline>
        </w:drawing>
      </w:r>
    </w:p>
    <w:p w14:paraId="4DAA7F35" w14:textId="77777777" w:rsidR="00736BD1" w:rsidRPr="00736BD1" w:rsidRDefault="00736BD1" w:rsidP="00736BD1">
      <w:pPr>
        <w:widowControl/>
        <w:rPr>
          <w:rFonts w:ascii="微软雅黑" w:eastAsia="微软雅黑" w:hAnsi="微软雅黑" w:cs="宋体"/>
          <w:kern w:val="0"/>
          <w:sz w:val="24"/>
          <w:szCs w:val="24"/>
        </w:rPr>
      </w:pPr>
      <w:r w:rsidRPr="00736BD1">
        <w:rPr>
          <w:rFonts w:ascii="微软雅黑" w:eastAsia="微软雅黑" w:hAnsi="微软雅黑" w:cs="宋体"/>
          <w:kern w:val="0"/>
          <w:sz w:val="24"/>
          <w:szCs w:val="24"/>
        </w:rPr>
        <w:t>（</w:t>
      </w:r>
      <w:r w:rsidRPr="00736BD1">
        <w:rPr>
          <w:rFonts w:ascii="微软雅黑" w:eastAsia="微软雅黑" w:hAnsi="微软雅黑" w:cs="宋体"/>
          <w:b/>
          <w:bCs/>
          <w:kern w:val="0"/>
          <w:sz w:val="24"/>
          <w:szCs w:val="24"/>
        </w:rPr>
        <w:t>A</w:t>
      </w:r>
      <w:r w:rsidRPr="00736BD1">
        <w:rPr>
          <w:rFonts w:ascii="微软雅黑" w:eastAsia="微软雅黑" w:hAnsi="微软雅黑" w:cs="宋体"/>
          <w:kern w:val="0"/>
          <w:sz w:val="24"/>
          <w:szCs w:val="24"/>
        </w:rPr>
        <w:t>和</w:t>
      </w:r>
      <w:r w:rsidRPr="00736BD1">
        <w:rPr>
          <w:rFonts w:ascii="微软雅黑" w:eastAsia="微软雅黑" w:hAnsi="微软雅黑" w:cs="宋体"/>
          <w:b/>
          <w:bCs/>
          <w:kern w:val="0"/>
          <w:sz w:val="24"/>
          <w:szCs w:val="24"/>
        </w:rPr>
        <w:t>B</w:t>
      </w:r>
      <w:r w:rsidRPr="00736BD1">
        <w:rPr>
          <w:rFonts w:ascii="微软雅黑" w:eastAsia="微软雅黑" w:hAnsi="微软雅黑" w:cs="宋体"/>
          <w:kern w:val="0"/>
          <w:sz w:val="24"/>
          <w:szCs w:val="24"/>
        </w:rPr>
        <w:t xml:space="preserve">）用指定组合的帕博西尼（1 </w:t>
      </w:r>
      <w:proofErr w:type="spellStart"/>
      <w:r w:rsidRPr="00736BD1">
        <w:rPr>
          <w:rFonts w:ascii="微软雅黑" w:eastAsia="微软雅黑" w:hAnsi="微软雅黑" w:cs="宋体"/>
          <w:kern w:val="0"/>
          <w:sz w:val="24"/>
          <w:szCs w:val="24"/>
        </w:rPr>
        <w:t>μM</w:t>
      </w:r>
      <w:proofErr w:type="spellEnd"/>
      <w:r w:rsidRPr="00736BD1">
        <w:rPr>
          <w:rFonts w:ascii="微软雅黑" w:eastAsia="微软雅黑" w:hAnsi="微软雅黑" w:cs="宋体"/>
          <w:kern w:val="0"/>
          <w:sz w:val="24"/>
          <w:szCs w:val="24"/>
        </w:rPr>
        <w:t>）、</w:t>
      </w:r>
      <w:proofErr w:type="gramStart"/>
      <w:r w:rsidRPr="00736BD1">
        <w:rPr>
          <w:rFonts w:ascii="微软雅黑" w:eastAsia="微软雅黑" w:hAnsi="微软雅黑" w:cs="宋体"/>
          <w:kern w:val="0"/>
          <w:sz w:val="24"/>
          <w:szCs w:val="24"/>
        </w:rPr>
        <w:t>氟维司群</w:t>
      </w:r>
      <w:proofErr w:type="gramEnd"/>
      <w:r w:rsidRPr="00736BD1">
        <w:rPr>
          <w:rFonts w:ascii="微软雅黑" w:eastAsia="微软雅黑" w:hAnsi="微软雅黑" w:cs="宋体"/>
          <w:kern w:val="0"/>
          <w:sz w:val="24"/>
          <w:szCs w:val="24"/>
        </w:rPr>
        <w:t xml:space="preserve">（500 </w:t>
      </w:r>
      <w:proofErr w:type="spellStart"/>
      <w:r w:rsidRPr="00736BD1">
        <w:rPr>
          <w:rFonts w:ascii="微软雅黑" w:eastAsia="微软雅黑" w:hAnsi="微软雅黑" w:cs="宋体"/>
          <w:kern w:val="0"/>
          <w:sz w:val="24"/>
          <w:szCs w:val="24"/>
        </w:rPr>
        <w:t>nM</w:t>
      </w:r>
      <w:proofErr w:type="spellEnd"/>
      <w:r w:rsidRPr="00736BD1">
        <w:rPr>
          <w:rFonts w:ascii="微软雅黑" w:eastAsia="微软雅黑" w:hAnsi="微软雅黑" w:cs="宋体"/>
          <w:kern w:val="0"/>
          <w:sz w:val="24"/>
          <w:szCs w:val="24"/>
        </w:rPr>
        <w:t xml:space="preserve">）和 SY5609（50 </w:t>
      </w:r>
      <w:proofErr w:type="spellStart"/>
      <w:r w:rsidRPr="00736BD1">
        <w:rPr>
          <w:rFonts w:ascii="微软雅黑" w:eastAsia="微软雅黑" w:hAnsi="微软雅黑" w:cs="宋体"/>
          <w:kern w:val="0"/>
          <w:sz w:val="24"/>
          <w:szCs w:val="24"/>
        </w:rPr>
        <w:t>nM</w:t>
      </w:r>
      <w:proofErr w:type="spellEnd"/>
      <w:r w:rsidRPr="00736BD1">
        <w:rPr>
          <w:rFonts w:ascii="微软雅黑" w:eastAsia="微软雅黑" w:hAnsi="微软雅黑" w:cs="宋体"/>
          <w:kern w:val="0"/>
          <w:sz w:val="24"/>
          <w:szCs w:val="24"/>
        </w:rPr>
        <w:t>）处理帕博西尼/</w:t>
      </w:r>
      <w:proofErr w:type="gramStart"/>
      <w:r w:rsidRPr="00736BD1">
        <w:rPr>
          <w:rFonts w:ascii="微软雅黑" w:eastAsia="微软雅黑" w:hAnsi="微软雅黑" w:cs="宋体"/>
          <w:kern w:val="0"/>
          <w:sz w:val="24"/>
          <w:szCs w:val="24"/>
        </w:rPr>
        <w:t>氟维司群</w:t>
      </w:r>
      <w:proofErr w:type="gramEnd"/>
      <w:r w:rsidRPr="00736BD1">
        <w:rPr>
          <w:rFonts w:ascii="微软雅黑" w:eastAsia="微软雅黑" w:hAnsi="微软雅黑" w:cs="宋体"/>
          <w:kern w:val="0"/>
          <w:sz w:val="24"/>
          <w:szCs w:val="24"/>
        </w:rPr>
        <w:t>耐药的 MCF-7（ </w:t>
      </w:r>
      <w:r w:rsidRPr="00736BD1">
        <w:rPr>
          <w:rFonts w:ascii="微软雅黑" w:eastAsia="微软雅黑" w:hAnsi="微软雅黑" w:cs="宋体"/>
          <w:b/>
          <w:bCs/>
          <w:kern w:val="0"/>
          <w:sz w:val="24"/>
          <w:szCs w:val="24"/>
        </w:rPr>
        <w:t>A</w:t>
      </w:r>
      <w:r w:rsidRPr="00736BD1">
        <w:rPr>
          <w:rFonts w:ascii="微软雅黑" w:eastAsia="微软雅黑" w:hAnsi="微软雅黑" w:cs="宋体"/>
          <w:kern w:val="0"/>
          <w:sz w:val="24"/>
          <w:szCs w:val="24"/>
        </w:rPr>
        <w:t>）和 CAMA-1（</w:t>
      </w:r>
      <w:r w:rsidRPr="00736BD1">
        <w:rPr>
          <w:rFonts w:ascii="微软雅黑" w:eastAsia="微软雅黑" w:hAnsi="微软雅黑" w:cs="宋体"/>
          <w:b/>
          <w:bCs/>
          <w:kern w:val="0"/>
          <w:sz w:val="24"/>
          <w:szCs w:val="24"/>
        </w:rPr>
        <w:t>B ）细胞，绘制其生长曲线。数据以均值 ± 标准差表示（ </w:t>
      </w:r>
      <w:r w:rsidRPr="00736BD1">
        <w:rPr>
          <w:rFonts w:ascii="微软雅黑" w:eastAsia="微软雅黑" w:hAnsi="微软雅黑" w:cs="宋体"/>
          <w:i/>
          <w:iCs/>
          <w:kern w:val="0"/>
          <w:sz w:val="24"/>
          <w:szCs w:val="24"/>
        </w:rPr>
        <w:t>n</w:t>
      </w:r>
      <w:r w:rsidRPr="00736BD1">
        <w:rPr>
          <w:rFonts w:ascii="微软雅黑" w:eastAsia="微软雅黑" w:hAnsi="微软雅黑" w:cs="宋体"/>
          <w:kern w:val="0"/>
          <w:sz w:val="24"/>
          <w:szCs w:val="24"/>
        </w:rPr>
        <w:t xml:space="preserve"> = 3 </w:t>
      </w:r>
      <w:proofErr w:type="gramStart"/>
      <w:r w:rsidRPr="00736BD1">
        <w:rPr>
          <w:rFonts w:ascii="微软雅黑" w:eastAsia="微软雅黑" w:hAnsi="微软雅黑" w:cs="宋体"/>
          <w:kern w:val="0"/>
          <w:sz w:val="24"/>
          <w:szCs w:val="24"/>
        </w:rPr>
        <w:t>个</w:t>
      </w:r>
      <w:proofErr w:type="gramEnd"/>
      <w:r w:rsidRPr="00736BD1">
        <w:rPr>
          <w:rFonts w:ascii="微软雅黑" w:eastAsia="微软雅黑" w:hAnsi="微软雅黑" w:cs="宋体"/>
          <w:kern w:val="0"/>
          <w:sz w:val="24"/>
          <w:szCs w:val="24"/>
        </w:rPr>
        <w:t>生物学重复）。P</w:t>
      </w:r>
      <w:proofErr w:type="gramStart"/>
      <w:r w:rsidRPr="00736BD1">
        <w:rPr>
          <w:rFonts w:ascii="微软雅黑" w:eastAsia="微软雅黑" w:hAnsi="微软雅黑" w:cs="宋体"/>
          <w:i/>
          <w:iCs/>
          <w:kern w:val="0"/>
          <w:sz w:val="24"/>
          <w:szCs w:val="24"/>
        </w:rPr>
        <w:t>值</w:t>
      </w:r>
      <w:r w:rsidRPr="00736BD1">
        <w:rPr>
          <w:rFonts w:ascii="微软雅黑" w:eastAsia="微软雅黑" w:hAnsi="微软雅黑" w:cs="宋体"/>
          <w:kern w:val="0"/>
          <w:sz w:val="24"/>
          <w:szCs w:val="24"/>
        </w:rPr>
        <w:t>通过双因素</w:t>
      </w:r>
      <w:proofErr w:type="gramEnd"/>
      <w:r w:rsidRPr="00736BD1">
        <w:rPr>
          <w:rFonts w:ascii="微软雅黑" w:eastAsia="微软雅黑" w:hAnsi="微软雅黑" w:cs="宋体"/>
          <w:kern w:val="0"/>
          <w:sz w:val="24"/>
          <w:szCs w:val="24"/>
        </w:rPr>
        <w:t>方差分析计算，并根据最终细胞计数进行 Tukey 多重比较检验</w:t>
      </w:r>
      <w:r w:rsidRPr="00736BD1">
        <w:rPr>
          <w:rFonts w:ascii="微软雅黑" w:eastAsia="微软雅黑" w:hAnsi="微软雅黑" w:cs="宋体"/>
          <w:kern w:val="0"/>
          <w:sz w:val="24"/>
          <w:szCs w:val="24"/>
        </w:rPr>
        <w:lastRenderedPageBreak/>
        <w:t>（* </w:t>
      </w:r>
      <w:r w:rsidRPr="00736BD1">
        <w:rPr>
          <w:rFonts w:ascii="微软雅黑" w:eastAsia="微软雅黑" w:hAnsi="微软雅黑" w:cs="宋体"/>
          <w:i/>
          <w:iCs/>
          <w:kern w:val="0"/>
          <w:sz w:val="24"/>
          <w:szCs w:val="24"/>
        </w:rPr>
        <w:t>P</w:t>
      </w:r>
      <w:r w:rsidRPr="00736BD1">
        <w:rPr>
          <w:rFonts w:ascii="微软雅黑" w:eastAsia="微软雅黑" w:hAnsi="微软雅黑" w:cs="宋体"/>
          <w:kern w:val="0"/>
          <w:sz w:val="24"/>
          <w:szCs w:val="24"/>
        </w:rPr>
        <w:t> ≤ 0.05）。（</w:t>
      </w:r>
      <w:r w:rsidRPr="00736BD1">
        <w:rPr>
          <w:rFonts w:ascii="微软雅黑" w:eastAsia="微软雅黑" w:hAnsi="微软雅黑" w:cs="宋体"/>
          <w:b/>
          <w:bCs/>
          <w:kern w:val="0"/>
          <w:sz w:val="24"/>
          <w:szCs w:val="24"/>
        </w:rPr>
        <w:t>C</w:t>
      </w:r>
      <w:r w:rsidRPr="00736BD1">
        <w:rPr>
          <w:rFonts w:ascii="微软雅黑" w:eastAsia="微软雅黑" w:hAnsi="微软雅黑" w:cs="宋体"/>
          <w:kern w:val="0"/>
          <w:sz w:val="24"/>
          <w:szCs w:val="24"/>
        </w:rPr>
        <w:t>）用指定药物处理 28 天后，对帕博西尼/</w:t>
      </w:r>
      <w:proofErr w:type="gramStart"/>
      <w:r w:rsidRPr="00736BD1">
        <w:rPr>
          <w:rFonts w:ascii="微软雅黑" w:eastAsia="微软雅黑" w:hAnsi="微软雅黑" w:cs="宋体"/>
          <w:kern w:val="0"/>
          <w:sz w:val="24"/>
          <w:szCs w:val="24"/>
        </w:rPr>
        <w:t>氟维司群</w:t>
      </w:r>
      <w:proofErr w:type="gramEnd"/>
      <w:r w:rsidRPr="00736BD1">
        <w:rPr>
          <w:rFonts w:ascii="微软雅黑" w:eastAsia="微软雅黑" w:hAnsi="微软雅黑" w:cs="宋体"/>
          <w:kern w:val="0"/>
          <w:sz w:val="24"/>
          <w:szCs w:val="24"/>
        </w:rPr>
        <w:t>耐药的 MCF-7 和 CAMA-1 细胞进行代表性克隆形成实验。用结晶紫染色观察克隆（</w:t>
      </w:r>
      <w:r w:rsidRPr="00736BD1">
        <w:rPr>
          <w:rFonts w:ascii="微软雅黑" w:eastAsia="微软雅黑" w:hAnsi="微软雅黑" w:cs="宋体"/>
          <w:i/>
          <w:iCs/>
          <w:kern w:val="0"/>
          <w:sz w:val="24"/>
          <w:szCs w:val="24"/>
        </w:rPr>
        <w:t>n</w:t>
      </w:r>
      <w:r w:rsidRPr="00736BD1">
        <w:rPr>
          <w:rFonts w:ascii="微软雅黑" w:eastAsia="微软雅黑" w:hAnsi="微软雅黑" w:cs="宋体"/>
          <w:kern w:val="0"/>
          <w:sz w:val="24"/>
          <w:szCs w:val="24"/>
        </w:rPr>
        <w:t xml:space="preserve"> = 3 </w:t>
      </w:r>
      <w:proofErr w:type="gramStart"/>
      <w:r w:rsidRPr="00736BD1">
        <w:rPr>
          <w:rFonts w:ascii="微软雅黑" w:eastAsia="微软雅黑" w:hAnsi="微软雅黑" w:cs="宋体"/>
          <w:kern w:val="0"/>
          <w:sz w:val="24"/>
          <w:szCs w:val="24"/>
        </w:rPr>
        <w:t>个</w:t>
      </w:r>
      <w:proofErr w:type="gramEnd"/>
      <w:r w:rsidRPr="00736BD1">
        <w:rPr>
          <w:rFonts w:ascii="微软雅黑" w:eastAsia="微软雅黑" w:hAnsi="微软雅黑" w:cs="宋体"/>
          <w:kern w:val="0"/>
          <w:sz w:val="24"/>
          <w:szCs w:val="24"/>
        </w:rPr>
        <w:t>生物学重复）。（</w:t>
      </w:r>
      <w:r w:rsidRPr="00736BD1">
        <w:rPr>
          <w:rFonts w:ascii="微软雅黑" w:eastAsia="微软雅黑" w:hAnsi="微软雅黑" w:cs="宋体"/>
          <w:b/>
          <w:bCs/>
          <w:kern w:val="0"/>
          <w:sz w:val="24"/>
          <w:szCs w:val="24"/>
        </w:rPr>
        <w:t>D</w:t>
      </w:r>
      <w:r w:rsidRPr="00736BD1">
        <w:rPr>
          <w:rFonts w:ascii="微软雅黑" w:eastAsia="微软雅黑" w:hAnsi="微软雅黑" w:cs="宋体"/>
          <w:kern w:val="0"/>
          <w:sz w:val="24"/>
          <w:szCs w:val="24"/>
        </w:rPr>
        <w:t>）各处</w:t>
      </w:r>
      <w:proofErr w:type="gramStart"/>
      <w:r w:rsidRPr="00736BD1">
        <w:rPr>
          <w:rFonts w:ascii="微软雅黑" w:eastAsia="微软雅黑" w:hAnsi="微软雅黑" w:cs="宋体"/>
          <w:kern w:val="0"/>
          <w:sz w:val="24"/>
          <w:szCs w:val="24"/>
        </w:rPr>
        <w:t>理组克隆</w:t>
      </w:r>
      <w:proofErr w:type="gramEnd"/>
      <w:r w:rsidRPr="00736BD1">
        <w:rPr>
          <w:rFonts w:ascii="微软雅黑" w:eastAsia="微软雅黑" w:hAnsi="微软雅黑" w:cs="宋体"/>
          <w:kern w:val="0"/>
          <w:sz w:val="24"/>
          <w:szCs w:val="24"/>
        </w:rPr>
        <w:t>面积（%）的定量分析。数据以均值 ± 标准差表示（</w:t>
      </w:r>
      <w:r w:rsidRPr="00736BD1">
        <w:rPr>
          <w:rFonts w:ascii="微软雅黑" w:eastAsia="微软雅黑" w:hAnsi="微软雅黑" w:cs="宋体"/>
          <w:i/>
          <w:iCs/>
          <w:kern w:val="0"/>
          <w:sz w:val="24"/>
          <w:szCs w:val="24"/>
        </w:rPr>
        <w:t>n</w:t>
      </w:r>
      <w:r w:rsidRPr="00736BD1">
        <w:rPr>
          <w:rFonts w:ascii="微软雅黑" w:eastAsia="微软雅黑" w:hAnsi="微软雅黑" w:cs="宋体"/>
          <w:kern w:val="0"/>
          <w:sz w:val="24"/>
          <w:szCs w:val="24"/>
        </w:rPr>
        <w:t xml:space="preserve"> = 3 </w:t>
      </w:r>
      <w:proofErr w:type="gramStart"/>
      <w:r w:rsidRPr="00736BD1">
        <w:rPr>
          <w:rFonts w:ascii="微软雅黑" w:eastAsia="微软雅黑" w:hAnsi="微软雅黑" w:cs="宋体"/>
          <w:kern w:val="0"/>
          <w:sz w:val="24"/>
          <w:szCs w:val="24"/>
        </w:rPr>
        <w:t>个</w:t>
      </w:r>
      <w:proofErr w:type="gramEnd"/>
      <w:r w:rsidRPr="00736BD1">
        <w:rPr>
          <w:rFonts w:ascii="微软雅黑" w:eastAsia="微软雅黑" w:hAnsi="微软雅黑" w:cs="宋体"/>
          <w:kern w:val="0"/>
          <w:sz w:val="24"/>
          <w:szCs w:val="24"/>
        </w:rPr>
        <w:t>生物学重复）。采用单因素方差分析（ANOVA）和Tukey事后检验计算</w:t>
      </w:r>
      <w:r w:rsidRPr="00736BD1">
        <w:rPr>
          <w:rFonts w:ascii="微软雅黑" w:eastAsia="微软雅黑" w:hAnsi="微软雅黑" w:cs="宋体"/>
          <w:i/>
          <w:iCs/>
          <w:kern w:val="0"/>
          <w:sz w:val="24"/>
          <w:szCs w:val="24"/>
        </w:rPr>
        <w:t>P值（* P</w:t>
      </w:r>
      <w:r w:rsidRPr="00736BD1">
        <w:rPr>
          <w:rFonts w:ascii="微软雅黑" w:eastAsia="微软雅黑" w:hAnsi="微软雅黑" w:cs="宋体"/>
          <w:kern w:val="0"/>
          <w:sz w:val="24"/>
          <w:szCs w:val="24"/>
        </w:rPr>
        <w:t> ≤ 0.05；** </w:t>
      </w:r>
      <w:r w:rsidRPr="00736BD1">
        <w:rPr>
          <w:rFonts w:ascii="微软雅黑" w:eastAsia="微软雅黑" w:hAnsi="微软雅黑" w:cs="宋体"/>
          <w:i/>
          <w:iCs/>
          <w:kern w:val="0"/>
          <w:sz w:val="24"/>
          <w:szCs w:val="24"/>
        </w:rPr>
        <w:t>P</w:t>
      </w:r>
      <w:r w:rsidRPr="00736BD1">
        <w:rPr>
          <w:rFonts w:ascii="微软雅黑" w:eastAsia="微软雅黑" w:hAnsi="微软雅黑" w:cs="宋体"/>
          <w:kern w:val="0"/>
          <w:sz w:val="24"/>
          <w:szCs w:val="24"/>
        </w:rPr>
        <w:t> ≤ 0.001；*** </w:t>
      </w:r>
      <w:r w:rsidRPr="00736BD1">
        <w:rPr>
          <w:rFonts w:ascii="微软雅黑" w:eastAsia="微软雅黑" w:hAnsi="微软雅黑" w:cs="宋体"/>
          <w:i/>
          <w:iCs/>
          <w:kern w:val="0"/>
          <w:sz w:val="24"/>
          <w:szCs w:val="24"/>
        </w:rPr>
        <w:t>P</w:t>
      </w:r>
      <w:r w:rsidRPr="00736BD1">
        <w:rPr>
          <w:rFonts w:ascii="微软雅黑" w:eastAsia="微软雅黑" w:hAnsi="微软雅黑" w:cs="宋体"/>
          <w:kern w:val="0"/>
          <w:sz w:val="24"/>
          <w:szCs w:val="24"/>
        </w:rPr>
        <w:t> ≤ 0.0001）。（</w:t>
      </w:r>
      <w:r w:rsidRPr="00736BD1">
        <w:rPr>
          <w:rFonts w:ascii="微软雅黑" w:eastAsia="微软雅黑" w:hAnsi="微软雅黑" w:cs="宋体"/>
          <w:b/>
          <w:bCs/>
          <w:kern w:val="0"/>
          <w:sz w:val="24"/>
          <w:szCs w:val="24"/>
        </w:rPr>
        <w:t>E</w:t>
      </w:r>
      <w:r w:rsidRPr="00736BD1">
        <w:rPr>
          <w:rFonts w:ascii="微软雅黑" w:eastAsia="微软雅黑" w:hAnsi="微软雅黑" w:cs="宋体"/>
          <w:kern w:val="0"/>
          <w:sz w:val="24"/>
          <w:szCs w:val="24"/>
        </w:rPr>
        <w:t xml:space="preserve">）第28天，用帕博西尼（1 </w:t>
      </w:r>
      <w:proofErr w:type="spellStart"/>
      <w:r w:rsidRPr="00736BD1">
        <w:rPr>
          <w:rFonts w:ascii="微软雅黑" w:eastAsia="微软雅黑" w:hAnsi="微软雅黑" w:cs="宋体"/>
          <w:kern w:val="0"/>
          <w:sz w:val="24"/>
          <w:szCs w:val="24"/>
        </w:rPr>
        <w:t>μM</w:t>
      </w:r>
      <w:proofErr w:type="spellEnd"/>
      <w:r w:rsidRPr="00736BD1">
        <w:rPr>
          <w:rFonts w:ascii="微软雅黑" w:eastAsia="微软雅黑" w:hAnsi="微软雅黑" w:cs="宋体"/>
          <w:kern w:val="0"/>
          <w:sz w:val="24"/>
          <w:szCs w:val="24"/>
        </w:rPr>
        <w:t>）、</w:t>
      </w:r>
      <w:proofErr w:type="gramStart"/>
      <w:r w:rsidRPr="00736BD1">
        <w:rPr>
          <w:rFonts w:ascii="微软雅黑" w:eastAsia="微软雅黑" w:hAnsi="微软雅黑" w:cs="宋体"/>
          <w:kern w:val="0"/>
          <w:sz w:val="24"/>
          <w:szCs w:val="24"/>
        </w:rPr>
        <w:t>氟维司群</w:t>
      </w:r>
      <w:proofErr w:type="gramEnd"/>
      <w:r w:rsidRPr="00736BD1">
        <w:rPr>
          <w:rFonts w:ascii="微软雅黑" w:eastAsia="微软雅黑" w:hAnsi="微软雅黑" w:cs="宋体"/>
          <w:kern w:val="0"/>
          <w:sz w:val="24"/>
          <w:szCs w:val="24"/>
        </w:rPr>
        <w:t xml:space="preserve">（500 </w:t>
      </w:r>
      <w:proofErr w:type="spellStart"/>
      <w:r w:rsidRPr="00736BD1">
        <w:rPr>
          <w:rFonts w:ascii="微软雅黑" w:eastAsia="微软雅黑" w:hAnsi="微软雅黑" w:cs="宋体"/>
          <w:kern w:val="0"/>
          <w:sz w:val="24"/>
          <w:szCs w:val="24"/>
        </w:rPr>
        <w:t>nM</w:t>
      </w:r>
      <w:proofErr w:type="spellEnd"/>
      <w:r w:rsidRPr="00736BD1">
        <w:rPr>
          <w:rFonts w:ascii="微软雅黑" w:eastAsia="微软雅黑" w:hAnsi="微软雅黑" w:cs="宋体"/>
          <w:kern w:val="0"/>
          <w:sz w:val="24"/>
          <w:szCs w:val="24"/>
        </w:rPr>
        <w:t xml:space="preserve">）和SY5609（50 </w:t>
      </w:r>
      <w:proofErr w:type="spellStart"/>
      <w:r w:rsidRPr="00736BD1">
        <w:rPr>
          <w:rFonts w:ascii="微软雅黑" w:eastAsia="微软雅黑" w:hAnsi="微软雅黑" w:cs="宋体"/>
          <w:kern w:val="0"/>
          <w:sz w:val="24"/>
          <w:szCs w:val="24"/>
        </w:rPr>
        <w:t>nM</w:t>
      </w:r>
      <w:proofErr w:type="spellEnd"/>
      <w:r w:rsidRPr="00736BD1">
        <w:rPr>
          <w:rFonts w:ascii="微软雅黑" w:eastAsia="微软雅黑" w:hAnsi="微软雅黑" w:cs="宋体"/>
          <w:kern w:val="0"/>
          <w:sz w:val="24"/>
          <w:szCs w:val="24"/>
        </w:rPr>
        <w:t>）的指定组合处理HR </w:t>
      </w:r>
      <w:r w:rsidRPr="00736BD1">
        <w:rPr>
          <w:rFonts w:ascii="微软雅黑" w:eastAsia="微软雅黑" w:hAnsi="微软雅黑" w:cs="宋体"/>
          <w:kern w:val="0"/>
          <w:sz w:val="24"/>
          <w:szCs w:val="24"/>
          <w:vertAlign w:val="superscript"/>
        </w:rPr>
        <w:t>&lt;sup&gt;+</w:t>
      </w:r>
      <w:r w:rsidRPr="00736BD1">
        <w:rPr>
          <w:rFonts w:ascii="微软雅黑" w:eastAsia="微软雅黑" w:hAnsi="微软雅黑" w:cs="宋体"/>
          <w:kern w:val="0"/>
          <w:sz w:val="24"/>
          <w:szCs w:val="24"/>
        </w:rPr>
        <w:t> </w:t>
      </w:r>
      <w:r w:rsidRPr="00736BD1">
        <w:rPr>
          <w:rFonts w:ascii="微软雅黑" w:eastAsia="微软雅黑" w:hAnsi="微软雅黑" w:cs="宋体"/>
          <w:kern w:val="0"/>
          <w:sz w:val="24"/>
          <w:szCs w:val="24"/>
          <w:vertAlign w:val="superscript"/>
        </w:rPr>
        <w:t>&lt;/sup&gt;</w:t>
      </w:r>
      <w:r w:rsidRPr="00736BD1">
        <w:rPr>
          <w:rFonts w:ascii="微软雅黑" w:eastAsia="微软雅黑" w:hAnsi="微软雅黑" w:cs="宋体"/>
          <w:kern w:val="0"/>
          <w:sz w:val="24"/>
          <w:szCs w:val="24"/>
        </w:rPr>
        <w:t xml:space="preserve"> /HER2 </w:t>
      </w:r>
      <w:r w:rsidRPr="00736BD1">
        <w:rPr>
          <w:rFonts w:ascii="微软雅黑" w:eastAsia="微软雅黑" w:hAnsi="微软雅黑" w:cs="宋体"/>
          <w:kern w:val="0"/>
          <w:sz w:val="24"/>
          <w:szCs w:val="24"/>
          <w:vertAlign w:val="superscript"/>
        </w:rPr>
        <w:t xml:space="preserve">&lt;sup&gt; - &lt;/sup&gt; </w:t>
      </w:r>
      <w:proofErr w:type="spellStart"/>
      <w:r w:rsidRPr="00736BD1">
        <w:rPr>
          <w:rFonts w:ascii="微软雅黑" w:eastAsia="微软雅黑" w:hAnsi="微软雅黑" w:cs="宋体"/>
          <w:kern w:val="0"/>
          <w:sz w:val="24"/>
          <w:szCs w:val="24"/>
        </w:rPr>
        <w:t>PDxO</w:t>
      </w:r>
      <w:proofErr w:type="spellEnd"/>
      <w:r w:rsidRPr="00736BD1">
        <w:rPr>
          <w:rFonts w:ascii="微软雅黑" w:eastAsia="微软雅黑" w:hAnsi="微软雅黑" w:cs="宋体"/>
          <w:kern w:val="0"/>
          <w:sz w:val="24"/>
          <w:szCs w:val="24"/>
        </w:rPr>
        <w:t>（HCI-017和HCI-003）的代表性明场图像（</w:t>
      </w:r>
      <w:r w:rsidRPr="00736BD1">
        <w:rPr>
          <w:rFonts w:ascii="微软雅黑" w:eastAsia="微软雅黑" w:hAnsi="微软雅黑" w:cs="宋体"/>
          <w:i/>
          <w:iCs/>
          <w:kern w:val="0"/>
          <w:sz w:val="24"/>
          <w:szCs w:val="24"/>
        </w:rPr>
        <w:t>n</w:t>
      </w:r>
      <w:r w:rsidRPr="00736BD1">
        <w:rPr>
          <w:rFonts w:ascii="微软雅黑" w:eastAsia="微软雅黑" w:hAnsi="微软雅黑" w:cs="宋体"/>
          <w:kern w:val="0"/>
          <w:sz w:val="24"/>
          <w:szCs w:val="24"/>
        </w:rPr>
        <w:t xml:space="preserve"> = 3个生物学重复）。比例尺：100 </w:t>
      </w:r>
      <w:proofErr w:type="spellStart"/>
      <w:r w:rsidRPr="00736BD1">
        <w:rPr>
          <w:rFonts w:ascii="微软雅黑" w:eastAsia="微软雅黑" w:hAnsi="微软雅黑" w:cs="宋体"/>
          <w:kern w:val="0"/>
          <w:sz w:val="24"/>
          <w:szCs w:val="24"/>
        </w:rPr>
        <w:t>μm</w:t>
      </w:r>
      <w:proofErr w:type="spellEnd"/>
      <w:r w:rsidRPr="00736BD1">
        <w:rPr>
          <w:rFonts w:ascii="微软雅黑" w:eastAsia="微软雅黑" w:hAnsi="微软雅黑" w:cs="宋体"/>
          <w:kern w:val="0"/>
          <w:sz w:val="24"/>
          <w:szCs w:val="24"/>
        </w:rPr>
        <w:t>。（</w:t>
      </w:r>
      <w:r w:rsidRPr="00736BD1">
        <w:rPr>
          <w:rFonts w:ascii="微软雅黑" w:eastAsia="微软雅黑" w:hAnsi="微软雅黑" w:cs="宋体"/>
          <w:b/>
          <w:bCs/>
          <w:kern w:val="0"/>
          <w:sz w:val="24"/>
          <w:szCs w:val="24"/>
        </w:rPr>
        <w:t>F</w:t>
      </w:r>
      <w:r w:rsidRPr="00736BD1">
        <w:rPr>
          <w:rFonts w:ascii="微软雅黑" w:eastAsia="微软雅黑" w:hAnsi="微软雅黑" w:cs="宋体"/>
          <w:kern w:val="0"/>
          <w:sz w:val="24"/>
          <w:szCs w:val="24"/>
        </w:rPr>
        <w:t>）第0天和第28天类器官活力的定量分析。数据以平均值±标准差表示（</w:t>
      </w:r>
      <w:r w:rsidRPr="00736BD1">
        <w:rPr>
          <w:rFonts w:ascii="微软雅黑" w:eastAsia="微软雅黑" w:hAnsi="微软雅黑" w:cs="宋体"/>
          <w:i/>
          <w:iCs/>
          <w:kern w:val="0"/>
          <w:sz w:val="24"/>
          <w:szCs w:val="24"/>
        </w:rPr>
        <w:t>n</w:t>
      </w:r>
      <w:r w:rsidRPr="00736BD1">
        <w:rPr>
          <w:rFonts w:ascii="微软雅黑" w:eastAsia="微软雅黑" w:hAnsi="微软雅黑" w:cs="宋体"/>
          <w:kern w:val="0"/>
          <w:sz w:val="24"/>
          <w:szCs w:val="24"/>
        </w:rPr>
        <w:t> = 3个生物学重复）。采用单因素方差分析和事后Tukey检验计算</w:t>
      </w:r>
      <w:r w:rsidRPr="00736BD1">
        <w:rPr>
          <w:rFonts w:ascii="微软雅黑" w:eastAsia="微软雅黑" w:hAnsi="微软雅黑" w:cs="宋体"/>
          <w:i/>
          <w:iCs/>
          <w:kern w:val="0"/>
          <w:sz w:val="24"/>
          <w:szCs w:val="24"/>
        </w:rPr>
        <w:t>P值（* P</w:t>
      </w:r>
      <w:r w:rsidRPr="00736BD1">
        <w:rPr>
          <w:rFonts w:ascii="微软雅黑" w:eastAsia="微软雅黑" w:hAnsi="微软雅黑" w:cs="宋体"/>
          <w:kern w:val="0"/>
          <w:sz w:val="24"/>
          <w:szCs w:val="24"/>
        </w:rPr>
        <w:t> ≤ 0.05；** </w:t>
      </w:r>
      <w:r w:rsidRPr="00736BD1">
        <w:rPr>
          <w:rFonts w:ascii="微软雅黑" w:eastAsia="微软雅黑" w:hAnsi="微软雅黑" w:cs="宋体"/>
          <w:i/>
          <w:iCs/>
          <w:kern w:val="0"/>
          <w:sz w:val="24"/>
          <w:szCs w:val="24"/>
        </w:rPr>
        <w:t>P</w:t>
      </w:r>
      <w:r w:rsidRPr="00736BD1">
        <w:rPr>
          <w:rFonts w:ascii="微软雅黑" w:eastAsia="微软雅黑" w:hAnsi="微软雅黑" w:cs="宋体"/>
          <w:kern w:val="0"/>
          <w:sz w:val="24"/>
          <w:szCs w:val="24"/>
        </w:rPr>
        <w:t> ≤ 0.001；*** </w:t>
      </w:r>
      <w:r w:rsidRPr="00736BD1">
        <w:rPr>
          <w:rFonts w:ascii="微软雅黑" w:eastAsia="微软雅黑" w:hAnsi="微软雅黑" w:cs="宋体"/>
          <w:i/>
          <w:iCs/>
          <w:kern w:val="0"/>
          <w:sz w:val="24"/>
          <w:szCs w:val="24"/>
        </w:rPr>
        <w:t>P</w:t>
      </w:r>
      <w:r w:rsidRPr="00736BD1">
        <w:rPr>
          <w:rFonts w:ascii="微软雅黑" w:eastAsia="微软雅黑" w:hAnsi="微软雅黑" w:cs="宋体"/>
          <w:kern w:val="0"/>
          <w:sz w:val="24"/>
          <w:szCs w:val="24"/>
        </w:rPr>
        <w:t> ≤ 0.0001）。</w:t>
      </w:r>
    </w:p>
    <w:p w14:paraId="20DEEDA6" w14:textId="77777777" w:rsidR="00736BD1" w:rsidRPr="00736BD1" w:rsidRDefault="00736BD1" w:rsidP="00736BD1">
      <w:pPr>
        <w:widowControl/>
        <w:spacing w:line="450" w:lineRule="atLeast"/>
        <w:outlineLvl w:val="2"/>
        <w:rPr>
          <w:rFonts w:ascii="微软雅黑" w:eastAsia="微软雅黑" w:hAnsi="微软雅黑" w:cs="宋体"/>
          <w:kern w:val="0"/>
          <w:sz w:val="32"/>
          <w:szCs w:val="32"/>
        </w:rPr>
      </w:pPr>
      <w:r w:rsidRPr="00736BD1">
        <w:rPr>
          <w:rFonts w:ascii="微软雅黑" w:eastAsia="微软雅黑" w:hAnsi="微软雅黑" w:cs="宋体"/>
          <w:kern w:val="0"/>
          <w:sz w:val="32"/>
          <w:szCs w:val="32"/>
        </w:rPr>
        <w:t>CDK4/6i 和 CDK7i 联合治疗是 TNBC 的主要治疗策略。</w:t>
      </w:r>
    </w:p>
    <w:p w14:paraId="234FAF8E" w14:textId="77777777" w:rsidR="00736BD1" w:rsidRPr="00736BD1" w:rsidRDefault="00736BD1" w:rsidP="00736BD1">
      <w:pPr>
        <w:widowControl/>
        <w:spacing w:before="450"/>
        <w:rPr>
          <w:rFonts w:ascii="微软雅黑" w:eastAsia="微软雅黑" w:hAnsi="微软雅黑" w:cs="宋体"/>
          <w:kern w:val="0"/>
          <w:sz w:val="24"/>
          <w:szCs w:val="24"/>
        </w:rPr>
      </w:pPr>
      <w:r w:rsidRPr="00736BD1">
        <w:rPr>
          <w:rFonts w:ascii="微软雅黑" w:eastAsia="微软雅黑" w:hAnsi="微软雅黑" w:cs="宋体"/>
          <w:kern w:val="0"/>
          <w:sz w:val="24"/>
          <w:szCs w:val="24"/>
        </w:rPr>
        <w:t>接下来，我们评估了在三阴性乳腺癌（TNBC）模型中联合使用 CDK4/6 抑制剂和 CDK7 抑制剂作为主要治疗方案的疗效。在 2 例 TNBC 患者来源异种移植瘤（</w:t>
      </w:r>
      <w:proofErr w:type="spellStart"/>
      <w:r w:rsidRPr="00736BD1">
        <w:rPr>
          <w:rFonts w:ascii="微软雅黑" w:eastAsia="微软雅黑" w:hAnsi="微软雅黑" w:cs="宋体"/>
          <w:kern w:val="0"/>
          <w:sz w:val="24"/>
          <w:szCs w:val="24"/>
        </w:rPr>
        <w:t>PDxO</w:t>
      </w:r>
      <w:proofErr w:type="spellEnd"/>
      <w:r w:rsidRPr="00736BD1">
        <w:rPr>
          <w:rFonts w:ascii="微软雅黑" w:eastAsia="微软雅黑" w:hAnsi="微软雅黑" w:cs="宋体"/>
          <w:kern w:val="0"/>
          <w:sz w:val="24"/>
          <w:szCs w:val="24"/>
        </w:rPr>
        <w:t>）中，与单药治疗相比，联合治疗显著抑制了肿瘤生长（</w:t>
      </w:r>
      <w:r w:rsidRPr="00736BD1">
        <w:rPr>
          <w:rFonts w:ascii="微软雅黑" w:eastAsia="微软雅黑" w:hAnsi="微软雅黑" w:cs="宋体"/>
          <w:kern w:val="0"/>
          <w:sz w:val="24"/>
          <w:szCs w:val="24"/>
        </w:rPr>
        <w:fldChar w:fldCharType="begin"/>
      </w:r>
      <w:r w:rsidRPr="00736BD1">
        <w:rPr>
          <w:rFonts w:ascii="微软雅黑" w:eastAsia="微软雅黑" w:hAnsi="微软雅黑" w:cs="宋体"/>
          <w:kern w:val="0"/>
          <w:sz w:val="24"/>
          <w:szCs w:val="24"/>
        </w:rPr>
        <w:instrText xml:space="preserve"> HYPERLINK "https://pmc.ncbi.nlm.nih.gov/articles/PMC12520673/" \l "F5" </w:instrText>
      </w:r>
      <w:r w:rsidRPr="00736BD1">
        <w:rPr>
          <w:rFonts w:ascii="微软雅黑" w:eastAsia="微软雅黑" w:hAnsi="微软雅黑" w:cs="宋体"/>
          <w:kern w:val="0"/>
          <w:sz w:val="24"/>
          <w:szCs w:val="24"/>
        </w:rPr>
        <w:fldChar w:fldCharType="separate"/>
      </w:r>
      <w:r w:rsidRPr="00736BD1">
        <w:rPr>
          <w:rFonts w:ascii="微软雅黑" w:eastAsia="微软雅黑" w:hAnsi="微软雅黑" w:cs="宋体"/>
          <w:kern w:val="0"/>
          <w:sz w:val="24"/>
          <w:szCs w:val="24"/>
          <w:u w:val="single"/>
        </w:rPr>
        <w:t>图 5A 和 5B</w:t>
      </w:r>
      <w:r w:rsidRPr="00736BD1">
        <w:rPr>
          <w:rFonts w:ascii="微软雅黑" w:eastAsia="微软雅黑" w:hAnsi="微软雅黑" w:cs="宋体"/>
          <w:kern w:val="0"/>
          <w:sz w:val="24"/>
          <w:szCs w:val="24"/>
        </w:rPr>
        <w:fldChar w:fldCharType="end"/>
      </w:r>
      <w:r w:rsidRPr="00736BD1">
        <w:rPr>
          <w:rFonts w:ascii="微软雅黑" w:eastAsia="微软雅黑" w:hAnsi="微软雅黑" w:cs="宋体"/>
          <w:kern w:val="0"/>
          <w:sz w:val="24"/>
          <w:szCs w:val="24"/>
        </w:rPr>
        <w:t>，以及</w:t>
      </w:r>
      <w:r w:rsidRPr="00736BD1">
        <w:rPr>
          <w:rFonts w:ascii="微软雅黑" w:eastAsia="微软雅黑" w:hAnsi="微软雅黑" w:cs="宋体"/>
          <w:kern w:val="0"/>
          <w:sz w:val="24"/>
          <w:szCs w:val="24"/>
        </w:rPr>
        <w:fldChar w:fldCharType="begin"/>
      </w:r>
      <w:r w:rsidRPr="00736BD1">
        <w:rPr>
          <w:rFonts w:ascii="微软雅黑" w:eastAsia="微软雅黑" w:hAnsi="微软雅黑" w:cs="宋体"/>
          <w:kern w:val="0"/>
          <w:sz w:val="24"/>
          <w:szCs w:val="24"/>
        </w:rPr>
        <w:instrText xml:space="preserve"> HYPERLINK "https://pmc.ncbi.nlm.nih.gov/articles/PMC12520673/" \l "sd" </w:instrText>
      </w:r>
      <w:r w:rsidRPr="00736BD1">
        <w:rPr>
          <w:rFonts w:ascii="微软雅黑" w:eastAsia="微软雅黑" w:hAnsi="微软雅黑" w:cs="宋体"/>
          <w:kern w:val="0"/>
          <w:sz w:val="24"/>
          <w:szCs w:val="24"/>
        </w:rPr>
        <w:fldChar w:fldCharType="separate"/>
      </w:r>
      <w:r w:rsidRPr="00736BD1">
        <w:rPr>
          <w:rFonts w:ascii="微软雅黑" w:eastAsia="微软雅黑" w:hAnsi="微软雅黑" w:cs="宋体"/>
          <w:kern w:val="0"/>
          <w:sz w:val="24"/>
          <w:szCs w:val="24"/>
          <w:u w:val="single"/>
        </w:rPr>
        <w:t>补充图 6B</w:t>
      </w:r>
      <w:r w:rsidRPr="00736BD1">
        <w:rPr>
          <w:rFonts w:ascii="微软雅黑" w:eastAsia="微软雅黑" w:hAnsi="微软雅黑" w:cs="宋体"/>
          <w:kern w:val="0"/>
          <w:sz w:val="24"/>
          <w:szCs w:val="24"/>
        </w:rPr>
        <w:fldChar w:fldCharType="end"/>
      </w:r>
      <w:r w:rsidRPr="00736BD1">
        <w:rPr>
          <w:rFonts w:ascii="微软雅黑" w:eastAsia="微软雅黑" w:hAnsi="微软雅黑" w:cs="宋体"/>
          <w:kern w:val="0"/>
          <w:sz w:val="24"/>
          <w:szCs w:val="24"/>
        </w:rPr>
        <w:t>和 6C）。虽然单药治疗的肿瘤会随着时间推移产生耐药性，但联合治疗在 25 天的治疗期内维持了持续的抗肿瘤作用。为了研究 CDK4/6 抑制剂和 CDK7 抑制剂在体内的治疗潜力，我们通过将人 MDA-MB-231 细胞原位注射到免疫缺陷型 J:NU 小鼠体内，以及将小鼠 AT3 </w:t>
      </w:r>
      <w:r w:rsidRPr="00736BD1">
        <w:rPr>
          <w:rFonts w:ascii="微软雅黑" w:eastAsia="微软雅黑" w:hAnsi="微软雅黑" w:cs="宋体"/>
          <w:kern w:val="0"/>
          <w:sz w:val="24"/>
          <w:szCs w:val="24"/>
          <w:vertAlign w:val="superscript"/>
        </w:rPr>
        <w:t>OVA</w:t>
      </w:r>
      <w:r w:rsidRPr="00736BD1">
        <w:rPr>
          <w:rFonts w:ascii="微软雅黑" w:eastAsia="微软雅黑" w:hAnsi="微软雅黑" w:cs="宋体"/>
          <w:kern w:val="0"/>
          <w:sz w:val="24"/>
          <w:szCs w:val="24"/>
        </w:rPr>
        <w:t>细胞原位注射到免疫功能正常的 C57BL/6J 小鼠体内，建立了异种移植和同源 TNBC 模型。当肿瘤平均体积达到约 100 mm³ 时，小鼠分别接受 CDK4/6 抑制剂（帕博西尼；</w:t>
      </w:r>
      <w:r w:rsidRPr="00736BD1">
        <w:rPr>
          <w:rFonts w:ascii="微软雅黑" w:eastAsia="微软雅黑" w:hAnsi="微软雅黑" w:cs="宋体"/>
          <w:kern w:val="0"/>
          <w:sz w:val="24"/>
          <w:szCs w:val="24"/>
        </w:rPr>
        <w:lastRenderedPageBreak/>
        <w:t>50 mg/kg）、CDK7 抑制剂（SY5609；2 mg/kg）或二者联合治疗。尽管单药治疗延缓了肿瘤进展，但在两种模型中均出现了耐药性（</w:t>
      </w:r>
      <w:r w:rsidRPr="00736BD1">
        <w:rPr>
          <w:rFonts w:ascii="微软雅黑" w:eastAsia="微软雅黑" w:hAnsi="微软雅黑" w:cs="宋体"/>
          <w:kern w:val="0"/>
          <w:sz w:val="24"/>
          <w:szCs w:val="24"/>
        </w:rPr>
        <w:fldChar w:fldCharType="begin"/>
      </w:r>
      <w:r w:rsidRPr="00736BD1">
        <w:rPr>
          <w:rFonts w:ascii="微软雅黑" w:eastAsia="微软雅黑" w:hAnsi="微软雅黑" w:cs="宋体"/>
          <w:kern w:val="0"/>
          <w:sz w:val="24"/>
          <w:szCs w:val="24"/>
        </w:rPr>
        <w:instrText xml:space="preserve"> HYPERLINK "https://pmc.ncbi.nlm.nih.gov/articles/PMC12520673/" \l "F5" </w:instrText>
      </w:r>
      <w:r w:rsidRPr="00736BD1">
        <w:rPr>
          <w:rFonts w:ascii="微软雅黑" w:eastAsia="微软雅黑" w:hAnsi="微软雅黑" w:cs="宋体"/>
          <w:kern w:val="0"/>
          <w:sz w:val="24"/>
          <w:szCs w:val="24"/>
        </w:rPr>
        <w:fldChar w:fldCharType="separate"/>
      </w:r>
      <w:r w:rsidRPr="00736BD1">
        <w:rPr>
          <w:rFonts w:ascii="微软雅黑" w:eastAsia="微软雅黑" w:hAnsi="微软雅黑" w:cs="宋体"/>
          <w:kern w:val="0"/>
          <w:sz w:val="24"/>
          <w:szCs w:val="24"/>
          <w:u w:val="single"/>
        </w:rPr>
        <w:t>图5，C-E</w:t>
      </w:r>
      <w:r w:rsidRPr="00736BD1">
        <w:rPr>
          <w:rFonts w:ascii="微软雅黑" w:eastAsia="微软雅黑" w:hAnsi="微软雅黑" w:cs="宋体"/>
          <w:kern w:val="0"/>
          <w:sz w:val="24"/>
          <w:szCs w:val="24"/>
        </w:rPr>
        <w:fldChar w:fldCharType="end"/>
      </w:r>
      <w:r w:rsidRPr="00736BD1">
        <w:rPr>
          <w:rFonts w:ascii="微软雅黑" w:eastAsia="微软雅黑" w:hAnsi="微软雅黑" w:cs="宋体"/>
          <w:kern w:val="0"/>
          <w:sz w:val="24"/>
          <w:szCs w:val="24"/>
        </w:rPr>
        <w:t>，以及</w:t>
      </w:r>
      <w:r w:rsidRPr="00736BD1">
        <w:rPr>
          <w:rFonts w:ascii="微软雅黑" w:eastAsia="微软雅黑" w:hAnsi="微软雅黑" w:cs="宋体"/>
          <w:kern w:val="0"/>
          <w:sz w:val="24"/>
          <w:szCs w:val="24"/>
        </w:rPr>
        <w:fldChar w:fldCharType="begin"/>
      </w:r>
      <w:r w:rsidRPr="00736BD1">
        <w:rPr>
          <w:rFonts w:ascii="微软雅黑" w:eastAsia="微软雅黑" w:hAnsi="微软雅黑" w:cs="宋体"/>
          <w:kern w:val="0"/>
          <w:sz w:val="24"/>
          <w:szCs w:val="24"/>
        </w:rPr>
        <w:instrText xml:space="preserve"> HYPERLINK "https://pmc.ncbi.nlm.nih.gov/articles/PMC12520673/" \l "sd" </w:instrText>
      </w:r>
      <w:r w:rsidRPr="00736BD1">
        <w:rPr>
          <w:rFonts w:ascii="微软雅黑" w:eastAsia="微软雅黑" w:hAnsi="微软雅黑" w:cs="宋体"/>
          <w:kern w:val="0"/>
          <w:sz w:val="24"/>
          <w:szCs w:val="24"/>
        </w:rPr>
        <w:fldChar w:fldCharType="separate"/>
      </w:r>
      <w:r w:rsidRPr="00736BD1">
        <w:rPr>
          <w:rFonts w:ascii="微软雅黑" w:eastAsia="微软雅黑" w:hAnsi="微软雅黑" w:cs="宋体"/>
          <w:kern w:val="0"/>
          <w:sz w:val="24"/>
          <w:szCs w:val="24"/>
          <w:u w:val="single"/>
        </w:rPr>
        <w:t>补充图6</w:t>
      </w:r>
      <w:r w:rsidRPr="00736BD1">
        <w:rPr>
          <w:rFonts w:ascii="微软雅黑" w:eastAsia="微软雅黑" w:hAnsi="微软雅黑" w:cs="宋体"/>
          <w:kern w:val="0"/>
          <w:sz w:val="24"/>
          <w:szCs w:val="24"/>
        </w:rPr>
        <w:fldChar w:fldCharType="end"/>
      </w:r>
      <w:r w:rsidRPr="00736BD1">
        <w:rPr>
          <w:rFonts w:ascii="微软雅黑" w:eastAsia="微软雅黑" w:hAnsi="微软雅黑" w:cs="宋体"/>
          <w:kern w:val="0"/>
          <w:sz w:val="24"/>
          <w:szCs w:val="24"/>
        </w:rPr>
        <w:t>，D-H）。相比之下，联合治疗在两种模型中均诱导了持久的肿瘤抑制。值得注意的是，与免疫缺陷的异种移植模型相比，免疫功能正常的同源模型中的肿瘤消退更为显著。虽然这可能部分归因于同源模型中更具侵袭性的肿瘤生长动力学，但也表明免疫成分对增强的治疗反应有所贡献。为了直接验证这一点，我们比较了CDK4/6抑制剂和CDK7抑制剂联合治疗在免疫缺陷和免疫功能正常的小鼠体内建立的AT3 </w:t>
      </w:r>
      <w:r w:rsidRPr="00736BD1">
        <w:rPr>
          <w:rFonts w:ascii="微软雅黑" w:eastAsia="微软雅黑" w:hAnsi="微软雅黑" w:cs="宋体"/>
          <w:kern w:val="0"/>
          <w:sz w:val="24"/>
          <w:szCs w:val="24"/>
          <w:vertAlign w:val="superscript"/>
        </w:rPr>
        <w:t>OVA</w:t>
      </w:r>
      <w:r w:rsidRPr="00736BD1">
        <w:rPr>
          <w:rFonts w:ascii="微软雅黑" w:eastAsia="微软雅黑" w:hAnsi="微软雅黑" w:cs="宋体"/>
          <w:kern w:val="0"/>
          <w:sz w:val="24"/>
          <w:szCs w:val="24"/>
        </w:rPr>
        <w:t>肿瘤中的疗效。在免疫系统完整的情况下，联合治疗实现了显著更高的肿瘤抑制效果（</w:t>
      </w:r>
      <w:hyperlink r:id="rId48" w:anchor="F5" w:history="1">
        <w:r w:rsidRPr="00736BD1">
          <w:rPr>
            <w:rFonts w:ascii="微软雅黑" w:eastAsia="微软雅黑" w:hAnsi="微软雅黑" w:cs="宋体"/>
            <w:kern w:val="0"/>
            <w:sz w:val="24"/>
            <w:szCs w:val="24"/>
            <w:u w:val="single"/>
          </w:rPr>
          <w:t>图5，F和G</w:t>
        </w:r>
      </w:hyperlink>
      <w:r w:rsidRPr="00736BD1">
        <w:rPr>
          <w:rFonts w:ascii="微软雅黑" w:eastAsia="微软雅黑" w:hAnsi="微软雅黑" w:cs="宋体"/>
          <w:kern w:val="0"/>
          <w:sz w:val="24"/>
          <w:szCs w:val="24"/>
        </w:rPr>
        <w:t>），表明治疗获益涉及肿瘤内在机制和免疫</w:t>
      </w:r>
      <w:proofErr w:type="gramStart"/>
      <w:r w:rsidRPr="00736BD1">
        <w:rPr>
          <w:rFonts w:ascii="微软雅黑" w:eastAsia="微软雅黑" w:hAnsi="微软雅黑" w:cs="宋体"/>
          <w:kern w:val="0"/>
          <w:sz w:val="24"/>
          <w:szCs w:val="24"/>
        </w:rPr>
        <w:t>介</w:t>
      </w:r>
      <w:proofErr w:type="gramEnd"/>
      <w:r w:rsidRPr="00736BD1">
        <w:rPr>
          <w:rFonts w:ascii="微软雅黑" w:eastAsia="微软雅黑" w:hAnsi="微软雅黑" w:cs="宋体"/>
          <w:kern w:val="0"/>
          <w:sz w:val="24"/>
          <w:szCs w:val="24"/>
        </w:rPr>
        <w:t>导机制。</w:t>
      </w:r>
    </w:p>
    <w:p w14:paraId="430EA18B" w14:textId="77777777" w:rsidR="00736BD1" w:rsidRPr="00736BD1" w:rsidRDefault="00736BD1" w:rsidP="00736BD1">
      <w:pPr>
        <w:widowControl/>
        <w:spacing w:line="450" w:lineRule="atLeast"/>
        <w:outlineLvl w:val="3"/>
        <w:rPr>
          <w:rFonts w:ascii="微软雅黑" w:eastAsia="微软雅黑" w:hAnsi="微软雅黑" w:cs="宋体"/>
          <w:kern w:val="0"/>
          <w:sz w:val="30"/>
          <w:szCs w:val="30"/>
        </w:rPr>
      </w:pPr>
      <w:r w:rsidRPr="00736BD1">
        <w:rPr>
          <w:rFonts w:ascii="微软雅黑" w:eastAsia="微软雅黑" w:hAnsi="微软雅黑" w:cs="宋体"/>
          <w:kern w:val="0"/>
          <w:sz w:val="30"/>
          <w:szCs w:val="30"/>
        </w:rPr>
        <w:t>图 5. CDK4/6i 和 CDK7i 联合治疗在 TNBC 模型中的疗效。</w:t>
      </w:r>
    </w:p>
    <w:p w14:paraId="23582BDD" w14:textId="4CAC506C" w:rsidR="00736BD1" w:rsidRPr="00736BD1" w:rsidRDefault="00736BD1" w:rsidP="00736BD1">
      <w:pPr>
        <w:widowControl/>
        <w:spacing w:before="450"/>
        <w:rPr>
          <w:rFonts w:ascii="微软雅黑" w:eastAsia="微软雅黑" w:hAnsi="微软雅黑" w:cs="宋体"/>
          <w:kern w:val="0"/>
          <w:sz w:val="24"/>
          <w:szCs w:val="24"/>
        </w:rPr>
      </w:pPr>
      <w:r w:rsidRPr="00736BD1">
        <w:rPr>
          <w:rFonts w:ascii="微软雅黑" w:eastAsia="微软雅黑" w:hAnsi="微软雅黑" w:cs="宋体"/>
          <w:noProof/>
          <w:kern w:val="0"/>
          <w:sz w:val="24"/>
          <w:szCs w:val="24"/>
        </w:rPr>
        <w:lastRenderedPageBreak/>
        <w:drawing>
          <wp:inline distT="0" distB="0" distL="0" distR="0" wp14:anchorId="31971ACC" wp14:editId="318EC1C4">
            <wp:extent cx="5274310" cy="4862830"/>
            <wp:effectExtent l="0" t="0" r="2540" b="0"/>
            <wp:docPr id="4" name="图片 4" descr="图 5">
              <a:hlinkClick xmlns:a="http://schemas.openxmlformats.org/drawingml/2006/main" r:id="rId49"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图 5">
                      <a:hlinkClick r:id="rId49" tgtFrame="&quot;_blank&quot;"/>
                    </pic:cNvPr>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274310" cy="4862830"/>
                    </a:xfrm>
                    <a:prstGeom prst="rect">
                      <a:avLst/>
                    </a:prstGeom>
                    <a:noFill/>
                    <a:ln>
                      <a:noFill/>
                    </a:ln>
                  </pic:spPr>
                </pic:pic>
              </a:graphicData>
            </a:graphic>
          </wp:inline>
        </w:drawing>
      </w:r>
    </w:p>
    <w:p w14:paraId="3523F6A2" w14:textId="77777777" w:rsidR="00736BD1" w:rsidRPr="00736BD1" w:rsidRDefault="00736BD1" w:rsidP="00736BD1">
      <w:pPr>
        <w:widowControl/>
        <w:rPr>
          <w:rFonts w:ascii="微软雅黑" w:eastAsia="微软雅黑" w:hAnsi="微软雅黑" w:cs="宋体"/>
          <w:kern w:val="0"/>
          <w:sz w:val="24"/>
          <w:szCs w:val="24"/>
        </w:rPr>
      </w:pPr>
      <w:r w:rsidRPr="00736BD1">
        <w:rPr>
          <w:rFonts w:ascii="微软雅黑" w:eastAsia="微软雅黑" w:hAnsi="微软雅黑" w:cs="宋体"/>
          <w:kern w:val="0"/>
          <w:sz w:val="24"/>
          <w:szCs w:val="24"/>
        </w:rPr>
        <w:t>（</w:t>
      </w:r>
      <w:r w:rsidRPr="00736BD1">
        <w:rPr>
          <w:rFonts w:ascii="微软雅黑" w:eastAsia="微软雅黑" w:hAnsi="微软雅黑" w:cs="宋体"/>
          <w:b/>
          <w:bCs/>
          <w:kern w:val="0"/>
          <w:sz w:val="24"/>
          <w:szCs w:val="24"/>
        </w:rPr>
        <w:t>A</w:t>
      </w:r>
      <w:r w:rsidRPr="00736BD1">
        <w:rPr>
          <w:rFonts w:ascii="微软雅黑" w:eastAsia="微软雅黑" w:hAnsi="微软雅黑" w:cs="宋体"/>
          <w:kern w:val="0"/>
          <w:sz w:val="24"/>
          <w:szCs w:val="24"/>
        </w:rPr>
        <w:t xml:space="preserve">）代表性的明场图像显示了经帕博西尼（1 </w:t>
      </w:r>
      <w:proofErr w:type="spellStart"/>
      <w:r w:rsidRPr="00736BD1">
        <w:rPr>
          <w:rFonts w:ascii="微软雅黑" w:eastAsia="微软雅黑" w:hAnsi="微软雅黑" w:cs="宋体"/>
          <w:kern w:val="0"/>
          <w:sz w:val="24"/>
          <w:szCs w:val="24"/>
        </w:rPr>
        <w:t>μM</w:t>
      </w:r>
      <w:proofErr w:type="spellEnd"/>
      <w:r w:rsidRPr="00736BD1">
        <w:rPr>
          <w:rFonts w:ascii="微软雅黑" w:eastAsia="微软雅黑" w:hAnsi="微软雅黑" w:cs="宋体"/>
          <w:kern w:val="0"/>
          <w:sz w:val="24"/>
          <w:szCs w:val="24"/>
        </w:rPr>
        <w:t xml:space="preserve">）、SY5609（50 </w:t>
      </w:r>
      <w:proofErr w:type="spellStart"/>
      <w:r w:rsidRPr="00736BD1">
        <w:rPr>
          <w:rFonts w:ascii="微软雅黑" w:eastAsia="微软雅黑" w:hAnsi="微软雅黑" w:cs="宋体"/>
          <w:kern w:val="0"/>
          <w:sz w:val="24"/>
          <w:szCs w:val="24"/>
        </w:rPr>
        <w:t>nM</w:t>
      </w:r>
      <w:proofErr w:type="spellEnd"/>
      <w:r w:rsidRPr="00736BD1">
        <w:rPr>
          <w:rFonts w:ascii="微软雅黑" w:eastAsia="微软雅黑" w:hAnsi="微软雅黑" w:cs="宋体"/>
          <w:kern w:val="0"/>
          <w:sz w:val="24"/>
          <w:szCs w:val="24"/>
        </w:rPr>
        <w:t xml:space="preserve">）或二者联合处理后，TNBC </w:t>
      </w:r>
      <w:proofErr w:type="spellStart"/>
      <w:r w:rsidRPr="00736BD1">
        <w:rPr>
          <w:rFonts w:ascii="微软雅黑" w:eastAsia="微软雅黑" w:hAnsi="微软雅黑" w:cs="宋体"/>
          <w:kern w:val="0"/>
          <w:sz w:val="24"/>
          <w:szCs w:val="24"/>
        </w:rPr>
        <w:t>PDxO</w:t>
      </w:r>
      <w:proofErr w:type="spellEnd"/>
      <w:r w:rsidRPr="00736BD1">
        <w:rPr>
          <w:rFonts w:ascii="微软雅黑" w:eastAsia="微软雅黑" w:hAnsi="微软雅黑" w:cs="宋体"/>
          <w:kern w:val="0"/>
          <w:sz w:val="24"/>
          <w:szCs w:val="24"/>
        </w:rPr>
        <w:t xml:space="preserve"> (HCI-002) 细胞随时间的变化（</w:t>
      </w:r>
      <w:r w:rsidRPr="00736BD1">
        <w:rPr>
          <w:rFonts w:ascii="微软雅黑" w:eastAsia="微软雅黑" w:hAnsi="微软雅黑" w:cs="宋体"/>
          <w:i/>
          <w:iCs/>
          <w:kern w:val="0"/>
          <w:sz w:val="24"/>
          <w:szCs w:val="24"/>
        </w:rPr>
        <w:t>n</w:t>
      </w:r>
      <w:r w:rsidRPr="00736BD1">
        <w:rPr>
          <w:rFonts w:ascii="微软雅黑" w:eastAsia="微软雅黑" w:hAnsi="微软雅黑" w:cs="宋体"/>
          <w:kern w:val="0"/>
          <w:sz w:val="24"/>
          <w:szCs w:val="24"/>
        </w:rPr>
        <w:t xml:space="preserve"> = 3 </w:t>
      </w:r>
      <w:proofErr w:type="gramStart"/>
      <w:r w:rsidRPr="00736BD1">
        <w:rPr>
          <w:rFonts w:ascii="微软雅黑" w:eastAsia="微软雅黑" w:hAnsi="微软雅黑" w:cs="宋体"/>
          <w:kern w:val="0"/>
          <w:sz w:val="24"/>
          <w:szCs w:val="24"/>
        </w:rPr>
        <w:t>个</w:t>
      </w:r>
      <w:proofErr w:type="gramEnd"/>
      <w:r w:rsidRPr="00736BD1">
        <w:rPr>
          <w:rFonts w:ascii="微软雅黑" w:eastAsia="微软雅黑" w:hAnsi="微软雅黑" w:cs="宋体"/>
          <w:kern w:val="0"/>
          <w:sz w:val="24"/>
          <w:szCs w:val="24"/>
        </w:rPr>
        <w:t xml:space="preserve">生物学重复）。比例尺：100 </w:t>
      </w:r>
      <w:proofErr w:type="spellStart"/>
      <w:r w:rsidRPr="00736BD1">
        <w:rPr>
          <w:rFonts w:ascii="微软雅黑" w:eastAsia="微软雅黑" w:hAnsi="微软雅黑" w:cs="宋体"/>
          <w:kern w:val="0"/>
          <w:sz w:val="24"/>
          <w:szCs w:val="24"/>
        </w:rPr>
        <w:t>μm</w:t>
      </w:r>
      <w:proofErr w:type="spellEnd"/>
      <w:r w:rsidRPr="00736BD1">
        <w:rPr>
          <w:rFonts w:ascii="微软雅黑" w:eastAsia="微软雅黑" w:hAnsi="微软雅黑" w:cs="宋体"/>
          <w:kern w:val="0"/>
          <w:sz w:val="24"/>
          <w:szCs w:val="24"/>
        </w:rPr>
        <w:t>。（</w:t>
      </w:r>
      <w:r w:rsidRPr="00736BD1">
        <w:rPr>
          <w:rFonts w:ascii="微软雅黑" w:eastAsia="微软雅黑" w:hAnsi="微软雅黑" w:cs="宋体"/>
          <w:b/>
          <w:bCs/>
          <w:kern w:val="0"/>
          <w:sz w:val="24"/>
          <w:szCs w:val="24"/>
        </w:rPr>
        <w:t>B ）</w:t>
      </w:r>
      <w:proofErr w:type="spellStart"/>
      <w:r w:rsidRPr="00736BD1">
        <w:rPr>
          <w:rFonts w:ascii="微软雅黑" w:eastAsia="微软雅黑" w:hAnsi="微软雅黑" w:cs="宋体"/>
          <w:b/>
          <w:bCs/>
          <w:kern w:val="0"/>
          <w:sz w:val="24"/>
          <w:szCs w:val="24"/>
        </w:rPr>
        <w:t>PDxO</w:t>
      </w:r>
      <w:proofErr w:type="spellEnd"/>
      <w:r w:rsidRPr="00736BD1">
        <w:rPr>
          <w:rFonts w:ascii="微软雅黑" w:eastAsia="微软雅黑" w:hAnsi="微软雅黑" w:cs="宋体"/>
          <w:b/>
          <w:bCs/>
          <w:kern w:val="0"/>
          <w:sz w:val="24"/>
          <w:szCs w:val="24"/>
        </w:rPr>
        <w:t xml:space="preserve"> (HCI-002) 细胞在所示处理下的存活率曲线。数据以平均值</w:t>
      </w:r>
      <w:r w:rsidRPr="00736BD1">
        <w:rPr>
          <w:rFonts w:ascii="微软雅黑" w:eastAsia="微软雅黑" w:hAnsi="微软雅黑" w:cs="宋体"/>
          <w:i/>
          <w:iCs/>
          <w:kern w:val="0"/>
          <w:sz w:val="24"/>
          <w:szCs w:val="24"/>
        </w:rPr>
        <w:t>±</w:t>
      </w:r>
      <w:r w:rsidRPr="00736BD1">
        <w:rPr>
          <w:rFonts w:ascii="微软雅黑" w:eastAsia="微软雅黑" w:hAnsi="微软雅黑" w:cs="宋体"/>
          <w:kern w:val="0"/>
          <w:sz w:val="24"/>
          <w:szCs w:val="24"/>
        </w:rPr>
        <w:t>标准差表示（</w:t>
      </w:r>
      <w:r w:rsidRPr="00736BD1">
        <w:rPr>
          <w:rFonts w:ascii="微软雅黑" w:eastAsia="微软雅黑" w:hAnsi="微软雅黑" w:cs="宋体"/>
          <w:i/>
          <w:iCs/>
          <w:kern w:val="0"/>
          <w:sz w:val="24"/>
          <w:szCs w:val="24"/>
        </w:rPr>
        <w:t>n</w:t>
      </w:r>
      <w:r w:rsidRPr="00736BD1">
        <w:rPr>
          <w:rFonts w:ascii="微软雅黑" w:eastAsia="微软雅黑" w:hAnsi="微软雅黑" w:cs="宋体"/>
          <w:kern w:val="0"/>
          <w:sz w:val="24"/>
          <w:szCs w:val="24"/>
        </w:rPr>
        <w:t xml:space="preserve"> = 3 </w:t>
      </w:r>
      <w:proofErr w:type="gramStart"/>
      <w:r w:rsidRPr="00736BD1">
        <w:rPr>
          <w:rFonts w:ascii="微软雅黑" w:eastAsia="微软雅黑" w:hAnsi="微软雅黑" w:cs="宋体"/>
          <w:kern w:val="0"/>
          <w:sz w:val="24"/>
          <w:szCs w:val="24"/>
        </w:rPr>
        <w:t>个</w:t>
      </w:r>
      <w:proofErr w:type="gramEnd"/>
      <w:r w:rsidRPr="00736BD1">
        <w:rPr>
          <w:rFonts w:ascii="微软雅黑" w:eastAsia="微软雅黑" w:hAnsi="微软雅黑" w:cs="宋体"/>
          <w:kern w:val="0"/>
          <w:sz w:val="24"/>
          <w:szCs w:val="24"/>
        </w:rPr>
        <w:t>生物学重复）。P值采用</w:t>
      </w:r>
      <w:proofErr w:type="gramStart"/>
      <w:r w:rsidRPr="00736BD1">
        <w:rPr>
          <w:rFonts w:ascii="微软雅黑" w:eastAsia="微软雅黑" w:hAnsi="微软雅黑" w:cs="宋体"/>
          <w:kern w:val="0"/>
          <w:sz w:val="24"/>
          <w:szCs w:val="24"/>
        </w:rPr>
        <w:t>双因素</w:t>
      </w:r>
      <w:proofErr w:type="gramEnd"/>
      <w:r w:rsidRPr="00736BD1">
        <w:rPr>
          <w:rFonts w:ascii="微软雅黑" w:eastAsia="微软雅黑" w:hAnsi="微软雅黑" w:cs="宋体"/>
          <w:kern w:val="0"/>
          <w:sz w:val="24"/>
          <w:szCs w:val="24"/>
        </w:rPr>
        <w:t>方差分析和 Tukey 事后检验计算（* </w:t>
      </w:r>
      <w:r w:rsidRPr="00736BD1">
        <w:rPr>
          <w:rFonts w:ascii="微软雅黑" w:eastAsia="微软雅黑" w:hAnsi="微软雅黑" w:cs="宋体"/>
          <w:i/>
          <w:iCs/>
          <w:kern w:val="0"/>
          <w:sz w:val="24"/>
          <w:szCs w:val="24"/>
        </w:rPr>
        <w:t>P</w:t>
      </w:r>
      <w:r w:rsidRPr="00736BD1">
        <w:rPr>
          <w:rFonts w:ascii="微软雅黑" w:eastAsia="微软雅黑" w:hAnsi="微软雅黑" w:cs="宋体"/>
          <w:kern w:val="0"/>
          <w:sz w:val="24"/>
          <w:szCs w:val="24"/>
        </w:rPr>
        <w:t> ≤ 0.05；** </w:t>
      </w:r>
      <w:r w:rsidRPr="00736BD1">
        <w:rPr>
          <w:rFonts w:ascii="微软雅黑" w:eastAsia="微软雅黑" w:hAnsi="微软雅黑" w:cs="宋体"/>
          <w:i/>
          <w:iCs/>
          <w:kern w:val="0"/>
          <w:sz w:val="24"/>
          <w:szCs w:val="24"/>
        </w:rPr>
        <w:t>P</w:t>
      </w:r>
      <w:r w:rsidRPr="00736BD1">
        <w:rPr>
          <w:rFonts w:ascii="微软雅黑" w:eastAsia="微软雅黑" w:hAnsi="微软雅黑" w:cs="宋体"/>
          <w:kern w:val="0"/>
          <w:sz w:val="24"/>
          <w:szCs w:val="24"/>
        </w:rPr>
        <w:t> ≤ 0.001；*** </w:t>
      </w:r>
      <w:r w:rsidRPr="00736BD1">
        <w:rPr>
          <w:rFonts w:ascii="微软雅黑" w:eastAsia="微软雅黑" w:hAnsi="微软雅黑" w:cs="宋体"/>
          <w:i/>
          <w:iCs/>
          <w:kern w:val="0"/>
          <w:sz w:val="24"/>
          <w:szCs w:val="24"/>
        </w:rPr>
        <w:t>P</w:t>
      </w:r>
      <w:r w:rsidRPr="00736BD1">
        <w:rPr>
          <w:rFonts w:ascii="微软雅黑" w:eastAsia="微软雅黑" w:hAnsi="微软雅黑" w:cs="宋体"/>
          <w:kern w:val="0"/>
          <w:sz w:val="24"/>
          <w:szCs w:val="24"/>
        </w:rPr>
        <w:t> ≤ 0.0001）。 （</w:t>
      </w:r>
      <w:r w:rsidRPr="00736BD1">
        <w:rPr>
          <w:rFonts w:ascii="微软雅黑" w:eastAsia="微软雅黑" w:hAnsi="微软雅黑" w:cs="宋体"/>
          <w:b/>
          <w:bCs/>
          <w:kern w:val="0"/>
          <w:sz w:val="24"/>
          <w:szCs w:val="24"/>
        </w:rPr>
        <w:t>C</w:t>
      </w:r>
      <w:r w:rsidRPr="00736BD1">
        <w:rPr>
          <w:rFonts w:ascii="微软雅黑" w:eastAsia="微软雅黑" w:hAnsi="微软雅黑" w:cs="宋体"/>
          <w:kern w:val="0"/>
          <w:sz w:val="24"/>
          <w:szCs w:val="24"/>
        </w:rPr>
        <w:t>和</w:t>
      </w:r>
      <w:r w:rsidRPr="00736BD1">
        <w:rPr>
          <w:rFonts w:ascii="微软雅黑" w:eastAsia="微软雅黑" w:hAnsi="微软雅黑" w:cs="宋体"/>
          <w:b/>
          <w:bCs/>
          <w:kern w:val="0"/>
          <w:sz w:val="24"/>
          <w:szCs w:val="24"/>
        </w:rPr>
        <w:t>D</w:t>
      </w:r>
      <w:r w:rsidRPr="00736BD1">
        <w:rPr>
          <w:rFonts w:ascii="微软雅黑" w:eastAsia="微软雅黑" w:hAnsi="微软雅黑" w:cs="宋体"/>
          <w:kern w:val="0"/>
          <w:sz w:val="24"/>
          <w:szCs w:val="24"/>
        </w:rPr>
        <w:t>）MDA-MB-231 异种移植瘤（</w:t>
      </w:r>
      <w:r w:rsidRPr="00736BD1">
        <w:rPr>
          <w:rFonts w:ascii="微软雅黑" w:eastAsia="微软雅黑" w:hAnsi="微软雅黑" w:cs="宋体"/>
          <w:b/>
          <w:bCs/>
          <w:kern w:val="0"/>
          <w:sz w:val="24"/>
          <w:szCs w:val="24"/>
        </w:rPr>
        <w:t>C</w:t>
      </w:r>
      <w:r w:rsidRPr="00736BD1">
        <w:rPr>
          <w:rFonts w:ascii="微软雅黑" w:eastAsia="微软雅黑" w:hAnsi="微软雅黑" w:cs="宋体"/>
          <w:kern w:val="0"/>
          <w:sz w:val="24"/>
          <w:szCs w:val="24"/>
        </w:rPr>
        <w:t>）和 AT3 </w:t>
      </w:r>
      <w:r w:rsidRPr="00736BD1">
        <w:rPr>
          <w:rFonts w:ascii="微软雅黑" w:eastAsia="微软雅黑" w:hAnsi="微软雅黑" w:cs="宋体"/>
          <w:kern w:val="0"/>
          <w:sz w:val="24"/>
          <w:szCs w:val="24"/>
          <w:vertAlign w:val="superscript"/>
        </w:rPr>
        <w:t>OVA</w:t>
      </w:r>
      <w:r w:rsidRPr="00736BD1">
        <w:rPr>
          <w:rFonts w:ascii="微软雅黑" w:eastAsia="微软雅黑" w:hAnsi="微软雅黑" w:cs="宋体"/>
          <w:kern w:val="0"/>
          <w:sz w:val="24"/>
          <w:szCs w:val="24"/>
        </w:rPr>
        <w:t>同源小鼠模型（</w:t>
      </w:r>
      <w:r w:rsidRPr="00736BD1">
        <w:rPr>
          <w:rFonts w:ascii="微软雅黑" w:eastAsia="微软雅黑" w:hAnsi="微软雅黑" w:cs="宋体"/>
          <w:b/>
          <w:bCs/>
          <w:kern w:val="0"/>
          <w:sz w:val="24"/>
          <w:szCs w:val="24"/>
        </w:rPr>
        <w:t>D</w:t>
      </w:r>
      <w:r w:rsidRPr="00736BD1">
        <w:rPr>
          <w:rFonts w:ascii="微软雅黑" w:eastAsia="微软雅黑" w:hAnsi="微软雅黑" w:cs="宋体"/>
          <w:kern w:val="0"/>
          <w:sz w:val="24"/>
          <w:szCs w:val="24"/>
        </w:rPr>
        <w:t>）的肿瘤生长曲线，分别用载体、帕博西尼（50 mg/kg）、SY5609（2 mg/kg）或联合用药治疗。数据以均值 ± 标准误 (SEM) 表示（</w:t>
      </w:r>
      <w:r w:rsidRPr="00736BD1">
        <w:rPr>
          <w:rFonts w:ascii="微软雅黑" w:eastAsia="微软雅黑" w:hAnsi="微软雅黑" w:cs="宋体"/>
          <w:b/>
          <w:bCs/>
          <w:kern w:val="0"/>
          <w:sz w:val="24"/>
          <w:szCs w:val="24"/>
        </w:rPr>
        <w:t>C</w:t>
      </w:r>
      <w:r w:rsidRPr="00736BD1">
        <w:rPr>
          <w:rFonts w:ascii="微软雅黑" w:eastAsia="微软雅黑" w:hAnsi="微软雅黑" w:cs="宋体"/>
          <w:kern w:val="0"/>
          <w:sz w:val="24"/>
          <w:szCs w:val="24"/>
        </w:rPr>
        <w:t>： CDK4/6i+CDK7i 组</w:t>
      </w:r>
      <w:r w:rsidRPr="00736BD1">
        <w:rPr>
          <w:rFonts w:ascii="微软雅黑" w:eastAsia="微软雅黑" w:hAnsi="微软雅黑" w:cs="宋体"/>
          <w:i/>
          <w:iCs/>
          <w:kern w:val="0"/>
          <w:sz w:val="24"/>
          <w:szCs w:val="24"/>
        </w:rPr>
        <w:t>n</w:t>
      </w:r>
      <w:r w:rsidRPr="00736BD1">
        <w:rPr>
          <w:rFonts w:ascii="微软雅黑" w:eastAsia="微软雅黑" w:hAnsi="微软雅黑" w:cs="宋体"/>
          <w:kern w:val="0"/>
          <w:sz w:val="24"/>
          <w:szCs w:val="24"/>
        </w:rPr>
        <w:t> = 12 只小鼠，其他组 n = 8 只小鼠；</w:t>
      </w:r>
      <w:r w:rsidRPr="00736BD1">
        <w:rPr>
          <w:rFonts w:ascii="微软雅黑" w:eastAsia="微软雅黑" w:hAnsi="微软雅黑" w:cs="宋体"/>
          <w:i/>
          <w:iCs/>
          <w:kern w:val="0"/>
          <w:sz w:val="24"/>
          <w:szCs w:val="24"/>
        </w:rPr>
        <w:t>D </w:t>
      </w:r>
      <w:r w:rsidRPr="00736BD1">
        <w:rPr>
          <w:rFonts w:ascii="微软雅黑" w:eastAsia="微软雅黑" w:hAnsi="微软雅黑" w:cs="宋体"/>
          <w:b/>
          <w:bCs/>
          <w:kern w:val="0"/>
          <w:sz w:val="24"/>
          <w:szCs w:val="24"/>
        </w:rPr>
        <w:t>：</w:t>
      </w:r>
      <w:r w:rsidRPr="00736BD1">
        <w:rPr>
          <w:rFonts w:ascii="微软雅黑" w:eastAsia="微软雅黑" w:hAnsi="微软雅黑" w:cs="宋体"/>
          <w:kern w:val="0"/>
          <w:sz w:val="24"/>
          <w:szCs w:val="24"/>
        </w:rPr>
        <w:t>每组n = 7 只小鼠）。P</w:t>
      </w:r>
      <w:r w:rsidRPr="00736BD1">
        <w:rPr>
          <w:rFonts w:ascii="微软雅黑" w:eastAsia="微软雅黑" w:hAnsi="微软雅黑" w:cs="宋体"/>
          <w:i/>
          <w:iCs/>
          <w:kern w:val="0"/>
          <w:sz w:val="24"/>
          <w:szCs w:val="24"/>
        </w:rPr>
        <w:t>值</w:t>
      </w:r>
      <w:r w:rsidRPr="00736BD1">
        <w:rPr>
          <w:rFonts w:ascii="微软雅黑" w:eastAsia="微软雅黑" w:hAnsi="微软雅黑" w:cs="宋体"/>
          <w:kern w:val="0"/>
          <w:sz w:val="24"/>
          <w:szCs w:val="24"/>
        </w:rPr>
        <w:t>采用</w:t>
      </w:r>
      <w:proofErr w:type="gramStart"/>
      <w:r w:rsidRPr="00736BD1">
        <w:rPr>
          <w:rFonts w:ascii="微软雅黑" w:eastAsia="微软雅黑" w:hAnsi="微软雅黑" w:cs="宋体"/>
          <w:kern w:val="0"/>
          <w:sz w:val="24"/>
          <w:szCs w:val="24"/>
        </w:rPr>
        <w:t>双因素</w:t>
      </w:r>
      <w:proofErr w:type="gramEnd"/>
      <w:r w:rsidRPr="00736BD1">
        <w:rPr>
          <w:rFonts w:ascii="微软雅黑" w:eastAsia="微软雅黑" w:hAnsi="微软雅黑" w:cs="宋体"/>
          <w:kern w:val="0"/>
          <w:sz w:val="24"/>
          <w:szCs w:val="24"/>
        </w:rPr>
        <w:t>方差分析（</w:t>
      </w:r>
      <w:r w:rsidRPr="00736BD1">
        <w:rPr>
          <w:rFonts w:ascii="微软雅黑" w:eastAsia="微软雅黑" w:hAnsi="微软雅黑" w:cs="宋体"/>
          <w:b/>
          <w:bCs/>
          <w:kern w:val="0"/>
          <w:sz w:val="24"/>
          <w:szCs w:val="24"/>
        </w:rPr>
        <w:t>C</w:t>
      </w:r>
      <w:r w:rsidRPr="00736BD1">
        <w:rPr>
          <w:rFonts w:ascii="微软雅黑" w:eastAsia="微软雅黑" w:hAnsi="微软雅黑" w:cs="宋体"/>
          <w:kern w:val="0"/>
          <w:sz w:val="24"/>
          <w:szCs w:val="24"/>
        </w:rPr>
        <w:t>）或混合效应模型（</w:t>
      </w:r>
      <w:r w:rsidRPr="00736BD1">
        <w:rPr>
          <w:rFonts w:ascii="微软雅黑" w:eastAsia="微软雅黑" w:hAnsi="微软雅黑" w:cs="宋体"/>
          <w:b/>
          <w:bCs/>
          <w:kern w:val="0"/>
          <w:sz w:val="24"/>
          <w:szCs w:val="24"/>
        </w:rPr>
        <w:t>D</w:t>
      </w:r>
      <w:r w:rsidRPr="00736BD1">
        <w:rPr>
          <w:rFonts w:ascii="微软雅黑" w:eastAsia="微软雅黑" w:hAnsi="微软雅黑" w:cs="宋体"/>
          <w:kern w:val="0"/>
          <w:sz w:val="24"/>
          <w:szCs w:val="24"/>
        </w:rPr>
        <w:t>）计算，并进行 Tukey 事后检验（* </w:t>
      </w:r>
      <w:r w:rsidRPr="00736BD1">
        <w:rPr>
          <w:rFonts w:ascii="微软雅黑" w:eastAsia="微软雅黑" w:hAnsi="微软雅黑" w:cs="宋体"/>
          <w:i/>
          <w:iCs/>
          <w:kern w:val="0"/>
          <w:sz w:val="24"/>
          <w:szCs w:val="24"/>
        </w:rPr>
        <w:t>P</w:t>
      </w:r>
      <w:r w:rsidRPr="00736BD1">
        <w:rPr>
          <w:rFonts w:ascii="微软雅黑" w:eastAsia="微软雅黑" w:hAnsi="微软雅黑" w:cs="宋体"/>
          <w:kern w:val="0"/>
          <w:sz w:val="24"/>
          <w:szCs w:val="24"/>
        </w:rPr>
        <w:t xml:space="preserve"> ≤ </w:t>
      </w:r>
      <w:r w:rsidRPr="00736BD1">
        <w:rPr>
          <w:rFonts w:ascii="微软雅黑" w:eastAsia="微软雅黑" w:hAnsi="微软雅黑" w:cs="宋体"/>
          <w:kern w:val="0"/>
          <w:sz w:val="24"/>
          <w:szCs w:val="24"/>
        </w:rPr>
        <w:lastRenderedPageBreak/>
        <w:t>0.05；*** </w:t>
      </w:r>
      <w:r w:rsidRPr="00736BD1">
        <w:rPr>
          <w:rFonts w:ascii="微软雅黑" w:eastAsia="微软雅黑" w:hAnsi="微软雅黑" w:cs="宋体"/>
          <w:i/>
          <w:iCs/>
          <w:kern w:val="0"/>
          <w:sz w:val="24"/>
          <w:szCs w:val="24"/>
        </w:rPr>
        <w:t>P</w:t>
      </w:r>
      <w:r w:rsidRPr="00736BD1">
        <w:rPr>
          <w:rFonts w:ascii="微软雅黑" w:eastAsia="微软雅黑" w:hAnsi="微软雅黑" w:cs="宋体"/>
          <w:kern w:val="0"/>
          <w:sz w:val="24"/>
          <w:szCs w:val="24"/>
        </w:rPr>
        <w:t> ≤ 0.0001）。（</w:t>
      </w:r>
      <w:r w:rsidRPr="00736BD1">
        <w:rPr>
          <w:rFonts w:ascii="微软雅黑" w:eastAsia="微软雅黑" w:hAnsi="微软雅黑" w:cs="宋体"/>
          <w:b/>
          <w:bCs/>
          <w:kern w:val="0"/>
          <w:sz w:val="24"/>
          <w:szCs w:val="24"/>
        </w:rPr>
        <w:t>E ）AT3 </w:t>
      </w:r>
      <w:r w:rsidRPr="00736BD1">
        <w:rPr>
          <w:rFonts w:ascii="微软雅黑" w:eastAsia="微软雅黑" w:hAnsi="微软雅黑" w:cs="宋体"/>
          <w:kern w:val="0"/>
          <w:sz w:val="24"/>
          <w:szCs w:val="24"/>
          <w:vertAlign w:val="superscript"/>
        </w:rPr>
        <w:t>OVA</w:t>
      </w:r>
      <w:r w:rsidRPr="00736BD1">
        <w:rPr>
          <w:rFonts w:ascii="微软雅黑" w:eastAsia="微软雅黑" w:hAnsi="微软雅黑" w:cs="宋体"/>
          <w:kern w:val="0"/>
          <w:sz w:val="24"/>
          <w:szCs w:val="24"/>
        </w:rPr>
        <w:t>肿瘤的肿瘤质量箱线图。中间线表示中位数，箱体边缘表示四分位间距（每组</w:t>
      </w:r>
      <w:r w:rsidRPr="00736BD1">
        <w:rPr>
          <w:rFonts w:ascii="微软雅黑" w:eastAsia="微软雅黑" w:hAnsi="微软雅黑" w:cs="宋体"/>
          <w:i/>
          <w:iCs/>
          <w:kern w:val="0"/>
          <w:sz w:val="24"/>
          <w:szCs w:val="24"/>
        </w:rPr>
        <w:t>n</w:t>
      </w:r>
      <w:r w:rsidRPr="00736BD1">
        <w:rPr>
          <w:rFonts w:ascii="微软雅黑" w:eastAsia="微软雅黑" w:hAnsi="微软雅黑" w:cs="宋体"/>
          <w:kern w:val="0"/>
          <w:sz w:val="24"/>
          <w:szCs w:val="24"/>
        </w:rPr>
        <w:t> = 7 只小鼠）。采用单因素方差分析（ANOVA）和Tukey事后检验计算P值（* P ≤ 0.05；*** P ≤ 0.0001）。（F和G）AT3 OVA模型在免疫功能正常（C57BL/6J）或免疫缺陷（J:NU）小鼠中的肿瘤生长曲线</w:t>
      </w:r>
      <w:r w:rsidRPr="00736BD1">
        <w:rPr>
          <w:rFonts w:ascii="微软雅黑" w:eastAsia="微软雅黑" w:hAnsi="微软雅黑" w:cs="宋体"/>
          <w:i/>
          <w:iCs/>
          <w:kern w:val="0"/>
          <w:sz w:val="24"/>
          <w:szCs w:val="24"/>
        </w:rPr>
        <w:t>。小鼠</w:t>
      </w:r>
      <w:r w:rsidRPr="00736BD1">
        <w:rPr>
          <w:rFonts w:ascii="微软雅黑" w:eastAsia="微软雅黑" w:hAnsi="微软雅黑" w:cs="宋体"/>
          <w:kern w:val="0"/>
          <w:sz w:val="24"/>
          <w:szCs w:val="24"/>
        </w:rPr>
        <w:t>分别</w:t>
      </w:r>
      <w:r w:rsidRPr="00736BD1">
        <w:rPr>
          <w:rFonts w:ascii="微软雅黑" w:eastAsia="微软雅黑" w:hAnsi="微软雅黑" w:cs="宋体"/>
          <w:i/>
          <w:iCs/>
          <w:kern w:val="0"/>
          <w:sz w:val="24"/>
          <w:szCs w:val="24"/>
        </w:rPr>
        <w:t>接受</w:t>
      </w:r>
      <w:r w:rsidRPr="00736BD1">
        <w:rPr>
          <w:rFonts w:ascii="微软雅黑" w:eastAsia="微软雅黑" w:hAnsi="微软雅黑" w:cs="宋体"/>
          <w:kern w:val="0"/>
          <w:sz w:val="24"/>
          <w:szCs w:val="24"/>
        </w:rPr>
        <w:t>载体</w:t>
      </w:r>
      <w:r w:rsidRPr="00736BD1">
        <w:rPr>
          <w:rFonts w:ascii="微软雅黑" w:eastAsia="微软雅黑" w:hAnsi="微软雅黑" w:cs="宋体"/>
          <w:b/>
          <w:bCs/>
          <w:kern w:val="0"/>
          <w:sz w:val="24"/>
          <w:szCs w:val="24"/>
        </w:rPr>
        <w:t>或</w:t>
      </w:r>
      <w:r w:rsidRPr="00736BD1">
        <w:rPr>
          <w:rFonts w:ascii="微软雅黑" w:eastAsia="微软雅黑" w:hAnsi="微软雅黑" w:cs="宋体"/>
          <w:kern w:val="0"/>
          <w:sz w:val="24"/>
          <w:szCs w:val="24"/>
        </w:rPr>
        <w:t>帕博西尼</w:t>
      </w:r>
      <w:r w:rsidRPr="00736BD1">
        <w:rPr>
          <w:rFonts w:ascii="微软雅黑" w:eastAsia="微软雅黑" w:hAnsi="微软雅黑" w:cs="宋体"/>
          <w:b/>
          <w:bCs/>
          <w:kern w:val="0"/>
          <w:sz w:val="24"/>
          <w:szCs w:val="24"/>
        </w:rPr>
        <w:t>（</w:t>
      </w:r>
      <w:r w:rsidRPr="00736BD1">
        <w:rPr>
          <w:rFonts w:ascii="微软雅黑" w:eastAsia="微软雅黑" w:hAnsi="微软雅黑" w:cs="宋体"/>
          <w:kern w:val="0"/>
          <w:sz w:val="24"/>
          <w:szCs w:val="24"/>
          <w:vertAlign w:val="superscript"/>
        </w:rPr>
        <w:t>50</w:t>
      </w:r>
      <w:r w:rsidRPr="00736BD1">
        <w:rPr>
          <w:rFonts w:ascii="微软雅黑" w:eastAsia="微软雅黑" w:hAnsi="微软雅黑" w:cs="宋体"/>
          <w:kern w:val="0"/>
          <w:sz w:val="24"/>
          <w:szCs w:val="24"/>
        </w:rPr>
        <w:t> mg/kg）联合SY5609（2 mg/kg）治疗。数据以平均值±标准误（SEM）表示（</w:t>
      </w:r>
      <w:r w:rsidRPr="00736BD1">
        <w:rPr>
          <w:rFonts w:ascii="微软雅黑" w:eastAsia="微软雅黑" w:hAnsi="微软雅黑" w:cs="宋体"/>
          <w:i/>
          <w:iCs/>
          <w:kern w:val="0"/>
          <w:sz w:val="24"/>
          <w:szCs w:val="24"/>
        </w:rPr>
        <w:t>n</w:t>
      </w:r>
      <w:r w:rsidRPr="00736BD1">
        <w:rPr>
          <w:rFonts w:ascii="微软雅黑" w:eastAsia="微软雅黑" w:hAnsi="微软雅黑" w:cs="宋体"/>
          <w:kern w:val="0"/>
          <w:sz w:val="24"/>
          <w:szCs w:val="24"/>
        </w:rPr>
        <w:t> = 5只小鼠/组）（</w:t>
      </w:r>
      <w:r w:rsidRPr="00736BD1">
        <w:rPr>
          <w:rFonts w:ascii="微软雅黑" w:eastAsia="微软雅黑" w:hAnsi="微软雅黑" w:cs="宋体"/>
          <w:b/>
          <w:bCs/>
          <w:kern w:val="0"/>
          <w:sz w:val="24"/>
          <w:szCs w:val="24"/>
        </w:rPr>
        <w:t>F</w:t>
      </w:r>
      <w:r w:rsidRPr="00736BD1">
        <w:rPr>
          <w:rFonts w:ascii="微软雅黑" w:eastAsia="微软雅黑" w:hAnsi="微软雅黑" w:cs="宋体"/>
          <w:kern w:val="0"/>
          <w:sz w:val="24"/>
          <w:szCs w:val="24"/>
        </w:rPr>
        <w:t>）。采用混合效应模型和Tukey事后检验计算</w:t>
      </w:r>
      <w:r w:rsidRPr="00736BD1">
        <w:rPr>
          <w:rFonts w:ascii="微软雅黑" w:eastAsia="微软雅黑" w:hAnsi="微软雅黑" w:cs="宋体"/>
          <w:i/>
          <w:iCs/>
          <w:kern w:val="0"/>
          <w:sz w:val="24"/>
          <w:szCs w:val="24"/>
        </w:rPr>
        <w:t>P值（* P</w:t>
      </w:r>
      <w:r w:rsidRPr="00736BD1">
        <w:rPr>
          <w:rFonts w:ascii="微软雅黑" w:eastAsia="微软雅黑" w:hAnsi="微软雅黑" w:cs="宋体"/>
          <w:kern w:val="0"/>
          <w:sz w:val="24"/>
          <w:szCs w:val="24"/>
        </w:rPr>
        <w:t> ≤ 0.05；** </w:t>
      </w:r>
      <w:r w:rsidRPr="00736BD1">
        <w:rPr>
          <w:rFonts w:ascii="微软雅黑" w:eastAsia="微软雅黑" w:hAnsi="微软雅黑" w:cs="宋体"/>
          <w:i/>
          <w:iCs/>
          <w:kern w:val="0"/>
          <w:sz w:val="24"/>
          <w:szCs w:val="24"/>
        </w:rPr>
        <w:t>P</w:t>
      </w:r>
      <w:r w:rsidRPr="00736BD1">
        <w:rPr>
          <w:rFonts w:ascii="微软雅黑" w:eastAsia="微软雅黑" w:hAnsi="微软雅黑" w:cs="宋体"/>
          <w:kern w:val="0"/>
          <w:sz w:val="24"/>
          <w:szCs w:val="24"/>
        </w:rPr>
        <w:t> ≤ 0.001；*** </w:t>
      </w:r>
      <w:r w:rsidRPr="00736BD1">
        <w:rPr>
          <w:rFonts w:ascii="微软雅黑" w:eastAsia="微软雅黑" w:hAnsi="微软雅黑" w:cs="宋体"/>
          <w:i/>
          <w:iCs/>
          <w:kern w:val="0"/>
          <w:sz w:val="24"/>
          <w:szCs w:val="24"/>
        </w:rPr>
        <w:t>P</w:t>
      </w:r>
      <w:r w:rsidRPr="00736BD1">
        <w:rPr>
          <w:rFonts w:ascii="微软雅黑" w:eastAsia="微软雅黑" w:hAnsi="微软雅黑" w:cs="宋体"/>
          <w:kern w:val="0"/>
          <w:sz w:val="24"/>
          <w:szCs w:val="24"/>
        </w:rPr>
        <w:t> ≤ 0.0001）。</w:t>
      </w:r>
    </w:p>
    <w:p w14:paraId="3FB975B3" w14:textId="77777777" w:rsidR="00736BD1" w:rsidRPr="00736BD1" w:rsidRDefault="00736BD1" w:rsidP="00736BD1">
      <w:pPr>
        <w:widowControl/>
        <w:spacing w:before="450"/>
        <w:rPr>
          <w:rFonts w:ascii="微软雅黑" w:eastAsia="微软雅黑" w:hAnsi="微软雅黑" w:cs="宋体"/>
          <w:kern w:val="0"/>
          <w:sz w:val="24"/>
          <w:szCs w:val="24"/>
        </w:rPr>
      </w:pPr>
      <w:r w:rsidRPr="00736BD1">
        <w:rPr>
          <w:rFonts w:ascii="微软雅黑" w:eastAsia="微软雅黑" w:hAnsi="微软雅黑" w:cs="宋体"/>
          <w:kern w:val="0"/>
          <w:sz w:val="24"/>
          <w:szCs w:val="24"/>
        </w:rPr>
        <w:t>联合治疗耐受性良好，未观察到死亡、显著体重减轻或肾脏、肝脏、心脏或肺脏的组织学异常（</w:t>
      </w:r>
      <w:hyperlink r:id="rId51" w:anchor="sd" w:history="1">
        <w:r w:rsidRPr="00736BD1">
          <w:rPr>
            <w:rFonts w:ascii="微软雅黑" w:eastAsia="微软雅黑" w:hAnsi="微软雅黑" w:cs="宋体"/>
            <w:kern w:val="0"/>
            <w:sz w:val="24"/>
            <w:szCs w:val="24"/>
            <w:u w:val="single"/>
          </w:rPr>
          <w:t>补充图7</w:t>
        </w:r>
      </w:hyperlink>
      <w:r w:rsidRPr="00736BD1">
        <w:rPr>
          <w:rFonts w:ascii="微软雅黑" w:eastAsia="微软雅黑" w:hAnsi="微软雅黑" w:cs="宋体"/>
          <w:kern w:val="0"/>
          <w:sz w:val="24"/>
          <w:szCs w:val="24"/>
        </w:rPr>
        <w:t>，A和B）。血液学分析显示白细胞、红细胞或淋巴细胞计数无显著变化，但观察到中性粒细胞轻度减少（</w:t>
      </w:r>
      <w:r w:rsidRPr="00736BD1">
        <w:rPr>
          <w:rFonts w:ascii="微软雅黑" w:eastAsia="微软雅黑" w:hAnsi="微软雅黑" w:cs="宋体"/>
          <w:kern w:val="0"/>
          <w:sz w:val="24"/>
          <w:szCs w:val="24"/>
        </w:rPr>
        <w:fldChar w:fldCharType="begin"/>
      </w:r>
      <w:r w:rsidRPr="00736BD1">
        <w:rPr>
          <w:rFonts w:ascii="微软雅黑" w:eastAsia="微软雅黑" w:hAnsi="微软雅黑" w:cs="宋体"/>
          <w:kern w:val="0"/>
          <w:sz w:val="24"/>
          <w:szCs w:val="24"/>
        </w:rPr>
        <w:instrText xml:space="preserve"> HYPERLINK "https://pmc.ncbi.nlm.nih.gov/articles/PMC12520673/" \l "sd" </w:instrText>
      </w:r>
      <w:r w:rsidRPr="00736BD1">
        <w:rPr>
          <w:rFonts w:ascii="微软雅黑" w:eastAsia="微软雅黑" w:hAnsi="微软雅黑" w:cs="宋体"/>
          <w:kern w:val="0"/>
          <w:sz w:val="24"/>
          <w:szCs w:val="24"/>
        </w:rPr>
        <w:fldChar w:fldCharType="separate"/>
      </w:r>
      <w:r w:rsidRPr="00736BD1">
        <w:rPr>
          <w:rFonts w:ascii="微软雅黑" w:eastAsia="微软雅黑" w:hAnsi="微软雅黑" w:cs="宋体"/>
          <w:kern w:val="0"/>
          <w:sz w:val="24"/>
          <w:szCs w:val="24"/>
          <w:u w:val="single"/>
        </w:rPr>
        <w:t>补充图7C</w:t>
      </w:r>
      <w:r w:rsidRPr="00736BD1">
        <w:rPr>
          <w:rFonts w:ascii="微软雅黑" w:eastAsia="微软雅黑" w:hAnsi="微软雅黑" w:cs="宋体"/>
          <w:kern w:val="0"/>
          <w:sz w:val="24"/>
          <w:szCs w:val="24"/>
        </w:rPr>
        <w:fldChar w:fldCharType="end"/>
      </w:r>
      <w:r w:rsidRPr="00736BD1">
        <w:rPr>
          <w:rFonts w:ascii="微软雅黑" w:eastAsia="微软雅黑" w:hAnsi="微软雅黑" w:cs="宋体"/>
          <w:kern w:val="0"/>
          <w:sz w:val="24"/>
          <w:szCs w:val="24"/>
        </w:rPr>
        <w:t>）。血浆</w:t>
      </w:r>
      <w:proofErr w:type="gramStart"/>
      <w:r w:rsidRPr="00736BD1">
        <w:rPr>
          <w:rFonts w:ascii="微软雅黑" w:eastAsia="微软雅黑" w:hAnsi="微软雅黑" w:cs="宋体"/>
          <w:kern w:val="0"/>
          <w:sz w:val="24"/>
          <w:szCs w:val="24"/>
        </w:rPr>
        <w:t>中肝酶丙氨酸</w:t>
      </w:r>
      <w:proofErr w:type="gramEnd"/>
      <w:r w:rsidRPr="00736BD1">
        <w:rPr>
          <w:rFonts w:ascii="微软雅黑" w:eastAsia="微软雅黑" w:hAnsi="微软雅黑" w:cs="宋体"/>
          <w:kern w:val="0"/>
          <w:sz w:val="24"/>
          <w:szCs w:val="24"/>
        </w:rPr>
        <w:t>氨基转移酶和天冬氨酸氨基转移酶的水平保持在正常范围内（</w:t>
      </w:r>
      <w:r w:rsidRPr="00736BD1">
        <w:rPr>
          <w:rFonts w:ascii="微软雅黑" w:eastAsia="微软雅黑" w:hAnsi="微软雅黑" w:cs="宋体"/>
          <w:kern w:val="0"/>
          <w:sz w:val="24"/>
          <w:szCs w:val="24"/>
        </w:rPr>
        <w:fldChar w:fldCharType="begin"/>
      </w:r>
      <w:r w:rsidRPr="00736BD1">
        <w:rPr>
          <w:rFonts w:ascii="微软雅黑" w:eastAsia="微软雅黑" w:hAnsi="微软雅黑" w:cs="宋体"/>
          <w:kern w:val="0"/>
          <w:sz w:val="24"/>
          <w:szCs w:val="24"/>
        </w:rPr>
        <w:instrText xml:space="preserve"> HYPERLINK "https://pmc.ncbi.nlm.nih.gov/articles/PMC12520673/" \l "sd" </w:instrText>
      </w:r>
      <w:r w:rsidRPr="00736BD1">
        <w:rPr>
          <w:rFonts w:ascii="微软雅黑" w:eastAsia="微软雅黑" w:hAnsi="微软雅黑" w:cs="宋体"/>
          <w:kern w:val="0"/>
          <w:sz w:val="24"/>
          <w:szCs w:val="24"/>
        </w:rPr>
        <w:fldChar w:fldCharType="separate"/>
      </w:r>
      <w:r w:rsidRPr="00736BD1">
        <w:rPr>
          <w:rFonts w:ascii="微软雅黑" w:eastAsia="微软雅黑" w:hAnsi="微软雅黑" w:cs="宋体"/>
          <w:kern w:val="0"/>
          <w:sz w:val="24"/>
          <w:szCs w:val="24"/>
          <w:u w:val="single"/>
        </w:rPr>
        <w:t>补充图7D</w:t>
      </w:r>
      <w:r w:rsidRPr="00736BD1">
        <w:rPr>
          <w:rFonts w:ascii="微软雅黑" w:eastAsia="微软雅黑" w:hAnsi="微软雅黑" w:cs="宋体"/>
          <w:kern w:val="0"/>
          <w:sz w:val="24"/>
          <w:szCs w:val="24"/>
        </w:rPr>
        <w:fldChar w:fldCharType="end"/>
      </w:r>
      <w:r w:rsidRPr="00736BD1">
        <w:rPr>
          <w:rFonts w:ascii="微软雅黑" w:eastAsia="微软雅黑" w:hAnsi="微软雅黑" w:cs="宋体"/>
          <w:kern w:val="0"/>
          <w:sz w:val="24"/>
          <w:szCs w:val="24"/>
        </w:rPr>
        <w:t>），表明未出现明显的肝毒性。综上所述，这些结果表明，CDK4/6抑制剂和CDK7抑制剂联合用药可通过同时靶向肿瘤内在通路并激活免疫微环境，在三阴性乳腺癌中发挥强大的抗肿瘤活性，且不引起全身毒性。</w:t>
      </w:r>
    </w:p>
    <w:p w14:paraId="48E52D7E" w14:textId="77777777" w:rsidR="00736BD1" w:rsidRPr="00736BD1" w:rsidRDefault="00736BD1" w:rsidP="00736BD1">
      <w:pPr>
        <w:widowControl/>
        <w:spacing w:line="450" w:lineRule="atLeast"/>
        <w:outlineLvl w:val="2"/>
        <w:rPr>
          <w:rFonts w:ascii="微软雅黑" w:eastAsia="微软雅黑" w:hAnsi="微软雅黑" w:cs="宋体"/>
          <w:kern w:val="0"/>
          <w:sz w:val="32"/>
          <w:szCs w:val="32"/>
        </w:rPr>
      </w:pPr>
      <w:r w:rsidRPr="00736BD1">
        <w:rPr>
          <w:rFonts w:ascii="微软雅黑" w:eastAsia="微软雅黑" w:hAnsi="微软雅黑" w:cs="宋体"/>
          <w:kern w:val="0"/>
          <w:sz w:val="32"/>
          <w:szCs w:val="32"/>
        </w:rPr>
        <w:t>通过联合抑制 CDK4/6 和 CDK7 增强抗肿瘤免疫力。</w:t>
      </w:r>
    </w:p>
    <w:p w14:paraId="1B0F0FF8" w14:textId="77777777" w:rsidR="00736BD1" w:rsidRPr="00736BD1" w:rsidRDefault="00736BD1" w:rsidP="00736BD1">
      <w:pPr>
        <w:widowControl/>
        <w:spacing w:before="450"/>
        <w:rPr>
          <w:rFonts w:ascii="微软雅黑" w:eastAsia="微软雅黑" w:hAnsi="微软雅黑" w:cs="宋体"/>
          <w:kern w:val="0"/>
          <w:sz w:val="24"/>
          <w:szCs w:val="24"/>
        </w:rPr>
      </w:pPr>
      <w:r w:rsidRPr="00736BD1">
        <w:rPr>
          <w:rFonts w:ascii="微软雅黑" w:eastAsia="微软雅黑" w:hAnsi="微软雅黑" w:cs="宋体"/>
          <w:kern w:val="0"/>
          <w:sz w:val="24"/>
          <w:szCs w:val="24"/>
        </w:rPr>
        <w:t>为了研究 CDK4/6 和 CDK7 双重抑制的免疫调节作用，我们分析了 AT3 </w:t>
      </w:r>
      <w:r w:rsidRPr="00736BD1">
        <w:rPr>
          <w:rFonts w:ascii="微软雅黑" w:eastAsia="微软雅黑" w:hAnsi="微软雅黑" w:cs="宋体"/>
          <w:kern w:val="0"/>
          <w:sz w:val="24"/>
          <w:szCs w:val="24"/>
          <w:vertAlign w:val="superscript"/>
        </w:rPr>
        <w:t>OVA</w:t>
      </w:r>
      <w:r w:rsidRPr="00736BD1">
        <w:rPr>
          <w:rFonts w:ascii="微软雅黑" w:eastAsia="微软雅黑" w:hAnsi="微软雅黑" w:cs="宋体"/>
          <w:kern w:val="0"/>
          <w:sz w:val="24"/>
          <w:szCs w:val="24"/>
        </w:rPr>
        <w:t>同源小鼠模型中的肿瘤微环境 (TME)。治疗 28 天后，流式细胞术分析显示肿瘤中免疫细胞组成发生了改变。CDK4/6 抑制剂单药治疗显著降低了总免疫细胞浸润（CD45 </w:t>
      </w:r>
      <w:r w:rsidRPr="00736BD1">
        <w:rPr>
          <w:rFonts w:ascii="微软雅黑" w:eastAsia="微软雅黑" w:hAnsi="微软雅黑" w:cs="宋体"/>
          <w:kern w:val="0"/>
          <w:sz w:val="24"/>
          <w:szCs w:val="24"/>
          <w:vertAlign w:val="superscript"/>
        </w:rPr>
        <w:t>+</w:t>
      </w:r>
      <w:r w:rsidRPr="00736BD1">
        <w:rPr>
          <w:rFonts w:ascii="微软雅黑" w:eastAsia="微软雅黑" w:hAnsi="微软雅黑" w:cs="宋体"/>
          <w:kern w:val="0"/>
          <w:sz w:val="24"/>
          <w:szCs w:val="24"/>
        </w:rPr>
        <w:t>细胞），这可能是由于 CDK4/6 抑制相关的造血毒性所致（</w:t>
      </w:r>
      <w:r w:rsidRPr="00736BD1">
        <w:rPr>
          <w:rFonts w:ascii="微软雅黑" w:eastAsia="微软雅黑" w:hAnsi="微软雅黑" w:cs="宋体"/>
          <w:kern w:val="0"/>
          <w:sz w:val="24"/>
          <w:szCs w:val="24"/>
        </w:rPr>
        <w:fldChar w:fldCharType="begin"/>
      </w:r>
      <w:r w:rsidRPr="00736BD1">
        <w:rPr>
          <w:rFonts w:ascii="微软雅黑" w:eastAsia="微软雅黑" w:hAnsi="微软雅黑" w:cs="宋体"/>
          <w:kern w:val="0"/>
          <w:sz w:val="24"/>
          <w:szCs w:val="24"/>
        </w:rPr>
        <w:instrText xml:space="preserve"> HYPERLINK "https://pmc.ncbi.nlm.nih.gov/articles/PMC12520673/" \l "F6" </w:instrText>
      </w:r>
      <w:r w:rsidRPr="00736BD1">
        <w:rPr>
          <w:rFonts w:ascii="微软雅黑" w:eastAsia="微软雅黑" w:hAnsi="微软雅黑" w:cs="宋体"/>
          <w:kern w:val="0"/>
          <w:sz w:val="24"/>
          <w:szCs w:val="24"/>
        </w:rPr>
        <w:fldChar w:fldCharType="separate"/>
      </w:r>
      <w:r w:rsidRPr="00736BD1">
        <w:rPr>
          <w:rFonts w:ascii="微软雅黑" w:eastAsia="微软雅黑" w:hAnsi="微软雅黑" w:cs="宋体"/>
          <w:kern w:val="0"/>
          <w:sz w:val="24"/>
          <w:szCs w:val="24"/>
          <w:u w:val="single"/>
        </w:rPr>
        <w:t>图 6A</w:t>
      </w:r>
      <w:r w:rsidRPr="00736BD1">
        <w:rPr>
          <w:rFonts w:ascii="微软雅黑" w:eastAsia="微软雅黑" w:hAnsi="微软雅黑" w:cs="宋体"/>
          <w:kern w:val="0"/>
          <w:sz w:val="24"/>
          <w:szCs w:val="24"/>
        </w:rPr>
        <w:fldChar w:fldCharType="end"/>
      </w:r>
      <w:r w:rsidRPr="00736BD1">
        <w:rPr>
          <w:rFonts w:ascii="微软雅黑" w:eastAsia="微软雅黑" w:hAnsi="微软雅黑" w:cs="宋体"/>
          <w:kern w:val="0"/>
          <w:sz w:val="24"/>
          <w:szCs w:val="24"/>
        </w:rPr>
        <w:t>）。然而，与对照组和 CDK4/6 抑制剂单药治疗组相比，CDK7 抑制剂联合</w:t>
      </w:r>
      <w:r w:rsidRPr="00736BD1">
        <w:rPr>
          <w:rFonts w:ascii="微软雅黑" w:eastAsia="微软雅黑" w:hAnsi="微软雅黑" w:cs="宋体"/>
          <w:kern w:val="0"/>
          <w:sz w:val="24"/>
          <w:szCs w:val="24"/>
        </w:rPr>
        <w:lastRenderedPageBreak/>
        <w:t>治疗恢复并显著增加了 CD45 </w:t>
      </w:r>
      <w:r w:rsidRPr="00736BD1">
        <w:rPr>
          <w:rFonts w:ascii="微软雅黑" w:eastAsia="微软雅黑" w:hAnsi="微软雅黑" w:cs="宋体"/>
          <w:kern w:val="0"/>
          <w:sz w:val="24"/>
          <w:szCs w:val="24"/>
          <w:vertAlign w:val="superscript"/>
        </w:rPr>
        <w:t>+</w:t>
      </w:r>
      <w:r w:rsidRPr="00736BD1">
        <w:rPr>
          <w:rFonts w:ascii="微软雅黑" w:eastAsia="微软雅黑" w:hAnsi="微软雅黑" w:cs="宋体"/>
          <w:kern w:val="0"/>
          <w:sz w:val="24"/>
          <w:szCs w:val="24"/>
        </w:rPr>
        <w:t>免疫细胞的浸润。这种效应也延伸</w:t>
      </w:r>
      <w:proofErr w:type="gramStart"/>
      <w:r w:rsidRPr="00736BD1">
        <w:rPr>
          <w:rFonts w:ascii="微软雅黑" w:eastAsia="微软雅黑" w:hAnsi="微软雅黑" w:cs="宋体"/>
          <w:kern w:val="0"/>
          <w:sz w:val="24"/>
          <w:szCs w:val="24"/>
        </w:rPr>
        <w:t>至关键</w:t>
      </w:r>
      <w:proofErr w:type="gramEnd"/>
      <w:r w:rsidRPr="00736BD1">
        <w:rPr>
          <w:rFonts w:ascii="微软雅黑" w:eastAsia="微软雅黑" w:hAnsi="微软雅黑" w:cs="宋体"/>
          <w:kern w:val="0"/>
          <w:sz w:val="24"/>
          <w:szCs w:val="24"/>
        </w:rPr>
        <w:t>的 T 细胞群：与 CDK4/6 抑制剂单药治疗相比，联合治疗显著增强了细胞毒性 T 细胞 (CD8 </w:t>
      </w:r>
      <w:r w:rsidRPr="00736BD1">
        <w:rPr>
          <w:rFonts w:ascii="微软雅黑" w:eastAsia="微软雅黑" w:hAnsi="微软雅黑" w:cs="宋体"/>
          <w:kern w:val="0"/>
          <w:sz w:val="24"/>
          <w:szCs w:val="24"/>
          <w:vertAlign w:val="superscript"/>
        </w:rPr>
        <w:t>+</w:t>
      </w:r>
      <w:r w:rsidRPr="00736BD1">
        <w:rPr>
          <w:rFonts w:ascii="微软雅黑" w:eastAsia="微软雅黑" w:hAnsi="微软雅黑" w:cs="宋体"/>
          <w:kern w:val="0"/>
          <w:sz w:val="24"/>
          <w:szCs w:val="24"/>
        </w:rPr>
        <w:t> ) 和辅助性 T 细胞 (CD4 </w:t>
      </w:r>
      <w:r w:rsidRPr="00736BD1">
        <w:rPr>
          <w:rFonts w:ascii="微软雅黑" w:eastAsia="微软雅黑" w:hAnsi="微软雅黑" w:cs="宋体"/>
          <w:kern w:val="0"/>
          <w:sz w:val="24"/>
          <w:szCs w:val="24"/>
          <w:vertAlign w:val="superscript"/>
        </w:rPr>
        <w:t>+ )</w:t>
      </w:r>
      <w:r w:rsidRPr="00736BD1">
        <w:rPr>
          <w:rFonts w:ascii="微软雅黑" w:eastAsia="微软雅黑" w:hAnsi="微软雅黑" w:cs="宋体"/>
          <w:kern w:val="0"/>
          <w:sz w:val="24"/>
          <w:szCs w:val="24"/>
        </w:rPr>
        <w:t xml:space="preserve"> 的浸润（</w:t>
      </w:r>
      <w:r w:rsidRPr="00736BD1">
        <w:rPr>
          <w:rFonts w:ascii="微软雅黑" w:eastAsia="微软雅黑" w:hAnsi="微软雅黑" w:cs="宋体"/>
          <w:kern w:val="0"/>
          <w:sz w:val="24"/>
          <w:szCs w:val="24"/>
        </w:rPr>
        <w:fldChar w:fldCharType="begin"/>
      </w:r>
      <w:r w:rsidRPr="00736BD1">
        <w:rPr>
          <w:rFonts w:ascii="微软雅黑" w:eastAsia="微软雅黑" w:hAnsi="微软雅黑" w:cs="宋体"/>
          <w:kern w:val="0"/>
          <w:sz w:val="24"/>
          <w:szCs w:val="24"/>
        </w:rPr>
        <w:instrText xml:space="preserve"> HYPERLINK "https://pmc.ncbi.nlm.nih.gov/articles/PMC12520673/" \l "F6" </w:instrText>
      </w:r>
      <w:r w:rsidRPr="00736BD1">
        <w:rPr>
          <w:rFonts w:ascii="微软雅黑" w:eastAsia="微软雅黑" w:hAnsi="微软雅黑" w:cs="宋体"/>
          <w:kern w:val="0"/>
          <w:sz w:val="24"/>
          <w:szCs w:val="24"/>
        </w:rPr>
        <w:fldChar w:fldCharType="separate"/>
      </w:r>
      <w:r w:rsidRPr="00736BD1">
        <w:rPr>
          <w:rFonts w:ascii="微软雅黑" w:eastAsia="微软雅黑" w:hAnsi="微软雅黑" w:cs="宋体"/>
          <w:kern w:val="0"/>
          <w:sz w:val="24"/>
          <w:szCs w:val="24"/>
          <w:u w:val="single"/>
        </w:rPr>
        <w:t>图 6B 和 6C ）。此外，CD8 </w:t>
      </w:r>
      <w:r w:rsidRPr="00736BD1">
        <w:rPr>
          <w:rFonts w:ascii="微软雅黑" w:eastAsia="微软雅黑" w:hAnsi="微软雅黑" w:cs="宋体"/>
          <w:kern w:val="0"/>
          <w:sz w:val="24"/>
          <w:szCs w:val="24"/>
        </w:rPr>
        <w:fldChar w:fldCharType="end"/>
      </w:r>
      <w:r w:rsidRPr="00736BD1">
        <w:rPr>
          <w:rFonts w:ascii="微软雅黑" w:eastAsia="微软雅黑" w:hAnsi="微软雅黑" w:cs="宋体"/>
          <w:kern w:val="0"/>
          <w:sz w:val="24"/>
          <w:szCs w:val="24"/>
          <w:vertAlign w:val="superscript"/>
        </w:rPr>
        <w:t>+</w:t>
      </w:r>
      <w:r w:rsidRPr="00736BD1">
        <w:rPr>
          <w:rFonts w:ascii="微软雅黑" w:eastAsia="微软雅黑" w:hAnsi="微软雅黑" w:cs="宋体"/>
          <w:kern w:val="0"/>
          <w:sz w:val="24"/>
          <w:szCs w:val="24"/>
        </w:rPr>
        <w:t> T 细胞与 Treg 细胞的比值（细胞毒性 T 细胞活性增强的指标）在联合治疗后升高（</w:t>
      </w:r>
      <w:r w:rsidRPr="00736BD1">
        <w:rPr>
          <w:rFonts w:ascii="微软雅黑" w:eastAsia="微软雅黑" w:hAnsi="微软雅黑" w:cs="宋体"/>
          <w:kern w:val="0"/>
          <w:sz w:val="24"/>
          <w:szCs w:val="24"/>
        </w:rPr>
        <w:fldChar w:fldCharType="begin"/>
      </w:r>
      <w:r w:rsidRPr="00736BD1">
        <w:rPr>
          <w:rFonts w:ascii="微软雅黑" w:eastAsia="微软雅黑" w:hAnsi="微软雅黑" w:cs="宋体"/>
          <w:kern w:val="0"/>
          <w:sz w:val="24"/>
          <w:szCs w:val="24"/>
        </w:rPr>
        <w:instrText xml:space="preserve"> HYPERLINK "https://pmc.ncbi.nlm.nih.gov/articles/PMC12520673/" \l "F6" </w:instrText>
      </w:r>
      <w:r w:rsidRPr="00736BD1">
        <w:rPr>
          <w:rFonts w:ascii="微软雅黑" w:eastAsia="微软雅黑" w:hAnsi="微软雅黑" w:cs="宋体"/>
          <w:kern w:val="0"/>
          <w:sz w:val="24"/>
          <w:szCs w:val="24"/>
        </w:rPr>
        <w:fldChar w:fldCharType="separate"/>
      </w:r>
      <w:r w:rsidRPr="00736BD1">
        <w:rPr>
          <w:rFonts w:ascii="微软雅黑" w:eastAsia="微软雅黑" w:hAnsi="微软雅黑" w:cs="宋体"/>
          <w:kern w:val="0"/>
          <w:sz w:val="24"/>
          <w:szCs w:val="24"/>
          <w:u w:val="single"/>
        </w:rPr>
        <w:t>图 6D</w:t>
      </w:r>
      <w:r w:rsidRPr="00736BD1">
        <w:rPr>
          <w:rFonts w:ascii="微软雅黑" w:eastAsia="微软雅黑" w:hAnsi="微软雅黑" w:cs="宋体"/>
          <w:kern w:val="0"/>
          <w:sz w:val="24"/>
          <w:szCs w:val="24"/>
        </w:rPr>
        <w:fldChar w:fldCharType="end"/>
      </w:r>
      <w:r w:rsidRPr="00736BD1">
        <w:rPr>
          <w:rFonts w:ascii="微软雅黑" w:eastAsia="微软雅黑" w:hAnsi="微软雅黑" w:cs="宋体"/>
          <w:kern w:val="0"/>
          <w:sz w:val="24"/>
          <w:szCs w:val="24"/>
        </w:rPr>
        <w:t>）。联合疗法还增加了NK细胞和中性粒细胞的数量，同时减少了巨噬细胞的浸润（</w:t>
      </w:r>
      <w:r w:rsidRPr="00736BD1">
        <w:rPr>
          <w:rFonts w:ascii="微软雅黑" w:eastAsia="微软雅黑" w:hAnsi="微软雅黑" w:cs="宋体"/>
          <w:kern w:val="0"/>
          <w:sz w:val="24"/>
          <w:szCs w:val="24"/>
        </w:rPr>
        <w:fldChar w:fldCharType="begin"/>
      </w:r>
      <w:r w:rsidRPr="00736BD1">
        <w:rPr>
          <w:rFonts w:ascii="微软雅黑" w:eastAsia="微软雅黑" w:hAnsi="微软雅黑" w:cs="宋体"/>
          <w:kern w:val="0"/>
          <w:sz w:val="24"/>
          <w:szCs w:val="24"/>
        </w:rPr>
        <w:instrText xml:space="preserve"> HYPERLINK "https://pmc.ncbi.nlm.nih.gov/articles/PMC12520673/" \l "B46" </w:instrText>
      </w:r>
      <w:r w:rsidRPr="00736BD1">
        <w:rPr>
          <w:rFonts w:ascii="微软雅黑" w:eastAsia="微软雅黑" w:hAnsi="微软雅黑" w:cs="宋体"/>
          <w:kern w:val="0"/>
          <w:sz w:val="24"/>
          <w:szCs w:val="24"/>
        </w:rPr>
        <w:fldChar w:fldCharType="separate"/>
      </w:r>
      <w:r w:rsidRPr="00736BD1">
        <w:rPr>
          <w:rFonts w:ascii="微软雅黑" w:eastAsia="微软雅黑" w:hAnsi="微软雅黑" w:cs="宋体"/>
          <w:kern w:val="0"/>
          <w:sz w:val="24"/>
          <w:szCs w:val="24"/>
          <w:u w:val="single"/>
        </w:rPr>
        <w:t>图</w:t>
      </w:r>
      <w:r w:rsidRPr="00736BD1">
        <w:rPr>
          <w:rFonts w:ascii="微软雅黑" w:eastAsia="微软雅黑" w:hAnsi="微软雅黑" w:cs="宋体"/>
          <w:kern w:val="0"/>
          <w:sz w:val="24"/>
          <w:szCs w:val="24"/>
        </w:rPr>
        <w:fldChar w:fldCharType="end"/>
      </w:r>
      <w:hyperlink r:id="rId52" w:anchor="F6" w:history="1">
        <w:r w:rsidRPr="00736BD1">
          <w:rPr>
            <w:rFonts w:ascii="微软雅黑" w:eastAsia="微软雅黑" w:hAnsi="微软雅黑" w:cs="宋体"/>
            <w:kern w:val="0"/>
            <w:sz w:val="24"/>
            <w:szCs w:val="24"/>
            <w:u w:val="single"/>
          </w:rPr>
          <w:t>6，E-G ）。鉴于CD8&lt;sup&gt; </w:t>
        </w:r>
      </w:hyperlink>
      <w:r w:rsidRPr="00736BD1">
        <w:rPr>
          <w:rFonts w:ascii="微软雅黑" w:eastAsia="微软雅黑" w:hAnsi="微软雅黑" w:cs="宋体"/>
          <w:kern w:val="0"/>
          <w:sz w:val="24"/>
          <w:szCs w:val="24"/>
          <w:vertAlign w:val="superscript"/>
        </w:rPr>
        <w:t>+</w:t>
      </w:r>
      <w:r w:rsidRPr="00736BD1">
        <w:rPr>
          <w:rFonts w:ascii="微软雅黑" w:eastAsia="微软雅黑" w:hAnsi="微软雅黑" w:cs="宋体"/>
          <w:kern w:val="0"/>
          <w:sz w:val="24"/>
          <w:szCs w:val="24"/>
        </w:rPr>
        <w:t> &lt;/sup&gt; T细胞定位对肿瘤抗疗效的重要性（ </w:t>
      </w:r>
      <w:hyperlink r:id="rId53" w:anchor="B44" w:history="1">
        <w:r w:rsidRPr="00736BD1">
          <w:rPr>
            <w:rFonts w:ascii="微软雅黑" w:eastAsia="微软雅黑" w:hAnsi="微软雅黑" w:cs="宋体"/>
            <w:kern w:val="0"/>
            <w:sz w:val="24"/>
            <w:szCs w:val="24"/>
            <w:u w:val="single"/>
          </w:rPr>
          <w:t>44-46</w:t>
        </w:r>
      </w:hyperlink>
      <w:r w:rsidRPr="00736BD1">
        <w:rPr>
          <w:rFonts w:ascii="微软雅黑" w:eastAsia="微软雅黑" w:hAnsi="微软雅黑" w:cs="宋体"/>
          <w:kern w:val="0"/>
          <w:sz w:val="24"/>
          <w:szCs w:val="24"/>
        </w:rPr>
        <w:t>），我们检测了它们在整个肿瘤切片中的空间分布。联合治疗组肿瘤中CD8&lt;sup&gt; </w:t>
      </w:r>
      <w:r w:rsidRPr="00736BD1">
        <w:rPr>
          <w:rFonts w:ascii="微软雅黑" w:eastAsia="微软雅黑" w:hAnsi="微软雅黑" w:cs="宋体"/>
          <w:kern w:val="0"/>
          <w:sz w:val="24"/>
          <w:szCs w:val="24"/>
          <w:vertAlign w:val="superscript"/>
        </w:rPr>
        <w:t>+ &lt;/sup&gt; T细胞密度显著增加（</w:t>
      </w:r>
      <w:r w:rsidRPr="00736BD1">
        <w:rPr>
          <w:rFonts w:ascii="微软雅黑" w:eastAsia="微软雅黑" w:hAnsi="微软雅黑" w:cs="宋体"/>
          <w:kern w:val="0"/>
          <w:sz w:val="24"/>
          <w:szCs w:val="24"/>
        </w:rPr>
        <w:fldChar w:fldCharType="begin"/>
      </w:r>
      <w:r w:rsidRPr="00736BD1">
        <w:rPr>
          <w:rFonts w:ascii="微软雅黑" w:eastAsia="微软雅黑" w:hAnsi="微软雅黑" w:cs="宋体"/>
          <w:kern w:val="0"/>
          <w:sz w:val="24"/>
          <w:szCs w:val="24"/>
        </w:rPr>
        <w:instrText xml:space="preserve"> HYPERLINK "https://pmc.ncbi.nlm.nih.gov/articles/PMC12520673/" \l "F6" </w:instrText>
      </w:r>
      <w:r w:rsidRPr="00736BD1">
        <w:rPr>
          <w:rFonts w:ascii="微软雅黑" w:eastAsia="微软雅黑" w:hAnsi="微软雅黑" w:cs="宋体"/>
          <w:kern w:val="0"/>
          <w:sz w:val="24"/>
          <w:szCs w:val="24"/>
        </w:rPr>
        <w:fldChar w:fldCharType="separate"/>
      </w:r>
      <w:r w:rsidRPr="00736BD1">
        <w:rPr>
          <w:rFonts w:ascii="微软雅黑" w:eastAsia="微软雅黑" w:hAnsi="微软雅黑" w:cs="宋体"/>
          <w:kern w:val="0"/>
          <w:sz w:val="24"/>
          <w:szCs w:val="24"/>
          <w:u w:val="single"/>
        </w:rPr>
        <w:t>图6H</w:t>
      </w:r>
      <w:r w:rsidRPr="00736BD1">
        <w:rPr>
          <w:rFonts w:ascii="微软雅黑" w:eastAsia="微软雅黑" w:hAnsi="微软雅黑" w:cs="宋体"/>
          <w:kern w:val="0"/>
          <w:sz w:val="24"/>
          <w:szCs w:val="24"/>
        </w:rPr>
        <w:fldChar w:fldCharType="end"/>
      </w:r>
      <w:r w:rsidRPr="00736BD1">
        <w:rPr>
          <w:rFonts w:ascii="微软雅黑" w:eastAsia="微软雅黑" w:hAnsi="微软雅黑" w:cs="宋体"/>
          <w:kern w:val="0"/>
          <w:sz w:val="24"/>
          <w:szCs w:val="24"/>
        </w:rPr>
        <w:t>）。在对照组肿瘤中，CD8&lt;sup&gt; </w:t>
      </w:r>
      <w:r w:rsidRPr="00736BD1">
        <w:rPr>
          <w:rFonts w:ascii="微软雅黑" w:eastAsia="微软雅黑" w:hAnsi="微软雅黑" w:cs="宋体"/>
          <w:kern w:val="0"/>
          <w:sz w:val="24"/>
          <w:szCs w:val="24"/>
          <w:vertAlign w:val="superscript"/>
        </w:rPr>
        <w:t>+</w:t>
      </w:r>
      <w:r w:rsidRPr="00736BD1">
        <w:rPr>
          <w:rFonts w:ascii="微软雅黑" w:eastAsia="微软雅黑" w:hAnsi="微软雅黑" w:cs="宋体"/>
          <w:kern w:val="0"/>
          <w:sz w:val="24"/>
          <w:szCs w:val="24"/>
        </w:rPr>
        <w:t xml:space="preserve"> &lt;/sup&gt; T细胞主要局限于肿瘤周边（距肿瘤边缘500 </w:t>
      </w:r>
      <w:proofErr w:type="spellStart"/>
      <w:r w:rsidRPr="00736BD1">
        <w:rPr>
          <w:rFonts w:ascii="微软雅黑" w:eastAsia="微软雅黑" w:hAnsi="微软雅黑" w:cs="宋体"/>
          <w:kern w:val="0"/>
          <w:sz w:val="24"/>
          <w:szCs w:val="24"/>
        </w:rPr>
        <w:t>μm</w:t>
      </w:r>
      <w:proofErr w:type="spellEnd"/>
      <w:r w:rsidRPr="00736BD1">
        <w:rPr>
          <w:rFonts w:ascii="微软雅黑" w:eastAsia="微软雅黑" w:hAnsi="微软雅黑" w:cs="宋体"/>
          <w:kern w:val="0"/>
          <w:sz w:val="24"/>
          <w:szCs w:val="24"/>
        </w:rPr>
        <w:t>以内），表明存在T细胞排斥表型（</w:t>
      </w:r>
      <w:r w:rsidRPr="00736BD1">
        <w:rPr>
          <w:rFonts w:ascii="微软雅黑" w:eastAsia="微软雅黑" w:hAnsi="微软雅黑" w:cs="宋体"/>
          <w:kern w:val="0"/>
          <w:sz w:val="24"/>
          <w:szCs w:val="24"/>
        </w:rPr>
        <w:fldChar w:fldCharType="begin"/>
      </w:r>
      <w:r w:rsidRPr="00736BD1">
        <w:rPr>
          <w:rFonts w:ascii="微软雅黑" w:eastAsia="微软雅黑" w:hAnsi="微软雅黑" w:cs="宋体"/>
          <w:kern w:val="0"/>
          <w:sz w:val="24"/>
          <w:szCs w:val="24"/>
        </w:rPr>
        <w:instrText xml:space="preserve"> HYPERLINK "https://pmc.ncbi.nlm.nih.gov/articles/PMC12520673/" \l "B45" </w:instrText>
      </w:r>
      <w:r w:rsidRPr="00736BD1">
        <w:rPr>
          <w:rFonts w:ascii="微软雅黑" w:eastAsia="微软雅黑" w:hAnsi="微软雅黑" w:cs="宋体"/>
          <w:kern w:val="0"/>
          <w:sz w:val="24"/>
          <w:szCs w:val="24"/>
        </w:rPr>
        <w:fldChar w:fldCharType="separate"/>
      </w:r>
      <w:r w:rsidRPr="00736BD1">
        <w:rPr>
          <w:rFonts w:ascii="微软雅黑" w:eastAsia="微软雅黑" w:hAnsi="微软雅黑" w:cs="宋体"/>
          <w:kern w:val="0"/>
          <w:sz w:val="24"/>
          <w:szCs w:val="24"/>
          <w:u w:val="single"/>
        </w:rPr>
        <w:t>45</w:t>
      </w:r>
      <w:r w:rsidRPr="00736BD1">
        <w:rPr>
          <w:rFonts w:ascii="微软雅黑" w:eastAsia="微软雅黑" w:hAnsi="微软雅黑" w:cs="宋体"/>
          <w:kern w:val="0"/>
          <w:sz w:val="24"/>
          <w:szCs w:val="24"/>
        </w:rPr>
        <w:fldChar w:fldCharType="end"/>
      </w:r>
      <w:r w:rsidRPr="00736BD1">
        <w:rPr>
          <w:rFonts w:ascii="微软雅黑" w:eastAsia="微软雅黑" w:hAnsi="微软雅黑" w:cs="宋体"/>
          <w:kern w:val="0"/>
          <w:sz w:val="24"/>
          <w:szCs w:val="24"/>
        </w:rPr>
        <w:t>）（</w:t>
      </w:r>
      <w:hyperlink r:id="rId54" w:anchor="F6" w:history="1">
        <w:r w:rsidRPr="00736BD1">
          <w:rPr>
            <w:rFonts w:ascii="微软雅黑" w:eastAsia="微软雅黑" w:hAnsi="微软雅黑" w:cs="宋体"/>
            <w:kern w:val="0"/>
            <w:sz w:val="24"/>
            <w:szCs w:val="24"/>
            <w:u w:val="single"/>
          </w:rPr>
          <w:t>图6，I和J</w:t>
        </w:r>
      </w:hyperlink>
      <w:r w:rsidRPr="00736BD1">
        <w:rPr>
          <w:rFonts w:ascii="微软雅黑" w:eastAsia="微软雅黑" w:hAnsi="微软雅黑" w:cs="宋体"/>
          <w:kern w:val="0"/>
          <w:sz w:val="24"/>
          <w:szCs w:val="24"/>
        </w:rPr>
        <w:t>）。CDK7抑制剂，无论是单独使用还是联合使用，都能逆转这种排斥现象，促进CD8&lt;sup&gt; </w:t>
      </w:r>
      <w:r w:rsidRPr="00736BD1">
        <w:rPr>
          <w:rFonts w:ascii="微软雅黑" w:eastAsia="微软雅黑" w:hAnsi="微软雅黑" w:cs="宋体"/>
          <w:kern w:val="0"/>
          <w:sz w:val="24"/>
          <w:szCs w:val="24"/>
          <w:vertAlign w:val="superscript"/>
        </w:rPr>
        <w:t>+</w:t>
      </w:r>
      <w:r w:rsidRPr="00736BD1">
        <w:rPr>
          <w:rFonts w:ascii="微软雅黑" w:eastAsia="微软雅黑" w:hAnsi="微软雅黑" w:cs="宋体"/>
          <w:kern w:val="0"/>
          <w:sz w:val="24"/>
          <w:szCs w:val="24"/>
        </w:rPr>
        <w:t> &lt;/sup&gt; T细胞浸润到肿瘤核心。这些结果表明，CDK4/6和CDK7的双重抑制不仅能抑制肿瘤细胞增殖，还能重编程肿瘤微环境（TME）以支持有效的抗肿瘤免疫。</w:t>
      </w:r>
    </w:p>
    <w:p w14:paraId="2BE464BA" w14:textId="77777777" w:rsidR="00736BD1" w:rsidRPr="00736BD1" w:rsidRDefault="00736BD1" w:rsidP="00736BD1">
      <w:pPr>
        <w:widowControl/>
        <w:spacing w:line="450" w:lineRule="atLeast"/>
        <w:outlineLvl w:val="3"/>
        <w:rPr>
          <w:rFonts w:ascii="微软雅黑" w:eastAsia="微软雅黑" w:hAnsi="微软雅黑" w:cs="宋体"/>
          <w:kern w:val="0"/>
          <w:sz w:val="30"/>
          <w:szCs w:val="30"/>
        </w:rPr>
      </w:pPr>
      <w:r w:rsidRPr="00736BD1">
        <w:rPr>
          <w:rFonts w:ascii="微软雅黑" w:eastAsia="微软雅黑" w:hAnsi="微软雅黑" w:cs="宋体"/>
          <w:kern w:val="0"/>
          <w:sz w:val="30"/>
          <w:szCs w:val="30"/>
        </w:rPr>
        <w:t>图 6. CDK4/6i 和 CDK7i 治疗增强抗肿瘤免疫力。</w:t>
      </w:r>
    </w:p>
    <w:p w14:paraId="73F8FFEB" w14:textId="54031DB2" w:rsidR="00736BD1" w:rsidRPr="00736BD1" w:rsidRDefault="00736BD1" w:rsidP="00736BD1">
      <w:pPr>
        <w:widowControl/>
        <w:spacing w:before="450"/>
        <w:rPr>
          <w:rFonts w:ascii="微软雅黑" w:eastAsia="微软雅黑" w:hAnsi="微软雅黑" w:cs="宋体"/>
          <w:kern w:val="0"/>
          <w:sz w:val="24"/>
          <w:szCs w:val="24"/>
        </w:rPr>
      </w:pPr>
      <w:r w:rsidRPr="00736BD1">
        <w:rPr>
          <w:rFonts w:ascii="微软雅黑" w:eastAsia="微软雅黑" w:hAnsi="微软雅黑" w:cs="宋体"/>
          <w:noProof/>
          <w:kern w:val="0"/>
          <w:sz w:val="24"/>
          <w:szCs w:val="24"/>
        </w:rPr>
        <w:lastRenderedPageBreak/>
        <w:drawing>
          <wp:inline distT="0" distB="0" distL="0" distR="0" wp14:anchorId="0CEBDCFA" wp14:editId="56FA1BA3">
            <wp:extent cx="5274310" cy="4984750"/>
            <wp:effectExtent l="0" t="0" r="2540" b="6350"/>
            <wp:docPr id="3" name="图片 3" descr="图 6">
              <a:hlinkClick xmlns:a="http://schemas.openxmlformats.org/drawingml/2006/main" r:id="rId5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图 6">
                      <a:hlinkClick r:id="rId55" tgtFrame="&quot;_blank&quot;"/>
                    </pic:cNvPr>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5274310" cy="4984750"/>
                    </a:xfrm>
                    <a:prstGeom prst="rect">
                      <a:avLst/>
                    </a:prstGeom>
                    <a:noFill/>
                    <a:ln>
                      <a:noFill/>
                    </a:ln>
                  </pic:spPr>
                </pic:pic>
              </a:graphicData>
            </a:graphic>
          </wp:inline>
        </w:drawing>
      </w:r>
    </w:p>
    <w:p w14:paraId="481B2525" w14:textId="77777777" w:rsidR="00736BD1" w:rsidRPr="00736BD1" w:rsidRDefault="00736BD1" w:rsidP="00736BD1">
      <w:pPr>
        <w:widowControl/>
        <w:rPr>
          <w:rFonts w:ascii="微软雅黑" w:eastAsia="微软雅黑" w:hAnsi="微软雅黑" w:cs="宋体"/>
          <w:kern w:val="0"/>
          <w:sz w:val="24"/>
          <w:szCs w:val="24"/>
        </w:rPr>
      </w:pPr>
      <w:r w:rsidRPr="00736BD1">
        <w:rPr>
          <w:rFonts w:ascii="微软雅黑" w:eastAsia="微软雅黑" w:hAnsi="微软雅黑" w:cs="宋体"/>
          <w:kern w:val="0"/>
          <w:sz w:val="24"/>
          <w:szCs w:val="24"/>
        </w:rPr>
        <w:t>（</w:t>
      </w:r>
      <w:r w:rsidRPr="00736BD1">
        <w:rPr>
          <w:rFonts w:ascii="微软雅黑" w:eastAsia="微软雅黑" w:hAnsi="微软雅黑" w:cs="宋体"/>
          <w:b/>
          <w:bCs/>
          <w:kern w:val="0"/>
          <w:sz w:val="24"/>
          <w:szCs w:val="24"/>
        </w:rPr>
        <w:t>A</w:t>
      </w:r>
      <w:r w:rsidRPr="00736BD1">
        <w:rPr>
          <w:rFonts w:ascii="微软雅黑" w:eastAsia="微软雅黑" w:hAnsi="微软雅黑" w:cs="宋体"/>
          <w:kern w:val="0"/>
          <w:sz w:val="24"/>
          <w:szCs w:val="24"/>
        </w:rPr>
        <w:t> - </w:t>
      </w:r>
      <w:r w:rsidRPr="00736BD1">
        <w:rPr>
          <w:rFonts w:ascii="微软雅黑" w:eastAsia="微软雅黑" w:hAnsi="微软雅黑" w:cs="宋体"/>
          <w:b/>
          <w:bCs/>
          <w:kern w:val="0"/>
          <w:sz w:val="24"/>
          <w:szCs w:val="24"/>
        </w:rPr>
        <w:t>G</w:t>
      </w:r>
      <w:r w:rsidRPr="00736BD1">
        <w:rPr>
          <w:rFonts w:ascii="微软雅黑" w:eastAsia="微软雅黑" w:hAnsi="微软雅黑" w:cs="宋体"/>
          <w:kern w:val="0"/>
          <w:sz w:val="24"/>
          <w:szCs w:val="24"/>
        </w:rPr>
        <w:t>）采用流式细胞术定量分析AT3 </w:t>
      </w:r>
      <w:r w:rsidRPr="00736BD1">
        <w:rPr>
          <w:rFonts w:ascii="微软雅黑" w:eastAsia="微软雅黑" w:hAnsi="微软雅黑" w:cs="宋体"/>
          <w:kern w:val="0"/>
          <w:sz w:val="24"/>
          <w:szCs w:val="24"/>
          <w:vertAlign w:val="superscript"/>
        </w:rPr>
        <w:t>OVA</w:t>
      </w:r>
      <w:r w:rsidRPr="00736BD1">
        <w:rPr>
          <w:rFonts w:ascii="微软雅黑" w:eastAsia="微软雅黑" w:hAnsi="微软雅黑" w:cs="宋体"/>
          <w:kern w:val="0"/>
          <w:sz w:val="24"/>
          <w:szCs w:val="24"/>
        </w:rPr>
        <w:t>肿瘤中免疫细胞群，分别用载体、帕博西尼（50 mg/kg）、SY5609（2 mg/kg）或二者联合治疗。图中显示了总CD45&lt;sup&gt; </w:t>
      </w:r>
      <w:r w:rsidRPr="00736BD1">
        <w:rPr>
          <w:rFonts w:ascii="微软雅黑" w:eastAsia="微软雅黑" w:hAnsi="微软雅黑" w:cs="宋体"/>
          <w:kern w:val="0"/>
          <w:sz w:val="24"/>
          <w:szCs w:val="24"/>
          <w:vertAlign w:val="superscript"/>
        </w:rPr>
        <w:t>+</w:t>
      </w:r>
      <w:r w:rsidRPr="00736BD1">
        <w:rPr>
          <w:rFonts w:ascii="微软雅黑" w:eastAsia="微软雅黑" w:hAnsi="微软雅黑" w:cs="宋体"/>
          <w:kern w:val="0"/>
          <w:sz w:val="24"/>
          <w:szCs w:val="24"/>
        </w:rPr>
        <w:t> &lt;/sup&gt;免疫细胞（</w:t>
      </w:r>
      <w:r w:rsidRPr="00736BD1">
        <w:rPr>
          <w:rFonts w:ascii="微软雅黑" w:eastAsia="微软雅黑" w:hAnsi="微软雅黑" w:cs="宋体"/>
          <w:b/>
          <w:bCs/>
          <w:kern w:val="0"/>
          <w:sz w:val="24"/>
          <w:szCs w:val="24"/>
        </w:rPr>
        <w:t>A</w:t>
      </w:r>
      <w:r w:rsidRPr="00736BD1">
        <w:rPr>
          <w:rFonts w:ascii="微软雅黑" w:eastAsia="微软雅黑" w:hAnsi="微软雅黑" w:cs="宋体"/>
          <w:kern w:val="0"/>
          <w:sz w:val="24"/>
          <w:szCs w:val="24"/>
        </w:rPr>
        <w:t>）、CD8&lt;sup&gt; </w:t>
      </w:r>
      <w:r w:rsidRPr="00736BD1">
        <w:rPr>
          <w:rFonts w:ascii="微软雅黑" w:eastAsia="微软雅黑" w:hAnsi="微软雅黑" w:cs="宋体"/>
          <w:kern w:val="0"/>
          <w:sz w:val="24"/>
          <w:szCs w:val="24"/>
          <w:vertAlign w:val="superscript"/>
        </w:rPr>
        <w:t>+</w:t>
      </w:r>
      <w:r w:rsidRPr="00736BD1">
        <w:rPr>
          <w:rFonts w:ascii="微软雅黑" w:eastAsia="微软雅黑" w:hAnsi="微软雅黑" w:cs="宋体"/>
          <w:kern w:val="0"/>
          <w:sz w:val="24"/>
          <w:szCs w:val="24"/>
        </w:rPr>
        <w:t> &lt;/sup&gt; T细胞（</w:t>
      </w:r>
      <w:r w:rsidRPr="00736BD1">
        <w:rPr>
          <w:rFonts w:ascii="微软雅黑" w:eastAsia="微软雅黑" w:hAnsi="微软雅黑" w:cs="宋体"/>
          <w:b/>
          <w:bCs/>
          <w:kern w:val="0"/>
          <w:sz w:val="24"/>
          <w:szCs w:val="24"/>
        </w:rPr>
        <w:t>B</w:t>
      </w:r>
      <w:r w:rsidRPr="00736BD1">
        <w:rPr>
          <w:rFonts w:ascii="微软雅黑" w:eastAsia="微软雅黑" w:hAnsi="微软雅黑" w:cs="宋体"/>
          <w:kern w:val="0"/>
          <w:sz w:val="24"/>
          <w:szCs w:val="24"/>
        </w:rPr>
        <w:t>）、CD4&lt;sup&gt; </w:t>
      </w:r>
      <w:r w:rsidRPr="00736BD1">
        <w:rPr>
          <w:rFonts w:ascii="微软雅黑" w:eastAsia="微软雅黑" w:hAnsi="微软雅黑" w:cs="宋体"/>
          <w:kern w:val="0"/>
          <w:sz w:val="24"/>
          <w:szCs w:val="24"/>
          <w:vertAlign w:val="superscript"/>
        </w:rPr>
        <w:t>+</w:t>
      </w:r>
      <w:r w:rsidRPr="00736BD1">
        <w:rPr>
          <w:rFonts w:ascii="微软雅黑" w:eastAsia="微软雅黑" w:hAnsi="微软雅黑" w:cs="宋体"/>
          <w:kern w:val="0"/>
          <w:sz w:val="24"/>
          <w:szCs w:val="24"/>
        </w:rPr>
        <w:t> &lt;/sup&gt; T细胞（</w:t>
      </w:r>
      <w:r w:rsidRPr="00736BD1">
        <w:rPr>
          <w:rFonts w:ascii="微软雅黑" w:eastAsia="微软雅黑" w:hAnsi="微软雅黑" w:cs="宋体"/>
          <w:b/>
          <w:bCs/>
          <w:kern w:val="0"/>
          <w:sz w:val="24"/>
          <w:szCs w:val="24"/>
        </w:rPr>
        <w:t>C ）、CD8&lt;sup&gt; </w:t>
      </w:r>
      <w:r w:rsidRPr="00736BD1">
        <w:rPr>
          <w:rFonts w:ascii="微软雅黑" w:eastAsia="微软雅黑" w:hAnsi="微软雅黑" w:cs="宋体"/>
          <w:kern w:val="0"/>
          <w:sz w:val="24"/>
          <w:szCs w:val="24"/>
          <w:vertAlign w:val="superscript"/>
        </w:rPr>
        <w:t>+</w:t>
      </w:r>
      <w:r w:rsidRPr="00736BD1">
        <w:rPr>
          <w:rFonts w:ascii="微软雅黑" w:eastAsia="微软雅黑" w:hAnsi="微软雅黑" w:cs="宋体"/>
          <w:kern w:val="0"/>
          <w:sz w:val="24"/>
          <w:szCs w:val="24"/>
        </w:rPr>
        <w:t> &lt;/sup&gt; T细胞与Treg细胞的比值（ </w:t>
      </w:r>
      <w:r w:rsidRPr="00736BD1">
        <w:rPr>
          <w:rFonts w:ascii="微软雅黑" w:eastAsia="微软雅黑" w:hAnsi="微软雅黑" w:cs="宋体"/>
          <w:b/>
          <w:bCs/>
          <w:kern w:val="0"/>
          <w:sz w:val="24"/>
          <w:szCs w:val="24"/>
        </w:rPr>
        <w:t>D</w:t>
      </w:r>
      <w:r w:rsidRPr="00736BD1">
        <w:rPr>
          <w:rFonts w:ascii="微软雅黑" w:eastAsia="微软雅黑" w:hAnsi="微软雅黑" w:cs="宋体"/>
          <w:kern w:val="0"/>
          <w:sz w:val="24"/>
          <w:szCs w:val="24"/>
        </w:rPr>
        <w:t>）、NK细胞（</w:t>
      </w:r>
      <w:r w:rsidRPr="00736BD1">
        <w:rPr>
          <w:rFonts w:ascii="微软雅黑" w:eastAsia="微软雅黑" w:hAnsi="微软雅黑" w:cs="宋体"/>
          <w:b/>
          <w:bCs/>
          <w:kern w:val="0"/>
          <w:sz w:val="24"/>
          <w:szCs w:val="24"/>
        </w:rPr>
        <w:t>E</w:t>
      </w:r>
      <w:r w:rsidRPr="00736BD1">
        <w:rPr>
          <w:rFonts w:ascii="微软雅黑" w:eastAsia="微软雅黑" w:hAnsi="微软雅黑" w:cs="宋体"/>
          <w:kern w:val="0"/>
          <w:sz w:val="24"/>
          <w:szCs w:val="24"/>
        </w:rPr>
        <w:t>）、中性粒细胞（</w:t>
      </w:r>
      <w:r w:rsidRPr="00736BD1">
        <w:rPr>
          <w:rFonts w:ascii="微软雅黑" w:eastAsia="微软雅黑" w:hAnsi="微软雅黑" w:cs="宋体"/>
          <w:b/>
          <w:bCs/>
          <w:kern w:val="0"/>
          <w:sz w:val="24"/>
          <w:szCs w:val="24"/>
        </w:rPr>
        <w:t>F</w:t>
      </w:r>
      <w:r w:rsidRPr="00736BD1">
        <w:rPr>
          <w:rFonts w:ascii="微软雅黑" w:eastAsia="微软雅黑" w:hAnsi="微软雅黑" w:cs="宋体"/>
          <w:kern w:val="0"/>
          <w:sz w:val="24"/>
          <w:szCs w:val="24"/>
        </w:rPr>
        <w:t>）和巨噬细胞（</w:t>
      </w:r>
      <w:r w:rsidRPr="00736BD1">
        <w:rPr>
          <w:rFonts w:ascii="微软雅黑" w:eastAsia="微软雅黑" w:hAnsi="微软雅黑" w:cs="宋体"/>
          <w:b/>
          <w:bCs/>
          <w:kern w:val="0"/>
          <w:sz w:val="24"/>
          <w:szCs w:val="24"/>
        </w:rPr>
        <w:t>G</w:t>
      </w:r>
      <w:r w:rsidRPr="00736BD1">
        <w:rPr>
          <w:rFonts w:ascii="微软雅黑" w:eastAsia="微软雅黑" w:hAnsi="微软雅黑" w:cs="宋体"/>
          <w:kern w:val="0"/>
          <w:sz w:val="24"/>
          <w:szCs w:val="24"/>
        </w:rPr>
        <w:t>）。中间线表示中位数，箱线图</w:t>
      </w:r>
      <w:proofErr w:type="gramStart"/>
      <w:r w:rsidRPr="00736BD1">
        <w:rPr>
          <w:rFonts w:ascii="微软雅黑" w:eastAsia="微软雅黑" w:hAnsi="微软雅黑" w:cs="宋体"/>
          <w:kern w:val="0"/>
          <w:sz w:val="24"/>
          <w:szCs w:val="24"/>
        </w:rPr>
        <w:t>的箱线边缘</w:t>
      </w:r>
      <w:proofErr w:type="gramEnd"/>
      <w:r w:rsidRPr="00736BD1">
        <w:rPr>
          <w:rFonts w:ascii="微软雅黑" w:eastAsia="微软雅黑" w:hAnsi="微软雅黑" w:cs="宋体"/>
          <w:kern w:val="0"/>
          <w:sz w:val="24"/>
          <w:szCs w:val="24"/>
        </w:rPr>
        <w:t>表示四分位间距（</w:t>
      </w:r>
      <w:r w:rsidRPr="00736BD1">
        <w:rPr>
          <w:rFonts w:ascii="微软雅黑" w:eastAsia="微软雅黑" w:hAnsi="微软雅黑" w:cs="宋体"/>
          <w:i/>
          <w:iCs/>
          <w:kern w:val="0"/>
          <w:sz w:val="24"/>
          <w:szCs w:val="24"/>
        </w:rPr>
        <w:t>n</w:t>
      </w:r>
      <w:r w:rsidRPr="00736BD1">
        <w:rPr>
          <w:rFonts w:ascii="微软雅黑" w:eastAsia="微软雅黑" w:hAnsi="微软雅黑" w:cs="宋体"/>
          <w:kern w:val="0"/>
          <w:sz w:val="24"/>
          <w:szCs w:val="24"/>
        </w:rPr>
        <w:t> = 7只小鼠/组）。P</w:t>
      </w:r>
      <w:r w:rsidRPr="00736BD1">
        <w:rPr>
          <w:rFonts w:ascii="微软雅黑" w:eastAsia="微软雅黑" w:hAnsi="微软雅黑" w:cs="宋体"/>
          <w:i/>
          <w:iCs/>
          <w:kern w:val="0"/>
          <w:sz w:val="24"/>
          <w:szCs w:val="24"/>
        </w:rPr>
        <w:t>值</w:t>
      </w:r>
      <w:r w:rsidRPr="00736BD1">
        <w:rPr>
          <w:rFonts w:ascii="微软雅黑" w:eastAsia="微软雅黑" w:hAnsi="微软雅黑" w:cs="宋体"/>
          <w:kern w:val="0"/>
          <w:sz w:val="24"/>
          <w:szCs w:val="24"/>
        </w:rPr>
        <w:t>采用单因素方差分析和Dunnett多重比较检验计算（* </w:t>
      </w:r>
      <w:r w:rsidRPr="00736BD1">
        <w:rPr>
          <w:rFonts w:ascii="微软雅黑" w:eastAsia="微软雅黑" w:hAnsi="微软雅黑" w:cs="宋体"/>
          <w:i/>
          <w:iCs/>
          <w:kern w:val="0"/>
          <w:sz w:val="24"/>
          <w:szCs w:val="24"/>
        </w:rPr>
        <w:t>P</w:t>
      </w:r>
      <w:r w:rsidRPr="00736BD1">
        <w:rPr>
          <w:rFonts w:ascii="微软雅黑" w:eastAsia="微软雅黑" w:hAnsi="微软雅黑" w:cs="宋体"/>
          <w:kern w:val="0"/>
          <w:sz w:val="24"/>
          <w:szCs w:val="24"/>
        </w:rPr>
        <w:t> ≤ 0.05）。（</w:t>
      </w:r>
      <w:r w:rsidRPr="00736BD1">
        <w:rPr>
          <w:rFonts w:ascii="微软雅黑" w:eastAsia="微软雅黑" w:hAnsi="微软雅黑" w:cs="宋体"/>
          <w:b/>
          <w:bCs/>
          <w:kern w:val="0"/>
          <w:sz w:val="24"/>
          <w:szCs w:val="24"/>
        </w:rPr>
        <w:t>H</w:t>
      </w:r>
      <w:r w:rsidRPr="00736BD1">
        <w:rPr>
          <w:rFonts w:ascii="微软雅黑" w:eastAsia="微软雅黑" w:hAnsi="微软雅黑" w:cs="宋体"/>
          <w:kern w:val="0"/>
          <w:sz w:val="24"/>
          <w:szCs w:val="24"/>
        </w:rPr>
        <w:t>）每平方毫米CD8&lt;sup&gt; </w:t>
      </w:r>
      <w:r w:rsidRPr="00736BD1">
        <w:rPr>
          <w:rFonts w:ascii="微软雅黑" w:eastAsia="微软雅黑" w:hAnsi="微软雅黑" w:cs="宋体"/>
          <w:kern w:val="0"/>
          <w:sz w:val="24"/>
          <w:szCs w:val="24"/>
          <w:vertAlign w:val="superscript"/>
        </w:rPr>
        <w:t>+ &lt;/sup&gt;</w:t>
      </w:r>
      <w:r w:rsidRPr="00736BD1">
        <w:rPr>
          <w:rFonts w:ascii="微软雅黑" w:eastAsia="微软雅黑" w:hAnsi="微软雅黑" w:cs="宋体"/>
          <w:kern w:val="0"/>
          <w:sz w:val="24"/>
          <w:szCs w:val="24"/>
        </w:rPr>
        <w:t> T细胞密度（</w:t>
      </w:r>
      <w:r w:rsidRPr="00736BD1">
        <w:rPr>
          <w:rFonts w:ascii="微软雅黑" w:eastAsia="微软雅黑" w:hAnsi="微软雅黑" w:cs="宋体"/>
          <w:i/>
          <w:iCs/>
          <w:kern w:val="0"/>
          <w:sz w:val="24"/>
          <w:szCs w:val="24"/>
        </w:rPr>
        <w:t>n</w:t>
      </w:r>
      <w:r w:rsidRPr="00736BD1">
        <w:rPr>
          <w:rFonts w:ascii="微软雅黑" w:eastAsia="微软雅黑" w:hAnsi="微软雅黑" w:cs="宋体"/>
          <w:kern w:val="0"/>
          <w:sz w:val="24"/>
          <w:szCs w:val="24"/>
        </w:rPr>
        <w:t> = 7只小鼠/组）。采用单因素方差分析（ANOVA）和Dunnett多重比较检验计算</w:t>
      </w:r>
      <w:r w:rsidRPr="00736BD1">
        <w:rPr>
          <w:rFonts w:ascii="微软雅黑" w:eastAsia="微软雅黑" w:hAnsi="微软雅黑" w:cs="宋体"/>
          <w:i/>
          <w:iCs/>
          <w:kern w:val="0"/>
          <w:sz w:val="24"/>
          <w:szCs w:val="24"/>
        </w:rPr>
        <w:t>P值（* P</w:t>
      </w:r>
      <w:r w:rsidRPr="00736BD1">
        <w:rPr>
          <w:rFonts w:ascii="微软雅黑" w:eastAsia="微软雅黑" w:hAnsi="微软雅黑" w:cs="宋体"/>
          <w:kern w:val="0"/>
          <w:sz w:val="24"/>
          <w:szCs w:val="24"/>
        </w:rPr>
        <w:t> ≤ 0.05；** </w:t>
      </w:r>
      <w:r w:rsidRPr="00736BD1">
        <w:rPr>
          <w:rFonts w:ascii="微软雅黑" w:eastAsia="微软雅黑" w:hAnsi="微软雅黑" w:cs="宋体"/>
          <w:i/>
          <w:iCs/>
          <w:kern w:val="0"/>
          <w:sz w:val="24"/>
          <w:szCs w:val="24"/>
        </w:rPr>
        <w:t>P</w:t>
      </w:r>
      <w:r w:rsidRPr="00736BD1">
        <w:rPr>
          <w:rFonts w:ascii="微软雅黑" w:eastAsia="微软雅黑" w:hAnsi="微软雅黑" w:cs="宋体"/>
          <w:kern w:val="0"/>
          <w:sz w:val="24"/>
          <w:szCs w:val="24"/>
        </w:rPr>
        <w:t> ≤ 0.001）。</w:t>
      </w:r>
      <w:r w:rsidRPr="00736BD1">
        <w:rPr>
          <w:rFonts w:ascii="微软雅黑" w:eastAsia="微软雅黑" w:hAnsi="微软雅黑" w:cs="宋体"/>
          <w:kern w:val="0"/>
          <w:sz w:val="24"/>
          <w:szCs w:val="24"/>
        </w:rPr>
        <w:lastRenderedPageBreak/>
        <w:t>（</w:t>
      </w:r>
      <w:r w:rsidRPr="00736BD1">
        <w:rPr>
          <w:rFonts w:ascii="微软雅黑" w:eastAsia="微软雅黑" w:hAnsi="微软雅黑" w:cs="宋体"/>
          <w:b/>
          <w:bCs/>
          <w:kern w:val="0"/>
          <w:sz w:val="24"/>
          <w:szCs w:val="24"/>
        </w:rPr>
        <w:t>I</w:t>
      </w:r>
      <w:r w:rsidRPr="00736BD1">
        <w:rPr>
          <w:rFonts w:ascii="微软雅黑" w:eastAsia="微软雅黑" w:hAnsi="微软雅黑" w:cs="宋体"/>
          <w:kern w:val="0"/>
          <w:sz w:val="24"/>
          <w:szCs w:val="24"/>
        </w:rPr>
        <w:t>）免疫荧光图像显示肿瘤周边和核心CD8&lt;sup&gt; </w:t>
      </w:r>
      <w:r w:rsidRPr="00736BD1">
        <w:rPr>
          <w:rFonts w:ascii="微软雅黑" w:eastAsia="微软雅黑" w:hAnsi="微软雅黑" w:cs="宋体"/>
          <w:kern w:val="0"/>
          <w:sz w:val="24"/>
          <w:szCs w:val="24"/>
          <w:vertAlign w:val="superscript"/>
        </w:rPr>
        <w:t>+</w:t>
      </w:r>
      <w:r w:rsidRPr="00736BD1">
        <w:rPr>
          <w:rFonts w:ascii="微软雅黑" w:eastAsia="微软雅黑" w:hAnsi="微软雅黑" w:cs="宋体"/>
          <w:kern w:val="0"/>
          <w:sz w:val="24"/>
          <w:szCs w:val="24"/>
        </w:rPr>
        <w:t xml:space="preserve"> &lt;/sup&gt; T细胞的空间分布。比例尺：200 </w:t>
      </w:r>
      <w:proofErr w:type="spellStart"/>
      <w:r w:rsidRPr="00736BD1">
        <w:rPr>
          <w:rFonts w:ascii="微软雅黑" w:eastAsia="微软雅黑" w:hAnsi="微软雅黑" w:cs="宋体"/>
          <w:kern w:val="0"/>
          <w:sz w:val="24"/>
          <w:szCs w:val="24"/>
        </w:rPr>
        <w:t>μm</w:t>
      </w:r>
      <w:proofErr w:type="spellEnd"/>
      <w:r w:rsidRPr="00736BD1">
        <w:rPr>
          <w:rFonts w:ascii="微软雅黑" w:eastAsia="微软雅黑" w:hAnsi="微软雅黑" w:cs="宋体"/>
          <w:kern w:val="0"/>
          <w:sz w:val="24"/>
          <w:szCs w:val="24"/>
        </w:rPr>
        <w:t>。（</w:t>
      </w:r>
      <w:r w:rsidRPr="00736BD1">
        <w:rPr>
          <w:rFonts w:ascii="微软雅黑" w:eastAsia="微软雅黑" w:hAnsi="微软雅黑" w:cs="宋体"/>
          <w:b/>
          <w:bCs/>
          <w:kern w:val="0"/>
          <w:sz w:val="24"/>
          <w:szCs w:val="24"/>
        </w:rPr>
        <w:t>J</w:t>
      </w:r>
      <w:r w:rsidRPr="00736BD1">
        <w:rPr>
          <w:rFonts w:ascii="微软雅黑" w:eastAsia="微软雅黑" w:hAnsi="微软雅黑" w:cs="宋体"/>
          <w:kern w:val="0"/>
          <w:sz w:val="24"/>
          <w:szCs w:val="24"/>
        </w:rPr>
        <w:t>）肿瘤周边和核心CD8&lt;sup&gt; </w:t>
      </w:r>
      <w:r w:rsidRPr="00736BD1">
        <w:rPr>
          <w:rFonts w:ascii="微软雅黑" w:eastAsia="微软雅黑" w:hAnsi="微软雅黑" w:cs="宋体"/>
          <w:kern w:val="0"/>
          <w:sz w:val="24"/>
          <w:szCs w:val="24"/>
          <w:vertAlign w:val="superscript"/>
        </w:rPr>
        <w:t>+</w:t>
      </w:r>
      <w:r w:rsidRPr="00736BD1">
        <w:rPr>
          <w:rFonts w:ascii="微软雅黑" w:eastAsia="微软雅黑" w:hAnsi="微软雅黑" w:cs="宋体"/>
          <w:kern w:val="0"/>
          <w:sz w:val="24"/>
          <w:szCs w:val="24"/>
        </w:rPr>
        <w:t> &lt;/sup&gt; T细胞密度的定量分析。数据以均值±标准误（SEM）表示（</w:t>
      </w:r>
      <w:r w:rsidRPr="00736BD1">
        <w:rPr>
          <w:rFonts w:ascii="微软雅黑" w:eastAsia="微软雅黑" w:hAnsi="微软雅黑" w:cs="宋体"/>
          <w:i/>
          <w:iCs/>
          <w:kern w:val="0"/>
          <w:sz w:val="24"/>
          <w:szCs w:val="24"/>
        </w:rPr>
        <w:t>n</w:t>
      </w:r>
      <w:r w:rsidRPr="00736BD1">
        <w:rPr>
          <w:rFonts w:ascii="微软雅黑" w:eastAsia="微软雅黑" w:hAnsi="微软雅黑" w:cs="宋体"/>
          <w:kern w:val="0"/>
          <w:sz w:val="24"/>
          <w:szCs w:val="24"/>
        </w:rPr>
        <w:t> = 7只小鼠/组）。采用配对</w:t>
      </w:r>
      <w:r w:rsidRPr="00736BD1">
        <w:rPr>
          <w:rFonts w:ascii="微软雅黑" w:eastAsia="微软雅黑" w:hAnsi="微软雅黑" w:cs="宋体"/>
          <w:i/>
          <w:iCs/>
          <w:kern w:val="0"/>
          <w:sz w:val="24"/>
          <w:szCs w:val="24"/>
        </w:rPr>
        <w:t>t</w:t>
      </w:r>
      <w:r w:rsidRPr="00736BD1">
        <w:rPr>
          <w:rFonts w:ascii="微软雅黑" w:eastAsia="微软雅黑" w:hAnsi="微软雅黑" w:cs="宋体"/>
          <w:kern w:val="0"/>
          <w:sz w:val="24"/>
          <w:szCs w:val="24"/>
        </w:rPr>
        <w:t>检验计算</w:t>
      </w:r>
      <w:r w:rsidRPr="00736BD1">
        <w:rPr>
          <w:rFonts w:ascii="微软雅黑" w:eastAsia="微软雅黑" w:hAnsi="微软雅黑" w:cs="宋体"/>
          <w:i/>
          <w:iCs/>
          <w:kern w:val="0"/>
          <w:sz w:val="24"/>
          <w:szCs w:val="24"/>
        </w:rPr>
        <w:t>P</w:t>
      </w:r>
      <w:r w:rsidRPr="00736BD1">
        <w:rPr>
          <w:rFonts w:ascii="微软雅黑" w:eastAsia="微软雅黑" w:hAnsi="微软雅黑" w:cs="宋体"/>
          <w:kern w:val="0"/>
          <w:sz w:val="24"/>
          <w:szCs w:val="24"/>
        </w:rPr>
        <w:t>值（* </w:t>
      </w:r>
      <w:r w:rsidRPr="00736BD1">
        <w:rPr>
          <w:rFonts w:ascii="微软雅黑" w:eastAsia="微软雅黑" w:hAnsi="微软雅黑" w:cs="宋体"/>
          <w:i/>
          <w:iCs/>
          <w:kern w:val="0"/>
          <w:sz w:val="24"/>
          <w:szCs w:val="24"/>
        </w:rPr>
        <w:t>P</w:t>
      </w:r>
      <w:r w:rsidRPr="00736BD1">
        <w:rPr>
          <w:rFonts w:ascii="微软雅黑" w:eastAsia="微软雅黑" w:hAnsi="微软雅黑" w:cs="宋体"/>
          <w:kern w:val="0"/>
          <w:sz w:val="24"/>
          <w:szCs w:val="24"/>
        </w:rPr>
        <w:t> ≤ 0.05）。</w:t>
      </w:r>
    </w:p>
    <w:p w14:paraId="546CE1E5" w14:textId="77777777" w:rsidR="00736BD1" w:rsidRPr="00736BD1" w:rsidRDefault="00736BD1" w:rsidP="00736BD1">
      <w:pPr>
        <w:widowControl/>
        <w:spacing w:before="450"/>
        <w:rPr>
          <w:rFonts w:ascii="微软雅黑" w:eastAsia="微软雅黑" w:hAnsi="微软雅黑" w:cs="宋体"/>
          <w:kern w:val="0"/>
          <w:sz w:val="24"/>
          <w:szCs w:val="24"/>
        </w:rPr>
      </w:pPr>
      <w:r w:rsidRPr="00736BD1">
        <w:rPr>
          <w:rFonts w:ascii="微软雅黑" w:eastAsia="微软雅黑" w:hAnsi="微软雅黑" w:cs="宋体"/>
          <w:kern w:val="0"/>
          <w:sz w:val="24"/>
          <w:szCs w:val="24"/>
        </w:rPr>
        <w:t>为了进一步阐明这些免疫变化背后的机制，我们对肿瘤微环境（TME）进行了单细胞RNA测序。对17,163个对照组细胞和20,096个药物处理组细胞的</w:t>
      </w:r>
      <w:proofErr w:type="gramStart"/>
      <w:r w:rsidRPr="00736BD1">
        <w:rPr>
          <w:rFonts w:ascii="微软雅黑" w:eastAsia="微软雅黑" w:hAnsi="微软雅黑" w:cs="宋体"/>
          <w:kern w:val="0"/>
          <w:sz w:val="24"/>
          <w:szCs w:val="24"/>
        </w:rPr>
        <w:t>转录组</w:t>
      </w:r>
      <w:proofErr w:type="gramEnd"/>
      <w:r w:rsidRPr="00736BD1">
        <w:rPr>
          <w:rFonts w:ascii="微软雅黑" w:eastAsia="微软雅黑" w:hAnsi="微软雅黑" w:cs="宋体"/>
          <w:kern w:val="0"/>
          <w:sz w:val="24"/>
          <w:szCs w:val="24"/>
        </w:rPr>
        <w:t>分析显示，基于均匀流形逼近和投影（UMAP）的聚类方法能够区分不同的免疫细胞和基质细胞群（</w:t>
      </w:r>
      <w:r w:rsidRPr="00736BD1">
        <w:rPr>
          <w:rFonts w:ascii="微软雅黑" w:eastAsia="微软雅黑" w:hAnsi="微软雅黑" w:cs="宋体"/>
          <w:kern w:val="0"/>
          <w:sz w:val="24"/>
          <w:szCs w:val="24"/>
        </w:rPr>
        <w:fldChar w:fldCharType="begin"/>
      </w:r>
      <w:r w:rsidRPr="00736BD1">
        <w:rPr>
          <w:rFonts w:ascii="微软雅黑" w:eastAsia="微软雅黑" w:hAnsi="微软雅黑" w:cs="宋体"/>
          <w:kern w:val="0"/>
          <w:sz w:val="24"/>
          <w:szCs w:val="24"/>
        </w:rPr>
        <w:instrText xml:space="preserve"> HYPERLINK "https://pmc.ncbi.nlm.nih.gov/articles/PMC12520673/" \l "F7" </w:instrText>
      </w:r>
      <w:r w:rsidRPr="00736BD1">
        <w:rPr>
          <w:rFonts w:ascii="微软雅黑" w:eastAsia="微软雅黑" w:hAnsi="微软雅黑" w:cs="宋体"/>
          <w:kern w:val="0"/>
          <w:sz w:val="24"/>
          <w:szCs w:val="24"/>
        </w:rPr>
        <w:fldChar w:fldCharType="separate"/>
      </w:r>
      <w:r w:rsidRPr="00736BD1">
        <w:rPr>
          <w:rFonts w:ascii="微软雅黑" w:eastAsia="微软雅黑" w:hAnsi="微软雅黑" w:cs="宋体"/>
          <w:kern w:val="0"/>
          <w:sz w:val="24"/>
          <w:szCs w:val="24"/>
          <w:u w:val="single"/>
        </w:rPr>
        <w:t>图7A</w:t>
      </w:r>
      <w:r w:rsidRPr="00736BD1">
        <w:rPr>
          <w:rFonts w:ascii="微软雅黑" w:eastAsia="微软雅黑" w:hAnsi="微软雅黑" w:cs="宋体"/>
          <w:kern w:val="0"/>
          <w:sz w:val="24"/>
          <w:szCs w:val="24"/>
        </w:rPr>
        <w:fldChar w:fldCharType="end"/>
      </w:r>
      <w:r w:rsidRPr="00736BD1">
        <w:rPr>
          <w:rFonts w:ascii="微软雅黑" w:eastAsia="微软雅黑" w:hAnsi="微软雅黑" w:cs="宋体"/>
          <w:kern w:val="0"/>
          <w:sz w:val="24"/>
          <w:szCs w:val="24"/>
        </w:rPr>
        <w:t>）。细胞身份根据经典标记进行注释：</w:t>
      </w:r>
      <w:r w:rsidRPr="00736BD1">
        <w:rPr>
          <w:rFonts w:ascii="微软雅黑" w:eastAsia="微软雅黑" w:hAnsi="微软雅黑" w:cs="宋体"/>
          <w:i/>
          <w:iCs/>
          <w:kern w:val="0"/>
          <w:sz w:val="24"/>
          <w:szCs w:val="24"/>
        </w:rPr>
        <w:t>EPCAM</w:t>
      </w:r>
      <w:r w:rsidRPr="00736BD1">
        <w:rPr>
          <w:rFonts w:ascii="微软雅黑" w:eastAsia="微软雅黑" w:hAnsi="微软雅黑" w:cs="宋体"/>
          <w:kern w:val="0"/>
          <w:sz w:val="24"/>
          <w:szCs w:val="24"/>
        </w:rPr>
        <w:t>和</w:t>
      </w:r>
      <w:r w:rsidRPr="00736BD1">
        <w:rPr>
          <w:rFonts w:ascii="微软雅黑" w:eastAsia="微软雅黑" w:hAnsi="微软雅黑" w:cs="宋体"/>
          <w:i/>
          <w:iCs/>
          <w:kern w:val="0"/>
          <w:sz w:val="24"/>
          <w:szCs w:val="24"/>
        </w:rPr>
        <w:t>NFIB</w:t>
      </w:r>
      <w:r w:rsidRPr="00736BD1">
        <w:rPr>
          <w:rFonts w:ascii="微软雅黑" w:eastAsia="微软雅黑" w:hAnsi="微软雅黑" w:cs="宋体"/>
          <w:kern w:val="0"/>
          <w:sz w:val="24"/>
          <w:szCs w:val="24"/>
        </w:rPr>
        <w:t>（癌细胞）、</w:t>
      </w:r>
      <w:r w:rsidRPr="00736BD1">
        <w:rPr>
          <w:rFonts w:ascii="微软雅黑" w:eastAsia="微软雅黑" w:hAnsi="微软雅黑" w:cs="宋体"/>
          <w:i/>
          <w:iCs/>
          <w:kern w:val="0"/>
          <w:sz w:val="24"/>
          <w:szCs w:val="24"/>
        </w:rPr>
        <w:t>CD3D</w:t>
      </w:r>
      <w:r w:rsidRPr="00736BD1">
        <w:rPr>
          <w:rFonts w:ascii="微软雅黑" w:eastAsia="微软雅黑" w:hAnsi="微软雅黑" w:cs="宋体"/>
          <w:kern w:val="0"/>
          <w:sz w:val="24"/>
          <w:szCs w:val="24"/>
        </w:rPr>
        <w:t>、</w:t>
      </w:r>
      <w:r w:rsidRPr="00736BD1">
        <w:rPr>
          <w:rFonts w:ascii="微软雅黑" w:eastAsia="微软雅黑" w:hAnsi="微软雅黑" w:cs="宋体"/>
          <w:i/>
          <w:iCs/>
          <w:kern w:val="0"/>
          <w:sz w:val="24"/>
          <w:szCs w:val="24"/>
        </w:rPr>
        <w:t>CD8A</w:t>
      </w:r>
      <w:r w:rsidRPr="00736BD1">
        <w:rPr>
          <w:rFonts w:ascii="微软雅黑" w:eastAsia="微软雅黑" w:hAnsi="微软雅黑" w:cs="宋体"/>
          <w:kern w:val="0"/>
          <w:sz w:val="24"/>
          <w:szCs w:val="24"/>
        </w:rPr>
        <w:t>和</w:t>
      </w:r>
      <w:r w:rsidRPr="00736BD1">
        <w:rPr>
          <w:rFonts w:ascii="微软雅黑" w:eastAsia="微软雅黑" w:hAnsi="微软雅黑" w:cs="宋体"/>
          <w:i/>
          <w:iCs/>
          <w:kern w:val="0"/>
          <w:sz w:val="24"/>
          <w:szCs w:val="24"/>
        </w:rPr>
        <w:t>CD4</w:t>
      </w:r>
      <w:r w:rsidRPr="00736BD1">
        <w:rPr>
          <w:rFonts w:ascii="微软雅黑" w:eastAsia="微软雅黑" w:hAnsi="微软雅黑" w:cs="宋体"/>
          <w:kern w:val="0"/>
          <w:sz w:val="24"/>
          <w:szCs w:val="24"/>
        </w:rPr>
        <w:t>（T细胞和固有淋巴细胞）、</w:t>
      </w:r>
      <w:r w:rsidRPr="00736BD1">
        <w:rPr>
          <w:rFonts w:ascii="微软雅黑" w:eastAsia="微软雅黑" w:hAnsi="微软雅黑" w:cs="宋体"/>
          <w:i/>
          <w:iCs/>
          <w:kern w:val="0"/>
          <w:sz w:val="24"/>
          <w:szCs w:val="24"/>
        </w:rPr>
        <w:t>NCR1</w:t>
      </w:r>
      <w:r w:rsidRPr="00736BD1">
        <w:rPr>
          <w:rFonts w:ascii="微软雅黑" w:eastAsia="微软雅黑" w:hAnsi="微软雅黑" w:cs="宋体"/>
          <w:kern w:val="0"/>
          <w:sz w:val="24"/>
          <w:szCs w:val="24"/>
        </w:rPr>
        <w:t>（NK细胞）、</w:t>
      </w:r>
      <w:r w:rsidRPr="00736BD1">
        <w:rPr>
          <w:rFonts w:ascii="微软雅黑" w:eastAsia="微软雅黑" w:hAnsi="微软雅黑" w:cs="宋体"/>
          <w:i/>
          <w:iCs/>
          <w:kern w:val="0"/>
          <w:sz w:val="24"/>
          <w:szCs w:val="24"/>
        </w:rPr>
        <w:t>CD68</w:t>
      </w:r>
      <w:r w:rsidRPr="00736BD1">
        <w:rPr>
          <w:rFonts w:ascii="微软雅黑" w:eastAsia="微软雅黑" w:hAnsi="微软雅黑" w:cs="宋体"/>
          <w:kern w:val="0"/>
          <w:sz w:val="24"/>
          <w:szCs w:val="24"/>
        </w:rPr>
        <w:t>（巨噬细胞）、</w:t>
      </w:r>
      <w:r w:rsidRPr="00736BD1">
        <w:rPr>
          <w:rFonts w:ascii="微软雅黑" w:eastAsia="微软雅黑" w:hAnsi="微软雅黑" w:cs="宋体"/>
          <w:i/>
          <w:iCs/>
          <w:kern w:val="0"/>
          <w:sz w:val="24"/>
          <w:szCs w:val="24"/>
        </w:rPr>
        <w:t>CCR2</w:t>
      </w:r>
      <w:r w:rsidRPr="00736BD1">
        <w:rPr>
          <w:rFonts w:ascii="微软雅黑" w:eastAsia="微软雅黑" w:hAnsi="微软雅黑" w:cs="宋体"/>
          <w:kern w:val="0"/>
          <w:sz w:val="24"/>
          <w:szCs w:val="24"/>
        </w:rPr>
        <w:t>（单核细胞）、</w:t>
      </w:r>
      <w:r w:rsidRPr="00736BD1">
        <w:rPr>
          <w:rFonts w:ascii="微软雅黑" w:eastAsia="微软雅黑" w:hAnsi="微软雅黑" w:cs="宋体"/>
          <w:i/>
          <w:iCs/>
          <w:kern w:val="0"/>
          <w:sz w:val="24"/>
          <w:szCs w:val="24"/>
        </w:rPr>
        <w:t>CD79A</w:t>
      </w:r>
      <w:r w:rsidRPr="00736BD1">
        <w:rPr>
          <w:rFonts w:ascii="微软雅黑" w:eastAsia="微软雅黑" w:hAnsi="微软雅黑" w:cs="宋体"/>
          <w:kern w:val="0"/>
          <w:sz w:val="24"/>
          <w:szCs w:val="24"/>
        </w:rPr>
        <w:t>（B细胞）、</w:t>
      </w:r>
      <w:r w:rsidRPr="00736BD1">
        <w:rPr>
          <w:rFonts w:ascii="微软雅黑" w:eastAsia="微软雅黑" w:hAnsi="微软雅黑" w:cs="宋体"/>
          <w:i/>
          <w:iCs/>
          <w:kern w:val="0"/>
          <w:sz w:val="24"/>
          <w:szCs w:val="24"/>
        </w:rPr>
        <w:t>S100A8</w:t>
      </w:r>
      <w:r w:rsidRPr="00736BD1">
        <w:rPr>
          <w:rFonts w:ascii="微软雅黑" w:eastAsia="微软雅黑" w:hAnsi="微软雅黑" w:cs="宋体"/>
          <w:kern w:val="0"/>
          <w:sz w:val="24"/>
          <w:szCs w:val="24"/>
        </w:rPr>
        <w:t>（中性粒细胞）和</w:t>
      </w:r>
      <w:r w:rsidRPr="00736BD1">
        <w:rPr>
          <w:rFonts w:ascii="微软雅黑" w:eastAsia="微软雅黑" w:hAnsi="微软雅黑" w:cs="宋体"/>
          <w:i/>
          <w:iCs/>
          <w:kern w:val="0"/>
          <w:sz w:val="24"/>
          <w:szCs w:val="24"/>
        </w:rPr>
        <w:t>SPARC</w:t>
      </w:r>
      <w:r w:rsidRPr="00736BD1">
        <w:rPr>
          <w:rFonts w:ascii="微软雅黑" w:eastAsia="微软雅黑" w:hAnsi="微软雅黑" w:cs="宋体"/>
          <w:kern w:val="0"/>
          <w:sz w:val="24"/>
          <w:szCs w:val="24"/>
        </w:rPr>
        <w:t>（基质细胞）（</w:t>
      </w:r>
      <w:r w:rsidRPr="00736BD1">
        <w:rPr>
          <w:rFonts w:ascii="微软雅黑" w:eastAsia="微软雅黑" w:hAnsi="微软雅黑" w:cs="宋体"/>
          <w:kern w:val="0"/>
          <w:sz w:val="24"/>
          <w:szCs w:val="24"/>
        </w:rPr>
        <w:fldChar w:fldCharType="begin"/>
      </w:r>
      <w:r w:rsidRPr="00736BD1">
        <w:rPr>
          <w:rFonts w:ascii="微软雅黑" w:eastAsia="微软雅黑" w:hAnsi="微软雅黑" w:cs="宋体"/>
          <w:kern w:val="0"/>
          <w:sz w:val="24"/>
          <w:szCs w:val="24"/>
        </w:rPr>
        <w:instrText xml:space="preserve"> HYPERLINK "https://pmc.ncbi.nlm.nih.gov/articles/PMC12520673/" \l "sd" </w:instrText>
      </w:r>
      <w:r w:rsidRPr="00736BD1">
        <w:rPr>
          <w:rFonts w:ascii="微软雅黑" w:eastAsia="微软雅黑" w:hAnsi="微软雅黑" w:cs="宋体"/>
          <w:kern w:val="0"/>
          <w:sz w:val="24"/>
          <w:szCs w:val="24"/>
        </w:rPr>
        <w:fldChar w:fldCharType="separate"/>
      </w:r>
      <w:r w:rsidRPr="00736BD1">
        <w:rPr>
          <w:rFonts w:ascii="微软雅黑" w:eastAsia="微软雅黑" w:hAnsi="微软雅黑" w:cs="宋体"/>
          <w:kern w:val="0"/>
          <w:sz w:val="24"/>
          <w:szCs w:val="24"/>
          <w:u w:val="single"/>
        </w:rPr>
        <w:t>补充图8A</w:t>
      </w:r>
      <w:r w:rsidRPr="00736BD1">
        <w:rPr>
          <w:rFonts w:ascii="微软雅黑" w:eastAsia="微软雅黑" w:hAnsi="微软雅黑" w:cs="宋体"/>
          <w:kern w:val="0"/>
          <w:sz w:val="24"/>
          <w:szCs w:val="24"/>
        </w:rPr>
        <w:fldChar w:fldCharType="end"/>
      </w:r>
      <w:r w:rsidRPr="00736BD1">
        <w:rPr>
          <w:rFonts w:ascii="微软雅黑" w:eastAsia="微软雅黑" w:hAnsi="微软雅黑" w:cs="宋体"/>
          <w:kern w:val="0"/>
          <w:sz w:val="24"/>
          <w:szCs w:val="24"/>
        </w:rPr>
        <w:t>）。联合治疗增加了T细胞、B细胞和NK细胞的频率，同时降低了巨噬细胞的频率（</w:t>
      </w:r>
      <w:r w:rsidRPr="00736BD1">
        <w:rPr>
          <w:rFonts w:ascii="微软雅黑" w:eastAsia="微软雅黑" w:hAnsi="微软雅黑" w:cs="宋体"/>
          <w:kern w:val="0"/>
          <w:sz w:val="24"/>
          <w:szCs w:val="24"/>
        </w:rPr>
        <w:fldChar w:fldCharType="begin"/>
      </w:r>
      <w:r w:rsidRPr="00736BD1">
        <w:rPr>
          <w:rFonts w:ascii="微软雅黑" w:eastAsia="微软雅黑" w:hAnsi="微软雅黑" w:cs="宋体"/>
          <w:kern w:val="0"/>
          <w:sz w:val="24"/>
          <w:szCs w:val="24"/>
        </w:rPr>
        <w:instrText xml:space="preserve"> HYPERLINK "https://pmc.ncbi.nlm.nih.gov/articles/PMC12520673/" \l "F7" </w:instrText>
      </w:r>
      <w:r w:rsidRPr="00736BD1">
        <w:rPr>
          <w:rFonts w:ascii="微软雅黑" w:eastAsia="微软雅黑" w:hAnsi="微软雅黑" w:cs="宋体"/>
          <w:kern w:val="0"/>
          <w:sz w:val="24"/>
          <w:szCs w:val="24"/>
        </w:rPr>
        <w:fldChar w:fldCharType="separate"/>
      </w:r>
      <w:r w:rsidRPr="00736BD1">
        <w:rPr>
          <w:rFonts w:ascii="微软雅黑" w:eastAsia="微软雅黑" w:hAnsi="微软雅黑" w:cs="宋体"/>
          <w:kern w:val="0"/>
          <w:sz w:val="24"/>
          <w:szCs w:val="24"/>
          <w:u w:val="single"/>
        </w:rPr>
        <w:t>图7，B-D</w:t>
      </w:r>
      <w:r w:rsidRPr="00736BD1">
        <w:rPr>
          <w:rFonts w:ascii="微软雅黑" w:eastAsia="微软雅黑" w:hAnsi="微软雅黑" w:cs="宋体"/>
          <w:kern w:val="0"/>
          <w:sz w:val="24"/>
          <w:szCs w:val="24"/>
        </w:rPr>
        <w:fldChar w:fldCharType="end"/>
      </w:r>
      <w:r w:rsidRPr="00736BD1">
        <w:rPr>
          <w:rFonts w:ascii="微软雅黑" w:eastAsia="微软雅黑" w:hAnsi="微软雅黑" w:cs="宋体"/>
          <w:kern w:val="0"/>
          <w:sz w:val="24"/>
          <w:szCs w:val="24"/>
        </w:rPr>
        <w:t>），表明免疫激活增强。高分辨率聚类分析进一步揭示了初始和活化的细胞毒性CD8&lt;sup&gt; </w:t>
      </w:r>
      <w:r w:rsidRPr="00736BD1">
        <w:rPr>
          <w:rFonts w:ascii="微软雅黑" w:eastAsia="微软雅黑" w:hAnsi="微软雅黑" w:cs="宋体"/>
          <w:kern w:val="0"/>
          <w:sz w:val="24"/>
          <w:szCs w:val="24"/>
          <w:vertAlign w:val="superscript"/>
        </w:rPr>
        <w:t>+</w:t>
      </w:r>
      <w:r w:rsidRPr="00736BD1">
        <w:rPr>
          <w:rFonts w:ascii="微软雅黑" w:eastAsia="微软雅黑" w:hAnsi="微软雅黑" w:cs="宋体"/>
          <w:kern w:val="0"/>
          <w:sz w:val="24"/>
          <w:szCs w:val="24"/>
        </w:rPr>
        <w:t> &lt;/sup&gt; T细胞以及初始和效应CD4&lt;sup&gt; </w:t>
      </w:r>
      <w:r w:rsidRPr="00736BD1">
        <w:rPr>
          <w:rFonts w:ascii="微软雅黑" w:eastAsia="微软雅黑" w:hAnsi="微软雅黑" w:cs="宋体"/>
          <w:kern w:val="0"/>
          <w:sz w:val="24"/>
          <w:szCs w:val="24"/>
          <w:vertAlign w:val="superscript"/>
        </w:rPr>
        <w:t>+&lt;/sup&gt;</w:t>
      </w:r>
      <w:r w:rsidRPr="00736BD1">
        <w:rPr>
          <w:rFonts w:ascii="微软雅黑" w:eastAsia="微软雅黑" w:hAnsi="微软雅黑" w:cs="宋体"/>
          <w:kern w:val="0"/>
          <w:sz w:val="24"/>
          <w:szCs w:val="24"/>
        </w:rPr>
        <w:t> T细胞比例的增加（</w:t>
      </w:r>
      <w:r w:rsidRPr="00736BD1">
        <w:rPr>
          <w:rFonts w:ascii="微软雅黑" w:eastAsia="微软雅黑" w:hAnsi="微软雅黑" w:cs="宋体"/>
          <w:kern w:val="0"/>
          <w:sz w:val="24"/>
          <w:szCs w:val="24"/>
        </w:rPr>
        <w:fldChar w:fldCharType="begin"/>
      </w:r>
      <w:r w:rsidRPr="00736BD1">
        <w:rPr>
          <w:rFonts w:ascii="微软雅黑" w:eastAsia="微软雅黑" w:hAnsi="微软雅黑" w:cs="宋体"/>
          <w:kern w:val="0"/>
          <w:sz w:val="24"/>
          <w:szCs w:val="24"/>
        </w:rPr>
        <w:instrText xml:space="preserve"> HYPERLINK "https://pmc.ncbi.nlm.nih.gov/articles/PMC12520673/" \l "F7" </w:instrText>
      </w:r>
      <w:r w:rsidRPr="00736BD1">
        <w:rPr>
          <w:rFonts w:ascii="微软雅黑" w:eastAsia="微软雅黑" w:hAnsi="微软雅黑" w:cs="宋体"/>
          <w:kern w:val="0"/>
          <w:sz w:val="24"/>
          <w:szCs w:val="24"/>
        </w:rPr>
        <w:fldChar w:fldCharType="separate"/>
      </w:r>
      <w:r w:rsidRPr="00736BD1">
        <w:rPr>
          <w:rFonts w:ascii="微软雅黑" w:eastAsia="微软雅黑" w:hAnsi="微软雅黑" w:cs="宋体"/>
          <w:kern w:val="0"/>
          <w:sz w:val="24"/>
          <w:szCs w:val="24"/>
          <w:u w:val="single"/>
        </w:rPr>
        <w:t>图7，E-G</w:t>
      </w:r>
      <w:r w:rsidRPr="00736BD1">
        <w:rPr>
          <w:rFonts w:ascii="微软雅黑" w:eastAsia="微软雅黑" w:hAnsi="微软雅黑" w:cs="宋体"/>
          <w:kern w:val="0"/>
          <w:sz w:val="24"/>
          <w:szCs w:val="24"/>
        </w:rPr>
        <w:fldChar w:fldCharType="end"/>
      </w:r>
      <w:r w:rsidRPr="00736BD1">
        <w:rPr>
          <w:rFonts w:ascii="微软雅黑" w:eastAsia="微软雅黑" w:hAnsi="微软雅黑" w:cs="宋体"/>
          <w:kern w:val="0"/>
          <w:sz w:val="24"/>
          <w:szCs w:val="24"/>
        </w:rPr>
        <w:t>和</w:t>
      </w:r>
      <w:r w:rsidRPr="00736BD1">
        <w:rPr>
          <w:rFonts w:ascii="微软雅黑" w:eastAsia="微软雅黑" w:hAnsi="微软雅黑" w:cs="宋体"/>
          <w:kern w:val="0"/>
          <w:sz w:val="24"/>
          <w:szCs w:val="24"/>
        </w:rPr>
        <w:fldChar w:fldCharType="begin"/>
      </w:r>
      <w:r w:rsidRPr="00736BD1">
        <w:rPr>
          <w:rFonts w:ascii="微软雅黑" w:eastAsia="微软雅黑" w:hAnsi="微软雅黑" w:cs="宋体"/>
          <w:kern w:val="0"/>
          <w:sz w:val="24"/>
          <w:szCs w:val="24"/>
        </w:rPr>
        <w:instrText xml:space="preserve"> HYPERLINK "https://pmc.ncbi.nlm.nih.gov/articles/PMC12520673/" \l "sd" </w:instrText>
      </w:r>
      <w:r w:rsidRPr="00736BD1">
        <w:rPr>
          <w:rFonts w:ascii="微软雅黑" w:eastAsia="微软雅黑" w:hAnsi="微软雅黑" w:cs="宋体"/>
          <w:kern w:val="0"/>
          <w:sz w:val="24"/>
          <w:szCs w:val="24"/>
        </w:rPr>
        <w:fldChar w:fldCharType="separate"/>
      </w:r>
      <w:r w:rsidRPr="00736BD1">
        <w:rPr>
          <w:rFonts w:ascii="微软雅黑" w:eastAsia="微软雅黑" w:hAnsi="微软雅黑" w:cs="宋体"/>
          <w:kern w:val="0"/>
          <w:sz w:val="24"/>
          <w:szCs w:val="24"/>
          <w:u w:val="single"/>
        </w:rPr>
        <w:t>补充图8B</w:t>
      </w:r>
      <w:r w:rsidRPr="00736BD1">
        <w:rPr>
          <w:rFonts w:ascii="微软雅黑" w:eastAsia="微软雅黑" w:hAnsi="微软雅黑" w:cs="宋体"/>
          <w:kern w:val="0"/>
          <w:sz w:val="24"/>
          <w:szCs w:val="24"/>
        </w:rPr>
        <w:fldChar w:fldCharType="end"/>
      </w:r>
      <w:r w:rsidRPr="00736BD1">
        <w:rPr>
          <w:rFonts w:ascii="微软雅黑" w:eastAsia="微软雅黑" w:hAnsi="微软雅黑" w:cs="宋体"/>
          <w:kern w:val="0"/>
          <w:sz w:val="24"/>
          <w:szCs w:val="24"/>
        </w:rPr>
        <w:t>）。联合治疗组中未成熟和成熟的B细胞和NK细胞（包括活化亚群）的频率也升高（</w:t>
      </w:r>
      <w:r w:rsidRPr="00736BD1">
        <w:rPr>
          <w:rFonts w:ascii="微软雅黑" w:eastAsia="微软雅黑" w:hAnsi="微软雅黑" w:cs="宋体"/>
          <w:kern w:val="0"/>
          <w:sz w:val="24"/>
          <w:szCs w:val="24"/>
        </w:rPr>
        <w:fldChar w:fldCharType="begin"/>
      </w:r>
      <w:r w:rsidRPr="00736BD1">
        <w:rPr>
          <w:rFonts w:ascii="微软雅黑" w:eastAsia="微软雅黑" w:hAnsi="微软雅黑" w:cs="宋体"/>
          <w:kern w:val="0"/>
          <w:sz w:val="24"/>
          <w:szCs w:val="24"/>
        </w:rPr>
        <w:instrText xml:space="preserve"> HYPERLINK "https://pmc.ncbi.nlm.nih.gov/articles/PMC12520673/" \l "F7" </w:instrText>
      </w:r>
      <w:r w:rsidRPr="00736BD1">
        <w:rPr>
          <w:rFonts w:ascii="微软雅黑" w:eastAsia="微软雅黑" w:hAnsi="微软雅黑" w:cs="宋体"/>
          <w:kern w:val="0"/>
          <w:sz w:val="24"/>
          <w:szCs w:val="24"/>
        </w:rPr>
        <w:fldChar w:fldCharType="separate"/>
      </w:r>
      <w:r w:rsidRPr="00736BD1">
        <w:rPr>
          <w:rFonts w:ascii="微软雅黑" w:eastAsia="微软雅黑" w:hAnsi="微软雅黑" w:cs="宋体"/>
          <w:kern w:val="0"/>
          <w:sz w:val="24"/>
          <w:szCs w:val="24"/>
          <w:u w:val="single"/>
        </w:rPr>
        <w:t>图7H</w:t>
      </w:r>
      <w:r w:rsidRPr="00736BD1">
        <w:rPr>
          <w:rFonts w:ascii="微软雅黑" w:eastAsia="微软雅黑" w:hAnsi="微软雅黑" w:cs="宋体"/>
          <w:kern w:val="0"/>
          <w:sz w:val="24"/>
          <w:szCs w:val="24"/>
        </w:rPr>
        <w:fldChar w:fldCharType="end"/>
      </w:r>
      <w:r w:rsidRPr="00736BD1">
        <w:rPr>
          <w:rFonts w:ascii="微软雅黑" w:eastAsia="微软雅黑" w:hAnsi="微软雅黑" w:cs="宋体"/>
          <w:kern w:val="0"/>
          <w:sz w:val="24"/>
          <w:szCs w:val="24"/>
        </w:rPr>
        <w:t>和</w:t>
      </w:r>
      <w:r w:rsidRPr="00736BD1">
        <w:rPr>
          <w:rFonts w:ascii="微软雅黑" w:eastAsia="微软雅黑" w:hAnsi="微软雅黑" w:cs="宋体"/>
          <w:kern w:val="0"/>
          <w:sz w:val="24"/>
          <w:szCs w:val="24"/>
        </w:rPr>
        <w:fldChar w:fldCharType="begin"/>
      </w:r>
      <w:r w:rsidRPr="00736BD1">
        <w:rPr>
          <w:rFonts w:ascii="微软雅黑" w:eastAsia="微软雅黑" w:hAnsi="微软雅黑" w:cs="宋体"/>
          <w:kern w:val="0"/>
          <w:sz w:val="24"/>
          <w:szCs w:val="24"/>
        </w:rPr>
        <w:instrText xml:space="preserve"> HYPERLINK "https://pmc.ncbi.nlm.nih.gov/articles/PMC12520673/" \l "sd" </w:instrText>
      </w:r>
      <w:r w:rsidRPr="00736BD1">
        <w:rPr>
          <w:rFonts w:ascii="微软雅黑" w:eastAsia="微软雅黑" w:hAnsi="微软雅黑" w:cs="宋体"/>
          <w:kern w:val="0"/>
          <w:sz w:val="24"/>
          <w:szCs w:val="24"/>
        </w:rPr>
        <w:fldChar w:fldCharType="separate"/>
      </w:r>
      <w:r w:rsidRPr="00736BD1">
        <w:rPr>
          <w:rFonts w:ascii="微软雅黑" w:eastAsia="微软雅黑" w:hAnsi="微软雅黑" w:cs="宋体"/>
          <w:kern w:val="0"/>
          <w:sz w:val="24"/>
          <w:szCs w:val="24"/>
          <w:u w:val="single"/>
        </w:rPr>
        <w:t>补充图8</w:t>
      </w:r>
      <w:r w:rsidRPr="00736BD1">
        <w:rPr>
          <w:rFonts w:ascii="微软雅黑" w:eastAsia="微软雅黑" w:hAnsi="微软雅黑" w:cs="宋体"/>
          <w:kern w:val="0"/>
          <w:sz w:val="24"/>
          <w:szCs w:val="24"/>
        </w:rPr>
        <w:fldChar w:fldCharType="end"/>
      </w:r>
      <w:r w:rsidRPr="00736BD1">
        <w:rPr>
          <w:rFonts w:ascii="微软雅黑" w:eastAsia="微软雅黑" w:hAnsi="微软雅黑" w:cs="宋体"/>
          <w:kern w:val="0"/>
          <w:sz w:val="24"/>
          <w:szCs w:val="24"/>
        </w:rPr>
        <w:t>，C和D），突显了CDK共抑制能够广泛增强免疫</w:t>
      </w:r>
      <w:proofErr w:type="gramStart"/>
      <w:r w:rsidRPr="00736BD1">
        <w:rPr>
          <w:rFonts w:ascii="微软雅黑" w:eastAsia="微软雅黑" w:hAnsi="微软雅黑" w:cs="宋体"/>
          <w:kern w:val="0"/>
          <w:sz w:val="24"/>
          <w:szCs w:val="24"/>
        </w:rPr>
        <w:t>介</w:t>
      </w:r>
      <w:proofErr w:type="gramEnd"/>
      <w:r w:rsidRPr="00736BD1">
        <w:rPr>
          <w:rFonts w:ascii="微软雅黑" w:eastAsia="微软雅黑" w:hAnsi="微软雅黑" w:cs="宋体"/>
          <w:kern w:val="0"/>
          <w:sz w:val="24"/>
          <w:szCs w:val="24"/>
        </w:rPr>
        <w:t>导的抗肿瘤反应。</w:t>
      </w:r>
    </w:p>
    <w:p w14:paraId="7022E5C8" w14:textId="77777777" w:rsidR="00736BD1" w:rsidRPr="00736BD1" w:rsidRDefault="00736BD1" w:rsidP="00736BD1">
      <w:pPr>
        <w:widowControl/>
        <w:spacing w:line="450" w:lineRule="atLeast"/>
        <w:outlineLvl w:val="3"/>
        <w:rPr>
          <w:rFonts w:ascii="微软雅黑" w:eastAsia="微软雅黑" w:hAnsi="微软雅黑" w:cs="宋体"/>
          <w:kern w:val="0"/>
          <w:sz w:val="30"/>
          <w:szCs w:val="30"/>
        </w:rPr>
      </w:pPr>
      <w:r w:rsidRPr="00736BD1">
        <w:rPr>
          <w:rFonts w:ascii="微软雅黑" w:eastAsia="微软雅黑" w:hAnsi="微软雅黑" w:cs="宋体"/>
          <w:kern w:val="0"/>
          <w:sz w:val="30"/>
          <w:szCs w:val="30"/>
        </w:rPr>
        <w:t>图 7. CDK4/6i 和 CDK7i 治疗后 TME 中的免疫细胞动态。</w:t>
      </w:r>
    </w:p>
    <w:p w14:paraId="05D61076" w14:textId="35AE6B07" w:rsidR="00736BD1" w:rsidRPr="00736BD1" w:rsidRDefault="00736BD1" w:rsidP="00736BD1">
      <w:pPr>
        <w:widowControl/>
        <w:spacing w:before="450"/>
        <w:rPr>
          <w:rFonts w:ascii="微软雅黑" w:eastAsia="微软雅黑" w:hAnsi="微软雅黑" w:cs="宋体"/>
          <w:kern w:val="0"/>
          <w:sz w:val="24"/>
          <w:szCs w:val="24"/>
        </w:rPr>
      </w:pPr>
      <w:r w:rsidRPr="00736BD1">
        <w:rPr>
          <w:rFonts w:ascii="微软雅黑" w:eastAsia="微软雅黑" w:hAnsi="微软雅黑" w:cs="宋体"/>
          <w:noProof/>
          <w:kern w:val="0"/>
          <w:sz w:val="24"/>
          <w:szCs w:val="24"/>
        </w:rPr>
        <w:lastRenderedPageBreak/>
        <w:drawing>
          <wp:inline distT="0" distB="0" distL="0" distR="0" wp14:anchorId="4F8926A1" wp14:editId="0EB7A129">
            <wp:extent cx="5274310" cy="4684395"/>
            <wp:effectExtent l="0" t="0" r="2540" b="1905"/>
            <wp:docPr id="2" name="图片 2" descr="图 7">
              <a:hlinkClick xmlns:a="http://schemas.openxmlformats.org/drawingml/2006/main" r:id="rId5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图 7">
                      <a:hlinkClick r:id="rId57" tgtFrame="&quot;_blank&quot;"/>
                    </pic:cNvPr>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5274310" cy="4684395"/>
                    </a:xfrm>
                    <a:prstGeom prst="rect">
                      <a:avLst/>
                    </a:prstGeom>
                    <a:noFill/>
                    <a:ln>
                      <a:noFill/>
                    </a:ln>
                  </pic:spPr>
                </pic:pic>
              </a:graphicData>
            </a:graphic>
          </wp:inline>
        </w:drawing>
      </w:r>
    </w:p>
    <w:p w14:paraId="07C89DAD" w14:textId="77777777" w:rsidR="00736BD1" w:rsidRPr="00736BD1" w:rsidRDefault="00736BD1" w:rsidP="00736BD1">
      <w:pPr>
        <w:widowControl/>
        <w:rPr>
          <w:rFonts w:ascii="微软雅黑" w:eastAsia="微软雅黑" w:hAnsi="微软雅黑" w:cs="宋体"/>
          <w:kern w:val="0"/>
          <w:sz w:val="24"/>
          <w:szCs w:val="24"/>
        </w:rPr>
      </w:pPr>
      <w:r w:rsidRPr="00736BD1">
        <w:rPr>
          <w:rFonts w:ascii="微软雅黑" w:eastAsia="微软雅黑" w:hAnsi="微软雅黑" w:cs="宋体"/>
          <w:kern w:val="0"/>
          <w:sz w:val="24"/>
          <w:szCs w:val="24"/>
        </w:rPr>
        <w:t>（</w:t>
      </w:r>
      <w:r w:rsidRPr="00736BD1">
        <w:rPr>
          <w:rFonts w:ascii="微软雅黑" w:eastAsia="微软雅黑" w:hAnsi="微软雅黑" w:cs="宋体"/>
          <w:b/>
          <w:bCs/>
          <w:kern w:val="0"/>
          <w:sz w:val="24"/>
          <w:szCs w:val="24"/>
        </w:rPr>
        <w:t>A</w:t>
      </w:r>
      <w:r w:rsidRPr="00736BD1">
        <w:rPr>
          <w:rFonts w:ascii="微软雅黑" w:eastAsia="微软雅黑" w:hAnsi="微软雅黑" w:cs="宋体"/>
          <w:kern w:val="0"/>
          <w:sz w:val="24"/>
          <w:szCs w:val="24"/>
        </w:rPr>
        <w:t>和</w:t>
      </w:r>
      <w:r w:rsidRPr="00736BD1">
        <w:rPr>
          <w:rFonts w:ascii="微软雅黑" w:eastAsia="微软雅黑" w:hAnsi="微软雅黑" w:cs="宋体"/>
          <w:b/>
          <w:bCs/>
          <w:kern w:val="0"/>
          <w:sz w:val="24"/>
          <w:szCs w:val="24"/>
        </w:rPr>
        <w:t>B ）AT3 </w:t>
      </w:r>
      <w:r w:rsidRPr="00736BD1">
        <w:rPr>
          <w:rFonts w:ascii="微软雅黑" w:eastAsia="微软雅黑" w:hAnsi="微软雅黑" w:cs="宋体"/>
          <w:kern w:val="0"/>
          <w:sz w:val="24"/>
          <w:szCs w:val="24"/>
          <w:vertAlign w:val="superscript"/>
        </w:rPr>
        <w:t>OVA</w:t>
      </w:r>
      <w:r w:rsidRPr="00736BD1">
        <w:rPr>
          <w:rFonts w:ascii="微软雅黑" w:eastAsia="微软雅黑" w:hAnsi="微软雅黑" w:cs="宋体"/>
          <w:kern w:val="0"/>
          <w:sz w:val="24"/>
          <w:szCs w:val="24"/>
        </w:rPr>
        <w:t>肿瘤单细胞</w:t>
      </w:r>
      <w:proofErr w:type="gramStart"/>
      <w:r w:rsidRPr="00736BD1">
        <w:rPr>
          <w:rFonts w:ascii="微软雅黑" w:eastAsia="微软雅黑" w:hAnsi="微软雅黑" w:cs="宋体"/>
          <w:kern w:val="0"/>
          <w:sz w:val="24"/>
          <w:szCs w:val="24"/>
        </w:rPr>
        <w:t>转录组</w:t>
      </w:r>
      <w:proofErr w:type="gramEnd"/>
      <w:r w:rsidRPr="00736BD1">
        <w:rPr>
          <w:rFonts w:ascii="微软雅黑" w:eastAsia="微软雅黑" w:hAnsi="微软雅黑" w:cs="宋体"/>
          <w:kern w:val="0"/>
          <w:sz w:val="24"/>
          <w:szCs w:val="24"/>
        </w:rPr>
        <w:t>的 UMAP 图，分别显示总组（</w:t>
      </w:r>
      <w:r w:rsidRPr="00736BD1">
        <w:rPr>
          <w:rFonts w:ascii="微软雅黑" w:eastAsia="微软雅黑" w:hAnsi="微软雅黑" w:cs="宋体"/>
          <w:b/>
          <w:bCs/>
          <w:kern w:val="0"/>
          <w:sz w:val="24"/>
          <w:szCs w:val="24"/>
        </w:rPr>
        <w:t>A</w:t>
      </w:r>
      <w:r w:rsidRPr="00736BD1">
        <w:rPr>
          <w:rFonts w:ascii="微软雅黑" w:eastAsia="微软雅黑" w:hAnsi="微软雅黑" w:cs="宋体"/>
          <w:kern w:val="0"/>
          <w:sz w:val="24"/>
          <w:szCs w:val="24"/>
        </w:rPr>
        <w:t>）、对照组（</w:t>
      </w:r>
      <w:r w:rsidRPr="00736BD1">
        <w:rPr>
          <w:rFonts w:ascii="微软雅黑" w:eastAsia="微软雅黑" w:hAnsi="微软雅黑" w:cs="宋体"/>
          <w:b/>
          <w:bCs/>
          <w:kern w:val="0"/>
          <w:sz w:val="24"/>
          <w:szCs w:val="24"/>
        </w:rPr>
        <w:t>B</w:t>
      </w:r>
      <w:r w:rsidRPr="00736BD1">
        <w:rPr>
          <w:rFonts w:ascii="微软雅黑" w:eastAsia="微软雅黑" w:hAnsi="微软雅黑" w:cs="宋体"/>
          <w:kern w:val="0"/>
          <w:sz w:val="24"/>
          <w:szCs w:val="24"/>
        </w:rPr>
        <w:t>，左）和联合治疗组（50 mg/kg 帕博西尼和 2 mg/kg SY5609）（</w:t>
      </w:r>
      <w:r w:rsidRPr="00736BD1">
        <w:rPr>
          <w:rFonts w:ascii="微软雅黑" w:eastAsia="微软雅黑" w:hAnsi="微软雅黑" w:cs="宋体"/>
          <w:b/>
          <w:bCs/>
          <w:kern w:val="0"/>
          <w:sz w:val="24"/>
          <w:szCs w:val="24"/>
        </w:rPr>
        <w:t>B</w:t>
      </w:r>
      <w:r w:rsidRPr="00736BD1">
        <w:rPr>
          <w:rFonts w:ascii="微软雅黑" w:eastAsia="微软雅黑" w:hAnsi="微软雅黑" w:cs="宋体"/>
          <w:kern w:val="0"/>
          <w:sz w:val="24"/>
          <w:szCs w:val="24"/>
        </w:rPr>
        <w:t>，右）（每组</w:t>
      </w:r>
      <w:r w:rsidRPr="00736BD1">
        <w:rPr>
          <w:rFonts w:ascii="微软雅黑" w:eastAsia="微软雅黑" w:hAnsi="微软雅黑" w:cs="宋体"/>
          <w:i/>
          <w:iCs/>
          <w:kern w:val="0"/>
          <w:sz w:val="24"/>
          <w:szCs w:val="24"/>
        </w:rPr>
        <w:t>n</w:t>
      </w:r>
      <w:r w:rsidRPr="00736BD1">
        <w:rPr>
          <w:rFonts w:ascii="微软雅黑" w:eastAsia="微软雅黑" w:hAnsi="微软雅黑" w:cs="宋体"/>
          <w:kern w:val="0"/>
          <w:sz w:val="24"/>
          <w:szCs w:val="24"/>
        </w:rPr>
        <w:t> = 2 只小鼠）。（</w:t>
      </w:r>
      <w:r w:rsidRPr="00736BD1">
        <w:rPr>
          <w:rFonts w:ascii="微软雅黑" w:eastAsia="微软雅黑" w:hAnsi="微软雅黑" w:cs="宋体"/>
          <w:b/>
          <w:bCs/>
          <w:kern w:val="0"/>
          <w:sz w:val="24"/>
          <w:szCs w:val="24"/>
        </w:rPr>
        <w:t>C</w:t>
      </w:r>
      <w:r w:rsidRPr="00736BD1">
        <w:rPr>
          <w:rFonts w:ascii="微软雅黑" w:eastAsia="微软雅黑" w:hAnsi="微软雅黑" w:cs="宋体"/>
          <w:kern w:val="0"/>
          <w:sz w:val="24"/>
          <w:szCs w:val="24"/>
        </w:rPr>
        <w:t>）堆叠柱状图显示对照组和联合治疗组中免疫细胞、癌细胞和基质细胞的相对比例。（</w:t>
      </w:r>
      <w:r w:rsidRPr="00736BD1">
        <w:rPr>
          <w:rFonts w:ascii="微软雅黑" w:eastAsia="微软雅黑" w:hAnsi="微软雅黑" w:cs="宋体"/>
          <w:b/>
          <w:bCs/>
          <w:kern w:val="0"/>
          <w:sz w:val="24"/>
          <w:szCs w:val="24"/>
        </w:rPr>
        <w:t>D</w:t>
      </w:r>
      <w:r w:rsidRPr="00736BD1">
        <w:rPr>
          <w:rFonts w:ascii="微软雅黑" w:eastAsia="微软雅黑" w:hAnsi="微软雅黑" w:cs="宋体"/>
          <w:kern w:val="0"/>
          <w:sz w:val="24"/>
          <w:szCs w:val="24"/>
        </w:rPr>
        <w:t> ）对照组和联合治疗组中主要免疫细胞群的定量分析。（</w:t>
      </w:r>
      <w:r w:rsidRPr="00736BD1">
        <w:rPr>
          <w:rFonts w:ascii="微软雅黑" w:eastAsia="微软雅黑" w:hAnsi="微软雅黑" w:cs="宋体"/>
          <w:b/>
          <w:bCs/>
          <w:kern w:val="0"/>
          <w:sz w:val="24"/>
          <w:szCs w:val="24"/>
        </w:rPr>
        <w:t>E</w:t>
      </w:r>
      <w:r w:rsidRPr="00736BD1">
        <w:rPr>
          <w:rFonts w:ascii="微软雅黑" w:eastAsia="微软雅黑" w:hAnsi="微软雅黑" w:cs="宋体"/>
          <w:kern w:val="0"/>
          <w:sz w:val="24"/>
          <w:szCs w:val="24"/>
        </w:rPr>
        <w:t>和</w:t>
      </w:r>
      <w:r w:rsidRPr="00736BD1">
        <w:rPr>
          <w:rFonts w:ascii="微软雅黑" w:eastAsia="微软雅黑" w:hAnsi="微软雅黑" w:cs="宋体"/>
          <w:b/>
          <w:bCs/>
          <w:kern w:val="0"/>
          <w:sz w:val="24"/>
          <w:szCs w:val="24"/>
        </w:rPr>
        <w:t>F ）总组（ E</w:t>
      </w:r>
      <w:r w:rsidRPr="00736BD1">
        <w:rPr>
          <w:rFonts w:ascii="微软雅黑" w:eastAsia="微软雅黑" w:hAnsi="微软雅黑" w:cs="宋体"/>
          <w:kern w:val="0"/>
          <w:sz w:val="24"/>
          <w:szCs w:val="24"/>
        </w:rPr>
        <w:t>）、对照组（</w:t>
      </w:r>
      <w:r w:rsidRPr="00736BD1">
        <w:rPr>
          <w:rFonts w:ascii="微软雅黑" w:eastAsia="微软雅黑" w:hAnsi="微软雅黑" w:cs="宋体"/>
          <w:b/>
          <w:bCs/>
          <w:kern w:val="0"/>
          <w:sz w:val="24"/>
          <w:szCs w:val="24"/>
        </w:rPr>
        <w:t>F</w:t>
      </w:r>
      <w:r w:rsidRPr="00736BD1">
        <w:rPr>
          <w:rFonts w:ascii="微软雅黑" w:eastAsia="微软雅黑" w:hAnsi="微软雅黑" w:cs="宋体"/>
          <w:kern w:val="0"/>
          <w:sz w:val="24"/>
          <w:szCs w:val="24"/>
        </w:rPr>
        <w:t>，上）和联合治疗组（</w:t>
      </w:r>
      <w:r w:rsidRPr="00736BD1">
        <w:rPr>
          <w:rFonts w:ascii="微软雅黑" w:eastAsia="微软雅黑" w:hAnsi="微软雅黑" w:cs="宋体"/>
          <w:b/>
          <w:bCs/>
          <w:kern w:val="0"/>
          <w:sz w:val="24"/>
          <w:szCs w:val="24"/>
        </w:rPr>
        <w:t>F</w:t>
      </w:r>
      <w:r w:rsidRPr="00736BD1">
        <w:rPr>
          <w:rFonts w:ascii="微软雅黑" w:eastAsia="微软雅黑" w:hAnsi="微软雅黑" w:cs="宋体"/>
          <w:kern w:val="0"/>
          <w:sz w:val="24"/>
          <w:szCs w:val="24"/>
        </w:rPr>
        <w:t>，下）肿瘤中 T 细胞亚群的 UMAP 图。（ </w:t>
      </w:r>
      <w:r w:rsidRPr="00736BD1">
        <w:rPr>
          <w:rFonts w:ascii="微软雅黑" w:eastAsia="微软雅黑" w:hAnsi="微软雅黑" w:cs="宋体"/>
          <w:b/>
          <w:bCs/>
          <w:kern w:val="0"/>
          <w:sz w:val="24"/>
          <w:szCs w:val="24"/>
        </w:rPr>
        <w:t>G</w:t>
      </w:r>
      <w:r w:rsidRPr="00736BD1">
        <w:rPr>
          <w:rFonts w:ascii="微软雅黑" w:eastAsia="微软雅黑" w:hAnsi="微软雅黑" w:cs="宋体"/>
          <w:kern w:val="0"/>
          <w:sz w:val="24"/>
          <w:szCs w:val="24"/>
        </w:rPr>
        <w:t>）对照组和联合治疗组中 CD8&lt;sup&gt; </w:t>
      </w:r>
      <w:r w:rsidRPr="00736BD1">
        <w:rPr>
          <w:rFonts w:ascii="微软雅黑" w:eastAsia="微软雅黑" w:hAnsi="微软雅黑" w:cs="宋体"/>
          <w:kern w:val="0"/>
          <w:sz w:val="24"/>
          <w:szCs w:val="24"/>
          <w:vertAlign w:val="superscript"/>
        </w:rPr>
        <w:t>+</w:t>
      </w:r>
      <w:r w:rsidRPr="00736BD1">
        <w:rPr>
          <w:rFonts w:ascii="微软雅黑" w:eastAsia="微软雅黑" w:hAnsi="微软雅黑" w:cs="宋体"/>
          <w:kern w:val="0"/>
          <w:sz w:val="24"/>
          <w:szCs w:val="24"/>
        </w:rPr>
        <w:t> &lt;/sup&gt;和 CD4</w:t>
      </w:r>
      <w:r w:rsidRPr="00736BD1">
        <w:rPr>
          <w:rFonts w:ascii="微软雅黑" w:eastAsia="微软雅黑" w:hAnsi="微软雅黑" w:cs="宋体"/>
          <w:kern w:val="0"/>
          <w:sz w:val="24"/>
          <w:szCs w:val="24"/>
          <w:vertAlign w:val="superscript"/>
        </w:rPr>
        <w:t>&lt;sup&gt; +&lt;/sup&gt;</w:t>
      </w:r>
      <w:r w:rsidRPr="00736BD1">
        <w:rPr>
          <w:rFonts w:ascii="微软雅黑" w:eastAsia="微软雅黑" w:hAnsi="微软雅黑" w:cs="宋体"/>
          <w:kern w:val="0"/>
          <w:sz w:val="24"/>
          <w:szCs w:val="24"/>
        </w:rPr>
        <w:t> T 细胞亚型的定量分析。（</w:t>
      </w:r>
      <w:r w:rsidRPr="00736BD1">
        <w:rPr>
          <w:rFonts w:ascii="微软雅黑" w:eastAsia="微软雅黑" w:hAnsi="微软雅黑" w:cs="宋体"/>
          <w:b/>
          <w:bCs/>
          <w:kern w:val="0"/>
          <w:sz w:val="24"/>
          <w:szCs w:val="24"/>
        </w:rPr>
        <w:t>H</w:t>
      </w:r>
      <w:r w:rsidRPr="00736BD1">
        <w:rPr>
          <w:rFonts w:ascii="微软雅黑" w:eastAsia="微软雅黑" w:hAnsi="微软雅黑" w:cs="宋体"/>
          <w:kern w:val="0"/>
          <w:sz w:val="24"/>
          <w:szCs w:val="24"/>
        </w:rPr>
        <w:t>）对照组和联合治疗组中活化 B 细胞（</w:t>
      </w:r>
      <w:r w:rsidRPr="00736BD1">
        <w:rPr>
          <w:rFonts w:ascii="微软雅黑" w:eastAsia="微软雅黑" w:hAnsi="微软雅黑" w:cs="宋体"/>
          <w:i/>
          <w:iCs/>
          <w:kern w:val="0"/>
          <w:sz w:val="24"/>
          <w:szCs w:val="24"/>
        </w:rPr>
        <w:t>CD69 </w:t>
      </w:r>
      <w:r w:rsidRPr="00736BD1">
        <w:rPr>
          <w:rFonts w:ascii="微软雅黑" w:eastAsia="微软雅黑" w:hAnsi="微软雅黑" w:cs="宋体"/>
          <w:kern w:val="0"/>
          <w:sz w:val="24"/>
          <w:szCs w:val="24"/>
          <w:vertAlign w:val="superscript"/>
        </w:rPr>
        <w:t>&lt;sup&gt;+ &lt;/sup&gt;</w:t>
      </w:r>
      <w:r w:rsidRPr="00736BD1">
        <w:rPr>
          <w:rFonts w:ascii="微软雅黑" w:eastAsia="微软雅黑" w:hAnsi="微软雅黑" w:cs="宋体"/>
          <w:kern w:val="0"/>
          <w:sz w:val="24"/>
          <w:szCs w:val="24"/>
        </w:rPr>
        <w:t>或</w:t>
      </w:r>
      <w:r w:rsidRPr="00736BD1">
        <w:rPr>
          <w:rFonts w:ascii="微软雅黑" w:eastAsia="微软雅黑" w:hAnsi="微软雅黑" w:cs="宋体"/>
          <w:i/>
          <w:iCs/>
          <w:kern w:val="0"/>
          <w:sz w:val="24"/>
          <w:szCs w:val="24"/>
        </w:rPr>
        <w:t>CD83</w:t>
      </w:r>
      <w:r w:rsidRPr="00736BD1">
        <w:rPr>
          <w:rFonts w:ascii="微软雅黑" w:eastAsia="微软雅黑" w:hAnsi="微软雅黑" w:cs="宋体"/>
          <w:kern w:val="0"/>
          <w:sz w:val="24"/>
          <w:szCs w:val="24"/>
          <w:vertAlign w:val="superscript"/>
        </w:rPr>
        <w:t>&lt;sup&gt; +&lt;/sup&gt;</w:t>
      </w:r>
      <w:r w:rsidRPr="00736BD1">
        <w:rPr>
          <w:rFonts w:ascii="微软雅黑" w:eastAsia="微软雅黑" w:hAnsi="微软雅黑" w:cs="宋体"/>
          <w:kern w:val="0"/>
          <w:sz w:val="24"/>
          <w:szCs w:val="24"/>
        </w:rPr>
        <w:t>）和 NK 细胞（</w:t>
      </w:r>
      <w:r w:rsidRPr="00736BD1">
        <w:rPr>
          <w:rFonts w:ascii="微软雅黑" w:eastAsia="微软雅黑" w:hAnsi="微软雅黑" w:cs="宋体"/>
          <w:i/>
          <w:iCs/>
          <w:kern w:val="0"/>
          <w:sz w:val="24"/>
          <w:szCs w:val="24"/>
        </w:rPr>
        <w:t>GZMB</w:t>
      </w:r>
      <w:r w:rsidRPr="00736BD1">
        <w:rPr>
          <w:rFonts w:ascii="微软雅黑" w:eastAsia="微软雅黑" w:hAnsi="微软雅黑" w:cs="宋体"/>
          <w:kern w:val="0"/>
          <w:sz w:val="24"/>
          <w:szCs w:val="24"/>
          <w:vertAlign w:val="superscript"/>
        </w:rPr>
        <w:t>&lt;sup&gt; + &lt;/sup&gt;</w:t>
      </w:r>
      <w:r w:rsidRPr="00736BD1">
        <w:rPr>
          <w:rFonts w:ascii="微软雅黑" w:eastAsia="微软雅黑" w:hAnsi="微软雅黑" w:cs="宋体"/>
          <w:kern w:val="0"/>
          <w:sz w:val="24"/>
          <w:szCs w:val="24"/>
        </w:rPr>
        <w:t>或</w:t>
      </w:r>
      <w:r w:rsidRPr="00736BD1">
        <w:rPr>
          <w:rFonts w:ascii="微软雅黑" w:eastAsia="微软雅黑" w:hAnsi="微软雅黑" w:cs="宋体"/>
          <w:i/>
          <w:iCs/>
          <w:kern w:val="0"/>
          <w:sz w:val="24"/>
          <w:szCs w:val="24"/>
        </w:rPr>
        <w:t xml:space="preserve">PRFN1 </w:t>
      </w:r>
      <w:r w:rsidRPr="00736BD1">
        <w:rPr>
          <w:rFonts w:ascii="微软雅黑" w:eastAsia="微软雅黑" w:hAnsi="微软雅黑" w:cs="宋体"/>
          <w:kern w:val="0"/>
          <w:sz w:val="24"/>
          <w:szCs w:val="24"/>
          <w:vertAlign w:val="superscript"/>
        </w:rPr>
        <w:t xml:space="preserve">&lt;sup&gt; + &lt;/sup&gt; </w:t>
      </w:r>
      <w:r w:rsidRPr="00736BD1">
        <w:rPr>
          <w:rFonts w:ascii="微软雅黑" w:eastAsia="微软雅黑" w:hAnsi="微软雅黑" w:cs="宋体"/>
          <w:kern w:val="0"/>
          <w:sz w:val="24"/>
          <w:szCs w:val="24"/>
        </w:rPr>
        <w:t>）的定量分析。</w:t>
      </w:r>
    </w:p>
    <w:p w14:paraId="3655B829" w14:textId="77777777" w:rsidR="00736BD1" w:rsidRPr="00736BD1" w:rsidRDefault="00736BD1" w:rsidP="00736BD1">
      <w:pPr>
        <w:widowControl/>
        <w:spacing w:before="450"/>
        <w:rPr>
          <w:rFonts w:ascii="微软雅黑" w:eastAsia="微软雅黑" w:hAnsi="微软雅黑" w:cs="宋体"/>
          <w:kern w:val="0"/>
          <w:sz w:val="24"/>
          <w:szCs w:val="24"/>
        </w:rPr>
      </w:pPr>
      <w:r w:rsidRPr="00736BD1">
        <w:rPr>
          <w:rFonts w:ascii="微软雅黑" w:eastAsia="微软雅黑" w:hAnsi="微软雅黑" w:cs="宋体"/>
          <w:kern w:val="0"/>
          <w:sz w:val="24"/>
          <w:szCs w:val="24"/>
        </w:rPr>
        <w:lastRenderedPageBreak/>
        <w:t>对癌细胞</w:t>
      </w:r>
      <w:proofErr w:type="gramStart"/>
      <w:r w:rsidRPr="00736BD1">
        <w:rPr>
          <w:rFonts w:ascii="微软雅黑" w:eastAsia="微软雅黑" w:hAnsi="微软雅黑" w:cs="宋体"/>
          <w:kern w:val="0"/>
          <w:sz w:val="24"/>
          <w:szCs w:val="24"/>
        </w:rPr>
        <w:t>转录组</w:t>
      </w:r>
      <w:proofErr w:type="gramEnd"/>
      <w:r w:rsidRPr="00736BD1">
        <w:rPr>
          <w:rFonts w:ascii="微软雅黑" w:eastAsia="微软雅黑" w:hAnsi="微软雅黑" w:cs="宋体"/>
          <w:kern w:val="0"/>
          <w:sz w:val="24"/>
          <w:szCs w:val="24"/>
        </w:rPr>
        <w:t>进行基因集富集分析（GSEA）显示，联合治疗后IFN-γ和炎症信号通路显著上调（</w:t>
      </w:r>
      <w:r w:rsidRPr="00736BD1">
        <w:rPr>
          <w:rFonts w:ascii="微软雅黑" w:eastAsia="微软雅黑" w:hAnsi="微软雅黑" w:cs="宋体"/>
          <w:kern w:val="0"/>
          <w:sz w:val="24"/>
          <w:szCs w:val="24"/>
        </w:rPr>
        <w:fldChar w:fldCharType="begin"/>
      </w:r>
      <w:r w:rsidRPr="00736BD1">
        <w:rPr>
          <w:rFonts w:ascii="微软雅黑" w:eastAsia="微软雅黑" w:hAnsi="微软雅黑" w:cs="宋体"/>
          <w:kern w:val="0"/>
          <w:sz w:val="24"/>
          <w:szCs w:val="24"/>
        </w:rPr>
        <w:instrText xml:space="preserve"> HYPERLINK "https://pmc.ncbi.nlm.nih.gov/articles/PMC12520673/" \l "F8" </w:instrText>
      </w:r>
      <w:r w:rsidRPr="00736BD1">
        <w:rPr>
          <w:rFonts w:ascii="微软雅黑" w:eastAsia="微软雅黑" w:hAnsi="微软雅黑" w:cs="宋体"/>
          <w:kern w:val="0"/>
          <w:sz w:val="24"/>
          <w:szCs w:val="24"/>
        </w:rPr>
        <w:fldChar w:fldCharType="separate"/>
      </w:r>
      <w:r w:rsidRPr="00736BD1">
        <w:rPr>
          <w:rFonts w:ascii="微软雅黑" w:eastAsia="微软雅黑" w:hAnsi="微软雅黑" w:cs="宋体"/>
          <w:kern w:val="0"/>
          <w:sz w:val="24"/>
          <w:szCs w:val="24"/>
          <w:u w:val="single"/>
        </w:rPr>
        <w:t>图8A</w:t>
      </w:r>
      <w:r w:rsidRPr="00736BD1">
        <w:rPr>
          <w:rFonts w:ascii="微软雅黑" w:eastAsia="微软雅黑" w:hAnsi="微软雅黑" w:cs="宋体"/>
          <w:kern w:val="0"/>
          <w:sz w:val="24"/>
          <w:szCs w:val="24"/>
        </w:rPr>
        <w:fldChar w:fldCharType="end"/>
      </w:r>
      <w:r w:rsidRPr="00736BD1">
        <w:rPr>
          <w:rFonts w:ascii="微软雅黑" w:eastAsia="微软雅黑" w:hAnsi="微软雅黑" w:cs="宋体"/>
          <w:kern w:val="0"/>
          <w:sz w:val="24"/>
          <w:szCs w:val="24"/>
        </w:rPr>
        <w:t>）。巨噬细胞也表现出类似的IFN-γ、TNF-α和炎症信号通路激活（</w:t>
      </w:r>
      <w:r w:rsidRPr="00736BD1">
        <w:rPr>
          <w:rFonts w:ascii="微软雅黑" w:eastAsia="微软雅黑" w:hAnsi="微软雅黑" w:cs="宋体"/>
          <w:kern w:val="0"/>
          <w:sz w:val="24"/>
          <w:szCs w:val="24"/>
        </w:rPr>
        <w:fldChar w:fldCharType="begin"/>
      </w:r>
      <w:r w:rsidRPr="00736BD1">
        <w:rPr>
          <w:rFonts w:ascii="微软雅黑" w:eastAsia="微软雅黑" w:hAnsi="微软雅黑" w:cs="宋体"/>
          <w:kern w:val="0"/>
          <w:sz w:val="24"/>
          <w:szCs w:val="24"/>
        </w:rPr>
        <w:instrText xml:space="preserve"> HYPERLINK "https://pmc.ncbi.nlm.nih.gov/articles/PMC12520673/" \l "sd" </w:instrText>
      </w:r>
      <w:r w:rsidRPr="00736BD1">
        <w:rPr>
          <w:rFonts w:ascii="微软雅黑" w:eastAsia="微软雅黑" w:hAnsi="微软雅黑" w:cs="宋体"/>
          <w:kern w:val="0"/>
          <w:sz w:val="24"/>
          <w:szCs w:val="24"/>
        </w:rPr>
        <w:fldChar w:fldCharType="separate"/>
      </w:r>
      <w:r w:rsidRPr="00736BD1">
        <w:rPr>
          <w:rFonts w:ascii="微软雅黑" w:eastAsia="微软雅黑" w:hAnsi="微软雅黑" w:cs="宋体"/>
          <w:kern w:val="0"/>
          <w:sz w:val="24"/>
          <w:szCs w:val="24"/>
          <w:u w:val="single"/>
        </w:rPr>
        <w:t>补充图9A</w:t>
      </w:r>
      <w:r w:rsidRPr="00736BD1">
        <w:rPr>
          <w:rFonts w:ascii="微软雅黑" w:eastAsia="微软雅黑" w:hAnsi="微软雅黑" w:cs="宋体"/>
          <w:kern w:val="0"/>
          <w:sz w:val="24"/>
          <w:szCs w:val="24"/>
        </w:rPr>
        <w:fldChar w:fldCharType="end"/>
      </w:r>
      <w:r w:rsidRPr="00736BD1">
        <w:rPr>
          <w:rFonts w:ascii="微软雅黑" w:eastAsia="微软雅黑" w:hAnsi="微软雅黑" w:cs="宋体"/>
          <w:kern w:val="0"/>
          <w:sz w:val="24"/>
          <w:szCs w:val="24"/>
        </w:rPr>
        <w:t>）。此外，我们观察到癌细胞中免疫刺激细胞因子和趋化因子表达升高，包括</w:t>
      </w:r>
      <w:r w:rsidRPr="00736BD1">
        <w:rPr>
          <w:rFonts w:ascii="微软雅黑" w:eastAsia="微软雅黑" w:hAnsi="微软雅黑" w:cs="宋体"/>
          <w:i/>
          <w:iCs/>
          <w:kern w:val="0"/>
          <w:sz w:val="24"/>
          <w:szCs w:val="24"/>
        </w:rPr>
        <w:t>CXCL2</w:t>
      </w:r>
      <w:r w:rsidRPr="00736BD1">
        <w:rPr>
          <w:rFonts w:ascii="微软雅黑" w:eastAsia="微软雅黑" w:hAnsi="微软雅黑" w:cs="宋体"/>
          <w:kern w:val="0"/>
          <w:sz w:val="24"/>
          <w:szCs w:val="24"/>
        </w:rPr>
        <w:t>、</w:t>
      </w:r>
      <w:r w:rsidRPr="00736BD1">
        <w:rPr>
          <w:rFonts w:ascii="微软雅黑" w:eastAsia="微软雅黑" w:hAnsi="微软雅黑" w:cs="宋体"/>
          <w:i/>
          <w:iCs/>
          <w:kern w:val="0"/>
          <w:sz w:val="24"/>
          <w:szCs w:val="24"/>
        </w:rPr>
        <w:t>CXCL9</w:t>
      </w:r>
      <w:r w:rsidRPr="00736BD1">
        <w:rPr>
          <w:rFonts w:ascii="微软雅黑" w:eastAsia="微软雅黑" w:hAnsi="微软雅黑" w:cs="宋体"/>
          <w:kern w:val="0"/>
          <w:sz w:val="24"/>
          <w:szCs w:val="24"/>
        </w:rPr>
        <w:t>、</w:t>
      </w:r>
      <w:r w:rsidRPr="00736BD1">
        <w:rPr>
          <w:rFonts w:ascii="微软雅黑" w:eastAsia="微软雅黑" w:hAnsi="微软雅黑" w:cs="宋体"/>
          <w:i/>
          <w:iCs/>
          <w:kern w:val="0"/>
          <w:sz w:val="24"/>
          <w:szCs w:val="24"/>
        </w:rPr>
        <w:t>CXCL10</w:t>
      </w:r>
      <w:r w:rsidRPr="00736BD1">
        <w:rPr>
          <w:rFonts w:ascii="微软雅黑" w:eastAsia="微软雅黑" w:hAnsi="微软雅黑" w:cs="宋体"/>
          <w:kern w:val="0"/>
          <w:sz w:val="24"/>
          <w:szCs w:val="24"/>
        </w:rPr>
        <w:t>、</w:t>
      </w:r>
      <w:r w:rsidRPr="00736BD1">
        <w:rPr>
          <w:rFonts w:ascii="微软雅黑" w:eastAsia="微软雅黑" w:hAnsi="微软雅黑" w:cs="宋体"/>
          <w:i/>
          <w:iCs/>
          <w:kern w:val="0"/>
          <w:sz w:val="24"/>
          <w:szCs w:val="24"/>
        </w:rPr>
        <w:t>CXCL11</w:t>
      </w:r>
      <w:r w:rsidRPr="00736BD1">
        <w:rPr>
          <w:rFonts w:ascii="微软雅黑" w:eastAsia="微软雅黑" w:hAnsi="微软雅黑" w:cs="宋体"/>
          <w:kern w:val="0"/>
          <w:sz w:val="24"/>
          <w:szCs w:val="24"/>
        </w:rPr>
        <w:t>、</w:t>
      </w:r>
      <w:r w:rsidRPr="00736BD1">
        <w:rPr>
          <w:rFonts w:ascii="微软雅黑" w:eastAsia="微软雅黑" w:hAnsi="微软雅黑" w:cs="宋体"/>
          <w:i/>
          <w:iCs/>
          <w:kern w:val="0"/>
          <w:sz w:val="24"/>
          <w:szCs w:val="24"/>
        </w:rPr>
        <w:t>CIITA</w:t>
      </w:r>
      <w:r w:rsidRPr="00736BD1">
        <w:rPr>
          <w:rFonts w:ascii="微软雅黑" w:eastAsia="微软雅黑" w:hAnsi="微软雅黑" w:cs="宋体"/>
          <w:kern w:val="0"/>
          <w:sz w:val="24"/>
          <w:szCs w:val="24"/>
        </w:rPr>
        <w:t>和</w:t>
      </w:r>
      <w:r w:rsidRPr="00736BD1">
        <w:rPr>
          <w:rFonts w:ascii="微软雅黑" w:eastAsia="微软雅黑" w:hAnsi="微软雅黑" w:cs="宋体"/>
          <w:i/>
          <w:iCs/>
          <w:kern w:val="0"/>
          <w:sz w:val="24"/>
          <w:szCs w:val="24"/>
        </w:rPr>
        <w:t>ICAM2</w:t>
      </w:r>
      <w:r w:rsidRPr="00736BD1">
        <w:rPr>
          <w:rFonts w:ascii="微软雅黑" w:eastAsia="微软雅黑" w:hAnsi="微软雅黑" w:cs="宋体"/>
          <w:kern w:val="0"/>
          <w:sz w:val="24"/>
          <w:szCs w:val="24"/>
        </w:rPr>
        <w:t>（</w:t>
      </w:r>
      <w:hyperlink r:id="rId59" w:anchor="F8" w:history="1">
        <w:r w:rsidRPr="00736BD1">
          <w:rPr>
            <w:rFonts w:ascii="微软雅黑" w:eastAsia="微软雅黑" w:hAnsi="微软雅黑" w:cs="宋体"/>
            <w:kern w:val="0"/>
            <w:sz w:val="24"/>
            <w:szCs w:val="24"/>
            <w:u w:val="single"/>
          </w:rPr>
          <w:t>图8B </w:t>
        </w:r>
      </w:hyperlink>
      <w:hyperlink r:id="rId60" w:anchor="B49" w:history="1">
        <w:r w:rsidRPr="00736BD1">
          <w:rPr>
            <w:rFonts w:ascii="微软雅黑" w:eastAsia="微软雅黑" w:hAnsi="微软雅黑" w:cs="宋体"/>
            <w:kern w:val="0"/>
            <w:sz w:val="24"/>
            <w:szCs w:val="24"/>
            <w:u w:val="single"/>
          </w:rPr>
          <w:t>）</w:t>
        </w:r>
      </w:hyperlink>
      <w:r w:rsidRPr="00736BD1">
        <w:rPr>
          <w:rFonts w:ascii="微软雅黑" w:eastAsia="微软雅黑" w:hAnsi="微软雅黑" w:cs="宋体"/>
          <w:kern w:val="0"/>
          <w:sz w:val="24"/>
          <w:szCs w:val="24"/>
        </w:rPr>
        <w:t> 。这些基因对于在肿瘤微环境（TME ）内募集和激活免疫效应细胞至关重要（</w:t>
      </w:r>
      <w:r w:rsidRPr="00736BD1">
        <w:rPr>
          <w:rFonts w:ascii="微软雅黑" w:eastAsia="微软雅黑" w:hAnsi="微软雅黑" w:cs="宋体"/>
          <w:kern w:val="0"/>
          <w:sz w:val="24"/>
          <w:szCs w:val="24"/>
        </w:rPr>
        <w:fldChar w:fldCharType="begin"/>
      </w:r>
      <w:r w:rsidRPr="00736BD1">
        <w:rPr>
          <w:rFonts w:ascii="微软雅黑" w:eastAsia="微软雅黑" w:hAnsi="微软雅黑" w:cs="宋体"/>
          <w:kern w:val="0"/>
          <w:sz w:val="24"/>
          <w:szCs w:val="24"/>
        </w:rPr>
        <w:instrText xml:space="preserve"> HYPERLINK "https://pmc.ncbi.nlm.nih.gov/articles/PMC12520673/" \l "B47" </w:instrText>
      </w:r>
      <w:r w:rsidRPr="00736BD1">
        <w:rPr>
          <w:rFonts w:ascii="微软雅黑" w:eastAsia="微软雅黑" w:hAnsi="微软雅黑" w:cs="宋体"/>
          <w:kern w:val="0"/>
          <w:sz w:val="24"/>
          <w:szCs w:val="24"/>
        </w:rPr>
        <w:fldChar w:fldCharType="separate"/>
      </w:r>
      <w:r w:rsidRPr="00736BD1">
        <w:rPr>
          <w:rFonts w:ascii="微软雅黑" w:eastAsia="微软雅黑" w:hAnsi="微软雅黑" w:cs="宋体"/>
          <w:kern w:val="0"/>
          <w:sz w:val="24"/>
          <w:szCs w:val="24"/>
          <w:u w:val="single"/>
        </w:rPr>
        <w:t>47-49</w:t>
      </w:r>
      <w:r w:rsidRPr="00736BD1">
        <w:rPr>
          <w:rFonts w:ascii="微软雅黑" w:eastAsia="微软雅黑" w:hAnsi="微软雅黑" w:cs="宋体"/>
          <w:kern w:val="0"/>
          <w:sz w:val="24"/>
          <w:szCs w:val="24"/>
        </w:rPr>
        <w:fldChar w:fldCharType="end"/>
      </w:r>
      <w:r w:rsidRPr="00736BD1">
        <w:rPr>
          <w:rFonts w:ascii="微软雅黑" w:eastAsia="微软雅黑" w:hAnsi="微软雅黑" w:cs="宋体"/>
          <w:kern w:val="0"/>
          <w:sz w:val="24"/>
          <w:szCs w:val="24"/>
        </w:rPr>
        <w:t>），可能增强强大的抗肿瘤免疫力。</w:t>
      </w:r>
    </w:p>
    <w:p w14:paraId="1186DB99" w14:textId="77777777" w:rsidR="00736BD1" w:rsidRPr="00736BD1" w:rsidRDefault="00736BD1" w:rsidP="00736BD1">
      <w:pPr>
        <w:widowControl/>
        <w:spacing w:line="450" w:lineRule="atLeast"/>
        <w:outlineLvl w:val="3"/>
        <w:rPr>
          <w:rFonts w:ascii="微软雅黑" w:eastAsia="微软雅黑" w:hAnsi="微软雅黑" w:cs="宋体"/>
          <w:kern w:val="0"/>
          <w:sz w:val="30"/>
          <w:szCs w:val="30"/>
        </w:rPr>
      </w:pPr>
      <w:r w:rsidRPr="00736BD1">
        <w:rPr>
          <w:rFonts w:ascii="微软雅黑" w:eastAsia="微软雅黑" w:hAnsi="微软雅黑" w:cs="宋体"/>
          <w:kern w:val="0"/>
          <w:sz w:val="30"/>
          <w:szCs w:val="30"/>
        </w:rPr>
        <w:t>图 8. CDK4/6i 和 CDK7i 的组合增强了免疫调节信号和肿瘤抗原特异性 T 细胞反应。</w:t>
      </w:r>
    </w:p>
    <w:p w14:paraId="7DA3378C" w14:textId="627ABEAC" w:rsidR="00736BD1" w:rsidRPr="00736BD1" w:rsidRDefault="00736BD1" w:rsidP="00736BD1">
      <w:pPr>
        <w:widowControl/>
        <w:spacing w:before="450"/>
        <w:rPr>
          <w:rFonts w:ascii="微软雅黑" w:eastAsia="微软雅黑" w:hAnsi="微软雅黑" w:cs="宋体"/>
          <w:kern w:val="0"/>
          <w:sz w:val="24"/>
          <w:szCs w:val="24"/>
        </w:rPr>
      </w:pPr>
      <w:r w:rsidRPr="00736BD1">
        <w:rPr>
          <w:rFonts w:ascii="微软雅黑" w:eastAsia="微软雅黑" w:hAnsi="微软雅黑" w:cs="宋体"/>
          <w:noProof/>
          <w:kern w:val="0"/>
          <w:sz w:val="24"/>
          <w:szCs w:val="24"/>
        </w:rPr>
        <w:lastRenderedPageBreak/>
        <w:drawing>
          <wp:inline distT="0" distB="0" distL="0" distR="0" wp14:anchorId="5B9BD716" wp14:editId="20B1DD12">
            <wp:extent cx="5274310" cy="5393690"/>
            <wp:effectExtent l="0" t="0" r="2540" b="0"/>
            <wp:docPr id="1" name="图片 1" descr="图 8">
              <a:hlinkClick xmlns:a="http://schemas.openxmlformats.org/drawingml/2006/main" r:id="rId6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图 8">
                      <a:hlinkClick r:id="rId61" tgtFrame="&quot;_blank&quot;"/>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274310" cy="5393690"/>
                    </a:xfrm>
                    <a:prstGeom prst="rect">
                      <a:avLst/>
                    </a:prstGeom>
                    <a:noFill/>
                    <a:ln>
                      <a:noFill/>
                    </a:ln>
                  </pic:spPr>
                </pic:pic>
              </a:graphicData>
            </a:graphic>
          </wp:inline>
        </w:drawing>
      </w:r>
    </w:p>
    <w:p w14:paraId="2F22B8DE" w14:textId="77777777" w:rsidR="00736BD1" w:rsidRPr="00736BD1" w:rsidRDefault="00736BD1" w:rsidP="00736BD1">
      <w:pPr>
        <w:widowControl/>
        <w:rPr>
          <w:rFonts w:ascii="微软雅黑" w:eastAsia="微软雅黑" w:hAnsi="微软雅黑" w:cs="宋体"/>
          <w:kern w:val="0"/>
          <w:sz w:val="24"/>
          <w:szCs w:val="24"/>
        </w:rPr>
      </w:pPr>
      <w:r w:rsidRPr="00736BD1">
        <w:rPr>
          <w:rFonts w:ascii="微软雅黑" w:eastAsia="微软雅黑" w:hAnsi="微软雅黑" w:cs="宋体"/>
          <w:kern w:val="0"/>
          <w:sz w:val="24"/>
          <w:szCs w:val="24"/>
        </w:rPr>
        <w:t>（</w:t>
      </w:r>
      <w:r w:rsidRPr="00736BD1">
        <w:rPr>
          <w:rFonts w:ascii="微软雅黑" w:eastAsia="微软雅黑" w:hAnsi="微软雅黑" w:cs="宋体"/>
          <w:b/>
          <w:bCs/>
          <w:kern w:val="0"/>
          <w:sz w:val="24"/>
          <w:szCs w:val="24"/>
        </w:rPr>
        <w:t>A</w:t>
      </w:r>
      <w:r w:rsidRPr="00736BD1">
        <w:rPr>
          <w:rFonts w:ascii="微软雅黑" w:eastAsia="微软雅黑" w:hAnsi="微软雅黑" w:cs="宋体"/>
          <w:kern w:val="0"/>
          <w:sz w:val="24"/>
          <w:szCs w:val="24"/>
        </w:rPr>
        <w:t>）基因集富集分析（GSEA）图显示，在体内用帕博西尼（50 mg/kg）和SY5609（2 mg/kg）联合治疗的AT3 </w:t>
      </w:r>
      <w:r w:rsidRPr="00736BD1">
        <w:rPr>
          <w:rFonts w:ascii="微软雅黑" w:eastAsia="微软雅黑" w:hAnsi="微软雅黑" w:cs="宋体"/>
          <w:kern w:val="0"/>
          <w:sz w:val="24"/>
          <w:szCs w:val="24"/>
          <w:vertAlign w:val="superscript"/>
        </w:rPr>
        <w:t>OVA</w:t>
      </w:r>
      <w:r w:rsidRPr="00736BD1">
        <w:rPr>
          <w:rFonts w:ascii="微软雅黑" w:eastAsia="微软雅黑" w:hAnsi="微软雅黑" w:cs="宋体"/>
          <w:kern w:val="0"/>
          <w:sz w:val="24"/>
          <w:szCs w:val="24"/>
        </w:rPr>
        <w:t>肿瘤中分离的癌细胞中，IFN-γ和炎症反应通路上调。图中显示了每个通路的归一化富集评分（NES）和</w:t>
      </w:r>
      <w:r w:rsidRPr="00736BD1">
        <w:rPr>
          <w:rFonts w:ascii="微软雅黑" w:eastAsia="微软雅黑" w:hAnsi="微软雅黑" w:cs="宋体"/>
          <w:i/>
          <w:iCs/>
          <w:kern w:val="0"/>
          <w:sz w:val="24"/>
          <w:szCs w:val="24"/>
        </w:rPr>
        <w:t>q值。（ </w:t>
      </w:r>
      <w:r w:rsidRPr="00736BD1">
        <w:rPr>
          <w:rFonts w:ascii="微软雅黑" w:eastAsia="微软雅黑" w:hAnsi="微软雅黑" w:cs="宋体"/>
          <w:b/>
          <w:bCs/>
          <w:kern w:val="0"/>
          <w:sz w:val="24"/>
          <w:szCs w:val="24"/>
        </w:rPr>
        <w:t>B</w:t>
      </w:r>
      <w:r w:rsidRPr="00736BD1">
        <w:rPr>
          <w:rFonts w:ascii="微软雅黑" w:eastAsia="微软雅黑" w:hAnsi="微软雅黑" w:cs="宋体"/>
          <w:kern w:val="0"/>
          <w:sz w:val="24"/>
          <w:szCs w:val="24"/>
        </w:rPr>
        <w:t>）火山图显示了体内联合治疗后癌细胞中差异表达基因，重点突出了关键的免疫调节基因。（</w:t>
      </w:r>
      <w:r w:rsidRPr="00736BD1">
        <w:rPr>
          <w:rFonts w:ascii="微软雅黑" w:eastAsia="微软雅黑" w:hAnsi="微软雅黑" w:cs="宋体"/>
          <w:b/>
          <w:bCs/>
          <w:kern w:val="0"/>
          <w:sz w:val="24"/>
          <w:szCs w:val="24"/>
        </w:rPr>
        <w:t>C</w:t>
      </w:r>
      <w:r w:rsidRPr="00736BD1">
        <w:rPr>
          <w:rFonts w:ascii="微软雅黑" w:eastAsia="微软雅黑" w:hAnsi="微软雅黑" w:cs="宋体"/>
          <w:kern w:val="0"/>
          <w:sz w:val="24"/>
          <w:szCs w:val="24"/>
        </w:rPr>
        <w:t> ）流式细胞术定量分析治疗后AT3 </w:t>
      </w:r>
      <w:r w:rsidRPr="00736BD1">
        <w:rPr>
          <w:rFonts w:ascii="微软雅黑" w:eastAsia="微软雅黑" w:hAnsi="微软雅黑" w:cs="宋体"/>
          <w:kern w:val="0"/>
          <w:sz w:val="24"/>
          <w:szCs w:val="24"/>
          <w:vertAlign w:val="superscript"/>
        </w:rPr>
        <w:t>OVA</w:t>
      </w:r>
      <w:r w:rsidRPr="00736BD1">
        <w:rPr>
          <w:rFonts w:ascii="微软雅黑" w:eastAsia="微软雅黑" w:hAnsi="微软雅黑" w:cs="宋体"/>
          <w:kern w:val="0"/>
          <w:sz w:val="24"/>
          <w:szCs w:val="24"/>
        </w:rPr>
        <w:t>肿瘤中OVA特异性CD8&lt;sup&gt; </w:t>
      </w:r>
      <w:r w:rsidRPr="00736BD1">
        <w:rPr>
          <w:rFonts w:ascii="微软雅黑" w:eastAsia="微软雅黑" w:hAnsi="微软雅黑" w:cs="宋体"/>
          <w:kern w:val="0"/>
          <w:sz w:val="24"/>
          <w:szCs w:val="24"/>
          <w:vertAlign w:val="superscript"/>
        </w:rPr>
        <w:t>+ &lt;/sup&gt; T细胞的数量。（ </w:t>
      </w:r>
      <w:r w:rsidRPr="00736BD1">
        <w:rPr>
          <w:rFonts w:ascii="微软雅黑" w:eastAsia="微软雅黑" w:hAnsi="微软雅黑" w:cs="宋体"/>
          <w:b/>
          <w:bCs/>
          <w:kern w:val="0"/>
          <w:sz w:val="24"/>
          <w:szCs w:val="24"/>
        </w:rPr>
        <w:t>D</w:t>
      </w:r>
      <w:r w:rsidRPr="00736BD1">
        <w:rPr>
          <w:rFonts w:ascii="微软雅黑" w:eastAsia="微软雅黑" w:hAnsi="微软雅黑" w:cs="宋体"/>
          <w:kern w:val="0"/>
          <w:sz w:val="24"/>
          <w:szCs w:val="24"/>
        </w:rPr>
        <w:t>）流式细胞术定量分析AT3 </w:t>
      </w:r>
      <w:r w:rsidRPr="00736BD1">
        <w:rPr>
          <w:rFonts w:ascii="微软雅黑" w:eastAsia="微软雅黑" w:hAnsi="微软雅黑" w:cs="宋体"/>
          <w:kern w:val="0"/>
          <w:sz w:val="24"/>
          <w:szCs w:val="24"/>
          <w:vertAlign w:val="superscript"/>
        </w:rPr>
        <w:t>OVA</w:t>
      </w:r>
      <w:r w:rsidRPr="00736BD1">
        <w:rPr>
          <w:rFonts w:ascii="微软雅黑" w:eastAsia="微软雅黑" w:hAnsi="微软雅黑" w:cs="宋体"/>
          <w:kern w:val="0"/>
          <w:sz w:val="24"/>
          <w:szCs w:val="24"/>
        </w:rPr>
        <w:t>肿瘤中产生IFN-γ的CD8</w:t>
      </w:r>
      <w:r w:rsidRPr="00736BD1">
        <w:rPr>
          <w:rFonts w:ascii="微软雅黑" w:eastAsia="微软雅黑" w:hAnsi="微软雅黑" w:cs="宋体"/>
          <w:kern w:val="0"/>
          <w:sz w:val="24"/>
          <w:szCs w:val="24"/>
          <w:vertAlign w:val="superscript"/>
        </w:rPr>
        <w:t>&lt;sup&gt; +</w:t>
      </w:r>
      <w:r w:rsidRPr="00736BD1">
        <w:rPr>
          <w:rFonts w:ascii="微软雅黑" w:eastAsia="微软雅黑" w:hAnsi="微软雅黑" w:cs="宋体"/>
          <w:kern w:val="0"/>
          <w:sz w:val="24"/>
          <w:szCs w:val="24"/>
        </w:rPr>
        <w:t> </w:t>
      </w:r>
      <w:r w:rsidRPr="00736BD1">
        <w:rPr>
          <w:rFonts w:ascii="微软雅黑" w:eastAsia="微软雅黑" w:hAnsi="微软雅黑" w:cs="宋体"/>
          <w:kern w:val="0"/>
          <w:sz w:val="24"/>
          <w:szCs w:val="24"/>
          <w:vertAlign w:val="superscript"/>
        </w:rPr>
        <w:t xml:space="preserve">&lt;/sup&gt; </w:t>
      </w:r>
      <w:r w:rsidRPr="00736BD1">
        <w:rPr>
          <w:rFonts w:ascii="微软雅黑" w:eastAsia="微软雅黑" w:hAnsi="微软雅黑" w:cs="宋体"/>
          <w:kern w:val="0"/>
          <w:sz w:val="24"/>
          <w:szCs w:val="24"/>
        </w:rPr>
        <w:t>T细胞的数量，</w:t>
      </w:r>
      <w:r w:rsidRPr="00736BD1">
        <w:rPr>
          <w:rFonts w:ascii="微软雅黑" w:eastAsia="微软雅黑" w:hAnsi="微软雅黑" w:cs="宋体"/>
          <w:kern w:val="0"/>
          <w:sz w:val="24"/>
          <w:szCs w:val="24"/>
          <w:vertAlign w:val="superscript"/>
        </w:rPr>
        <w:t>并</w:t>
      </w:r>
      <w:r w:rsidRPr="00736BD1">
        <w:rPr>
          <w:rFonts w:ascii="微软雅黑" w:eastAsia="微软雅黑" w:hAnsi="微软雅黑" w:cs="宋体"/>
          <w:kern w:val="0"/>
          <w:sz w:val="24"/>
          <w:szCs w:val="24"/>
        </w:rPr>
        <w:t>根据OVA四聚体表达进行分层。（</w:t>
      </w:r>
      <w:r w:rsidRPr="00736BD1">
        <w:rPr>
          <w:rFonts w:ascii="微软雅黑" w:eastAsia="微软雅黑" w:hAnsi="微软雅黑" w:cs="宋体"/>
          <w:b/>
          <w:bCs/>
          <w:kern w:val="0"/>
          <w:sz w:val="24"/>
          <w:szCs w:val="24"/>
        </w:rPr>
        <w:t>C</w:t>
      </w:r>
      <w:r w:rsidRPr="00736BD1">
        <w:rPr>
          <w:rFonts w:ascii="微软雅黑" w:eastAsia="微软雅黑" w:hAnsi="微软雅黑" w:cs="宋体"/>
          <w:kern w:val="0"/>
          <w:sz w:val="24"/>
          <w:szCs w:val="24"/>
        </w:rPr>
        <w:t>和</w:t>
      </w:r>
      <w:r w:rsidRPr="00736BD1">
        <w:rPr>
          <w:rFonts w:ascii="微软雅黑" w:eastAsia="微软雅黑" w:hAnsi="微软雅黑" w:cs="宋体"/>
          <w:b/>
          <w:bCs/>
          <w:kern w:val="0"/>
          <w:sz w:val="24"/>
          <w:szCs w:val="24"/>
        </w:rPr>
        <w:t>D</w:t>
      </w:r>
      <w:r w:rsidRPr="00736BD1">
        <w:rPr>
          <w:rFonts w:ascii="微软雅黑" w:eastAsia="微软雅黑" w:hAnsi="微软雅黑" w:cs="宋体"/>
          <w:kern w:val="0"/>
          <w:sz w:val="24"/>
          <w:szCs w:val="24"/>
        </w:rPr>
        <w:t>）</w:t>
      </w:r>
      <w:r w:rsidRPr="00736BD1">
        <w:rPr>
          <w:rFonts w:ascii="微软雅黑" w:eastAsia="微软雅黑" w:hAnsi="微软雅黑" w:cs="宋体"/>
          <w:kern w:val="0"/>
          <w:sz w:val="24"/>
          <w:szCs w:val="24"/>
        </w:rPr>
        <w:lastRenderedPageBreak/>
        <w:t>中间线表示中位数，箱体边缘表示四分位间距（每组</w:t>
      </w:r>
      <w:r w:rsidRPr="00736BD1">
        <w:rPr>
          <w:rFonts w:ascii="微软雅黑" w:eastAsia="微软雅黑" w:hAnsi="微软雅黑" w:cs="宋体"/>
          <w:i/>
          <w:iCs/>
          <w:kern w:val="0"/>
          <w:sz w:val="24"/>
          <w:szCs w:val="24"/>
        </w:rPr>
        <w:t>n</w:t>
      </w:r>
      <w:r w:rsidRPr="00736BD1">
        <w:rPr>
          <w:rFonts w:ascii="微软雅黑" w:eastAsia="微软雅黑" w:hAnsi="微软雅黑" w:cs="宋体"/>
          <w:kern w:val="0"/>
          <w:sz w:val="24"/>
          <w:szCs w:val="24"/>
        </w:rPr>
        <w:t> = 6只小鼠）。</w:t>
      </w:r>
      <w:r w:rsidRPr="00736BD1">
        <w:rPr>
          <w:rFonts w:ascii="微软雅黑" w:eastAsia="微软雅黑" w:hAnsi="微软雅黑" w:cs="宋体"/>
          <w:i/>
          <w:iCs/>
          <w:kern w:val="0"/>
          <w:sz w:val="24"/>
          <w:szCs w:val="24"/>
        </w:rPr>
        <w:t>P</w:t>
      </w:r>
      <w:proofErr w:type="gramStart"/>
      <w:r w:rsidRPr="00736BD1">
        <w:rPr>
          <w:rFonts w:ascii="微软雅黑" w:eastAsia="微软雅黑" w:hAnsi="微软雅黑" w:cs="宋体"/>
          <w:i/>
          <w:iCs/>
          <w:kern w:val="0"/>
          <w:sz w:val="24"/>
          <w:szCs w:val="24"/>
        </w:rPr>
        <w:t>值通过</w:t>
      </w:r>
      <w:proofErr w:type="gramEnd"/>
      <w:r w:rsidRPr="00736BD1">
        <w:rPr>
          <w:rFonts w:ascii="微软雅黑" w:eastAsia="微软雅黑" w:hAnsi="微软雅黑" w:cs="宋体"/>
          <w:i/>
          <w:iCs/>
          <w:kern w:val="0"/>
          <w:sz w:val="24"/>
          <w:szCs w:val="24"/>
        </w:rPr>
        <w:t>非配对t</w:t>
      </w:r>
      <w:r w:rsidRPr="00736BD1">
        <w:rPr>
          <w:rFonts w:ascii="微软雅黑" w:eastAsia="微软雅黑" w:hAnsi="微软雅黑" w:cs="宋体"/>
          <w:kern w:val="0"/>
          <w:sz w:val="24"/>
          <w:szCs w:val="24"/>
        </w:rPr>
        <w:t>检验计算得出（* </w:t>
      </w:r>
      <w:r w:rsidRPr="00736BD1">
        <w:rPr>
          <w:rFonts w:ascii="微软雅黑" w:eastAsia="微软雅黑" w:hAnsi="微软雅黑" w:cs="宋体"/>
          <w:i/>
          <w:iCs/>
          <w:kern w:val="0"/>
          <w:sz w:val="24"/>
          <w:szCs w:val="24"/>
        </w:rPr>
        <w:t>P</w:t>
      </w:r>
      <w:r w:rsidRPr="00736BD1">
        <w:rPr>
          <w:rFonts w:ascii="微软雅黑" w:eastAsia="微软雅黑" w:hAnsi="微软雅黑" w:cs="宋体"/>
          <w:kern w:val="0"/>
          <w:sz w:val="24"/>
          <w:szCs w:val="24"/>
        </w:rPr>
        <w:t> ≤ 0.05；** </w:t>
      </w:r>
      <w:r w:rsidRPr="00736BD1">
        <w:rPr>
          <w:rFonts w:ascii="微软雅黑" w:eastAsia="微软雅黑" w:hAnsi="微软雅黑" w:cs="宋体"/>
          <w:i/>
          <w:iCs/>
          <w:kern w:val="0"/>
          <w:sz w:val="24"/>
          <w:szCs w:val="24"/>
        </w:rPr>
        <w:t>P</w:t>
      </w:r>
      <w:r w:rsidRPr="00736BD1">
        <w:rPr>
          <w:rFonts w:ascii="微软雅黑" w:eastAsia="微软雅黑" w:hAnsi="微软雅黑" w:cs="宋体"/>
          <w:kern w:val="0"/>
          <w:sz w:val="24"/>
          <w:szCs w:val="24"/>
        </w:rPr>
        <w:t> ≤ 0.001）。</w:t>
      </w:r>
    </w:p>
    <w:p w14:paraId="621AF7FC" w14:textId="77777777" w:rsidR="00736BD1" w:rsidRPr="00736BD1" w:rsidRDefault="00736BD1" w:rsidP="00736BD1">
      <w:pPr>
        <w:widowControl/>
        <w:spacing w:before="450"/>
        <w:rPr>
          <w:rFonts w:ascii="微软雅黑" w:eastAsia="微软雅黑" w:hAnsi="微软雅黑" w:cs="宋体"/>
          <w:kern w:val="0"/>
          <w:sz w:val="24"/>
          <w:szCs w:val="24"/>
        </w:rPr>
      </w:pPr>
      <w:r w:rsidRPr="00736BD1">
        <w:rPr>
          <w:rFonts w:ascii="微软雅黑" w:eastAsia="微软雅黑" w:hAnsi="微软雅黑" w:cs="宋体"/>
          <w:kern w:val="0"/>
          <w:sz w:val="24"/>
          <w:szCs w:val="24"/>
        </w:rPr>
        <w:t>为了直接评估肿瘤抗原特异性反应，我们使用H-2K&lt;sup&gt; </w:t>
      </w:r>
      <w:r w:rsidRPr="00736BD1">
        <w:rPr>
          <w:rFonts w:ascii="微软雅黑" w:eastAsia="微软雅黑" w:hAnsi="微软雅黑" w:cs="宋体"/>
          <w:kern w:val="0"/>
          <w:sz w:val="24"/>
          <w:szCs w:val="24"/>
          <w:vertAlign w:val="superscript"/>
        </w:rPr>
        <w:t>b</w:t>
      </w:r>
      <w:r w:rsidRPr="00736BD1">
        <w:rPr>
          <w:rFonts w:ascii="微软雅黑" w:eastAsia="微软雅黑" w:hAnsi="微软雅黑" w:cs="宋体"/>
          <w:kern w:val="0"/>
          <w:sz w:val="24"/>
          <w:szCs w:val="24"/>
        </w:rPr>
        <w:t> &lt;/sup&gt;-SIINFEKL MHC I</w:t>
      </w:r>
      <w:proofErr w:type="gramStart"/>
      <w:r w:rsidRPr="00736BD1">
        <w:rPr>
          <w:rFonts w:ascii="微软雅黑" w:eastAsia="微软雅黑" w:hAnsi="微软雅黑" w:cs="宋体"/>
          <w:kern w:val="0"/>
          <w:sz w:val="24"/>
          <w:szCs w:val="24"/>
        </w:rPr>
        <w:t>类四聚</w:t>
      </w:r>
      <w:proofErr w:type="gramEnd"/>
      <w:r w:rsidRPr="00736BD1">
        <w:rPr>
          <w:rFonts w:ascii="微软雅黑" w:eastAsia="微软雅黑" w:hAnsi="微软雅黑" w:cs="宋体"/>
          <w:kern w:val="0"/>
          <w:sz w:val="24"/>
          <w:szCs w:val="24"/>
        </w:rPr>
        <w:t>体进行四聚体检测，该四聚体可检测识别AT3 </w:t>
      </w:r>
      <w:r w:rsidRPr="00736BD1">
        <w:rPr>
          <w:rFonts w:ascii="微软雅黑" w:eastAsia="微软雅黑" w:hAnsi="微软雅黑" w:cs="宋体"/>
          <w:kern w:val="0"/>
          <w:sz w:val="24"/>
          <w:szCs w:val="24"/>
          <w:vertAlign w:val="superscript"/>
        </w:rPr>
        <w:t>OVA</w:t>
      </w:r>
      <w:r w:rsidRPr="00736BD1">
        <w:rPr>
          <w:rFonts w:ascii="微软雅黑" w:eastAsia="微软雅黑" w:hAnsi="微软雅黑" w:cs="宋体"/>
          <w:kern w:val="0"/>
          <w:sz w:val="24"/>
          <w:szCs w:val="24"/>
        </w:rPr>
        <w:t>肿瘤表达的OVA肽的CD8</w:t>
      </w:r>
      <w:r w:rsidRPr="00736BD1">
        <w:rPr>
          <w:rFonts w:ascii="微软雅黑" w:eastAsia="微软雅黑" w:hAnsi="微软雅黑" w:cs="宋体"/>
          <w:kern w:val="0"/>
          <w:sz w:val="24"/>
          <w:szCs w:val="24"/>
          <w:vertAlign w:val="superscript"/>
        </w:rPr>
        <w:t>&lt;sup&gt; + &lt;/sup&gt;</w:t>
      </w:r>
      <w:r w:rsidRPr="00736BD1">
        <w:rPr>
          <w:rFonts w:ascii="微软雅黑" w:eastAsia="微软雅黑" w:hAnsi="微软雅黑" w:cs="宋体"/>
          <w:kern w:val="0"/>
          <w:sz w:val="24"/>
          <w:szCs w:val="24"/>
        </w:rPr>
        <w:t xml:space="preserve"> T细胞。流式细胞术分析显示，联合治疗后总CD8</w:t>
      </w:r>
      <w:r w:rsidRPr="00736BD1">
        <w:rPr>
          <w:rFonts w:ascii="微软雅黑" w:eastAsia="微软雅黑" w:hAnsi="微软雅黑" w:cs="宋体"/>
          <w:kern w:val="0"/>
          <w:sz w:val="24"/>
          <w:szCs w:val="24"/>
          <w:vertAlign w:val="superscript"/>
        </w:rPr>
        <w:t xml:space="preserve">&lt;sup&gt;+&lt;/sup&gt; </w:t>
      </w:r>
      <w:r w:rsidRPr="00736BD1">
        <w:rPr>
          <w:rFonts w:ascii="微软雅黑" w:eastAsia="微软雅黑" w:hAnsi="微软雅黑" w:cs="宋体"/>
          <w:kern w:val="0"/>
          <w:sz w:val="24"/>
          <w:szCs w:val="24"/>
        </w:rPr>
        <w:t>T细胞和OVA特异性CD8</w:t>
      </w:r>
      <w:r w:rsidRPr="00736BD1">
        <w:rPr>
          <w:rFonts w:ascii="微软雅黑" w:eastAsia="微软雅黑" w:hAnsi="微软雅黑" w:cs="宋体"/>
          <w:kern w:val="0"/>
          <w:sz w:val="24"/>
          <w:szCs w:val="24"/>
          <w:vertAlign w:val="superscript"/>
        </w:rPr>
        <w:t>&lt;sup&gt; +&lt;/sup&gt;</w:t>
      </w:r>
      <w:r w:rsidRPr="00736BD1">
        <w:rPr>
          <w:rFonts w:ascii="微软雅黑" w:eastAsia="微软雅黑" w:hAnsi="微软雅黑" w:cs="宋体"/>
          <w:kern w:val="0"/>
          <w:sz w:val="24"/>
          <w:szCs w:val="24"/>
        </w:rPr>
        <w:t xml:space="preserve"> T细胞均显著增加（</w:t>
      </w:r>
      <w:r w:rsidRPr="00736BD1">
        <w:rPr>
          <w:rFonts w:ascii="微软雅黑" w:eastAsia="微软雅黑" w:hAnsi="微软雅黑" w:cs="宋体"/>
          <w:kern w:val="0"/>
          <w:sz w:val="24"/>
          <w:szCs w:val="24"/>
        </w:rPr>
        <w:fldChar w:fldCharType="begin"/>
      </w:r>
      <w:r w:rsidRPr="00736BD1">
        <w:rPr>
          <w:rFonts w:ascii="微软雅黑" w:eastAsia="微软雅黑" w:hAnsi="微软雅黑" w:cs="宋体"/>
          <w:kern w:val="0"/>
          <w:sz w:val="24"/>
          <w:szCs w:val="24"/>
        </w:rPr>
        <w:instrText xml:space="preserve"> HYPERLINK "https://pmc.ncbi.nlm.nih.gov/articles/PMC12520673/" \l "F8" </w:instrText>
      </w:r>
      <w:r w:rsidRPr="00736BD1">
        <w:rPr>
          <w:rFonts w:ascii="微软雅黑" w:eastAsia="微软雅黑" w:hAnsi="微软雅黑" w:cs="宋体"/>
          <w:kern w:val="0"/>
          <w:sz w:val="24"/>
          <w:szCs w:val="24"/>
        </w:rPr>
        <w:fldChar w:fldCharType="separate"/>
      </w:r>
      <w:r w:rsidRPr="00736BD1">
        <w:rPr>
          <w:rFonts w:ascii="微软雅黑" w:eastAsia="微软雅黑" w:hAnsi="微软雅黑" w:cs="宋体"/>
          <w:kern w:val="0"/>
          <w:sz w:val="24"/>
          <w:szCs w:val="24"/>
          <w:u w:val="single"/>
        </w:rPr>
        <w:t>图8C</w:t>
      </w:r>
      <w:r w:rsidRPr="00736BD1">
        <w:rPr>
          <w:rFonts w:ascii="微软雅黑" w:eastAsia="微软雅黑" w:hAnsi="微软雅黑" w:cs="宋体"/>
          <w:kern w:val="0"/>
          <w:sz w:val="24"/>
          <w:szCs w:val="24"/>
        </w:rPr>
        <w:fldChar w:fldCharType="end"/>
      </w:r>
      <w:r w:rsidRPr="00736BD1">
        <w:rPr>
          <w:rFonts w:ascii="微软雅黑" w:eastAsia="微软雅黑" w:hAnsi="微软雅黑" w:cs="宋体"/>
          <w:kern w:val="0"/>
          <w:sz w:val="24"/>
          <w:szCs w:val="24"/>
        </w:rPr>
        <w:t>和</w:t>
      </w:r>
      <w:r w:rsidRPr="00736BD1">
        <w:rPr>
          <w:rFonts w:ascii="微软雅黑" w:eastAsia="微软雅黑" w:hAnsi="微软雅黑" w:cs="宋体"/>
          <w:kern w:val="0"/>
          <w:sz w:val="24"/>
          <w:szCs w:val="24"/>
        </w:rPr>
        <w:fldChar w:fldCharType="begin"/>
      </w:r>
      <w:r w:rsidRPr="00736BD1">
        <w:rPr>
          <w:rFonts w:ascii="微软雅黑" w:eastAsia="微软雅黑" w:hAnsi="微软雅黑" w:cs="宋体"/>
          <w:kern w:val="0"/>
          <w:sz w:val="24"/>
          <w:szCs w:val="24"/>
        </w:rPr>
        <w:instrText xml:space="preserve"> HYPERLINK "https://pmc.ncbi.nlm.nih.gov/articles/PMC12520673/" \l "sd" </w:instrText>
      </w:r>
      <w:r w:rsidRPr="00736BD1">
        <w:rPr>
          <w:rFonts w:ascii="微软雅黑" w:eastAsia="微软雅黑" w:hAnsi="微软雅黑" w:cs="宋体"/>
          <w:kern w:val="0"/>
          <w:sz w:val="24"/>
          <w:szCs w:val="24"/>
        </w:rPr>
        <w:fldChar w:fldCharType="separate"/>
      </w:r>
      <w:r w:rsidRPr="00736BD1">
        <w:rPr>
          <w:rFonts w:ascii="微软雅黑" w:eastAsia="微软雅黑" w:hAnsi="微软雅黑" w:cs="宋体"/>
          <w:kern w:val="0"/>
          <w:sz w:val="24"/>
          <w:szCs w:val="24"/>
          <w:u w:val="single"/>
        </w:rPr>
        <w:t>补充图9B</w:t>
      </w:r>
      <w:r w:rsidRPr="00736BD1">
        <w:rPr>
          <w:rFonts w:ascii="微软雅黑" w:eastAsia="微软雅黑" w:hAnsi="微软雅黑" w:cs="宋体"/>
          <w:kern w:val="0"/>
          <w:sz w:val="24"/>
          <w:szCs w:val="24"/>
        </w:rPr>
        <w:fldChar w:fldCharType="end"/>
      </w:r>
      <w:r w:rsidRPr="00736BD1">
        <w:rPr>
          <w:rFonts w:ascii="微软雅黑" w:eastAsia="微软雅黑" w:hAnsi="微软雅黑" w:cs="宋体"/>
          <w:kern w:val="0"/>
          <w:sz w:val="24"/>
          <w:szCs w:val="24"/>
        </w:rPr>
        <w:t>）。OVA特异性CD8</w:t>
      </w:r>
      <w:r w:rsidRPr="00736BD1">
        <w:rPr>
          <w:rFonts w:ascii="微软雅黑" w:eastAsia="微软雅黑" w:hAnsi="微软雅黑" w:cs="宋体"/>
          <w:kern w:val="0"/>
          <w:sz w:val="24"/>
          <w:szCs w:val="24"/>
          <w:vertAlign w:val="superscript"/>
        </w:rPr>
        <w:t>&lt;sup&gt; + &lt;/sup&gt;</w:t>
      </w:r>
      <w:r w:rsidRPr="00736BD1">
        <w:rPr>
          <w:rFonts w:ascii="微软雅黑" w:eastAsia="微软雅黑" w:hAnsi="微软雅黑" w:cs="宋体"/>
          <w:kern w:val="0"/>
          <w:sz w:val="24"/>
          <w:szCs w:val="24"/>
        </w:rPr>
        <w:t xml:space="preserve"> T细胞的IL-2表达高于非特异性CD8&lt;sup&gt; </w:t>
      </w:r>
      <w:r w:rsidRPr="00736BD1">
        <w:rPr>
          <w:rFonts w:ascii="微软雅黑" w:eastAsia="微软雅黑" w:hAnsi="微软雅黑" w:cs="宋体"/>
          <w:kern w:val="0"/>
          <w:sz w:val="24"/>
          <w:szCs w:val="24"/>
          <w:vertAlign w:val="superscript"/>
        </w:rPr>
        <w:t>+</w:t>
      </w:r>
      <w:r w:rsidRPr="00736BD1">
        <w:rPr>
          <w:rFonts w:ascii="微软雅黑" w:eastAsia="微软雅黑" w:hAnsi="微软雅黑" w:cs="宋体"/>
          <w:kern w:val="0"/>
          <w:sz w:val="24"/>
          <w:szCs w:val="24"/>
        </w:rPr>
        <w:t> &lt;/sup&gt; T细胞（</w:t>
      </w:r>
      <w:r w:rsidRPr="00736BD1">
        <w:rPr>
          <w:rFonts w:ascii="微软雅黑" w:eastAsia="微软雅黑" w:hAnsi="微软雅黑" w:cs="宋体"/>
          <w:kern w:val="0"/>
          <w:sz w:val="24"/>
          <w:szCs w:val="24"/>
        </w:rPr>
        <w:fldChar w:fldCharType="begin"/>
      </w:r>
      <w:r w:rsidRPr="00736BD1">
        <w:rPr>
          <w:rFonts w:ascii="微软雅黑" w:eastAsia="微软雅黑" w:hAnsi="微软雅黑" w:cs="宋体"/>
          <w:kern w:val="0"/>
          <w:sz w:val="24"/>
          <w:szCs w:val="24"/>
        </w:rPr>
        <w:instrText xml:space="preserve"> HYPERLINK "https://pmc.ncbi.nlm.nih.gov/articles/PMC12520673/" \l "sd" </w:instrText>
      </w:r>
      <w:r w:rsidRPr="00736BD1">
        <w:rPr>
          <w:rFonts w:ascii="微软雅黑" w:eastAsia="微软雅黑" w:hAnsi="微软雅黑" w:cs="宋体"/>
          <w:kern w:val="0"/>
          <w:sz w:val="24"/>
          <w:szCs w:val="24"/>
        </w:rPr>
        <w:fldChar w:fldCharType="separate"/>
      </w:r>
      <w:r w:rsidRPr="00736BD1">
        <w:rPr>
          <w:rFonts w:ascii="微软雅黑" w:eastAsia="微软雅黑" w:hAnsi="微软雅黑" w:cs="宋体"/>
          <w:kern w:val="0"/>
          <w:sz w:val="24"/>
          <w:szCs w:val="24"/>
          <w:u w:val="single"/>
        </w:rPr>
        <w:t>补充图9C</w:t>
      </w:r>
      <w:r w:rsidRPr="00736BD1">
        <w:rPr>
          <w:rFonts w:ascii="微软雅黑" w:eastAsia="微软雅黑" w:hAnsi="微软雅黑" w:cs="宋体"/>
          <w:kern w:val="0"/>
          <w:sz w:val="24"/>
          <w:szCs w:val="24"/>
        </w:rPr>
        <w:fldChar w:fldCharType="end"/>
      </w:r>
      <w:r w:rsidRPr="00736BD1">
        <w:rPr>
          <w:rFonts w:ascii="微软雅黑" w:eastAsia="微软雅黑" w:hAnsi="微软雅黑" w:cs="宋体"/>
          <w:kern w:val="0"/>
          <w:sz w:val="24"/>
          <w:szCs w:val="24"/>
        </w:rPr>
        <w:t>），表明其活化和增殖能力增强。此外，联合治疗显著增加了OVA特异性和非特异性CD8&lt;sup&gt; </w:t>
      </w:r>
      <w:r w:rsidRPr="00736BD1">
        <w:rPr>
          <w:rFonts w:ascii="微软雅黑" w:eastAsia="微软雅黑" w:hAnsi="微软雅黑" w:cs="宋体"/>
          <w:kern w:val="0"/>
          <w:sz w:val="24"/>
          <w:szCs w:val="24"/>
          <w:vertAlign w:val="superscript"/>
        </w:rPr>
        <w:t>+&lt;/sup&gt;</w:t>
      </w:r>
      <w:r w:rsidRPr="00736BD1">
        <w:rPr>
          <w:rFonts w:ascii="微软雅黑" w:eastAsia="微软雅黑" w:hAnsi="微软雅黑" w:cs="宋体"/>
          <w:kern w:val="0"/>
          <w:sz w:val="24"/>
          <w:szCs w:val="24"/>
        </w:rPr>
        <w:t> T细胞中IFN-γ的产生，而TNF-α水平保持不变（</w:t>
      </w:r>
      <w:r w:rsidRPr="00736BD1">
        <w:rPr>
          <w:rFonts w:ascii="微软雅黑" w:eastAsia="微软雅黑" w:hAnsi="微软雅黑" w:cs="宋体"/>
          <w:kern w:val="0"/>
          <w:sz w:val="24"/>
          <w:szCs w:val="24"/>
        </w:rPr>
        <w:fldChar w:fldCharType="begin"/>
      </w:r>
      <w:r w:rsidRPr="00736BD1">
        <w:rPr>
          <w:rFonts w:ascii="微软雅黑" w:eastAsia="微软雅黑" w:hAnsi="微软雅黑" w:cs="宋体"/>
          <w:kern w:val="0"/>
          <w:sz w:val="24"/>
          <w:szCs w:val="24"/>
        </w:rPr>
        <w:instrText xml:space="preserve"> HYPERLINK "https://pmc.ncbi.nlm.nih.gov/articles/PMC12520673/" \l "F8" </w:instrText>
      </w:r>
      <w:r w:rsidRPr="00736BD1">
        <w:rPr>
          <w:rFonts w:ascii="微软雅黑" w:eastAsia="微软雅黑" w:hAnsi="微软雅黑" w:cs="宋体"/>
          <w:kern w:val="0"/>
          <w:sz w:val="24"/>
          <w:szCs w:val="24"/>
        </w:rPr>
        <w:fldChar w:fldCharType="separate"/>
      </w:r>
      <w:r w:rsidRPr="00736BD1">
        <w:rPr>
          <w:rFonts w:ascii="微软雅黑" w:eastAsia="微软雅黑" w:hAnsi="微软雅黑" w:cs="宋体"/>
          <w:kern w:val="0"/>
          <w:sz w:val="24"/>
          <w:szCs w:val="24"/>
          <w:u w:val="single"/>
        </w:rPr>
        <w:t>图8D</w:t>
      </w:r>
      <w:r w:rsidRPr="00736BD1">
        <w:rPr>
          <w:rFonts w:ascii="微软雅黑" w:eastAsia="微软雅黑" w:hAnsi="微软雅黑" w:cs="宋体"/>
          <w:kern w:val="0"/>
          <w:sz w:val="24"/>
          <w:szCs w:val="24"/>
        </w:rPr>
        <w:fldChar w:fldCharType="end"/>
      </w:r>
      <w:r w:rsidRPr="00736BD1">
        <w:rPr>
          <w:rFonts w:ascii="微软雅黑" w:eastAsia="微软雅黑" w:hAnsi="微软雅黑" w:cs="宋体"/>
          <w:kern w:val="0"/>
          <w:sz w:val="24"/>
          <w:szCs w:val="24"/>
        </w:rPr>
        <w:t>和</w:t>
      </w:r>
      <w:r w:rsidRPr="00736BD1">
        <w:rPr>
          <w:rFonts w:ascii="微软雅黑" w:eastAsia="微软雅黑" w:hAnsi="微软雅黑" w:cs="宋体"/>
          <w:kern w:val="0"/>
          <w:sz w:val="24"/>
          <w:szCs w:val="24"/>
        </w:rPr>
        <w:fldChar w:fldCharType="begin"/>
      </w:r>
      <w:r w:rsidRPr="00736BD1">
        <w:rPr>
          <w:rFonts w:ascii="微软雅黑" w:eastAsia="微软雅黑" w:hAnsi="微软雅黑" w:cs="宋体"/>
          <w:kern w:val="0"/>
          <w:sz w:val="24"/>
          <w:szCs w:val="24"/>
        </w:rPr>
        <w:instrText xml:space="preserve"> HYPERLINK "https://pmc.ncbi.nlm.nih.gov/articles/PMC12520673/" \l "sd" </w:instrText>
      </w:r>
      <w:r w:rsidRPr="00736BD1">
        <w:rPr>
          <w:rFonts w:ascii="微软雅黑" w:eastAsia="微软雅黑" w:hAnsi="微软雅黑" w:cs="宋体"/>
          <w:kern w:val="0"/>
          <w:sz w:val="24"/>
          <w:szCs w:val="24"/>
        </w:rPr>
        <w:fldChar w:fldCharType="separate"/>
      </w:r>
      <w:r w:rsidRPr="00736BD1">
        <w:rPr>
          <w:rFonts w:ascii="微软雅黑" w:eastAsia="微软雅黑" w:hAnsi="微软雅黑" w:cs="宋体"/>
          <w:kern w:val="0"/>
          <w:sz w:val="24"/>
          <w:szCs w:val="24"/>
          <w:u w:val="single"/>
        </w:rPr>
        <w:t>补充图9D</w:t>
      </w:r>
      <w:r w:rsidRPr="00736BD1">
        <w:rPr>
          <w:rFonts w:ascii="微软雅黑" w:eastAsia="微软雅黑" w:hAnsi="微软雅黑" w:cs="宋体"/>
          <w:kern w:val="0"/>
          <w:sz w:val="24"/>
          <w:szCs w:val="24"/>
        </w:rPr>
        <w:fldChar w:fldCharType="end"/>
      </w:r>
      <w:r w:rsidRPr="00736BD1">
        <w:rPr>
          <w:rFonts w:ascii="微软雅黑" w:eastAsia="微软雅黑" w:hAnsi="微软雅黑" w:cs="宋体"/>
          <w:kern w:val="0"/>
          <w:sz w:val="24"/>
          <w:szCs w:val="24"/>
        </w:rPr>
        <w:t>），提示细胞毒性T细胞反应功能增强。总的来说，这些研究结果表明，CDK4/6 和 CDK7 的联合抑制通过增强免疫浸润、逆转免疫排斥和激活肿瘤特异性细胞毒性 T 细胞来重编程 TME，从而促进强大而持久的抗肿瘤免疫反应。</w:t>
      </w:r>
    </w:p>
    <w:p w14:paraId="3FA8687F" w14:textId="77777777" w:rsidR="00736BD1" w:rsidRPr="00736BD1" w:rsidRDefault="00736BD1" w:rsidP="00736BD1">
      <w:pPr>
        <w:widowControl/>
        <w:pBdr>
          <w:bottom w:val="single" w:sz="6" w:space="0" w:color="97B1C8"/>
        </w:pBdr>
        <w:spacing w:line="450" w:lineRule="atLeast"/>
        <w:outlineLvl w:val="1"/>
        <w:rPr>
          <w:rFonts w:ascii="微软雅黑" w:eastAsia="微软雅黑" w:hAnsi="微软雅黑" w:cs="宋体"/>
          <w:kern w:val="0"/>
          <w:sz w:val="34"/>
          <w:szCs w:val="34"/>
        </w:rPr>
      </w:pPr>
      <w:r w:rsidRPr="00736BD1">
        <w:rPr>
          <w:rFonts w:ascii="微软雅黑" w:eastAsia="微软雅黑" w:hAnsi="微软雅黑" w:cs="宋体"/>
          <w:kern w:val="0"/>
          <w:sz w:val="34"/>
          <w:szCs w:val="34"/>
        </w:rPr>
        <w:t>讨论</w:t>
      </w:r>
    </w:p>
    <w:p w14:paraId="3ABDA3D5" w14:textId="77777777" w:rsidR="00736BD1" w:rsidRPr="00736BD1" w:rsidRDefault="00736BD1" w:rsidP="00736BD1">
      <w:pPr>
        <w:widowControl/>
        <w:spacing w:before="450"/>
        <w:rPr>
          <w:rFonts w:ascii="微软雅黑" w:eastAsia="微软雅黑" w:hAnsi="微软雅黑" w:cs="宋体"/>
          <w:kern w:val="0"/>
          <w:sz w:val="24"/>
          <w:szCs w:val="24"/>
        </w:rPr>
      </w:pPr>
      <w:r w:rsidRPr="00736BD1">
        <w:rPr>
          <w:rFonts w:ascii="微软雅黑" w:eastAsia="微软雅黑" w:hAnsi="微软雅黑" w:cs="宋体"/>
          <w:kern w:val="0"/>
          <w:sz w:val="24"/>
          <w:szCs w:val="24"/>
        </w:rPr>
        <w:t>我们的研究表明，CDK7抑制主要靶向RNA聚合酶II活性，从而减弱mRNA转录。基于我们之前的研究结果，即转录活性与非经典细胞周期启动和CDK4/6抑制剂耐药性相关（</w:t>
      </w:r>
      <w:r w:rsidRPr="00736BD1">
        <w:rPr>
          <w:rFonts w:ascii="微软雅黑" w:eastAsia="微软雅黑" w:hAnsi="微软雅黑" w:cs="宋体"/>
          <w:kern w:val="0"/>
          <w:sz w:val="24"/>
          <w:szCs w:val="24"/>
        </w:rPr>
        <w:fldChar w:fldCharType="begin"/>
      </w:r>
      <w:r w:rsidRPr="00736BD1">
        <w:rPr>
          <w:rFonts w:ascii="微软雅黑" w:eastAsia="微软雅黑" w:hAnsi="微软雅黑" w:cs="宋体"/>
          <w:kern w:val="0"/>
          <w:sz w:val="24"/>
          <w:szCs w:val="24"/>
        </w:rPr>
        <w:instrText xml:space="preserve"> HYPERLINK "https://pmc.ncbi.nlm.nih.gov/articles/PMC12520673/" \l "B19" </w:instrText>
      </w:r>
      <w:r w:rsidRPr="00736BD1">
        <w:rPr>
          <w:rFonts w:ascii="微软雅黑" w:eastAsia="微软雅黑" w:hAnsi="微软雅黑" w:cs="宋体"/>
          <w:kern w:val="0"/>
          <w:sz w:val="24"/>
          <w:szCs w:val="24"/>
        </w:rPr>
        <w:fldChar w:fldCharType="separate"/>
      </w:r>
      <w:r w:rsidRPr="00736BD1">
        <w:rPr>
          <w:rFonts w:ascii="微软雅黑" w:eastAsia="微软雅黑" w:hAnsi="微软雅黑" w:cs="宋体"/>
          <w:kern w:val="0"/>
          <w:sz w:val="24"/>
          <w:szCs w:val="24"/>
          <w:u w:val="single"/>
        </w:rPr>
        <w:t>19</w:t>
      </w:r>
      <w:r w:rsidRPr="00736BD1">
        <w:rPr>
          <w:rFonts w:ascii="微软雅黑" w:eastAsia="微软雅黑" w:hAnsi="微软雅黑" w:cs="宋体"/>
          <w:kern w:val="0"/>
          <w:sz w:val="24"/>
          <w:szCs w:val="24"/>
        </w:rPr>
        <w:fldChar w:fldCharType="end"/>
      </w:r>
      <w:r w:rsidRPr="00736BD1">
        <w:rPr>
          <w:rFonts w:ascii="微软雅黑" w:eastAsia="微软雅黑" w:hAnsi="微软雅黑" w:cs="宋体"/>
          <w:kern w:val="0"/>
          <w:sz w:val="24"/>
          <w:szCs w:val="24"/>
        </w:rPr>
        <w:t> , </w:t>
      </w:r>
      <w:hyperlink r:id="rId63" w:anchor="B20" w:history="1">
        <w:r w:rsidRPr="00736BD1">
          <w:rPr>
            <w:rFonts w:ascii="微软雅黑" w:eastAsia="微软雅黑" w:hAnsi="微软雅黑" w:cs="宋体"/>
            <w:kern w:val="0"/>
            <w:sz w:val="24"/>
            <w:szCs w:val="24"/>
            <w:u w:val="single"/>
          </w:rPr>
          <w:t>20</w:t>
        </w:r>
      </w:hyperlink>
      <w:r w:rsidRPr="00736BD1">
        <w:rPr>
          <w:rFonts w:ascii="微软雅黑" w:eastAsia="微软雅黑" w:hAnsi="微软雅黑" w:cs="宋体"/>
          <w:kern w:val="0"/>
          <w:sz w:val="24"/>
          <w:szCs w:val="24"/>
        </w:rPr>
        <w:t>），我们发现CDK4/6与CDK7联合抑制可增强HR </w:t>
      </w:r>
      <w:r w:rsidRPr="00736BD1">
        <w:rPr>
          <w:rFonts w:ascii="微软雅黑" w:eastAsia="微软雅黑" w:hAnsi="微软雅黑" w:cs="宋体"/>
          <w:kern w:val="0"/>
          <w:sz w:val="24"/>
          <w:szCs w:val="24"/>
          <w:vertAlign w:val="superscript"/>
        </w:rPr>
        <w:t>+</w:t>
      </w:r>
      <w:r w:rsidRPr="00736BD1">
        <w:rPr>
          <w:rFonts w:ascii="微软雅黑" w:eastAsia="微软雅黑" w:hAnsi="微软雅黑" w:cs="宋体"/>
          <w:kern w:val="0"/>
          <w:sz w:val="24"/>
          <w:szCs w:val="24"/>
        </w:rPr>
        <w:t> /HER2-乳腺癌和三阴性</w:t>
      </w:r>
      <w:r w:rsidRPr="00736BD1">
        <w:rPr>
          <w:rFonts w:ascii="微软雅黑" w:eastAsia="微软雅黑" w:hAnsi="微软雅黑" w:cs="宋体"/>
          <w:kern w:val="0"/>
          <w:sz w:val="24"/>
          <w:szCs w:val="24"/>
          <w:vertAlign w:val="superscript"/>
        </w:rPr>
        <w:t>乳腺癌</w:t>
      </w:r>
      <w:r w:rsidRPr="00736BD1">
        <w:rPr>
          <w:rFonts w:ascii="微软雅黑" w:eastAsia="微软雅黑" w:hAnsi="微软雅黑" w:cs="宋体"/>
          <w:kern w:val="0"/>
          <w:sz w:val="24"/>
          <w:szCs w:val="24"/>
        </w:rPr>
        <w:t>模型中的抗肿瘤反应。</w:t>
      </w:r>
      <w:proofErr w:type="gramStart"/>
      <w:r w:rsidRPr="00736BD1">
        <w:rPr>
          <w:rFonts w:ascii="微软雅黑" w:eastAsia="微软雅黑" w:hAnsi="微软雅黑" w:cs="宋体"/>
          <w:kern w:val="0"/>
          <w:sz w:val="24"/>
          <w:szCs w:val="24"/>
        </w:rPr>
        <w:t>转录组</w:t>
      </w:r>
      <w:proofErr w:type="gramEnd"/>
      <w:r w:rsidRPr="00736BD1">
        <w:rPr>
          <w:rFonts w:ascii="微软雅黑" w:eastAsia="微软雅黑" w:hAnsi="微软雅黑" w:cs="宋体"/>
          <w:kern w:val="0"/>
          <w:sz w:val="24"/>
          <w:szCs w:val="24"/>
        </w:rPr>
        <w:t>分析进一步揭示，这种联合疗法激活了癌细胞中的免疫相关通路，包括IFN-γ信号通路、TNF-α信号通路和细胞因子产生通路，这些通路共同刺激肿瘤微环境（TME）内的抗肿瘤免疫。这种免疫激活伴随着CD8 </w:t>
      </w:r>
      <w:r w:rsidRPr="00736BD1">
        <w:rPr>
          <w:rFonts w:ascii="微软雅黑" w:eastAsia="微软雅黑" w:hAnsi="微软雅黑" w:cs="宋体"/>
          <w:kern w:val="0"/>
          <w:sz w:val="24"/>
          <w:szCs w:val="24"/>
          <w:vertAlign w:val="superscript"/>
        </w:rPr>
        <w:t>+</w:t>
      </w:r>
      <w:r w:rsidRPr="00736BD1">
        <w:rPr>
          <w:rFonts w:ascii="微软雅黑" w:eastAsia="微软雅黑" w:hAnsi="微软雅黑" w:cs="宋体"/>
          <w:kern w:val="0"/>
          <w:sz w:val="24"/>
          <w:szCs w:val="24"/>
        </w:rPr>
        <w:t>和CD4 </w:t>
      </w:r>
      <w:r w:rsidRPr="00736BD1">
        <w:rPr>
          <w:rFonts w:ascii="微软雅黑" w:eastAsia="微软雅黑" w:hAnsi="微软雅黑" w:cs="宋体"/>
          <w:kern w:val="0"/>
          <w:sz w:val="24"/>
          <w:szCs w:val="24"/>
          <w:vertAlign w:val="superscript"/>
        </w:rPr>
        <w:t>+</w:t>
      </w:r>
      <w:r w:rsidRPr="00736BD1">
        <w:rPr>
          <w:rFonts w:ascii="微软雅黑" w:eastAsia="微软雅黑" w:hAnsi="微软雅黑" w:cs="宋体"/>
          <w:kern w:val="0"/>
          <w:sz w:val="24"/>
          <w:szCs w:val="24"/>
        </w:rPr>
        <w:t> T细胞、B细胞和NK细胞浸润的</w:t>
      </w:r>
      <w:r w:rsidRPr="00736BD1">
        <w:rPr>
          <w:rFonts w:ascii="微软雅黑" w:eastAsia="微软雅黑" w:hAnsi="微软雅黑" w:cs="宋体"/>
          <w:kern w:val="0"/>
          <w:sz w:val="24"/>
          <w:szCs w:val="24"/>
        </w:rPr>
        <w:lastRenderedPageBreak/>
        <w:t>增加，这些</w:t>
      </w:r>
      <w:r w:rsidRPr="00736BD1">
        <w:rPr>
          <w:rFonts w:ascii="微软雅黑" w:eastAsia="微软雅黑" w:hAnsi="微软雅黑" w:cs="宋体"/>
          <w:kern w:val="0"/>
          <w:sz w:val="24"/>
          <w:szCs w:val="24"/>
        </w:rPr>
        <w:fldChar w:fldCharType="begin"/>
      </w:r>
      <w:r w:rsidRPr="00736BD1">
        <w:rPr>
          <w:rFonts w:ascii="微软雅黑" w:eastAsia="微软雅黑" w:hAnsi="微软雅黑" w:cs="宋体"/>
          <w:kern w:val="0"/>
          <w:sz w:val="24"/>
          <w:szCs w:val="24"/>
        </w:rPr>
        <w:instrText xml:space="preserve"> HYPERLINK "https://pmc.ncbi.nlm.nih.gov/articles/PMC12520673/" \l "B52" </w:instrText>
      </w:r>
      <w:r w:rsidRPr="00736BD1">
        <w:rPr>
          <w:rFonts w:ascii="微软雅黑" w:eastAsia="微软雅黑" w:hAnsi="微软雅黑" w:cs="宋体"/>
          <w:kern w:val="0"/>
          <w:sz w:val="24"/>
          <w:szCs w:val="24"/>
        </w:rPr>
        <w:fldChar w:fldCharType="separate"/>
      </w:r>
      <w:r w:rsidRPr="00736BD1">
        <w:rPr>
          <w:rFonts w:ascii="微软雅黑" w:eastAsia="微软雅黑" w:hAnsi="微软雅黑" w:cs="宋体"/>
          <w:kern w:val="0"/>
          <w:sz w:val="24"/>
          <w:szCs w:val="24"/>
          <w:u w:val="single"/>
        </w:rPr>
        <w:t>细胞</w:t>
      </w:r>
      <w:r w:rsidRPr="00736BD1">
        <w:rPr>
          <w:rFonts w:ascii="微软雅黑" w:eastAsia="微软雅黑" w:hAnsi="微软雅黑" w:cs="宋体"/>
          <w:kern w:val="0"/>
          <w:sz w:val="24"/>
          <w:szCs w:val="24"/>
        </w:rPr>
        <w:fldChar w:fldCharType="end"/>
      </w:r>
      <w:r w:rsidRPr="00736BD1">
        <w:rPr>
          <w:rFonts w:ascii="微软雅黑" w:eastAsia="微软雅黑" w:hAnsi="微软雅黑" w:cs="宋体"/>
          <w:kern w:val="0"/>
          <w:sz w:val="24"/>
          <w:szCs w:val="24"/>
        </w:rPr>
        <w:t>亚群是有效清除肿瘤所必需的关键免疫细胞（</w:t>
      </w:r>
      <w:hyperlink r:id="rId64" w:anchor="B50" w:history="1">
        <w:r w:rsidRPr="00736BD1">
          <w:rPr>
            <w:rFonts w:ascii="微软雅黑" w:eastAsia="微软雅黑" w:hAnsi="微软雅黑" w:cs="宋体"/>
            <w:kern w:val="0"/>
            <w:sz w:val="24"/>
            <w:szCs w:val="24"/>
            <w:u w:val="single"/>
          </w:rPr>
          <w:t>50-52</w:t>
        </w:r>
      </w:hyperlink>
      <w:r w:rsidRPr="00736BD1">
        <w:rPr>
          <w:rFonts w:ascii="微软雅黑" w:eastAsia="微软雅黑" w:hAnsi="微软雅黑" w:cs="宋体"/>
          <w:kern w:val="0"/>
          <w:sz w:val="24"/>
          <w:szCs w:val="24"/>
        </w:rPr>
        <w:t>）。这些研究结果共同表明，CDK4/6 和 CDK7 的双重抑制不仅可以抑制肿瘤固有的增殖，还可以重编程 TME 以支持免疫</w:t>
      </w:r>
      <w:proofErr w:type="gramStart"/>
      <w:r w:rsidRPr="00736BD1">
        <w:rPr>
          <w:rFonts w:ascii="微软雅黑" w:eastAsia="微软雅黑" w:hAnsi="微软雅黑" w:cs="宋体"/>
          <w:kern w:val="0"/>
          <w:sz w:val="24"/>
          <w:szCs w:val="24"/>
        </w:rPr>
        <w:t>介</w:t>
      </w:r>
      <w:proofErr w:type="gramEnd"/>
      <w:r w:rsidRPr="00736BD1">
        <w:rPr>
          <w:rFonts w:ascii="微软雅黑" w:eastAsia="微软雅黑" w:hAnsi="微软雅黑" w:cs="宋体"/>
          <w:kern w:val="0"/>
          <w:sz w:val="24"/>
          <w:szCs w:val="24"/>
        </w:rPr>
        <w:t>导的肿瘤清除，为 Rb/E2F 通路完整的乳腺癌提供了一种有前景的治疗策略。</w:t>
      </w:r>
    </w:p>
    <w:p w14:paraId="1842F81A" w14:textId="77777777" w:rsidR="00736BD1" w:rsidRPr="00736BD1" w:rsidRDefault="00736BD1" w:rsidP="00736BD1">
      <w:pPr>
        <w:widowControl/>
        <w:spacing w:before="450"/>
        <w:rPr>
          <w:rFonts w:ascii="微软雅黑" w:eastAsia="微软雅黑" w:hAnsi="微软雅黑" w:cs="宋体"/>
          <w:kern w:val="0"/>
          <w:sz w:val="24"/>
          <w:szCs w:val="24"/>
        </w:rPr>
      </w:pPr>
      <w:r w:rsidRPr="00736BD1">
        <w:rPr>
          <w:rFonts w:ascii="微软雅黑" w:eastAsia="微软雅黑" w:hAnsi="微软雅黑" w:cs="宋体"/>
          <w:kern w:val="0"/>
          <w:sz w:val="24"/>
          <w:szCs w:val="24"/>
        </w:rPr>
        <w:t>对于接受 CDK4/6i 和 ET 治疗后进展的 HR + /HER2-乳腺癌，该联合疗法展现出良好的前景。值得注意的是，在 CDK4/6i 和 CDK7i 联合治疗的基础上加用 ET 并未带来额外的治疗获益，这可能是由于靶向 c-</w:t>
      </w:r>
      <w:proofErr w:type="spellStart"/>
      <w:r w:rsidRPr="00736BD1">
        <w:rPr>
          <w:rFonts w:ascii="微软雅黑" w:eastAsia="微软雅黑" w:hAnsi="微软雅黑" w:cs="宋体"/>
          <w:kern w:val="0"/>
          <w:sz w:val="24"/>
          <w:szCs w:val="24"/>
        </w:rPr>
        <w:t>Myc</w:t>
      </w:r>
      <w:proofErr w:type="spellEnd"/>
      <w:r w:rsidRPr="00736BD1">
        <w:rPr>
          <w:rFonts w:ascii="微软雅黑" w:eastAsia="微软雅黑" w:hAnsi="微软雅黑" w:cs="宋体"/>
          <w:kern w:val="0"/>
          <w:sz w:val="24"/>
          <w:szCs w:val="24"/>
        </w:rPr>
        <w:t xml:space="preserve"> </w:t>
      </w:r>
      <w:proofErr w:type="gramStart"/>
      <w:r w:rsidRPr="00736BD1">
        <w:rPr>
          <w:rFonts w:ascii="微软雅黑" w:eastAsia="微软雅黑" w:hAnsi="微软雅黑" w:cs="宋体"/>
          <w:kern w:val="0"/>
          <w:sz w:val="24"/>
          <w:szCs w:val="24"/>
        </w:rPr>
        <w:t>介</w:t>
      </w:r>
      <w:proofErr w:type="gramEnd"/>
      <w:r w:rsidRPr="00736BD1">
        <w:rPr>
          <w:rFonts w:ascii="微软雅黑" w:eastAsia="微软雅黑" w:hAnsi="微软雅黑" w:cs="宋体"/>
          <w:kern w:val="0"/>
          <w:sz w:val="24"/>
          <w:szCs w:val="24"/>
        </w:rPr>
        <w:t>导的 E2F 活性扩增的机制趋于一致。在有效的靶</w:t>
      </w:r>
      <w:proofErr w:type="gramStart"/>
      <w:r w:rsidRPr="00736BD1">
        <w:rPr>
          <w:rFonts w:ascii="微软雅黑" w:eastAsia="微软雅黑" w:hAnsi="微软雅黑" w:cs="宋体"/>
          <w:kern w:val="0"/>
          <w:sz w:val="24"/>
          <w:szCs w:val="24"/>
        </w:rPr>
        <w:t>向治疗</w:t>
      </w:r>
      <w:proofErr w:type="gramEnd"/>
      <w:r w:rsidRPr="00736BD1">
        <w:rPr>
          <w:rFonts w:ascii="微软雅黑" w:eastAsia="微软雅黑" w:hAnsi="微软雅黑" w:cs="宋体"/>
          <w:kern w:val="0"/>
          <w:sz w:val="24"/>
          <w:szCs w:val="24"/>
        </w:rPr>
        <w:t>仍然有限的三阴性乳腺癌 (TNBC) 中，CDK4/6i 和 CDK7i 联合疗法作为一线治疗方案时，展现出强大的抗肿瘤活性。异种移植模型和同源移植模型均显示出持久的肿瘤抑制作用，且在免疫功能正常的鼠模型中疗效更佳。单细胞 RNA 测序证实了 T 细胞、B 细胞和 NK 细胞向肿瘤微环境 (TME) 的募集增强，支持其免疫刺激作用机制。这些发现为在乳腺癌临床试验中评估 CDK4/6i 和 CDK7i 联合疗法提供了强有力的临床前依据。</w:t>
      </w:r>
    </w:p>
    <w:p w14:paraId="5C34A921" w14:textId="77777777" w:rsidR="00736BD1" w:rsidRPr="00736BD1" w:rsidRDefault="00736BD1" w:rsidP="00736BD1">
      <w:pPr>
        <w:widowControl/>
        <w:spacing w:before="450"/>
        <w:rPr>
          <w:rFonts w:ascii="微软雅黑" w:eastAsia="微软雅黑" w:hAnsi="微软雅黑" w:cs="宋体"/>
          <w:kern w:val="0"/>
          <w:sz w:val="24"/>
          <w:szCs w:val="24"/>
        </w:rPr>
      </w:pPr>
      <w:r w:rsidRPr="00736BD1">
        <w:rPr>
          <w:rFonts w:ascii="微软雅黑" w:eastAsia="微软雅黑" w:hAnsi="微软雅黑" w:cs="宋体"/>
          <w:kern w:val="0"/>
          <w:sz w:val="24"/>
          <w:szCs w:val="24"/>
        </w:rPr>
        <w:t>我们的数据支持CDK7抑制剂选择性抑制RNA聚合酶II依赖性转录的观点，这与先前研究结果一致，这些研究已将CDK7抑制剂确定为</w:t>
      </w:r>
      <w:proofErr w:type="spellStart"/>
      <w:r w:rsidRPr="00736BD1">
        <w:rPr>
          <w:rFonts w:ascii="微软雅黑" w:eastAsia="微软雅黑" w:hAnsi="微软雅黑" w:cs="宋体"/>
          <w:kern w:val="0"/>
          <w:sz w:val="24"/>
          <w:szCs w:val="24"/>
        </w:rPr>
        <w:t>Myc</w:t>
      </w:r>
      <w:proofErr w:type="spellEnd"/>
      <w:r w:rsidRPr="00736BD1">
        <w:rPr>
          <w:rFonts w:ascii="微软雅黑" w:eastAsia="微软雅黑" w:hAnsi="微软雅黑" w:cs="宋体"/>
          <w:kern w:val="0"/>
          <w:sz w:val="24"/>
          <w:szCs w:val="24"/>
        </w:rPr>
        <w:t>驱动肿瘤的治疗靶点（</w:t>
      </w:r>
      <w:r w:rsidRPr="00736BD1">
        <w:rPr>
          <w:rFonts w:ascii="微软雅黑" w:eastAsia="微软雅黑" w:hAnsi="微软雅黑" w:cs="宋体"/>
          <w:kern w:val="0"/>
          <w:sz w:val="24"/>
          <w:szCs w:val="24"/>
        </w:rPr>
        <w:fldChar w:fldCharType="begin"/>
      </w:r>
      <w:r w:rsidRPr="00736BD1">
        <w:rPr>
          <w:rFonts w:ascii="微软雅黑" w:eastAsia="微软雅黑" w:hAnsi="微软雅黑" w:cs="宋体"/>
          <w:kern w:val="0"/>
          <w:sz w:val="24"/>
          <w:szCs w:val="24"/>
        </w:rPr>
        <w:instrText xml:space="preserve"> HYPERLINK "https://pmc.ncbi.nlm.nih.gov/articles/PMC12520673/" \l "B53" </w:instrText>
      </w:r>
      <w:r w:rsidRPr="00736BD1">
        <w:rPr>
          <w:rFonts w:ascii="微软雅黑" w:eastAsia="微软雅黑" w:hAnsi="微软雅黑" w:cs="宋体"/>
          <w:kern w:val="0"/>
          <w:sz w:val="24"/>
          <w:szCs w:val="24"/>
        </w:rPr>
        <w:fldChar w:fldCharType="separate"/>
      </w:r>
      <w:r w:rsidRPr="00736BD1">
        <w:rPr>
          <w:rFonts w:ascii="微软雅黑" w:eastAsia="微软雅黑" w:hAnsi="微软雅黑" w:cs="宋体"/>
          <w:kern w:val="0"/>
          <w:sz w:val="24"/>
          <w:szCs w:val="24"/>
          <w:u w:val="single"/>
        </w:rPr>
        <w:t>53</w:t>
      </w:r>
      <w:r w:rsidRPr="00736BD1">
        <w:rPr>
          <w:rFonts w:ascii="微软雅黑" w:eastAsia="微软雅黑" w:hAnsi="微软雅黑" w:cs="宋体"/>
          <w:kern w:val="0"/>
          <w:sz w:val="24"/>
          <w:szCs w:val="24"/>
        </w:rPr>
        <w:fldChar w:fldCharType="end"/>
      </w:r>
      <w:r w:rsidRPr="00736BD1">
        <w:rPr>
          <w:rFonts w:ascii="微软雅黑" w:eastAsia="微软雅黑" w:hAnsi="微软雅黑" w:cs="宋体"/>
          <w:kern w:val="0"/>
          <w:sz w:val="24"/>
          <w:szCs w:val="24"/>
        </w:rPr>
        <w:t> , </w:t>
      </w:r>
      <w:hyperlink r:id="rId65" w:anchor="B54" w:history="1">
        <w:r w:rsidRPr="00736BD1">
          <w:rPr>
            <w:rFonts w:ascii="微软雅黑" w:eastAsia="微软雅黑" w:hAnsi="微软雅黑" w:cs="宋体"/>
            <w:kern w:val="0"/>
            <w:sz w:val="24"/>
            <w:szCs w:val="24"/>
            <w:u w:val="single"/>
          </w:rPr>
          <w:t>54</w:t>
        </w:r>
      </w:hyperlink>
      <w:r w:rsidRPr="00736BD1">
        <w:rPr>
          <w:rFonts w:ascii="微软雅黑" w:eastAsia="微软雅黑" w:hAnsi="微软雅黑" w:cs="宋体"/>
          <w:kern w:val="0"/>
          <w:sz w:val="24"/>
          <w:szCs w:val="24"/>
        </w:rPr>
        <w:t>）。虽然较高剂量的CDK7抑制剂可以抑制其他CDK并增强抗增殖作用，但由于广泛的转录抑制，它们也会增加全身毒性的风险，这凸显了谨慎优化剂量的必要性。因此，CDK7抑制剂的治疗窗口很可能取决于疗效与转录毒性之间的平衡。</w:t>
      </w:r>
    </w:p>
    <w:p w14:paraId="6B492CDB" w14:textId="77777777" w:rsidR="00736BD1" w:rsidRPr="00736BD1" w:rsidRDefault="00736BD1" w:rsidP="00736BD1">
      <w:pPr>
        <w:widowControl/>
        <w:spacing w:before="450"/>
        <w:rPr>
          <w:rFonts w:ascii="微软雅黑" w:eastAsia="微软雅黑" w:hAnsi="微软雅黑" w:cs="宋体"/>
          <w:kern w:val="0"/>
          <w:sz w:val="24"/>
          <w:szCs w:val="24"/>
        </w:rPr>
      </w:pPr>
      <w:r w:rsidRPr="00736BD1">
        <w:rPr>
          <w:rFonts w:ascii="微软雅黑" w:eastAsia="微软雅黑" w:hAnsi="微软雅黑" w:cs="宋体"/>
          <w:kern w:val="0"/>
          <w:sz w:val="24"/>
          <w:szCs w:val="24"/>
        </w:rPr>
        <w:lastRenderedPageBreak/>
        <w:t>总之，我们的研究结果表明，CDK4/6 和 CDK7 双重抑制是 HR </w:t>
      </w:r>
      <w:r w:rsidRPr="00736BD1">
        <w:rPr>
          <w:rFonts w:ascii="微软雅黑" w:eastAsia="微软雅黑" w:hAnsi="微软雅黑" w:cs="宋体"/>
          <w:kern w:val="0"/>
          <w:sz w:val="24"/>
          <w:szCs w:val="24"/>
          <w:vertAlign w:val="superscript"/>
        </w:rPr>
        <w:t>+</w:t>
      </w:r>
      <w:r w:rsidRPr="00736BD1">
        <w:rPr>
          <w:rFonts w:ascii="微软雅黑" w:eastAsia="微软雅黑" w:hAnsi="微软雅黑" w:cs="宋体"/>
          <w:kern w:val="0"/>
          <w:sz w:val="24"/>
          <w:szCs w:val="24"/>
        </w:rPr>
        <w:t> /HER2-</w:t>
      </w:r>
      <w:r w:rsidRPr="00736BD1">
        <w:rPr>
          <w:rFonts w:ascii="微软雅黑" w:eastAsia="微软雅黑" w:hAnsi="微软雅黑" w:cs="宋体"/>
          <w:kern w:val="0"/>
          <w:sz w:val="24"/>
          <w:szCs w:val="24"/>
          <w:vertAlign w:val="superscript"/>
        </w:rPr>
        <w:t>和</w:t>
      </w:r>
      <w:r w:rsidRPr="00736BD1">
        <w:rPr>
          <w:rFonts w:ascii="微软雅黑" w:eastAsia="微软雅黑" w:hAnsi="微软雅黑" w:cs="宋体"/>
          <w:kern w:val="0"/>
          <w:sz w:val="24"/>
          <w:szCs w:val="24"/>
        </w:rPr>
        <w:t>TNBC 亚型乳腺癌的合理有效治疗策略，并且可能对其他 Rb/E2F 通路完整的恶性肿瘤也有效。这项工作加深了我们对 CDK 靶</w:t>
      </w:r>
      <w:proofErr w:type="gramStart"/>
      <w:r w:rsidRPr="00736BD1">
        <w:rPr>
          <w:rFonts w:ascii="微软雅黑" w:eastAsia="微软雅黑" w:hAnsi="微软雅黑" w:cs="宋体"/>
          <w:kern w:val="0"/>
          <w:sz w:val="24"/>
          <w:szCs w:val="24"/>
        </w:rPr>
        <w:t>向治疗</w:t>
      </w:r>
      <w:proofErr w:type="gramEnd"/>
      <w:r w:rsidRPr="00736BD1">
        <w:rPr>
          <w:rFonts w:ascii="微软雅黑" w:eastAsia="微软雅黑" w:hAnsi="微软雅黑" w:cs="宋体"/>
          <w:kern w:val="0"/>
          <w:sz w:val="24"/>
          <w:szCs w:val="24"/>
        </w:rPr>
        <w:t>的理解，并强调了 CDK7 抑制剂在克服 CDK4/6 抑制剂耐药性和改善乳腺癌临床疗效方面的潜力，值得进一步的临床研究。</w:t>
      </w:r>
    </w:p>
    <w:p w14:paraId="714AAD8A" w14:textId="77777777" w:rsidR="00736BD1" w:rsidRPr="00736BD1" w:rsidRDefault="00736BD1" w:rsidP="00736BD1">
      <w:pPr>
        <w:widowControl/>
        <w:pBdr>
          <w:bottom w:val="single" w:sz="6" w:space="0" w:color="97B1C8"/>
        </w:pBdr>
        <w:spacing w:line="450" w:lineRule="atLeast"/>
        <w:outlineLvl w:val="1"/>
        <w:rPr>
          <w:rFonts w:ascii="微软雅黑" w:eastAsia="微软雅黑" w:hAnsi="微软雅黑" w:cs="宋体"/>
          <w:kern w:val="0"/>
          <w:sz w:val="34"/>
          <w:szCs w:val="34"/>
        </w:rPr>
      </w:pPr>
      <w:r w:rsidRPr="00736BD1">
        <w:rPr>
          <w:rFonts w:ascii="微软雅黑" w:eastAsia="微软雅黑" w:hAnsi="微软雅黑" w:cs="宋体"/>
          <w:kern w:val="0"/>
          <w:sz w:val="34"/>
          <w:szCs w:val="34"/>
        </w:rPr>
        <w:t>方法</w:t>
      </w:r>
    </w:p>
    <w:p w14:paraId="58F07B32" w14:textId="77777777" w:rsidR="00736BD1" w:rsidRPr="00736BD1" w:rsidRDefault="00736BD1" w:rsidP="00736BD1">
      <w:pPr>
        <w:widowControl/>
        <w:spacing w:line="450" w:lineRule="atLeast"/>
        <w:outlineLvl w:val="2"/>
        <w:rPr>
          <w:rFonts w:ascii="微软雅黑" w:eastAsia="微软雅黑" w:hAnsi="微软雅黑" w:cs="宋体"/>
          <w:kern w:val="0"/>
          <w:sz w:val="32"/>
          <w:szCs w:val="32"/>
        </w:rPr>
      </w:pPr>
      <w:r w:rsidRPr="00736BD1">
        <w:rPr>
          <w:rFonts w:ascii="微软雅黑" w:eastAsia="微软雅黑" w:hAnsi="微软雅黑" w:cs="宋体"/>
          <w:kern w:val="0"/>
          <w:sz w:val="32"/>
          <w:szCs w:val="32"/>
        </w:rPr>
        <w:t>性别作为一种生物学变量。</w:t>
      </w:r>
    </w:p>
    <w:p w14:paraId="1CB314F1" w14:textId="77777777" w:rsidR="00736BD1" w:rsidRPr="00736BD1" w:rsidRDefault="00736BD1" w:rsidP="00736BD1">
      <w:pPr>
        <w:widowControl/>
        <w:spacing w:before="450"/>
        <w:rPr>
          <w:rFonts w:ascii="微软雅黑" w:eastAsia="微软雅黑" w:hAnsi="微软雅黑" w:cs="宋体"/>
          <w:kern w:val="0"/>
          <w:sz w:val="24"/>
          <w:szCs w:val="24"/>
        </w:rPr>
      </w:pPr>
      <w:r w:rsidRPr="00736BD1">
        <w:rPr>
          <w:rFonts w:ascii="微软雅黑" w:eastAsia="微软雅黑" w:hAnsi="微软雅黑" w:cs="宋体"/>
          <w:kern w:val="0"/>
          <w:sz w:val="24"/>
          <w:szCs w:val="24"/>
        </w:rPr>
        <w:t>所有体内研究均使用雌性小鼠进行，因为所模拟的疾病——乳腺癌——主要影响女性。</w:t>
      </w:r>
    </w:p>
    <w:p w14:paraId="1D372AFC" w14:textId="77777777" w:rsidR="00736BD1" w:rsidRPr="00736BD1" w:rsidRDefault="00736BD1" w:rsidP="00736BD1">
      <w:pPr>
        <w:widowControl/>
        <w:spacing w:line="450" w:lineRule="atLeast"/>
        <w:outlineLvl w:val="2"/>
        <w:rPr>
          <w:rFonts w:ascii="微软雅黑" w:eastAsia="微软雅黑" w:hAnsi="微软雅黑" w:cs="宋体"/>
          <w:kern w:val="0"/>
          <w:sz w:val="32"/>
          <w:szCs w:val="32"/>
        </w:rPr>
      </w:pPr>
      <w:r w:rsidRPr="00736BD1">
        <w:rPr>
          <w:rFonts w:ascii="微软雅黑" w:eastAsia="微软雅黑" w:hAnsi="微软雅黑" w:cs="宋体"/>
          <w:kern w:val="0"/>
          <w:sz w:val="32"/>
          <w:szCs w:val="32"/>
        </w:rPr>
        <w:t>细胞系。</w:t>
      </w:r>
    </w:p>
    <w:p w14:paraId="6878B952" w14:textId="77777777" w:rsidR="00736BD1" w:rsidRPr="00736BD1" w:rsidRDefault="00736BD1" w:rsidP="00736BD1">
      <w:pPr>
        <w:widowControl/>
        <w:spacing w:before="450"/>
        <w:rPr>
          <w:rFonts w:ascii="微软雅黑" w:eastAsia="微软雅黑" w:hAnsi="微软雅黑" w:cs="宋体"/>
          <w:kern w:val="0"/>
          <w:sz w:val="24"/>
          <w:szCs w:val="24"/>
        </w:rPr>
      </w:pPr>
      <w:r w:rsidRPr="00736BD1">
        <w:rPr>
          <w:rFonts w:ascii="微软雅黑" w:eastAsia="微软雅黑" w:hAnsi="微软雅黑" w:cs="宋体"/>
          <w:kern w:val="0"/>
          <w:sz w:val="24"/>
          <w:szCs w:val="24"/>
        </w:rPr>
        <w:t>MCF-7 (HTB-22)、MDA-MB-231 (CRM-HTB-26) 和 CAMA-1 (HTB-21) 细胞系购自 ATCC，培养于添加 10% FBS (Gibco; 10437-028) 的 DMEM 培养基 (Genesee Scientific; 25-500) 中。AT3 </w:t>
      </w:r>
      <w:r w:rsidRPr="00736BD1">
        <w:rPr>
          <w:rFonts w:ascii="微软雅黑" w:eastAsia="微软雅黑" w:hAnsi="微软雅黑" w:cs="宋体"/>
          <w:kern w:val="0"/>
          <w:sz w:val="24"/>
          <w:szCs w:val="24"/>
          <w:vertAlign w:val="superscript"/>
        </w:rPr>
        <w:t>OVA</w:t>
      </w:r>
      <w:r w:rsidRPr="00736BD1">
        <w:rPr>
          <w:rFonts w:ascii="微软雅黑" w:eastAsia="微软雅黑" w:hAnsi="微软雅黑" w:cs="宋体"/>
          <w:kern w:val="0"/>
          <w:sz w:val="24"/>
          <w:szCs w:val="24"/>
        </w:rPr>
        <w:t>细胞培养于添加 10% FBS 的 DMEM 培养基中。HCC38 细胞培养于添加 10% FBS、10 mM HEPES (Sigma-Aldrich; H3537) 和 1 mM 丙酮酸钠 (Gibco; 11360-070) 的 RPMI-1640 培养基 (Sigma-Aldrich; R8758) 中。所有细胞均在 37°C、5% CO</w:t>
      </w:r>
      <w:r w:rsidRPr="00736BD1">
        <w:rPr>
          <w:rFonts w:ascii="Cambria Math" w:eastAsia="微软雅黑" w:hAnsi="Cambria Math" w:cs="Cambria Math"/>
          <w:kern w:val="0"/>
          <w:sz w:val="24"/>
          <w:szCs w:val="24"/>
        </w:rPr>
        <w:t>₂</w:t>
      </w:r>
      <w:r w:rsidRPr="00736BD1">
        <w:rPr>
          <w:rFonts w:ascii="微软雅黑" w:eastAsia="微软雅黑" w:hAnsi="微软雅黑" w:cs="宋体"/>
          <w:kern w:val="0"/>
          <w:sz w:val="24"/>
          <w:szCs w:val="24"/>
        </w:rPr>
        <w:t xml:space="preserve"> 的加湿培养箱中培养</w:t>
      </w:r>
      <w:r w:rsidRPr="00736BD1">
        <w:rPr>
          <w:rFonts w:ascii="微软雅黑" w:eastAsia="微软雅黑" w:hAnsi="微软雅黑" w:cs="宋体"/>
          <w:kern w:val="0"/>
          <w:sz w:val="24"/>
          <w:szCs w:val="24"/>
          <w:vertAlign w:val="subscript"/>
        </w:rPr>
        <w:t>。</w:t>
      </w:r>
      <w:r w:rsidRPr="00736BD1">
        <w:rPr>
          <w:rFonts w:ascii="微软雅黑" w:eastAsia="微软雅黑" w:hAnsi="微软雅黑" w:cs="宋体"/>
          <w:kern w:val="0"/>
          <w:sz w:val="24"/>
          <w:szCs w:val="24"/>
        </w:rPr>
        <w:t>所有细胞系</w:t>
      </w:r>
      <w:proofErr w:type="gramStart"/>
      <w:r w:rsidRPr="00736BD1">
        <w:rPr>
          <w:rFonts w:ascii="微软雅黑" w:eastAsia="微软雅黑" w:hAnsi="微软雅黑" w:cs="宋体"/>
          <w:kern w:val="0"/>
          <w:sz w:val="24"/>
          <w:szCs w:val="24"/>
        </w:rPr>
        <w:t>均经支原体</w:t>
      </w:r>
      <w:proofErr w:type="gramEnd"/>
      <w:r w:rsidRPr="00736BD1">
        <w:rPr>
          <w:rFonts w:ascii="微软雅黑" w:eastAsia="微软雅黑" w:hAnsi="微软雅黑" w:cs="宋体"/>
          <w:kern w:val="0"/>
          <w:sz w:val="24"/>
          <w:szCs w:val="24"/>
        </w:rPr>
        <w:t>检测，结果均为阴性。</w:t>
      </w:r>
    </w:p>
    <w:p w14:paraId="7A6A6C55" w14:textId="77777777" w:rsidR="00736BD1" w:rsidRPr="00736BD1" w:rsidRDefault="00736BD1" w:rsidP="00736BD1">
      <w:pPr>
        <w:widowControl/>
        <w:spacing w:line="450" w:lineRule="atLeast"/>
        <w:outlineLvl w:val="2"/>
        <w:rPr>
          <w:rFonts w:ascii="微软雅黑" w:eastAsia="微软雅黑" w:hAnsi="微软雅黑" w:cs="宋体"/>
          <w:kern w:val="0"/>
          <w:sz w:val="32"/>
          <w:szCs w:val="32"/>
        </w:rPr>
      </w:pPr>
      <w:r w:rsidRPr="00736BD1">
        <w:rPr>
          <w:rFonts w:ascii="微软雅黑" w:eastAsia="微软雅黑" w:hAnsi="微软雅黑" w:cs="宋体"/>
          <w:kern w:val="0"/>
          <w:sz w:val="32"/>
          <w:szCs w:val="32"/>
        </w:rPr>
        <w:t>质粒生成。</w:t>
      </w:r>
    </w:p>
    <w:p w14:paraId="5FCAE825" w14:textId="77777777" w:rsidR="00736BD1" w:rsidRPr="00736BD1" w:rsidRDefault="00736BD1" w:rsidP="00736BD1">
      <w:pPr>
        <w:widowControl/>
        <w:spacing w:before="450"/>
        <w:rPr>
          <w:rFonts w:ascii="微软雅黑" w:eastAsia="微软雅黑" w:hAnsi="微软雅黑" w:cs="宋体"/>
          <w:kern w:val="0"/>
          <w:sz w:val="24"/>
          <w:szCs w:val="24"/>
        </w:rPr>
      </w:pPr>
      <w:r w:rsidRPr="00736BD1">
        <w:rPr>
          <w:rFonts w:ascii="微软雅黑" w:eastAsia="微软雅黑" w:hAnsi="微软雅黑" w:cs="宋体"/>
          <w:kern w:val="0"/>
          <w:sz w:val="24"/>
          <w:szCs w:val="24"/>
        </w:rPr>
        <w:t xml:space="preserve">用于 CDK2 和 CDK4/6 活性及细胞周期阶段监测的活细胞生物传感器已按先前描述的方法构建，并可从 </w:t>
      </w:r>
      <w:proofErr w:type="spellStart"/>
      <w:r w:rsidRPr="00736BD1">
        <w:rPr>
          <w:rFonts w:ascii="微软雅黑" w:eastAsia="微软雅黑" w:hAnsi="微软雅黑" w:cs="宋体"/>
          <w:kern w:val="0"/>
          <w:sz w:val="24"/>
          <w:szCs w:val="24"/>
        </w:rPr>
        <w:t>Addgene</w:t>
      </w:r>
      <w:proofErr w:type="spellEnd"/>
      <w:r w:rsidRPr="00736BD1">
        <w:rPr>
          <w:rFonts w:ascii="微软雅黑" w:eastAsia="微软雅黑" w:hAnsi="微软雅黑" w:cs="宋体"/>
          <w:kern w:val="0"/>
          <w:sz w:val="24"/>
          <w:szCs w:val="24"/>
        </w:rPr>
        <w:t xml:space="preserve"> 获取（19、20、32 </w:t>
      </w:r>
      <w:hyperlink r:id="rId66" w:anchor="B20" w:history="1">
        <w:r w:rsidRPr="00736BD1">
          <w:rPr>
            <w:rFonts w:ascii="微软雅黑" w:eastAsia="微软雅黑" w:hAnsi="微软雅黑" w:cs="宋体"/>
            <w:kern w:val="0"/>
            <w:sz w:val="24"/>
            <w:szCs w:val="24"/>
            <w:u w:val="single"/>
          </w:rPr>
          <w:t>）</w:t>
        </w:r>
      </w:hyperlink>
      <w:hyperlink r:id="rId67" w:anchor="B32" w:history="1">
        <w:r w:rsidRPr="00736BD1">
          <w:rPr>
            <w:rFonts w:ascii="微软雅黑" w:eastAsia="微软雅黑" w:hAnsi="微软雅黑" w:cs="宋体"/>
            <w:kern w:val="0"/>
            <w:sz w:val="24"/>
            <w:szCs w:val="24"/>
            <w:u w:val="single"/>
          </w:rPr>
          <w:t>。</w:t>
        </w:r>
      </w:hyperlink>
      <w:hyperlink r:id="rId68" w:anchor="B19" w:history="1">
        <w:r w:rsidRPr="00736BD1">
          <w:rPr>
            <w:rFonts w:ascii="微软雅黑" w:eastAsia="微软雅黑" w:hAnsi="微软雅黑" w:cs="宋体"/>
            <w:kern w:val="0"/>
            <w:sz w:val="24"/>
            <w:szCs w:val="24"/>
            <w:u w:val="single"/>
          </w:rPr>
          <w:t>使用</w:t>
        </w:r>
      </w:hyperlink>
      <w:r w:rsidRPr="00736BD1">
        <w:rPr>
          <w:rFonts w:ascii="微软雅黑" w:eastAsia="微软雅黑" w:hAnsi="微软雅黑" w:cs="宋体"/>
          <w:kern w:val="0"/>
          <w:sz w:val="24"/>
          <w:szCs w:val="24"/>
        </w:rPr>
        <w:t>的构建体如</w:t>
      </w:r>
      <w:r w:rsidRPr="00736BD1">
        <w:rPr>
          <w:rFonts w:ascii="微软雅黑" w:eastAsia="微软雅黑" w:hAnsi="微软雅黑" w:cs="宋体"/>
          <w:kern w:val="0"/>
          <w:sz w:val="24"/>
          <w:szCs w:val="24"/>
        </w:rPr>
        <w:lastRenderedPageBreak/>
        <w:t>下：</w:t>
      </w:r>
      <w:proofErr w:type="spellStart"/>
      <w:r w:rsidRPr="00736BD1">
        <w:rPr>
          <w:rFonts w:ascii="微软雅黑" w:eastAsia="微软雅黑" w:hAnsi="微软雅黑" w:cs="宋体"/>
          <w:kern w:val="0"/>
          <w:sz w:val="24"/>
          <w:szCs w:val="24"/>
        </w:rPr>
        <w:t>pLenti</w:t>
      </w:r>
      <w:proofErr w:type="spellEnd"/>
      <w:r w:rsidRPr="00736BD1">
        <w:rPr>
          <w:rFonts w:ascii="微软雅黑" w:eastAsia="微软雅黑" w:hAnsi="微软雅黑" w:cs="宋体"/>
          <w:kern w:val="0"/>
          <w:sz w:val="24"/>
          <w:szCs w:val="24"/>
        </w:rPr>
        <w:t>-DHB（氨基酸994–1087 ）-mVenus-p2a-mCherry-Rb（氨基酸 886–928）（</w:t>
      </w:r>
      <w:proofErr w:type="spellStart"/>
      <w:r w:rsidRPr="00736BD1">
        <w:rPr>
          <w:rFonts w:ascii="微软雅黑" w:eastAsia="微软雅黑" w:hAnsi="微软雅黑" w:cs="宋体"/>
          <w:kern w:val="0"/>
          <w:sz w:val="24"/>
          <w:szCs w:val="24"/>
        </w:rPr>
        <w:t>Addgene</w:t>
      </w:r>
      <w:proofErr w:type="spellEnd"/>
      <w:r w:rsidRPr="00736BD1">
        <w:rPr>
          <w:rFonts w:ascii="微软雅黑" w:eastAsia="微软雅黑" w:hAnsi="微软雅黑" w:cs="宋体"/>
          <w:kern w:val="0"/>
          <w:sz w:val="24"/>
          <w:szCs w:val="24"/>
        </w:rPr>
        <w:t>；126679）、pLenti-H2B-iRFP670-p2a-mCerulean-Cdt1（氨基酸 1–100）（</w:t>
      </w:r>
      <w:proofErr w:type="spellStart"/>
      <w:r w:rsidRPr="00736BD1">
        <w:rPr>
          <w:rFonts w:ascii="微软雅黑" w:eastAsia="微软雅黑" w:hAnsi="微软雅黑" w:cs="宋体"/>
          <w:kern w:val="0"/>
          <w:sz w:val="24"/>
          <w:szCs w:val="24"/>
        </w:rPr>
        <w:t>Addgene</w:t>
      </w:r>
      <w:proofErr w:type="spellEnd"/>
      <w:r w:rsidRPr="00736BD1">
        <w:rPr>
          <w:rFonts w:ascii="微软雅黑" w:eastAsia="微软雅黑" w:hAnsi="微软雅黑" w:cs="宋体"/>
          <w:kern w:val="0"/>
          <w:sz w:val="24"/>
          <w:szCs w:val="24"/>
        </w:rPr>
        <w:t>；223965）和 pLenti-H2B-iRFP670-p2a-mCerulean-Geminin（氨基酸 1</w:t>
      </w:r>
      <w:r w:rsidRPr="00736BD1">
        <w:rPr>
          <w:rFonts w:ascii="微软雅黑" w:eastAsia="微软雅黑" w:hAnsi="微软雅黑" w:cs="微软雅黑" w:hint="eastAsia"/>
          <w:kern w:val="0"/>
          <w:sz w:val="24"/>
          <w:szCs w:val="24"/>
        </w:rPr>
        <w:t>−</w:t>
      </w:r>
      <w:r w:rsidRPr="00736BD1">
        <w:rPr>
          <w:rFonts w:ascii="微软雅黑" w:eastAsia="微软雅黑" w:hAnsi="微软雅黑" w:cs="宋体"/>
          <w:kern w:val="0"/>
          <w:sz w:val="24"/>
          <w:szCs w:val="24"/>
        </w:rPr>
        <w:t>110）（</w:t>
      </w:r>
      <w:proofErr w:type="spellStart"/>
      <w:r w:rsidRPr="00736BD1">
        <w:rPr>
          <w:rFonts w:ascii="微软雅黑" w:eastAsia="微软雅黑" w:hAnsi="微软雅黑" w:cs="宋体"/>
          <w:kern w:val="0"/>
          <w:sz w:val="24"/>
          <w:szCs w:val="24"/>
        </w:rPr>
        <w:t>Addgene</w:t>
      </w:r>
      <w:proofErr w:type="spellEnd"/>
      <w:r w:rsidRPr="00736BD1">
        <w:rPr>
          <w:rFonts w:ascii="微软雅黑" w:eastAsia="微软雅黑" w:hAnsi="微软雅黑" w:cs="宋体"/>
          <w:kern w:val="0"/>
          <w:sz w:val="24"/>
          <w:szCs w:val="24"/>
        </w:rPr>
        <w:t>；223959）。</w:t>
      </w:r>
    </w:p>
    <w:p w14:paraId="0638C99B" w14:textId="77777777" w:rsidR="00736BD1" w:rsidRPr="00736BD1" w:rsidRDefault="00736BD1" w:rsidP="00736BD1">
      <w:pPr>
        <w:widowControl/>
        <w:spacing w:line="450" w:lineRule="atLeast"/>
        <w:outlineLvl w:val="2"/>
        <w:rPr>
          <w:rFonts w:ascii="微软雅黑" w:eastAsia="微软雅黑" w:hAnsi="微软雅黑" w:cs="宋体"/>
          <w:kern w:val="0"/>
          <w:sz w:val="32"/>
          <w:szCs w:val="32"/>
        </w:rPr>
      </w:pPr>
      <w:r w:rsidRPr="00736BD1">
        <w:rPr>
          <w:rFonts w:ascii="微软雅黑" w:eastAsia="微软雅黑" w:hAnsi="微软雅黑" w:cs="宋体"/>
          <w:kern w:val="0"/>
          <w:sz w:val="32"/>
          <w:szCs w:val="32"/>
        </w:rPr>
        <w:t>细胞系构建。</w:t>
      </w:r>
    </w:p>
    <w:p w14:paraId="4B9B03F1" w14:textId="77777777" w:rsidR="00736BD1" w:rsidRPr="00736BD1" w:rsidRDefault="00736BD1" w:rsidP="00736BD1">
      <w:pPr>
        <w:widowControl/>
        <w:spacing w:before="450"/>
        <w:rPr>
          <w:rFonts w:ascii="微软雅黑" w:eastAsia="微软雅黑" w:hAnsi="微软雅黑" w:cs="宋体"/>
          <w:kern w:val="0"/>
          <w:sz w:val="24"/>
          <w:szCs w:val="24"/>
        </w:rPr>
      </w:pPr>
      <w:r w:rsidRPr="00736BD1">
        <w:rPr>
          <w:rFonts w:ascii="微软雅黑" w:eastAsia="微软雅黑" w:hAnsi="微软雅黑" w:cs="宋体"/>
          <w:kern w:val="0"/>
          <w:sz w:val="24"/>
          <w:szCs w:val="24"/>
        </w:rPr>
        <w:t>利用慢病毒转导法构建稳定细胞系。将</w:t>
      </w:r>
      <w:proofErr w:type="spellStart"/>
      <w:r w:rsidRPr="00736BD1">
        <w:rPr>
          <w:rFonts w:ascii="微软雅黑" w:eastAsia="微软雅黑" w:hAnsi="微软雅黑" w:cs="宋体"/>
          <w:kern w:val="0"/>
          <w:sz w:val="24"/>
          <w:szCs w:val="24"/>
        </w:rPr>
        <w:t>pCMV</w:t>
      </w:r>
      <w:proofErr w:type="spellEnd"/>
      <w:r w:rsidRPr="00736BD1">
        <w:rPr>
          <w:rFonts w:ascii="微软雅黑" w:eastAsia="微软雅黑" w:hAnsi="微软雅黑" w:cs="宋体"/>
          <w:kern w:val="0"/>
          <w:sz w:val="24"/>
          <w:szCs w:val="24"/>
        </w:rPr>
        <w:t>-VSV-G（</w:t>
      </w:r>
      <w:proofErr w:type="spellStart"/>
      <w:r w:rsidRPr="00736BD1">
        <w:rPr>
          <w:rFonts w:ascii="微软雅黑" w:eastAsia="微软雅黑" w:hAnsi="微软雅黑" w:cs="宋体"/>
          <w:kern w:val="0"/>
          <w:sz w:val="24"/>
          <w:szCs w:val="24"/>
        </w:rPr>
        <w:t>Addgene</w:t>
      </w:r>
      <w:proofErr w:type="spellEnd"/>
      <w:r w:rsidRPr="00736BD1">
        <w:rPr>
          <w:rFonts w:ascii="微软雅黑" w:eastAsia="微软雅黑" w:hAnsi="微软雅黑" w:cs="宋体"/>
          <w:kern w:val="0"/>
          <w:sz w:val="24"/>
          <w:szCs w:val="24"/>
        </w:rPr>
        <w:t>；8454）、</w:t>
      </w:r>
      <w:proofErr w:type="spellStart"/>
      <w:r w:rsidRPr="00736BD1">
        <w:rPr>
          <w:rFonts w:ascii="微软雅黑" w:eastAsia="微软雅黑" w:hAnsi="微软雅黑" w:cs="宋体"/>
          <w:kern w:val="0"/>
          <w:sz w:val="24"/>
          <w:szCs w:val="24"/>
        </w:rPr>
        <w:t>pRSV</w:t>
      </w:r>
      <w:proofErr w:type="spellEnd"/>
      <w:r w:rsidRPr="00736BD1">
        <w:rPr>
          <w:rFonts w:ascii="微软雅黑" w:eastAsia="微软雅黑" w:hAnsi="微软雅黑" w:cs="宋体"/>
          <w:kern w:val="0"/>
          <w:sz w:val="24"/>
          <w:szCs w:val="24"/>
        </w:rPr>
        <w:t>-rev（</w:t>
      </w:r>
      <w:proofErr w:type="spellStart"/>
      <w:r w:rsidRPr="00736BD1">
        <w:rPr>
          <w:rFonts w:ascii="微软雅黑" w:eastAsia="微软雅黑" w:hAnsi="微软雅黑" w:cs="宋体"/>
          <w:kern w:val="0"/>
          <w:sz w:val="24"/>
          <w:szCs w:val="24"/>
        </w:rPr>
        <w:t>Addgene</w:t>
      </w:r>
      <w:proofErr w:type="spellEnd"/>
      <w:r w:rsidRPr="00736BD1">
        <w:rPr>
          <w:rFonts w:ascii="微软雅黑" w:eastAsia="微软雅黑" w:hAnsi="微软雅黑" w:cs="宋体"/>
          <w:kern w:val="0"/>
          <w:sz w:val="24"/>
          <w:szCs w:val="24"/>
        </w:rPr>
        <w:t>；12253）和</w:t>
      </w:r>
      <w:proofErr w:type="spellStart"/>
      <w:r w:rsidRPr="00736BD1">
        <w:rPr>
          <w:rFonts w:ascii="微软雅黑" w:eastAsia="微软雅黑" w:hAnsi="微软雅黑" w:cs="宋体"/>
          <w:kern w:val="0"/>
          <w:sz w:val="24"/>
          <w:szCs w:val="24"/>
        </w:rPr>
        <w:t>pMDLg</w:t>
      </w:r>
      <w:proofErr w:type="spellEnd"/>
      <w:r w:rsidRPr="00736BD1">
        <w:rPr>
          <w:rFonts w:ascii="微软雅黑" w:eastAsia="微软雅黑" w:hAnsi="微软雅黑" w:cs="宋体"/>
          <w:kern w:val="0"/>
          <w:sz w:val="24"/>
          <w:szCs w:val="24"/>
        </w:rPr>
        <w:t>/</w:t>
      </w:r>
      <w:proofErr w:type="spellStart"/>
      <w:r w:rsidRPr="00736BD1">
        <w:rPr>
          <w:rFonts w:ascii="微软雅黑" w:eastAsia="微软雅黑" w:hAnsi="微软雅黑" w:cs="宋体"/>
          <w:kern w:val="0"/>
          <w:sz w:val="24"/>
          <w:szCs w:val="24"/>
        </w:rPr>
        <w:t>pRRE</w:t>
      </w:r>
      <w:proofErr w:type="spellEnd"/>
      <w:r w:rsidRPr="00736BD1">
        <w:rPr>
          <w:rFonts w:ascii="微软雅黑" w:eastAsia="微软雅黑" w:hAnsi="微软雅黑" w:cs="宋体"/>
          <w:kern w:val="0"/>
          <w:sz w:val="24"/>
          <w:szCs w:val="24"/>
        </w:rPr>
        <w:t>（</w:t>
      </w:r>
      <w:proofErr w:type="spellStart"/>
      <w:r w:rsidRPr="00736BD1">
        <w:rPr>
          <w:rFonts w:ascii="微软雅黑" w:eastAsia="微软雅黑" w:hAnsi="微软雅黑" w:cs="宋体"/>
          <w:kern w:val="0"/>
          <w:sz w:val="24"/>
          <w:szCs w:val="24"/>
        </w:rPr>
        <w:t>Addgene</w:t>
      </w:r>
      <w:proofErr w:type="spellEnd"/>
      <w:r w:rsidRPr="00736BD1">
        <w:rPr>
          <w:rFonts w:ascii="微软雅黑" w:eastAsia="微软雅黑" w:hAnsi="微软雅黑" w:cs="宋体"/>
          <w:kern w:val="0"/>
          <w:sz w:val="24"/>
          <w:szCs w:val="24"/>
        </w:rPr>
        <w:t>；12251）共转染至HEK293T细胞中，使用聚乙烯亚胺转染试剂进行慢病毒生产。转染后连续3天收集病毒上清液，以500 </w:t>
      </w:r>
      <w:r w:rsidRPr="00736BD1">
        <w:rPr>
          <w:rFonts w:ascii="微软雅黑" w:eastAsia="微软雅黑" w:hAnsi="微软雅黑" w:cs="宋体"/>
          <w:i/>
          <w:iCs/>
          <w:kern w:val="0"/>
          <w:sz w:val="24"/>
          <w:szCs w:val="24"/>
        </w:rPr>
        <w:t>g</w:t>
      </w:r>
      <w:r w:rsidRPr="00736BD1">
        <w:rPr>
          <w:rFonts w:ascii="微软雅黑" w:eastAsia="微软雅黑" w:hAnsi="微软雅黑" w:cs="宋体"/>
          <w:kern w:val="0"/>
          <w:sz w:val="24"/>
          <w:szCs w:val="24"/>
        </w:rPr>
        <w:t xml:space="preserve">离心5分钟，并用0.45 </w:t>
      </w:r>
      <w:proofErr w:type="spellStart"/>
      <w:r w:rsidRPr="00736BD1">
        <w:rPr>
          <w:rFonts w:ascii="微软雅黑" w:eastAsia="微软雅黑" w:hAnsi="微软雅黑" w:cs="宋体"/>
          <w:kern w:val="0"/>
          <w:sz w:val="24"/>
          <w:szCs w:val="24"/>
        </w:rPr>
        <w:t>μm</w:t>
      </w:r>
      <w:proofErr w:type="spellEnd"/>
      <w:r w:rsidRPr="00736BD1">
        <w:rPr>
          <w:rFonts w:ascii="微软雅黑" w:eastAsia="微软雅黑" w:hAnsi="微软雅黑" w:cs="宋体"/>
          <w:kern w:val="0"/>
          <w:sz w:val="24"/>
          <w:szCs w:val="24"/>
        </w:rPr>
        <w:t xml:space="preserve">滤膜（Millipore；SLHA033SB）过滤。滤液经截留分子量为100 </w:t>
      </w:r>
      <w:proofErr w:type="spellStart"/>
      <w:r w:rsidRPr="00736BD1">
        <w:rPr>
          <w:rFonts w:ascii="微软雅黑" w:eastAsia="微软雅黑" w:hAnsi="微软雅黑" w:cs="宋体"/>
          <w:kern w:val="0"/>
          <w:sz w:val="24"/>
          <w:szCs w:val="24"/>
        </w:rPr>
        <w:t>kDa</w:t>
      </w:r>
      <w:proofErr w:type="spellEnd"/>
      <w:r w:rsidRPr="00736BD1">
        <w:rPr>
          <w:rFonts w:ascii="微软雅黑" w:eastAsia="微软雅黑" w:hAnsi="微软雅黑" w:cs="宋体"/>
          <w:kern w:val="0"/>
          <w:sz w:val="24"/>
          <w:szCs w:val="24"/>
        </w:rPr>
        <w:t>的</w:t>
      </w:r>
      <w:proofErr w:type="spellStart"/>
      <w:r w:rsidRPr="00736BD1">
        <w:rPr>
          <w:rFonts w:ascii="微软雅黑" w:eastAsia="微软雅黑" w:hAnsi="微软雅黑" w:cs="宋体"/>
          <w:kern w:val="0"/>
          <w:sz w:val="24"/>
          <w:szCs w:val="24"/>
        </w:rPr>
        <w:t>Amicon</w:t>
      </w:r>
      <w:proofErr w:type="spellEnd"/>
      <w:r w:rsidRPr="00736BD1">
        <w:rPr>
          <w:rFonts w:ascii="微软雅黑" w:eastAsia="微软雅黑" w:hAnsi="微软雅黑" w:cs="宋体"/>
          <w:kern w:val="0"/>
          <w:sz w:val="24"/>
          <w:szCs w:val="24"/>
        </w:rPr>
        <w:t xml:space="preserve"> Ultra-15超滤离心管（Millipore；UFC910024）浓缩后，储存于-80°C。在5 </w:t>
      </w:r>
      <w:proofErr w:type="spellStart"/>
      <w:r w:rsidRPr="00736BD1">
        <w:rPr>
          <w:rFonts w:ascii="微软雅黑" w:eastAsia="微软雅黑" w:hAnsi="微软雅黑" w:cs="宋体"/>
          <w:kern w:val="0"/>
          <w:sz w:val="24"/>
          <w:szCs w:val="24"/>
        </w:rPr>
        <w:t>μg</w:t>
      </w:r>
      <w:proofErr w:type="spellEnd"/>
      <w:r w:rsidRPr="00736BD1">
        <w:rPr>
          <w:rFonts w:ascii="微软雅黑" w:eastAsia="微软雅黑" w:hAnsi="微软雅黑" w:cs="宋体"/>
          <w:kern w:val="0"/>
          <w:sz w:val="24"/>
          <w:szCs w:val="24"/>
        </w:rPr>
        <w:t xml:space="preserve">/mL聚凝胺（Sigma-Aldrich；TR-1003-G）存在下，用慢病毒转导靶细胞。感染后2天开始进行抗生素筛选，筛选依据是与每个构建体相关的选择标记：嘌呤霉素（1 </w:t>
      </w:r>
      <w:proofErr w:type="spellStart"/>
      <w:r w:rsidRPr="00736BD1">
        <w:rPr>
          <w:rFonts w:ascii="微软雅黑" w:eastAsia="微软雅黑" w:hAnsi="微软雅黑" w:cs="宋体"/>
          <w:kern w:val="0"/>
          <w:sz w:val="24"/>
          <w:szCs w:val="24"/>
        </w:rPr>
        <w:t>μg</w:t>
      </w:r>
      <w:proofErr w:type="spellEnd"/>
      <w:r w:rsidRPr="00736BD1">
        <w:rPr>
          <w:rFonts w:ascii="微软雅黑" w:eastAsia="微软雅黑" w:hAnsi="微软雅黑" w:cs="宋体"/>
          <w:kern w:val="0"/>
          <w:sz w:val="24"/>
          <w:szCs w:val="24"/>
        </w:rPr>
        <w:t>/mL；</w:t>
      </w:r>
      <w:proofErr w:type="spellStart"/>
      <w:r w:rsidRPr="00736BD1">
        <w:rPr>
          <w:rFonts w:ascii="微软雅黑" w:eastAsia="微软雅黑" w:hAnsi="微软雅黑" w:cs="宋体"/>
          <w:kern w:val="0"/>
          <w:sz w:val="24"/>
          <w:szCs w:val="24"/>
        </w:rPr>
        <w:t>InvivoGen</w:t>
      </w:r>
      <w:proofErr w:type="spellEnd"/>
      <w:r w:rsidRPr="00736BD1">
        <w:rPr>
          <w:rFonts w:ascii="微软雅黑" w:eastAsia="微软雅黑" w:hAnsi="微软雅黑" w:cs="宋体"/>
          <w:kern w:val="0"/>
          <w:sz w:val="24"/>
          <w:szCs w:val="24"/>
        </w:rPr>
        <w:t>；ant-pr-1）、</w:t>
      </w:r>
      <w:proofErr w:type="gramStart"/>
      <w:r w:rsidRPr="00736BD1">
        <w:rPr>
          <w:rFonts w:ascii="微软雅黑" w:eastAsia="微软雅黑" w:hAnsi="微软雅黑" w:cs="宋体"/>
          <w:kern w:val="0"/>
          <w:sz w:val="24"/>
          <w:szCs w:val="24"/>
        </w:rPr>
        <w:t>杀稻瘟菌</w:t>
      </w:r>
      <w:proofErr w:type="gramEnd"/>
      <w:r w:rsidRPr="00736BD1">
        <w:rPr>
          <w:rFonts w:ascii="微软雅黑" w:eastAsia="微软雅黑" w:hAnsi="微软雅黑" w:cs="宋体"/>
          <w:kern w:val="0"/>
          <w:sz w:val="24"/>
          <w:szCs w:val="24"/>
        </w:rPr>
        <w:t xml:space="preserve">素（10 </w:t>
      </w:r>
      <w:proofErr w:type="spellStart"/>
      <w:r w:rsidRPr="00736BD1">
        <w:rPr>
          <w:rFonts w:ascii="微软雅黑" w:eastAsia="微软雅黑" w:hAnsi="微软雅黑" w:cs="宋体"/>
          <w:kern w:val="0"/>
          <w:sz w:val="24"/>
          <w:szCs w:val="24"/>
        </w:rPr>
        <w:t>μg</w:t>
      </w:r>
      <w:proofErr w:type="spellEnd"/>
      <w:r w:rsidRPr="00736BD1">
        <w:rPr>
          <w:rFonts w:ascii="微软雅黑" w:eastAsia="微软雅黑" w:hAnsi="微软雅黑" w:cs="宋体"/>
          <w:kern w:val="0"/>
          <w:sz w:val="24"/>
          <w:szCs w:val="24"/>
        </w:rPr>
        <w:t>/mL；</w:t>
      </w:r>
      <w:proofErr w:type="spellStart"/>
      <w:r w:rsidRPr="00736BD1">
        <w:rPr>
          <w:rFonts w:ascii="微软雅黑" w:eastAsia="微软雅黑" w:hAnsi="微软雅黑" w:cs="宋体"/>
          <w:kern w:val="0"/>
          <w:sz w:val="24"/>
          <w:szCs w:val="24"/>
        </w:rPr>
        <w:t>InvivoGen</w:t>
      </w:r>
      <w:proofErr w:type="spellEnd"/>
      <w:r w:rsidRPr="00736BD1">
        <w:rPr>
          <w:rFonts w:ascii="微软雅黑" w:eastAsia="微软雅黑" w:hAnsi="微软雅黑" w:cs="宋体"/>
          <w:kern w:val="0"/>
          <w:sz w:val="24"/>
          <w:szCs w:val="24"/>
        </w:rPr>
        <w:t xml:space="preserve">；ant-bl-1）或新霉素（400 </w:t>
      </w:r>
      <w:proofErr w:type="spellStart"/>
      <w:r w:rsidRPr="00736BD1">
        <w:rPr>
          <w:rFonts w:ascii="微软雅黑" w:eastAsia="微软雅黑" w:hAnsi="微软雅黑" w:cs="宋体"/>
          <w:kern w:val="0"/>
          <w:sz w:val="24"/>
          <w:szCs w:val="24"/>
        </w:rPr>
        <w:t>μg</w:t>
      </w:r>
      <w:proofErr w:type="spellEnd"/>
      <w:r w:rsidRPr="00736BD1">
        <w:rPr>
          <w:rFonts w:ascii="微软雅黑" w:eastAsia="微软雅黑" w:hAnsi="微软雅黑" w:cs="宋体"/>
          <w:kern w:val="0"/>
          <w:sz w:val="24"/>
          <w:szCs w:val="24"/>
        </w:rPr>
        <w:t>/mL；Thermo Fisher Scientific；BP673-5）。帕博西尼/</w:t>
      </w:r>
      <w:proofErr w:type="gramStart"/>
      <w:r w:rsidRPr="00736BD1">
        <w:rPr>
          <w:rFonts w:ascii="微软雅黑" w:eastAsia="微软雅黑" w:hAnsi="微软雅黑" w:cs="宋体"/>
          <w:kern w:val="0"/>
          <w:sz w:val="24"/>
          <w:szCs w:val="24"/>
        </w:rPr>
        <w:t>氟维司群</w:t>
      </w:r>
      <w:proofErr w:type="gramEnd"/>
      <w:r w:rsidRPr="00736BD1">
        <w:rPr>
          <w:rFonts w:ascii="微软雅黑" w:eastAsia="微软雅黑" w:hAnsi="微软雅黑" w:cs="宋体"/>
          <w:kern w:val="0"/>
          <w:sz w:val="24"/>
          <w:szCs w:val="24"/>
        </w:rPr>
        <w:t>耐药的MCF-7和CAMA-1细胞的构建方法如前所述（</w:t>
      </w:r>
      <w:hyperlink r:id="rId69" w:anchor="B21" w:history="1">
        <w:r w:rsidRPr="00736BD1">
          <w:rPr>
            <w:rFonts w:ascii="微软雅黑" w:eastAsia="微软雅黑" w:hAnsi="微软雅黑" w:cs="宋体"/>
            <w:kern w:val="0"/>
            <w:sz w:val="24"/>
            <w:szCs w:val="24"/>
            <w:u w:val="single"/>
          </w:rPr>
          <w:t>21</w:t>
        </w:r>
      </w:hyperlink>
      <w:r w:rsidRPr="00736BD1">
        <w:rPr>
          <w:rFonts w:ascii="微软雅黑" w:eastAsia="微软雅黑" w:hAnsi="微软雅黑" w:cs="宋体"/>
          <w:kern w:val="0"/>
          <w:sz w:val="24"/>
          <w:szCs w:val="24"/>
        </w:rPr>
        <w:t xml:space="preserve">）。这些细胞持续培养于含有1 </w:t>
      </w:r>
      <w:proofErr w:type="spellStart"/>
      <w:r w:rsidRPr="00736BD1">
        <w:rPr>
          <w:rFonts w:ascii="微软雅黑" w:eastAsia="微软雅黑" w:hAnsi="微软雅黑" w:cs="宋体"/>
          <w:kern w:val="0"/>
          <w:sz w:val="24"/>
          <w:szCs w:val="24"/>
        </w:rPr>
        <w:t>μM</w:t>
      </w:r>
      <w:proofErr w:type="spellEnd"/>
      <w:r w:rsidRPr="00736BD1">
        <w:rPr>
          <w:rFonts w:ascii="微软雅黑" w:eastAsia="微软雅黑" w:hAnsi="微软雅黑" w:cs="宋体"/>
          <w:kern w:val="0"/>
          <w:sz w:val="24"/>
          <w:szCs w:val="24"/>
        </w:rPr>
        <w:t xml:space="preserve">帕博西尼和500 </w:t>
      </w:r>
      <w:proofErr w:type="spellStart"/>
      <w:r w:rsidRPr="00736BD1">
        <w:rPr>
          <w:rFonts w:ascii="微软雅黑" w:eastAsia="微软雅黑" w:hAnsi="微软雅黑" w:cs="宋体"/>
          <w:kern w:val="0"/>
          <w:sz w:val="24"/>
          <w:szCs w:val="24"/>
        </w:rPr>
        <w:t>nM</w:t>
      </w:r>
      <w:proofErr w:type="spellEnd"/>
      <w:proofErr w:type="gramStart"/>
      <w:r w:rsidRPr="00736BD1">
        <w:rPr>
          <w:rFonts w:ascii="微软雅黑" w:eastAsia="微软雅黑" w:hAnsi="微软雅黑" w:cs="宋体"/>
          <w:kern w:val="0"/>
          <w:sz w:val="24"/>
          <w:szCs w:val="24"/>
        </w:rPr>
        <w:t>氟维司群</w:t>
      </w:r>
      <w:proofErr w:type="gramEnd"/>
      <w:r w:rsidRPr="00736BD1">
        <w:rPr>
          <w:rFonts w:ascii="微软雅黑" w:eastAsia="微软雅黑" w:hAnsi="微软雅黑" w:cs="宋体"/>
          <w:kern w:val="0"/>
          <w:sz w:val="24"/>
          <w:szCs w:val="24"/>
        </w:rPr>
        <w:t>的培养基中，每2-3天更换一次含药培养基。通过测定IC50值验证耐药性。</w:t>
      </w:r>
    </w:p>
    <w:p w14:paraId="14F31D14" w14:textId="77777777" w:rsidR="00736BD1" w:rsidRPr="00736BD1" w:rsidRDefault="00736BD1" w:rsidP="00736BD1">
      <w:pPr>
        <w:widowControl/>
        <w:spacing w:line="450" w:lineRule="atLeast"/>
        <w:outlineLvl w:val="2"/>
        <w:rPr>
          <w:rFonts w:ascii="微软雅黑" w:eastAsia="微软雅黑" w:hAnsi="微软雅黑" w:cs="宋体"/>
          <w:kern w:val="0"/>
          <w:sz w:val="32"/>
          <w:szCs w:val="32"/>
        </w:rPr>
      </w:pPr>
      <w:r w:rsidRPr="00736BD1">
        <w:rPr>
          <w:rFonts w:ascii="微软雅黑" w:eastAsia="微软雅黑" w:hAnsi="微软雅黑" w:cs="宋体"/>
          <w:kern w:val="0"/>
          <w:sz w:val="32"/>
          <w:szCs w:val="32"/>
        </w:rPr>
        <w:t>药物、化学品和抗体。</w:t>
      </w:r>
    </w:p>
    <w:p w14:paraId="4DAF4AA7" w14:textId="77777777" w:rsidR="00736BD1" w:rsidRPr="00736BD1" w:rsidRDefault="00736BD1" w:rsidP="00736BD1">
      <w:pPr>
        <w:widowControl/>
        <w:spacing w:before="450"/>
        <w:rPr>
          <w:rFonts w:ascii="微软雅黑" w:eastAsia="微软雅黑" w:hAnsi="微软雅黑" w:cs="宋体"/>
          <w:kern w:val="0"/>
          <w:sz w:val="24"/>
          <w:szCs w:val="24"/>
        </w:rPr>
      </w:pPr>
      <w:proofErr w:type="spellStart"/>
      <w:r w:rsidRPr="00736BD1">
        <w:rPr>
          <w:rFonts w:ascii="微软雅黑" w:eastAsia="微软雅黑" w:hAnsi="微软雅黑" w:cs="宋体"/>
          <w:kern w:val="0"/>
          <w:sz w:val="24"/>
          <w:szCs w:val="24"/>
        </w:rPr>
        <w:t>EdU</w:t>
      </w:r>
      <w:proofErr w:type="spellEnd"/>
      <w:r w:rsidRPr="00736BD1">
        <w:rPr>
          <w:rFonts w:ascii="微软雅黑" w:eastAsia="微软雅黑" w:hAnsi="微软雅黑" w:cs="宋体"/>
          <w:kern w:val="0"/>
          <w:sz w:val="24"/>
          <w:szCs w:val="24"/>
        </w:rPr>
        <w:t>（货号 900584）、结晶紫（货号 C0775）、氢化可的松（货号 H0888）和</w:t>
      </w:r>
      <w:r w:rsidRPr="00736BD1">
        <w:rPr>
          <w:rFonts w:ascii="微软雅黑" w:eastAsia="微软雅黑" w:hAnsi="微软雅黑" w:cs="宋体"/>
          <w:i/>
          <w:iCs/>
          <w:kern w:val="0"/>
          <w:sz w:val="24"/>
          <w:szCs w:val="24"/>
        </w:rPr>
        <w:t>N-</w:t>
      </w:r>
      <w:r w:rsidRPr="00736BD1">
        <w:rPr>
          <w:rFonts w:ascii="微软雅黑" w:eastAsia="微软雅黑" w:hAnsi="微软雅黑" w:cs="宋体"/>
          <w:kern w:val="0"/>
          <w:sz w:val="24"/>
          <w:szCs w:val="24"/>
        </w:rPr>
        <w:t>乙酰</w:t>
      </w:r>
      <w:r w:rsidRPr="00736BD1">
        <w:rPr>
          <w:rFonts w:ascii="微软雅黑" w:eastAsia="微软雅黑" w:hAnsi="微软雅黑" w:cs="宋体"/>
          <w:smallCaps/>
          <w:kern w:val="0"/>
          <w:sz w:val="24"/>
          <w:szCs w:val="24"/>
        </w:rPr>
        <w:t>-L-</w:t>
      </w:r>
      <w:r w:rsidRPr="00736BD1">
        <w:rPr>
          <w:rFonts w:ascii="微软雅黑" w:eastAsia="微软雅黑" w:hAnsi="微软雅黑" w:cs="宋体"/>
          <w:kern w:val="0"/>
          <w:sz w:val="24"/>
          <w:szCs w:val="24"/>
        </w:rPr>
        <w:t>半胱氨酸 (NAC)（货号 A9165）</w:t>
      </w:r>
      <w:proofErr w:type="gramStart"/>
      <w:r w:rsidRPr="00736BD1">
        <w:rPr>
          <w:rFonts w:ascii="微软雅黑" w:eastAsia="微软雅黑" w:hAnsi="微软雅黑" w:cs="宋体"/>
          <w:kern w:val="0"/>
          <w:sz w:val="24"/>
          <w:szCs w:val="24"/>
        </w:rPr>
        <w:t>均购自</w:t>
      </w:r>
      <w:proofErr w:type="gramEnd"/>
      <w:r w:rsidRPr="00736BD1">
        <w:rPr>
          <w:rFonts w:ascii="微软雅黑" w:eastAsia="微软雅黑" w:hAnsi="微软雅黑" w:cs="宋体"/>
          <w:kern w:val="0"/>
          <w:sz w:val="24"/>
          <w:szCs w:val="24"/>
        </w:rPr>
        <w:t xml:space="preserve"> Sigma-Aldrich 公司。</w:t>
      </w:r>
      <w:r w:rsidRPr="00736BD1">
        <w:rPr>
          <w:rFonts w:ascii="微软雅黑" w:eastAsia="微软雅黑" w:hAnsi="微软雅黑" w:cs="宋体"/>
          <w:kern w:val="0"/>
          <w:sz w:val="24"/>
          <w:szCs w:val="24"/>
        </w:rPr>
        <w:lastRenderedPageBreak/>
        <w:t xml:space="preserve">EU（货号 1261）购自 Click Chemistry Tools 公司。帕博西尼盐酸盐 (HY-50767C)、LDC4297 (HY-12653)、SY5609 (HY-138293) 和 Y-27632 (HY-10071) 购自 </w:t>
      </w:r>
      <w:proofErr w:type="spellStart"/>
      <w:r w:rsidRPr="00736BD1">
        <w:rPr>
          <w:rFonts w:ascii="微软雅黑" w:eastAsia="微软雅黑" w:hAnsi="微软雅黑" w:cs="宋体"/>
          <w:kern w:val="0"/>
          <w:sz w:val="24"/>
          <w:szCs w:val="24"/>
        </w:rPr>
        <w:t>MedChem</w:t>
      </w:r>
      <w:proofErr w:type="spellEnd"/>
      <w:r w:rsidRPr="00736BD1">
        <w:rPr>
          <w:rFonts w:ascii="微软雅黑" w:eastAsia="微软雅黑" w:hAnsi="微软雅黑" w:cs="宋体"/>
          <w:kern w:val="0"/>
          <w:sz w:val="24"/>
          <w:szCs w:val="24"/>
        </w:rPr>
        <w:t xml:space="preserve"> Express 公司；</w:t>
      </w:r>
      <w:proofErr w:type="gramStart"/>
      <w:r w:rsidRPr="00736BD1">
        <w:rPr>
          <w:rFonts w:ascii="微软雅黑" w:eastAsia="微软雅黑" w:hAnsi="微软雅黑" w:cs="宋体"/>
          <w:kern w:val="0"/>
          <w:sz w:val="24"/>
          <w:szCs w:val="24"/>
        </w:rPr>
        <w:t>氟维司群</w:t>
      </w:r>
      <w:proofErr w:type="gramEnd"/>
      <w:r w:rsidRPr="00736BD1">
        <w:rPr>
          <w:rFonts w:ascii="微软雅黑" w:eastAsia="微软雅黑" w:hAnsi="微软雅黑" w:cs="宋体"/>
          <w:kern w:val="0"/>
          <w:sz w:val="24"/>
          <w:szCs w:val="24"/>
        </w:rPr>
        <w:t xml:space="preserve"> (S1191) 购自 Selleck Chemistry 公司；</w:t>
      </w:r>
      <w:proofErr w:type="spellStart"/>
      <w:r w:rsidRPr="00736BD1">
        <w:rPr>
          <w:rFonts w:ascii="微软雅黑" w:eastAsia="微软雅黑" w:hAnsi="微软雅黑" w:cs="宋体"/>
          <w:kern w:val="0"/>
          <w:sz w:val="24"/>
          <w:szCs w:val="24"/>
        </w:rPr>
        <w:t>tagtociclib</w:t>
      </w:r>
      <w:proofErr w:type="spellEnd"/>
      <w:r w:rsidRPr="00736BD1">
        <w:rPr>
          <w:rFonts w:ascii="微软雅黑" w:eastAsia="微软雅黑" w:hAnsi="微软雅黑" w:cs="宋体"/>
          <w:kern w:val="0"/>
          <w:sz w:val="24"/>
          <w:szCs w:val="24"/>
        </w:rPr>
        <w:t xml:space="preserve"> (CT-PF0710) 购自 </w:t>
      </w:r>
      <w:proofErr w:type="spellStart"/>
      <w:r w:rsidRPr="00736BD1">
        <w:rPr>
          <w:rFonts w:ascii="微软雅黑" w:eastAsia="微软雅黑" w:hAnsi="微软雅黑" w:cs="宋体"/>
          <w:kern w:val="0"/>
          <w:sz w:val="24"/>
          <w:szCs w:val="24"/>
        </w:rPr>
        <w:t>Chemietek</w:t>
      </w:r>
      <w:proofErr w:type="spellEnd"/>
      <w:r w:rsidRPr="00736BD1">
        <w:rPr>
          <w:rFonts w:ascii="微软雅黑" w:eastAsia="微软雅黑" w:hAnsi="微软雅黑" w:cs="宋体"/>
          <w:kern w:val="0"/>
          <w:sz w:val="24"/>
          <w:szCs w:val="24"/>
        </w:rPr>
        <w:t xml:space="preserve"> 公司。生长因子减少的 Matrigel（货号 354230）购自 Corning 公司。其他试剂包括：Invitrogen 公司的 </w:t>
      </w:r>
      <w:proofErr w:type="spellStart"/>
      <w:r w:rsidRPr="00736BD1">
        <w:rPr>
          <w:rFonts w:ascii="微软雅黑" w:eastAsia="微软雅黑" w:hAnsi="微软雅黑" w:cs="宋体"/>
          <w:kern w:val="0"/>
          <w:sz w:val="24"/>
          <w:szCs w:val="24"/>
        </w:rPr>
        <w:t>TRIzol</w:t>
      </w:r>
      <w:proofErr w:type="spellEnd"/>
      <w:r w:rsidRPr="00736BD1">
        <w:rPr>
          <w:rFonts w:ascii="微软雅黑" w:eastAsia="微软雅黑" w:hAnsi="微软雅黑" w:cs="宋体"/>
          <w:kern w:val="0"/>
          <w:sz w:val="24"/>
          <w:szCs w:val="24"/>
        </w:rPr>
        <w:t xml:space="preserve"> LS（目录号 10296010）和 </w:t>
      </w:r>
      <w:proofErr w:type="spellStart"/>
      <w:r w:rsidRPr="00736BD1">
        <w:rPr>
          <w:rFonts w:ascii="微软雅黑" w:eastAsia="微软雅黑" w:hAnsi="微软雅黑" w:cs="宋体"/>
          <w:kern w:val="0"/>
          <w:sz w:val="24"/>
          <w:szCs w:val="24"/>
        </w:rPr>
        <w:t>GlycoBlue</w:t>
      </w:r>
      <w:proofErr w:type="spellEnd"/>
      <w:r w:rsidRPr="00736BD1">
        <w:rPr>
          <w:rFonts w:ascii="微软雅黑" w:eastAsia="微软雅黑" w:hAnsi="微软雅黑" w:cs="宋体"/>
          <w:kern w:val="0"/>
          <w:sz w:val="24"/>
          <w:szCs w:val="24"/>
        </w:rPr>
        <w:t xml:space="preserve">（目录号 AM9515），Thermo Fisher Scientific 公司的氯仿（目录号 J67241K2），Gibco 公司的 </w:t>
      </w:r>
      <w:proofErr w:type="spellStart"/>
      <w:r w:rsidRPr="00736BD1">
        <w:rPr>
          <w:rFonts w:ascii="微软雅黑" w:eastAsia="微软雅黑" w:hAnsi="微软雅黑" w:cs="宋体"/>
          <w:kern w:val="0"/>
          <w:sz w:val="24"/>
          <w:szCs w:val="24"/>
        </w:rPr>
        <w:t>GlutaMAX</w:t>
      </w:r>
      <w:proofErr w:type="spellEnd"/>
      <w:r w:rsidRPr="00736BD1">
        <w:rPr>
          <w:rFonts w:ascii="微软雅黑" w:eastAsia="微软雅黑" w:hAnsi="微软雅黑" w:cs="宋体"/>
          <w:kern w:val="0"/>
          <w:sz w:val="24"/>
          <w:szCs w:val="24"/>
        </w:rPr>
        <w:t>（目录号 35050061），Cayman Chemical 公司的 PF-06873600（目录号 35502），Genesee Scientific 公司的庆大霉素（目录号 25-533），</w:t>
      </w:r>
      <w:proofErr w:type="spellStart"/>
      <w:r w:rsidRPr="00736BD1">
        <w:rPr>
          <w:rFonts w:ascii="微软雅黑" w:eastAsia="微软雅黑" w:hAnsi="微软雅黑" w:cs="宋体"/>
          <w:kern w:val="0"/>
          <w:sz w:val="24"/>
          <w:szCs w:val="24"/>
        </w:rPr>
        <w:t>ProteinTech</w:t>
      </w:r>
      <w:proofErr w:type="spellEnd"/>
      <w:r w:rsidRPr="00736BD1">
        <w:rPr>
          <w:rFonts w:ascii="微软雅黑" w:eastAsia="微软雅黑" w:hAnsi="微软雅黑" w:cs="宋体"/>
          <w:kern w:val="0"/>
          <w:sz w:val="24"/>
          <w:szCs w:val="24"/>
        </w:rPr>
        <w:t xml:space="preserve"> 公司的重组人 EGF（目录号 HZ-1326），R&amp;D Systems 公司的 FGF2（目录号 4114-TC-01M），以及 Promega 公司的 </w:t>
      </w:r>
      <w:proofErr w:type="spellStart"/>
      <w:r w:rsidRPr="00736BD1">
        <w:rPr>
          <w:rFonts w:ascii="微软雅黑" w:eastAsia="微软雅黑" w:hAnsi="微软雅黑" w:cs="宋体"/>
          <w:kern w:val="0"/>
          <w:sz w:val="24"/>
          <w:szCs w:val="24"/>
        </w:rPr>
        <w:t>CellTiter</w:t>
      </w:r>
      <w:proofErr w:type="spellEnd"/>
      <w:r w:rsidRPr="00736BD1">
        <w:rPr>
          <w:rFonts w:ascii="微软雅黑" w:eastAsia="微软雅黑" w:hAnsi="微软雅黑" w:cs="宋体"/>
          <w:kern w:val="0"/>
          <w:sz w:val="24"/>
          <w:szCs w:val="24"/>
        </w:rPr>
        <w:t>-Glo（目录号 G9682）。用于免疫印迹的</w:t>
      </w:r>
      <w:proofErr w:type="gramStart"/>
      <w:r w:rsidRPr="00736BD1">
        <w:rPr>
          <w:rFonts w:ascii="微软雅黑" w:eastAsia="微软雅黑" w:hAnsi="微软雅黑" w:cs="宋体"/>
          <w:kern w:val="0"/>
          <w:sz w:val="24"/>
          <w:szCs w:val="24"/>
        </w:rPr>
        <w:t>一抗包括</w:t>
      </w:r>
      <w:proofErr w:type="gramEnd"/>
      <w:r w:rsidRPr="00736BD1">
        <w:rPr>
          <w:rFonts w:ascii="微软雅黑" w:eastAsia="微软雅黑" w:hAnsi="微软雅黑" w:cs="宋体"/>
          <w:kern w:val="0"/>
          <w:sz w:val="24"/>
          <w:szCs w:val="24"/>
        </w:rPr>
        <w:t>抗 Rb（克隆 4H1；目录号 9309）、抗 Rpb1（克隆 D8L4Y；目录号 14958）、抗磷酸化 Rpb1 CTD（Ser2）（克隆 E1Z3G；目录号 13499）、抗磷酸化 Rpb1 CTD（Ser5）（克隆 D9NGI；目录号 13523）、抗磷酸化 Rpb1 CTD（Ser7）（克隆 E2B6W；目录号 13780）和抗 β-肌动蛋白（克隆 8H10D10；目录号 3700），均来自 Cell Signaling Technology。截留（TBS）封闭缓冲液（货号927-60001）、山羊抗小鼠</w:t>
      </w:r>
      <w:proofErr w:type="spellStart"/>
      <w:r w:rsidRPr="00736BD1">
        <w:rPr>
          <w:rFonts w:ascii="微软雅黑" w:eastAsia="微软雅黑" w:hAnsi="微软雅黑" w:cs="宋体"/>
          <w:kern w:val="0"/>
          <w:sz w:val="24"/>
          <w:szCs w:val="24"/>
        </w:rPr>
        <w:t>IRDye</w:t>
      </w:r>
      <w:proofErr w:type="spellEnd"/>
      <w:r w:rsidRPr="00736BD1">
        <w:rPr>
          <w:rFonts w:ascii="微软雅黑" w:eastAsia="微软雅黑" w:hAnsi="微软雅黑" w:cs="宋体"/>
          <w:kern w:val="0"/>
          <w:sz w:val="24"/>
          <w:szCs w:val="24"/>
        </w:rPr>
        <w:t xml:space="preserve"> 800CW（货号926-32210）和山羊抗兔</w:t>
      </w:r>
      <w:proofErr w:type="spellStart"/>
      <w:r w:rsidRPr="00736BD1">
        <w:rPr>
          <w:rFonts w:ascii="微软雅黑" w:eastAsia="微软雅黑" w:hAnsi="微软雅黑" w:cs="宋体"/>
          <w:kern w:val="0"/>
          <w:sz w:val="24"/>
          <w:szCs w:val="24"/>
        </w:rPr>
        <w:t>IRDye</w:t>
      </w:r>
      <w:proofErr w:type="spellEnd"/>
      <w:r w:rsidRPr="00736BD1">
        <w:rPr>
          <w:rFonts w:ascii="微软雅黑" w:eastAsia="微软雅黑" w:hAnsi="微软雅黑" w:cs="宋体"/>
          <w:kern w:val="0"/>
          <w:sz w:val="24"/>
          <w:szCs w:val="24"/>
        </w:rPr>
        <w:t xml:space="preserve"> 680RD（货号926-68071）</w:t>
      </w:r>
      <w:proofErr w:type="gramStart"/>
      <w:r w:rsidRPr="00736BD1">
        <w:rPr>
          <w:rFonts w:ascii="微软雅黑" w:eastAsia="微软雅黑" w:hAnsi="微软雅黑" w:cs="宋体"/>
          <w:kern w:val="0"/>
          <w:sz w:val="24"/>
          <w:szCs w:val="24"/>
        </w:rPr>
        <w:t>均购自</w:t>
      </w:r>
      <w:proofErr w:type="gramEnd"/>
      <w:r w:rsidRPr="00736BD1">
        <w:rPr>
          <w:rFonts w:ascii="微软雅黑" w:eastAsia="微软雅黑" w:hAnsi="微软雅黑" w:cs="宋体"/>
          <w:kern w:val="0"/>
          <w:sz w:val="24"/>
          <w:szCs w:val="24"/>
        </w:rPr>
        <w:t>LI-COR Biosciences公司。用于流式细胞术的荧光标记抗体列于</w:t>
      </w:r>
      <w:r w:rsidRPr="00736BD1">
        <w:rPr>
          <w:rFonts w:ascii="微软雅黑" w:eastAsia="微软雅黑" w:hAnsi="微软雅黑" w:cs="宋体"/>
          <w:kern w:val="0"/>
          <w:sz w:val="24"/>
          <w:szCs w:val="24"/>
        </w:rPr>
        <w:fldChar w:fldCharType="begin"/>
      </w:r>
      <w:r w:rsidRPr="00736BD1">
        <w:rPr>
          <w:rFonts w:ascii="微软雅黑" w:eastAsia="微软雅黑" w:hAnsi="微软雅黑" w:cs="宋体"/>
          <w:kern w:val="0"/>
          <w:sz w:val="24"/>
          <w:szCs w:val="24"/>
        </w:rPr>
        <w:instrText xml:space="preserve"> HYPERLINK "https://pmc.ncbi.nlm.nih.gov/articles/PMC12520673/" \l "sd" </w:instrText>
      </w:r>
      <w:r w:rsidRPr="00736BD1">
        <w:rPr>
          <w:rFonts w:ascii="微软雅黑" w:eastAsia="微软雅黑" w:hAnsi="微软雅黑" w:cs="宋体"/>
          <w:kern w:val="0"/>
          <w:sz w:val="24"/>
          <w:szCs w:val="24"/>
        </w:rPr>
        <w:fldChar w:fldCharType="separate"/>
      </w:r>
      <w:r w:rsidRPr="00736BD1">
        <w:rPr>
          <w:rFonts w:ascii="微软雅黑" w:eastAsia="微软雅黑" w:hAnsi="微软雅黑" w:cs="宋体"/>
          <w:kern w:val="0"/>
          <w:sz w:val="24"/>
          <w:szCs w:val="24"/>
          <w:u w:val="single"/>
        </w:rPr>
        <w:t>补充表1</w:t>
      </w:r>
      <w:r w:rsidRPr="00736BD1">
        <w:rPr>
          <w:rFonts w:ascii="微软雅黑" w:eastAsia="微软雅黑" w:hAnsi="微软雅黑" w:cs="宋体"/>
          <w:kern w:val="0"/>
          <w:sz w:val="24"/>
          <w:szCs w:val="24"/>
        </w:rPr>
        <w:fldChar w:fldCharType="end"/>
      </w:r>
      <w:r w:rsidRPr="00736BD1">
        <w:rPr>
          <w:rFonts w:ascii="微软雅黑" w:eastAsia="微软雅黑" w:hAnsi="微软雅黑" w:cs="宋体"/>
          <w:kern w:val="0"/>
          <w:sz w:val="24"/>
          <w:szCs w:val="24"/>
        </w:rPr>
        <w:t>中。</w:t>
      </w:r>
    </w:p>
    <w:p w14:paraId="58CFBFF5" w14:textId="77777777" w:rsidR="00736BD1" w:rsidRPr="00736BD1" w:rsidRDefault="00736BD1" w:rsidP="00736BD1">
      <w:pPr>
        <w:widowControl/>
        <w:spacing w:line="450" w:lineRule="atLeast"/>
        <w:outlineLvl w:val="2"/>
        <w:rPr>
          <w:rFonts w:ascii="微软雅黑" w:eastAsia="微软雅黑" w:hAnsi="微软雅黑" w:cs="宋体"/>
          <w:kern w:val="0"/>
          <w:sz w:val="32"/>
          <w:szCs w:val="32"/>
        </w:rPr>
      </w:pPr>
      <w:r w:rsidRPr="00736BD1">
        <w:rPr>
          <w:rFonts w:ascii="微软雅黑" w:eastAsia="微软雅黑" w:hAnsi="微软雅黑" w:cs="宋体"/>
          <w:kern w:val="0"/>
          <w:sz w:val="32"/>
          <w:szCs w:val="32"/>
        </w:rPr>
        <w:t>类器官培养。</w:t>
      </w:r>
    </w:p>
    <w:p w14:paraId="35040B4C" w14:textId="77777777" w:rsidR="00736BD1" w:rsidRPr="00736BD1" w:rsidRDefault="00736BD1" w:rsidP="00736BD1">
      <w:pPr>
        <w:widowControl/>
        <w:spacing w:before="450"/>
        <w:rPr>
          <w:rFonts w:ascii="微软雅黑" w:eastAsia="微软雅黑" w:hAnsi="微软雅黑" w:cs="宋体"/>
          <w:kern w:val="0"/>
          <w:sz w:val="24"/>
          <w:szCs w:val="24"/>
        </w:rPr>
      </w:pPr>
      <w:r w:rsidRPr="00736BD1">
        <w:rPr>
          <w:rFonts w:ascii="微软雅黑" w:eastAsia="微软雅黑" w:hAnsi="微软雅黑" w:cs="宋体"/>
          <w:kern w:val="0"/>
          <w:sz w:val="24"/>
          <w:szCs w:val="24"/>
        </w:rPr>
        <w:lastRenderedPageBreak/>
        <w:t>乳腺癌</w:t>
      </w:r>
      <w:proofErr w:type="spellStart"/>
      <w:r w:rsidRPr="00736BD1">
        <w:rPr>
          <w:rFonts w:ascii="微软雅黑" w:eastAsia="微软雅黑" w:hAnsi="微软雅黑" w:cs="宋体"/>
          <w:kern w:val="0"/>
          <w:sz w:val="24"/>
          <w:szCs w:val="24"/>
        </w:rPr>
        <w:t>PDxO</w:t>
      </w:r>
      <w:proofErr w:type="spellEnd"/>
      <w:r w:rsidRPr="00736BD1">
        <w:rPr>
          <w:rFonts w:ascii="微软雅黑" w:eastAsia="微软雅黑" w:hAnsi="微软雅黑" w:cs="宋体"/>
          <w:kern w:val="0"/>
          <w:sz w:val="24"/>
          <w:szCs w:val="24"/>
        </w:rPr>
        <w:t>（HCI-002、HCI-003、HCI-017和HCI-041）购自亨</w:t>
      </w:r>
      <w:proofErr w:type="gramStart"/>
      <w:r w:rsidRPr="00736BD1">
        <w:rPr>
          <w:rFonts w:ascii="微软雅黑" w:eastAsia="微软雅黑" w:hAnsi="微软雅黑" w:cs="宋体"/>
          <w:kern w:val="0"/>
          <w:sz w:val="24"/>
          <w:szCs w:val="24"/>
        </w:rPr>
        <w:t>茨曼</w:t>
      </w:r>
      <w:proofErr w:type="gramEnd"/>
      <w:r w:rsidRPr="00736BD1">
        <w:rPr>
          <w:rFonts w:ascii="微软雅黑" w:eastAsia="微软雅黑" w:hAnsi="微软雅黑" w:cs="宋体"/>
          <w:kern w:val="0"/>
          <w:sz w:val="24"/>
          <w:szCs w:val="24"/>
        </w:rPr>
        <w:t>癌症研究所，并按照已发表的方案进行培养（</w:t>
      </w:r>
      <w:r w:rsidRPr="00736BD1">
        <w:rPr>
          <w:rFonts w:ascii="微软雅黑" w:eastAsia="微软雅黑" w:hAnsi="微软雅黑" w:cs="宋体"/>
          <w:kern w:val="0"/>
          <w:sz w:val="24"/>
          <w:szCs w:val="24"/>
        </w:rPr>
        <w:fldChar w:fldCharType="begin"/>
      </w:r>
      <w:r w:rsidRPr="00736BD1">
        <w:rPr>
          <w:rFonts w:ascii="微软雅黑" w:eastAsia="微软雅黑" w:hAnsi="微软雅黑" w:cs="宋体"/>
          <w:kern w:val="0"/>
          <w:sz w:val="24"/>
          <w:szCs w:val="24"/>
        </w:rPr>
        <w:instrText xml:space="preserve"> HYPERLINK "https://pmc.ncbi.nlm.nih.gov/articles/PMC12520673/" \l "B55" </w:instrText>
      </w:r>
      <w:r w:rsidRPr="00736BD1">
        <w:rPr>
          <w:rFonts w:ascii="微软雅黑" w:eastAsia="微软雅黑" w:hAnsi="微软雅黑" w:cs="宋体"/>
          <w:kern w:val="0"/>
          <w:sz w:val="24"/>
          <w:szCs w:val="24"/>
        </w:rPr>
        <w:fldChar w:fldCharType="separate"/>
      </w:r>
      <w:r w:rsidRPr="00736BD1">
        <w:rPr>
          <w:rFonts w:ascii="微软雅黑" w:eastAsia="微软雅黑" w:hAnsi="微软雅黑" w:cs="宋体"/>
          <w:kern w:val="0"/>
          <w:sz w:val="24"/>
          <w:szCs w:val="24"/>
          <w:u w:val="single"/>
        </w:rPr>
        <w:t>55</w:t>
      </w:r>
      <w:r w:rsidRPr="00736BD1">
        <w:rPr>
          <w:rFonts w:ascii="微软雅黑" w:eastAsia="微软雅黑" w:hAnsi="微软雅黑" w:cs="宋体"/>
          <w:kern w:val="0"/>
          <w:sz w:val="24"/>
          <w:szCs w:val="24"/>
        </w:rPr>
        <w:fldChar w:fldCharType="end"/>
      </w:r>
      <w:r w:rsidRPr="00736BD1">
        <w:rPr>
          <w:rFonts w:ascii="微软雅黑" w:eastAsia="微软雅黑" w:hAnsi="微软雅黑" w:cs="宋体"/>
          <w:kern w:val="0"/>
          <w:sz w:val="24"/>
          <w:szCs w:val="24"/>
        </w:rPr>
        <w:t>）。将</w:t>
      </w:r>
      <w:proofErr w:type="spellStart"/>
      <w:r w:rsidRPr="00736BD1">
        <w:rPr>
          <w:rFonts w:ascii="微软雅黑" w:eastAsia="微软雅黑" w:hAnsi="微软雅黑" w:cs="宋体"/>
          <w:kern w:val="0"/>
          <w:sz w:val="24"/>
          <w:szCs w:val="24"/>
        </w:rPr>
        <w:t>PDxO</w:t>
      </w:r>
      <w:proofErr w:type="spellEnd"/>
      <w:r w:rsidRPr="00736BD1">
        <w:rPr>
          <w:rFonts w:ascii="微软雅黑" w:eastAsia="微软雅黑" w:hAnsi="微软雅黑" w:cs="宋体"/>
          <w:kern w:val="0"/>
          <w:sz w:val="24"/>
          <w:szCs w:val="24"/>
        </w:rPr>
        <w:t xml:space="preserve">包埋于多孔板中，孔板底部铺有50 </w:t>
      </w:r>
      <w:proofErr w:type="spellStart"/>
      <w:r w:rsidRPr="00736BD1">
        <w:rPr>
          <w:rFonts w:ascii="微软雅黑" w:eastAsia="微软雅黑" w:hAnsi="微软雅黑" w:cs="宋体"/>
          <w:kern w:val="0"/>
          <w:sz w:val="24"/>
          <w:szCs w:val="24"/>
        </w:rPr>
        <w:t>μL</w:t>
      </w:r>
      <w:proofErr w:type="spellEnd"/>
      <w:r w:rsidRPr="00736BD1">
        <w:rPr>
          <w:rFonts w:ascii="微软雅黑" w:eastAsia="微软雅黑" w:hAnsi="微软雅黑" w:cs="宋体"/>
          <w:kern w:val="0"/>
          <w:sz w:val="24"/>
          <w:szCs w:val="24"/>
        </w:rPr>
        <w:t xml:space="preserve"> Matrigel，并覆盖200 </w:t>
      </w:r>
      <w:proofErr w:type="spellStart"/>
      <w:r w:rsidRPr="00736BD1">
        <w:rPr>
          <w:rFonts w:ascii="微软雅黑" w:eastAsia="微软雅黑" w:hAnsi="微软雅黑" w:cs="宋体"/>
          <w:kern w:val="0"/>
          <w:sz w:val="24"/>
          <w:szCs w:val="24"/>
        </w:rPr>
        <w:t>μL</w:t>
      </w:r>
      <w:proofErr w:type="spellEnd"/>
      <w:r w:rsidRPr="00736BD1">
        <w:rPr>
          <w:rFonts w:ascii="微软雅黑" w:eastAsia="微软雅黑" w:hAnsi="微软雅黑" w:cs="宋体"/>
          <w:kern w:val="0"/>
          <w:sz w:val="24"/>
          <w:szCs w:val="24"/>
        </w:rPr>
        <w:t xml:space="preserve">生长因子减少的Matrigel。TNBC </w:t>
      </w:r>
      <w:proofErr w:type="spellStart"/>
      <w:r w:rsidRPr="00736BD1">
        <w:rPr>
          <w:rFonts w:ascii="微软雅黑" w:eastAsia="微软雅黑" w:hAnsi="微软雅黑" w:cs="宋体"/>
          <w:kern w:val="0"/>
          <w:sz w:val="24"/>
          <w:szCs w:val="24"/>
        </w:rPr>
        <w:t>PDxO</w:t>
      </w:r>
      <w:proofErr w:type="spellEnd"/>
      <w:r w:rsidRPr="00736BD1">
        <w:rPr>
          <w:rFonts w:ascii="微软雅黑" w:eastAsia="微软雅黑" w:hAnsi="微软雅黑" w:cs="宋体"/>
          <w:kern w:val="0"/>
          <w:sz w:val="24"/>
          <w:szCs w:val="24"/>
        </w:rPr>
        <w:t>培养于</w:t>
      </w:r>
      <w:proofErr w:type="spellStart"/>
      <w:r w:rsidRPr="00736BD1">
        <w:rPr>
          <w:rFonts w:ascii="微软雅黑" w:eastAsia="微软雅黑" w:hAnsi="微软雅黑" w:cs="宋体"/>
          <w:kern w:val="0"/>
          <w:sz w:val="24"/>
          <w:szCs w:val="24"/>
        </w:rPr>
        <w:t>PDxO</w:t>
      </w:r>
      <w:proofErr w:type="spellEnd"/>
      <w:r w:rsidRPr="00736BD1">
        <w:rPr>
          <w:rFonts w:ascii="微软雅黑" w:eastAsia="微软雅黑" w:hAnsi="微软雅黑" w:cs="宋体"/>
          <w:kern w:val="0"/>
          <w:sz w:val="24"/>
          <w:szCs w:val="24"/>
        </w:rPr>
        <w:t xml:space="preserve">基础培养基中，该培养基由添加了5% FBS、10 mM HEPES、1× </w:t>
      </w:r>
      <w:proofErr w:type="spellStart"/>
      <w:r w:rsidRPr="00736BD1">
        <w:rPr>
          <w:rFonts w:ascii="微软雅黑" w:eastAsia="微软雅黑" w:hAnsi="微软雅黑" w:cs="宋体"/>
          <w:kern w:val="0"/>
          <w:sz w:val="24"/>
          <w:szCs w:val="24"/>
        </w:rPr>
        <w:t>GlutaMAX</w:t>
      </w:r>
      <w:proofErr w:type="spellEnd"/>
      <w:r w:rsidRPr="00736BD1">
        <w:rPr>
          <w:rFonts w:ascii="微软雅黑" w:eastAsia="微软雅黑" w:hAnsi="微软雅黑" w:cs="宋体"/>
          <w:kern w:val="0"/>
          <w:sz w:val="24"/>
          <w:szCs w:val="24"/>
        </w:rPr>
        <w:t xml:space="preserve">、1 </w:t>
      </w:r>
      <w:proofErr w:type="spellStart"/>
      <w:r w:rsidRPr="00736BD1">
        <w:rPr>
          <w:rFonts w:ascii="微软雅黑" w:eastAsia="微软雅黑" w:hAnsi="微软雅黑" w:cs="宋体"/>
          <w:kern w:val="0"/>
          <w:sz w:val="24"/>
          <w:szCs w:val="24"/>
        </w:rPr>
        <w:t>μg</w:t>
      </w:r>
      <w:proofErr w:type="spellEnd"/>
      <w:r w:rsidRPr="00736BD1">
        <w:rPr>
          <w:rFonts w:ascii="微软雅黑" w:eastAsia="微软雅黑" w:hAnsi="微软雅黑" w:cs="宋体"/>
          <w:kern w:val="0"/>
          <w:sz w:val="24"/>
          <w:szCs w:val="24"/>
        </w:rPr>
        <w:t xml:space="preserve">/mL氢化可的松、50 </w:t>
      </w:r>
      <w:proofErr w:type="spellStart"/>
      <w:r w:rsidRPr="00736BD1">
        <w:rPr>
          <w:rFonts w:ascii="微软雅黑" w:eastAsia="微软雅黑" w:hAnsi="微软雅黑" w:cs="宋体"/>
          <w:kern w:val="0"/>
          <w:sz w:val="24"/>
          <w:szCs w:val="24"/>
        </w:rPr>
        <w:t>μg</w:t>
      </w:r>
      <w:proofErr w:type="spellEnd"/>
      <w:r w:rsidRPr="00736BD1">
        <w:rPr>
          <w:rFonts w:ascii="微软雅黑" w:eastAsia="微软雅黑" w:hAnsi="微软雅黑" w:cs="宋体"/>
          <w:kern w:val="0"/>
          <w:sz w:val="24"/>
          <w:szCs w:val="24"/>
        </w:rPr>
        <w:t xml:space="preserve">/mL庆大霉素和10 ng/mL人EGF的DMEM/F12培养基（Gibco；12634028）组成，并新鲜添加10 </w:t>
      </w:r>
      <w:proofErr w:type="spellStart"/>
      <w:r w:rsidRPr="00736BD1">
        <w:rPr>
          <w:rFonts w:ascii="微软雅黑" w:eastAsia="微软雅黑" w:hAnsi="微软雅黑" w:cs="宋体"/>
          <w:kern w:val="0"/>
          <w:sz w:val="24"/>
          <w:szCs w:val="24"/>
        </w:rPr>
        <w:t>μM</w:t>
      </w:r>
      <w:proofErr w:type="spellEnd"/>
      <w:r w:rsidRPr="00736BD1">
        <w:rPr>
          <w:rFonts w:ascii="微软雅黑" w:eastAsia="微软雅黑" w:hAnsi="微软雅黑" w:cs="宋体"/>
          <w:kern w:val="0"/>
          <w:sz w:val="24"/>
          <w:szCs w:val="24"/>
        </w:rPr>
        <w:t xml:space="preserve"> Y-27632。将HR </w:t>
      </w:r>
      <w:r w:rsidRPr="00736BD1">
        <w:rPr>
          <w:rFonts w:ascii="微软雅黑" w:eastAsia="微软雅黑" w:hAnsi="微软雅黑" w:cs="宋体"/>
          <w:kern w:val="0"/>
          <w:sz w:val="24"/>
          <w:szCs w:val="24"/>
          <w:vertAlign w:val="superscript"/>
        </w:rPr>
        <w:t>+</w:t>
      </w:r>
      <w:r w:rsidRPr="00736BD1">
        <w:rPr>
          <w:rFonts w:ascii="微软雅黑" w:eastAsia="微软雅黑" w:hAnsi="微软雅黑" w:cs="宋体"/>
          <w:kern w:val="0"/>
          <w:sz w:val="24"/>
          <w:szCs w:val="24"/>
        </w:rPr>
        <w:t> /HER2- </w:t>
      </w:r>
      <w:proofErr w:type="spellStart"/>
      <w:r w:rsidRPr="00736BD1">
        <w:rPr>
          <w:rFonts w:ascii="微软雅黑" w:eastAsia="微软雅黑" w:hAnsi="微软雅黑" w:cs="宋体"/>
          <w:kern w:val="0"/>
          <w:sz w:val="24"/>
          <w:szCs w:val="24"/>
          <w:vertAlign w:val="superscript"/>
        </w:rPr>
        <w:t>PDxOs</w:t>
      </w:r>
      <w:proofErr w:type="spellEnd"/>
      <w:r w:rsidRPr="00736BD1">
        <w:rPr>
          <w:rFonts w:ascii="微软雅黑" w:eastAsia="微软雅黑" w:hAnsi="微软雅黑" w:cs="宋体"/>
          <w:kern w:val="0"/>
          <w:sz w:val="24"/>
          <w:szCs w:val="24"/>
        </w:rPr>
        <w:t xml:space="preserve">培养于添加了 10 </w:t>
      </w:r>
      <w:proofErr w:type="spellStart"/>
      <w:r w:rsidRPr="00736BD1">
        <w:rPr>
          <w:rFonts w:ascii="微软雅黑" w:eastAsia="微软雅黑" w:hAnsi="微软雅黑" w:cs="宋体"/>
          <w:kern w:val="0"/>
          <w:sz w:val="24"/>
          <w:szCs w:val="24"/>
        </w:rPr>
        <w:t>μM</w:t>
      </w:r>
      <w:proofErr w:type="spellEnd"/>
      <w:r w:rsidRPr="00736BD1">
        <w:rPr>
          <w:rFonts w:ascii="微软雅黑" w:eastAsia="微软雅黑" w:hAnsi="微软雅黑" w:cs="宋体"/>
          <w:kern w:val="0"/>
          <w:sz w:val="24"/>
          <w:szCs w:val="24"/>
        </w:rPr>
        <w:t xml:space="preserve"> Y-27632、100 ng/mL FGF2 和 1 mM NAC 的相同基础培养基中。培养条件为 37°C、5% CO</w:t>
      </w:r>
      <w:r w:rsidRPr="00736BD1">
        <w:rPr>
          <w:rFonts w:ascii="Cambria Math" w:eastAsia="微软雅黑" w:hAnsi="Cambria Math" w:cs="Cambria Math"/>
          <w:kern w:val="0"/>
          <w:sz w:val="24"/>
          <w:szCs w:val="24"/>
        </w:rPr>
        <w:t>₂</w:t>
      </w:r>
      <w:r w:rsidRPr="00736BD1">
        <w:rPr>
          <w:rFonts w:ascii="微软雅黑" w:eastAsia="微软雅黑" w:hAnsi="微软雅黑" w:cs="宋体"/>
          <w:kern w:val="0"/>
          <w:sz w:val="24"/>
          <w:szCs w:val="24"/>
        </w:rPr>
        <w:t xml:space="preserve"> 的湿润环境，每 3-4 天更换一次培养基。</w:t>
      </w:r>
      <w:proofErr w:type="gramStart"/>
      <w:r w:rsidRPr="00736BD1">
        <w:rPr>
          <w:rFonts w:ascii="微软雅黑" w:eastAsia="微软雅黑" w:hAnsi="微软雅黑" w:cs="宋体"/>
          <w:kern w:val="0"/>
          <w:sz w:val="24"/>
          <w:szCs w:val="24"/>
        </w:rPr>
        <w:t>待类器官</w:t>
      </w:r>
      <w:proofErr w:type="gramEnd"/>
      <w:r w:rsidRPr="00736BD1">
        <w:rPr>
          <w:rFonts w:ascii="微软雅黑" w:eastAsia="微软雅黑" w:hAnsi="微软雅黑" w:cs="宋体"/>
          <w:kern w:val="0"/>
          <w:sz w:val="24"/>
          <w:szCs w:val="24"/>
        </w:rPr>
        <w:t>成熟后，进行传代，并以 2 × 10</w:t>
      </w:r>
      <w:r w:rsidRPr="00736BD1">
        <w:rPr>
          <w:rFonts w:ascii="微软雅黑" w:eastAsia="微软雅黑" w:hAnsi="微软雅黑" w:cs="宋体" w:hint="eastAsia"/>
          <w:kern w:val="0"/>
          <w:sz w:val="24"/>
          <w:szCs w:val="24"/>
        </w:rPr>
        <w:t>⁵</w:t>
      </w:r>
      <w:r w:rsidRPr="00736BD1">
        <w:rPr>
          <w:rFonts w:ascii="微软雅黑" w:eastAsia="微软雅黑" w:hAnsi="微软雅黑" w:cs="宋体"/>
          <w:kern w:val="0"/>
          <w:sz w:val="24"/>
          <w:szCs w:val="24"/>
        </w:rPr>
        <w:t xml:space="preserve"> </w:t>
      </w:r>
      <w:proofErr w:type="gramStart"/>
      <w:r w:rsidRPr="00736BD1">
        <w:rPr>
          <w:rFonts w:ascii="微软雅黑" w:eastAsia="微软雅黑" w:hAnsi="微软雅黑" w:cs="宋体"/>
          <w:kern w:val="0"/>
          <w:sz w:val="24"/>
          <w:szCs w:val="24"/>
        </w:rPr>
        <w:t>个</w:t>
      </w:r>
      <w:proofErr w:type="gramEnd"/>
      <w:r w:rsidRPr="00736BD1">
        <w:rPr>
          <w:rFonts w:ascii="微软雅黑" w:eastAsia="微软雅黑" w:hAnsi="微软雅黑" w:cs="宋体"/>
          <w:kern w:val="0"/>
          <w:sz w:val="24"/>
          <w:szCs w:val="24"/>
        </w:rPr>
        <w:t>细胞/Matrigel 圆顶的密度接种于 6 孔板中。</w:t>
      </w:r>
    </w:p>
    <w:p w14:paraId="77322EA9" w14:textId="77777777" w:rsidR="00736BD1" w:rsidRPr="00736BD1" w:rsidRDefault="00736BD1" w:rsidP="00736BD1">
      <w:pPr>
        <w:widowControl/>
        <w:spacing w:line="450" w:lineRule="atLeast"/>
        <w:outlineLvl w:val="2"/>
        <w:rPr>
          <w:rFonts w:ascii="微软雅黑" w:eastAsia="微软雅黑" w:hAnsi="微软雅黑" w:cs="宋体"/>
          <w:kern w:val="0"/>
          <w:sz w:val="32"/>
          <w:szCs w:val="32"/>
        </w:rPr>
      </w:pPr>
      <w:r w:rsidRPr="00736BD1">
        <w:rPr>
          <w:rFonts w:ascii="微软雅黑" w:eastAsia="微软雅黑" w:hAnsi="微软雅黑" w:cs="宋体"/>
          <w:kern w:val="0"/>
          <w:sz w:val="32"/>
          <w:szCs w:val="32"/>
        </w:rPr>
        <w:t>类器官活力检测。</w:t>
      </w:r>
    </w:p>
    <w:p w14:paraId="5B34F13E" w14:textId="77777777" w:rsidR="00736BD1" w:rsidRPr="00736BD1" w:rsidRDefault="00736BD1" w:rsidP="00736BD1">
      <w:pPr>
        <w:widowControl/>
        <w:spacing w:before="450"/>
        <w:rPr>
          <w:rFonts w:ascii="微软雅黑" w:eastAsia="微软雅黑" w:hAnsi="微软雅黑" w:cs="宋体"/>
          <w:kern w:val="0"/>
          <w:sz w:val="24"/>
          <w:szCs w:val="24"/>
        </w:rPr>
      </w:pPr>
      <w:r w:rsidRPr="00736BD1">
        <w:rPr>
          <w:rFonts w:ascii="微软雅黑" w:eastAsia="微软雅黑" w:hAnsi="微软雅黑" w:cs="宋体"/>
          <w:kern w:val="0"/>
          <w:sz w:val="24"/>
          <w:szCs w:val="24"/>
        </w:rPr>
        <w:t>为了评估</w:t>
      </w:r>
      <w:proofErr w:type="spellStart"/>
      <w:r w:rsidRPr="00736BD1">
        <w:rPr>
          <w:rFonts w:ascii="微软雅黑" w:eastAsia="微软雅黑" w:hAnsi="微软雅黑" w:cs="宋体"/>
          <w:kern w:val="0"/>
          <w:sz w:val="24"/>
          <w:szCs w:val="24"/>
        </w:rPr>
        <w:t>PDxO</w:t>
      </w:r>
      <w:proofErr w:type="spellEnd"/>
      <w:r w:rsidRPr="00736BD1">
        <w:rPr>
          <w:rFonts w:ascii="微软雅黑" w:eastAsia="微软雅黑" w:hAnsi="微软雅黑" w:cs="宋体"/>
          <w:kern w:val="0"/>
          <w:sz w:val="24"/>
          <w:szCs w:val="24"/>
        </w:rPr>
        <w:t>的活力，</w:t>
      </w:r>
      <w:proofErr w:type="gramStart"/>
      <w:r w:rsidRPr="00736BD1">
        <w:rPr>
          <w:rFonts w:ascii="微软雅黑" w:eastAsia="微软雅黑" w:hAnsi="微软雅黑" w:cs="宋体"/>
          <w:kern w:val="0"/>
          <w:sz w:val="24"/>
          <w:szCs w:val="24"/>
        </w:rPr>
        <w:t>将类器官</w:t>
      </w:r>
      <w:proofErr w:type="gramEnd"/>
      <w:r w:rsidRPr="00736BD1">
        <w:rPr>
          <w:rFonts w:ascii="微软雅黑" w:eastAsia="微软雅黑" w:hAnsi="微软雅黑" w:cs="宋体"/>
          <w:kern w:val="0"/>
          <w:sz w:val="24"/>
          <w:szCs w:val="24"/>
        </w:rPr>
        <w:t>以2 × 10</w:t>
      </w:r>
      <w:r w:rsidRPr="00736BD1">
        <w:rPr>
          <w:rFonts w:ascii="微软雅黑" w:eastAsia="微软雅黑" w:hAnsi="微软雅黑" w:cs="微软雅黑" w:hint="eastAsia"/>
          <w:kern w:val="0"/>
          <w:sz w:val="24"/>
          <w:szCs w:val="24"/>
        </w:rPr>
        <w:t>⁴</w:t>
      </w:r>
      <w:proofErr w:type="gramStart"/>
      <w:r w:rsidRPr="00736BD1">
        <w:rPr>
          <w:rFonts w:ascii="微软雅黑" w:eastAsia="微软雅黑" w:hAnsi="微软雅黑" w:cs="宋体"/>
          <w:kern w:val="0"/>
          <w:sz w:val="24"/>
          <w:szCs w:val="24"/>
        </w:rPr>
        <w:t>个</w:t>
      </w:r>
      <w:proofErr w:type="gramEnd"/>
      <w:r w:rsidRPr="00736BD1">
        <w:rPr>
          <w:rFonts w:ascii="微软雅黑" w:eastAsia="微软雅黑" w:hAnsi="微软雅黑" w:cs="宋体"/>
          <w:kern w:val="0"/>
          <w:sz w:val="24"/>
          <w:szCs w:val="24"/>
        </w:rPr>
        <w:t>细胞/孔的密度接种</w:t>
      </w:r>
      <w:r w:rsidRPr="00736BD1">
        <w:rPr>
          <w:rFonts w:ascii="微软雅黑" w:eastAsia="微软雅黑" w:hAnsi="微软雅黑" w:cs="宋体"/>
          <w:kern w:val="0"/>
          <w:sz w:val="24"/>
          <w:szCs w:val="24"/>
          <w:vertAlign w:val="superscript"/>
        </w:rPr>
        <w:t>于</w:t>
      </w:r>
      <w:r w:rsidRPr="00736BD1">
        <w:rPr>
          <w:rFonts w:ascii="微软雅黑" w:eastAsia="微软雅黑" w:hAnsi="微软雅黑" w:cs="宋体"/>
          <w:kern w:val="0"/>
          <w:sz w:val="24"/>
          <w:szCs w:val="24"/>
        </w:rPr>
        <w:t>24孔板（Fisher Scientific；</w:t>
      </w:r>
      <w:r w:rsidRPr="00736BD1">
        <w:rPr>
          <w:rFonts w:ascii="微软雅黑" w:eastAsia="微软雅黑" w:hAnsi="微软雅黑" w:cs="宋体"/>
          <w:kern w:val="0"/>
          <w:sz w:val="24"/>
          <w:szCs w:val="24"/>
        </w:rPr>
        <w:fldChar w:fldCharType="begin"/>
      </w:r>
      <w:r w:rsidRPr="00736BD1">
        <w:rPr>
          <w:rFonts w:ascii="微软雅黑" w:eastAsia="微软雅黑" w:hAnsi="微软雅黑" w:cs="宋体"/>
          <w:kern w:val="0"/>
          <w:sz w:val="24"/>
          <w:szCs w:val="24"/>
        </w:rPr>
        <w:instrText xml:space="preserve"> HYPERLINK "https://www.ncbi.nlm.nih.gov/nuccore/FB012929" \t "_blank" </w:instrText>
      </w:r>
      <w:r w:rsidRPr="00736BD1">
        <w:rPr>
          <w:rFonts w:ascii="微软雅黑" w:eastAsia="微软雅黑" w:hAnsi="微软雅黑" w:cs="宋体"/>
          <w:kern w:val="0"/>
          <w:sz w:val="24"/>
          <w:szCs w:val="24"/>
        </w:rPr>
        <w:fldChar w:fldCharType="separate"/>
      </w:r>
      <w:r w:rsidRPr="00736BD1">
        <w:rPr>
          <w:rFonts w:ascii="微软雅黑" w:eastAsia="微软雅黑" w:hAnsi="微软雅黑" w:cs="宋体"/>
          <w:kern w:val="0"/>
          <w:sz w:val="24"/>
          <w:szCs w:val="24"/>
          <w:u w:val="single"/>
        </w:rPr>
        <w:t>FB012929</w:t>
      </w:r>
      <w:r w:rsidRPr="00736BD1">
        <w:rPr>
          <w:rFonts w:ascii="微软雅黑" w:eastAsia="微软雅黑" w:hAnsi="微软雅黑" w:cs="宋体"/>
          <w:kern w:val="0"/>
          <w:sz w:val="24"/>
          <w:szCs w:val="24"/>
        </w:rPr>
        <w:fldChar w:fldCharType="end"/>
      </w:r>
      <w:r w:rsidRPr="00736BD1">
        <w:rPr>
          <w:rFonts w:ascii="微软雅黑" w:eastAsia="微软雅黑" w:hAnsi="微软雅黑" w:cs="宋体"/>
          <w:kern w:val="0"/>
          <w:sz w:val="24"/>
          <w:szCs w:val="24"/>
        </w:rPr>
        <w:t xml:space="preserve">）中，每个孔内预先铺有10 </w:t>
      </w:r>
      <w:proofErr w:type="spellStart"/>
      <w:r w:rsidRPr="00736BD1">
        <w:rPr>
          <w:rFonts w:ascii="微软雅黑" w:eastAsia="微软雅黑" w:hAnsi="微软雅黑" w:cs="宋体"/>
          <w:kern w:val="0"/>
          <w:sz w:val="24"/>
          <w:szCs w:val="24"/>
        </w:rPr>
        <w:t>μL</w:t>
      </w:r>
      <w:proofErr w:type="spellEnd"/>
      <w:r w:rsidRPr="00736BD1">
        <w:rPr>
          <w:rFonts w:ascii="微软雅黑" w:eastAsia="微软雅黑" w:hAnsi="微软雅黑" w:cs="宋体"/>
          <w:kern w:val="0"/>
          <w:sz w:val="24"/>
          <w:szCs w:val="24"/>
        </w:rPr>
        <w:t xml:space="preserve"> Matrigel基质胶，并在其上覆盖90 </w:t>
      </w:r>
      <w:proofErr w:type="spellStart"/>
      <w:r w:rsidRPr="00736BD1">
        <w:rPr>
          <w:rFonts w:ascii="微软雅黑" w:eastAsia="微软雅黑" w:hAnsi="微软雅黑" w:cs="宋体"/>
          <w:kern w:val="0"/>
          <w:sz w:val="24"/>
          <w:szCs w:val="24"/>
        </w:rPr>
        <w:t>μL</w:t>
      </w:r>
      <w:proofErr w:type="spellEnd"/>
      <w:r w:rsidRPr="00736BD1">
        <w:rPr>
          <w:rFonts w:ascii="微软雅黑" w:eastAsia="微软雅黑" w:hAnsi="微软雅黑" w:cs="宋体"/>
          <w:kern w:val="0"/>
          <w:sz w:val="24"/>
          <w:szCs w:val="24"/>
        </w:rPr>
        <w:t xml:space="preserve"> Matrigel基质胶。接种7天后开始药物处理，每3-4天更换一次培养基。处理结束后，将培养板置于室温，并吸出培养基。每个</w:t>
      </w:r>
      <w:proofErr w:type="gramStart"/>
      <w:r w:rsidRPr="00736BD1">
        <w:rPr>
          <w:rFonts w:ascii="微软雅黑" w:eastAsia="微软雅黑" w:hAnsi="微软雅黑" w:cs="宋体"/>
          <w:kern w:val="0"/>
          <w:sz w:val="24"/>
          <w:szCs w:val="24"/>
        </w:rPr>
        <w:t>孔加入</w:t>
      </w:r>
      <w:proofErr w:type="gramEnd"/>
      <w:r w:rsidRPr="00736BD1">
        <w:rPr>
          <w:rFonts w:ascii="微软雅黑" w:eastAsia="微软雅黑" w:hAnsi="微软雅黑" w:cs="宋体"/>
          <w:kern w:val="0"/>
          <w:sz w:val="24"/>
          <w:szCs w:val="24"/>
        </w:rPr>
        <w:t xml:space="preserve">100 </w:t>
      </w:r>
      <w:proofErr w:type="spellStart"/>
      <w:r w:rsidRPr="00736BD1">
        <w:rPr>
          <w:rFonts w:ascii="微软雅黑" w:eastAsia="微软雅黑" w:hAnsi="微软雅黑" w:cs="宋体"/>
          <w:kern w:val="0"/>
          <w:sz w:val="24"/>
          <w:szCs w:val="24"/>
        </w:rPr>
        <w:t>μL</w:t>
      </w:r>
      <w:proofErr w:type="spellEnd"/>
      <w:r w:rsidRPr="00736BD1">
        <w:rPr>
          <w:rFonts w:ascii="微软雅黑" w:eastAsia="微软雅黑" w:hAnsi="微软雅黑" w:cs="宋体"/>
          <w:kern w:val="0"/>
          <w:sz w:val="24"/>
          <w:szCs w:val="24"/>
        </w:rPr>
        <w:t xml:space="preserve"> </w:t>
      </w:r>
      <w:proofErr w:type="spellStart"/>
      <w:r w:rsidRPr="00736BD1">
        <w:rPr>
          <w:rFonts w:ascii="微软雅黑" w:eastAsia="微软雅黑" w:hAnsi="微软雅黑" w:cs="宋体"/>
          <w:kern w:val="0"/>
          <w:sz w:val="24"/>
          <w:szCs w:val="24"/>
        </w:rPr>
        <w:t>CellTiter</w:t>
      </w:r>
      <w:proofErr w:type="spellEnd"/>
      <w:r w:rsidRPr="00736BD1">
        <w:rPr>
          <w:rFonts w:ascii="微软雅黑" w:eastAsia="微软雅黑" w:hAnsi="微软雅黑" w:cs="宋体"/>
          <w:kern w:val="0"/>
          <w:sz w:val="24"/>
          <w:szCs w:val="24"/>
        </w:rPr>
        <w:t>-Glo试剂，并在室温下轻轻摇晃25分钟。将裂解</w:t>
      </w:r>
      <w:proofErr w:type="gramStart"/>
      <w:r w:rsidRPr="00736BD1">
        <w:rPr>
          <w:rFonts w:ascii="微软雅黑" w:eastAsia="微软雅黑" w:hAnsi="微软雅黑" w:cs="宋体"/>
          <w:kern w:val="0"/>
          <w:sz w:val="24"/>
          <w:szCs w:val="24"/>
        </w:rPr>
        <w:t>液转移</w:t>
      </w:r>
      <w:proofErr w:type="gramEnd"/>
      <w:r w:rsidRPr="00736BD1">
        <w:rPr>
          <w:rFonts w:ascii="微软雅黑" w:eastAsia="微软雅黑" w:hAnsi="微软雅黑" w:cs="宋体"/>
          <w:kern w:val="0"/>
          <w:sz w:val="24"/>
          <w:szCs w:val="24"/>
        </w:rPr>
        <w:t>至96孔白色不透明板（Corning；3917）后，使用</w:t>
      </w:r>
      <w:proofErr w:type="spellStart"/>
      <w:r w:rsidRPr="00736BD1">
        <w:rPr>
          <w:rFonts w:ascii="微软雅黑" w:eastAsia="微软雅黑" w:hAnsi="微软雅黑" w:cs="宋体"/>
          <w:kern w:val="0"/>
          <w:sz w:val="24"/>
          <w:szCs w:val="24"/>
        </w:rPr>
        <w:t>SpectraMax</w:t>
      </w:r>
      <w:proofErr w:type="spellEnd"/>
      <w:r w:rsidRPr="00736BD1">
        <w:rPr>
          <w:rFonts w:ascii="微软雅黑" w:eastAsia="微软雅黑" w:hAnsi="微软雅黑" w:cs="宋体"/>
          <w:kern w:val="0"/>
          <w:sz w:val="24"/>
          <w:szCs w:val="24"/>
        </w:rPr>
        <w:t xml:space="preserve"> i3x酶标仪（Molecular Devices）测量发光值。</w:t>
      </w:r>
    </w:p>
    <w:p w14:paraId="1917CE70" w14:textId="77777777" w:rsidR="00736BD1" w:rsidRPr="00736BD1" w:rsidRDefault="00736BD1" w:rsidP="00736BD1">
      <w:pPr>
        <w:widowControl/>
        <w:spacing w:line="450" w:lineRule="atLeast"/>
        <w:outlineLvl w:val="2"/>
        <w:rPr>
          <w:rFonts w:ascii="微软雅黑" w:eastAsia="微软雅黑" w:hAnsi="微软雅黑" w:cs="宋体"/>
          <w:kern w:val="0"/>
          <w:sz w:val="32"/>
          <w:szCs w:val="32"/>
        </w:rPr>
      </w:pPr>
      <w:r w:rsidRPr="00736BD1">
        <w:rPr>
          <w:rFonts w:ascii="微软雅黑" w:eastAsia="微软雅黑" w:hAnsi="微软雅黑" w:cs="宋体"/>
          <w:kern w:val="0"/>
          <w:sz w:val="32"/>
          <w:szCs w:val="32"/>
        </w:rPr>
        <w:t>克隆形成试验。</w:t>
      </w:r>
    </w:p>
    <w:p w14:paraId="41575C47" w14:textId="77777777" w:rsidR="00736BD1" w:rsidRPr="00736BD1" w:rsidRDefault="00736BD1" w:rsidP="00736BD1">
      <w:pPr>
        <w:widowControl/>
        <w:spacing w:before="450"/>
        <w:rPr>
          <w:rFonts w:ascii="微软雅黑" w:eastAsia="微软雅黑" w:hAnsi="微软雅黑" w:cs="宋体"/>
          <w:kern w:val="0"/>
          <w:sz w:val="24"/>
          <w:szCs w:val="24"/>
        </w:rPr>
      </w:pPr>
      <w:r w:rsidRPr="00736BD1">
        <w:rPr>
          <w:rFonts w:ascii="微软雅黑" w:eastAsia="微软雅黑" w:hAnsi="微软雅黑" w:cs="宋体"/>
          <w:kern w:val="0"/>
          <w:sz w:val="24"/>
          <w:szCs w:val="24"/>
        </w:rPr>
        <w:t xml:space="preserve">将细胞以等密度接种于6孔板（Genesee Scientific；25-105），并在接种当天用指定药物处理。每2-3天更换一次含药培养基，持续28天。处理后，用含10 </w:t>
      </w:r>
      <w:r w:rsidRPr="00736BD1">
        <w:rPr>
          <w:rFonts w:ascii="微软雅黑" w:eastAsia="微软雅黑" w:hAnsi="微软雅黑" w:cs="宋体"/>
          <w:kern w:val="0"/>
          <w:sz w:val="24"/>
          <w:szCs w:val="24"/>
        </w:rPr>
        <w:lastRenderedPageBreak/>
        <w:t xml:space="preserve">mM HEPES的4%多聚甲醛（PFA）（Ted Pella；NC1537886）PBS溶液（Sigma-Aldrich；D8537）固定细胞，将PFA与培养基按1:1比例混合，最终浓度为2%。固定在室温下进行15分钟。然后用PBS洗涤细胞，每孔加入500 </w:t>
      </w:r>
      <w:proofErr w:type="spellStart"/>
      <w:r w:rsidRPr="00736BD1">
        <w:rPr>
          <w:rFonts w:ascii="微软雅黑" w:eastAsia="微软雅黑" w:hAnsi="微软雅黑" w:cs="宋体"/>
          <w:kern w:val="0"/>
          <w:sz w:val="24"/>
          <w:szCs w:val="24"/>
        </w:rPr>
        <w:t>μL</w:t>
      </w:r>
      <w:proofErr w:type="spellEnd"/>
      <w:r w:rsidRPr="00736BD1">
        <w:rPr>
          <w:rFonts w:ascii="微软雅黑" w:eastAsia="微软雅黑" w:hAnsi="微软雅黑" w:cs="宋体"/>
          <w:kern w:val="0"/>
          <w:sz w:val="24"/>
          <w:szCs w:val="24"/>
        </w:rPr>
        <w:t xml:space="preserve"> 0.5%结晶紫溶液（用80%蒸馏水和20%甲醇配制）染色。将培养板置于摇床上，室温振荡30分钟，然后用清水彻底冲洗以去除多余的染料。培养皿置于空气中干燥过夜。使用 ImageJ（NIH）软件对菌落面积进行定量分析。</w:t>
      </w:r>
    </w:p>
    <w:p w14:paraId="4F7BF578" w14:textId="77777777" w:rsidR="00736BD1" w:rsidRPr="00736BD1" w:rsidRDefault="00736BD1" w:rsidP="00736BD1">
      <w:pPr>
        <w:widowControl/>
        <w:spacing w:line="450" w:lineRule="atLeast"/>
        <w:outlineLvl w:val="2"/>
        <w:rPr>
          <w:rFonts w:ascii="微软雅黑" w:eastAsia="微软雅黑" w:hAnsi="微软雅黑" w:cs="宋体"/>
          <w:kern w:val="0"/>
          <w:sz w:val="32"/>
          <w:szCs w:val="32"/>
        </w:rPr>
      </w:pPr>
      <w:r w:rsidRPr="00736BD1">
        <w:rPr>
          <w:rFonts w:ascii="微软雅黑" w:eastAsia="微软雅黑" w:hAnsi="微软雅黑" w:cs="宋体"/>
          <w:kern w:val="0"/>
          <w:sz w:val="32"/>
          <w:szCs w:val="32"/>
        </w:rPr>
        <w:t>免疫荧光。</w:t>
      </w:r>
    </w:p>
    <w:p w14:paraId="6184E917" w14:textId="61752EE8" w:rsidR="00736BD1" w:rsidRPr="00736BD1" w:rsidRDefault="00736BD1" w:rsidP="00736BD1">
      <w:pPr>
        <w:widowControl/>
        <w:spacing w:before="450"/>
        <w:rPr>
          <w:rFonts w:ascii="微软雅黑" w:eastAsia="微软雅黑" w:hAnsi="微软雅黑" w:cs="宋体"/>
          <w:kern w:val="0"/>
          <w:sz w:val="24"/>
          <w:szCs w:val="24"/>
        </w:rPr>
      </w:pPr>
      <w:r w:rsidRPr="00736BD1">
        <w:rPr>
          <w:rFonts w:ascii="微软雅黑" w:eastAsia="微软雅黑" w:hAnsi="微软雅黑" w:cs="宋体"/>
          <w:kern w:val="0"/>
          <w:sz w:val="24"/>
          <w:szCs w:val="24"/>
        </w:rPr>
        <w:t>将细胞接种于96孔玻璃底板（</w:t>
      </w:r>
      <w:proofErr w:type="spellStart"/>
      <w:r w:rsidRPr="00736BD1">
        <w:rPr>
          <w:rFonts w:ascii="微软雅黑" w:eastAsia="微软雅黑" w:hAnsi="微软雅黑" w:cs="宋体"/>
          <w:kern w:val="0"/>
          <w:sz w:val="24"/>
          <w:szCs w:val="24"/>
        </w:rPr>
        <w:t>Cellvis</w:t>
      </w:r>
      <w:proofErr w:type="spellEnd"/>
      <w:r w:rsidRPr="00736BD1">
        <w:rPr>
          <w:rFonts w:ascii="微软雅黑" w:eastAsia="微软雅黑" w:hAnsi="微软雅黑" w:cs="宋体"/>
          <w:kern w:val="0"/>
          <w:sz w:val="24"/>
          <w:szCs w:val="24"/>
        </w:rPr>
        <w:t>；P96-1.5P）中，并用指定药物处理。为评估S期进入和转录活性，用</w:t>
      </w:r>
      <w:proofErr w:type="spellStart"/>
      <w:r w:rsidRPr="00736BD1">
        <w:rPr>
          <w:rFonts w:ascii="微软雅黑" w:eastAsia="微软雅黑" w:hAnsi="微软雅黑" w:cs="宋体"/>
          <w:kern w:val="0"/>
          <w:sz w:val="24"/>
          <w:szCs w:val="24"/>
        </w:rPr>
        <w:t>EdU</w:t>
      </w:r>
      <w:proofErr w:type="spellEnd"/>
      <w:r w:rsidRPr="00736BD1">
        <w:rPr>
          <w:rFonts w:ascii="微软雅黑" w:eastAsia="微软雅黑" w:hAnsi="微软雅黑" w:cs="宋体"/>
          <w:kern w:val="0"/>
          <w:sz w:val="24"/>
          <w:szCs w:val="24"/>
        </w:rPr>
        <w:t xml:space="preserve">（10 </w:t>
      </w:r>
      <w:proofErr w:type="spellStart"/>
      <w:r w:rsidRPr="00736BD1">
        <w:rPr>
          <w:rFonts w:ascii="微软雅黑" w:eastAsia="微软雅黑" w:hAnsi="微软雅黑" w:cs="宋体"/>
          <w:kern w:val="0"/>
          <w:sz w:val="24"/>
          <w:szCs w:val="24"/>
        </w:rPr>
        <w:t>μM</w:t>
      </w:r>
      <w:proofErr w:type="spellEnd"/>
      <w:r w:rsidRPr="00736BD1">
        <w:rPr>
          <w:rFonts w:ascii="微软雅黑" w:eastAsia="微软雅黑" w:hAnsi="微软雅黑" w:cs="宋体"/>
          <w:kern w:val="0"/>
          <w:sz w:val="24"/>
          <w:szCs w:val="24"/>
        </w:rPr>
        <w:t>）或EU（1 mM）标记细胞，并在37°C孵育15分钟（</w:t>
      </w:r>
      <w:proofErr w:type="spellStart"/>
      <w:r w:rsidRPr="00736BD1">
        <w:rPr>
          <w:rFonts w:ascii="微软雅黑" w:eastAsia="微软雅黑" w:hAnsi="微软雅黑" w:cs="宋体"/>
          <w:kern w:val="0"/>
          <w:sz w:val="24"/>
          <w:szCs w:val="24"/>
        </w:rPr>
        <w:t>EdU</w:t>
      </w:r>
      <w:proofErr w:type="spellEnd"/>
      <w:r w:rsidRPr="00736BD1">
        <w:rPr>
          <w:rFonts w:ascii="微软雅黑" w:eastAsia="微软雅黑" w:hAnsi="微软雅黑" w:cs="宋体"/>
          <w:kern w:val="0"/>
          <w:sz w:val="24"/>
          <w:szCs w:val="24"/>
        </w:rPr>
        <w:t>：用于IC50测定）、24小时（</w:t>
      </w:r>
      <w:proofErr w:type="spellStart"/>
      <w:r w:rsidRPr="00736BD1">
        <w:rPr>
          <w:rFonts w:ascii="微软雅黑" w:eastAsia="微软雅黑" w:hAnsi="微软雅黑" w:cs="宋体"/>
          <w:kern w:val="0"/>
          <w:sz w:val="24"/>
          <w:szCs w:val="24"/>
        </w:rPr>
        <w:t>EdU</w:t>
      </w:r>
      <w:proofErr w:type="spellEnd"/>
      <w:r w:rsidRPr="00736BD1">
        <w:rPr>
          <w:rFonts w:ascii="微软雅黑" w:eastAsia="微软雅黑" w:hAnsi="微软雅黑" w:cs="宋体"/>
          <w:kern w:val="0"/>
          <w:sz w:val="24"/>
          <w:szCs w:val="24"/>
        </w:rPr>
        <w:t>：用于协同作用实验）或30分钟（EU：用于转录测定），然后进行固定。将4% PFA（溶于10 mM HEPES-PBS）与培养基按1:1比例混合，室温孵育15分钟，制成2% PFA固定液。之后，用含0.2% Triton X-100（Sigma-Aldrich；X100）的PBS</w:t>
      </w:r>
      <w:proofErr w:type="gramStart"/>
      <w:r w:rsidRPr="00736BD1">
        <w:rPr>
          <w:rFonts w:ascii="微软雅黑" w:eastAsia="微软雅黑" w:hAnsi="微软雅黑" w:cs="宋体"/>
          <w:kern w:val="0"/>
          <w:sz w:val="24"/>
          <w:szCs w:val="24"/>
        </w:rPr>
        <w:t>溶液透化细胞</w:t>
      </w:r>
      <w:proofErr w:type="gramEnd"/>
      <w:r w:rsidRPr="00736BD1">
        <w:rPr>
          <w:rFonts w:ascii="微软雅黑" w:eastAsia="微软雅黑" w:hAnsi="微软雅黑" w:cs="宋体"/>
          <w:kern w:val="0"/>
          <w:sz w:val="24"/>
          <w:szCs w:val="24"/>
        </w:rPr>
        <w:t xml:space="preserve">15分钟。使用 Alexa Fluor 647 标记的检测试剂（Click Chemistry Tools；1300），按照制造商的方案，通过点击化学检测 </w:t>
      </w:r>
      <w:proofErr w:type="spellStart"/>
      <w:r w:rsidRPr="00736BD1">
        <w:rPr>
          <w:rFonts w:ascii="微软雅黑" w:eastAsia="微软雅黑" w:hAnsi="微软雅黑" w:cs="宋体"/>
          <w:kern w:val="0"/>
          <w:sz w:val="24"/>
          <w:szCs w:val="24"/>
        </w:rPr>
        <w:t>EdU</w:t>
      </w:r>
      <w:proofErr w:type="spellEnd"/>
      <w:r w:rsidRPr="00736BD1">
        <w:rPr>
          <w:rFonts w:ascii="微软雅黑" w:eastAsia="微软雅黑" w:hAnsi="微软雅黑" w:cs="宋体"/>
          <w:kern w:val="0"/>
          <w:sz w:val="24"/>
          <w:szCs w:val="24"/>
        </w:rPr>
        <w:t xml:space="preserve"> 或 EU 的掺入。细胞核用 Hoechst 33342 (10 </w:t>
      </w:r>
      <w:proofErr w:type="spellStart"/>
      <w:r w:rsidRPr="00736BD1">
        <w:rPr>
          <w:rFonts w:ascii="微软雅黑" w:eastAsia="微软雅黑" w:hAnsi="微软雅黑" w:cs="宋体"/>
          <w:kern w:val="0"/>
          <w:sz w:val="24"/>
          <w:szCs w:val="24"/>
        </w:rPr>
        <w:t>μg</w:t>
      </w:r>
      <w:proofErr w:type="spellEnd"/>
      <w:r w:rsidRPr="00736BD1">
        <w:rPr>
          <w:rFonts w:ascii="微软雅黑" w:eastAsia="微软雅黑" w:hAnsi="微软雅黑" w:cs="宋体"/>
          <w:kern w:val="0"/>
          <w:sz w:val="24"/>
          <w:szCs w:val="24"/>
        </w:rPr>
        <w:t xml:space="preserve">/mL)（Thermo Fisher Scientific；62249）复染 15 分钟。每次染色后，细胞用 PBS 洗涤，并保存在 PBS 中直至成像。在协同作用分析中，细胞用药物组合处理 48 小时，并在最后 24 小时加入 </w:t>
      </w:r>
      <w:proofErr w:type="spellStart"/>
      <w:r w:rsidRPr="00736BD1">
        <w:rPr>
          <w:rFonts w:ascii="微软雅黑" w:eastAsia="微软雅黑" w:hAnsi="微软雅黑" w:cs="宋体"/>
          <w:kern w:val="0"/>
          <w:sz w:val="24"/>
          <w:szCs w:val="24"/>
        </w:rPr>
        <w:t>EdU</w:t>
      </w:r>
      <w:proofErr w:type="spellEnd"/>
      <w:r w:rsidRPr="00736BD1">
        <w:rPr>
          <w:rFonts w:ascii="微软雅黑" w:eastAsia="微软雅黑" w:hAnsi="微软雅黑" w:cs="宋体"/>
          <w:kern w:val="0"/>
          <w:sz w:val="24"/>
          <w:szCs w:val="24"/>
        </w:rPr>
        <w:t xml:space="preserve">。药物协同作用通过 </w:t>
      </w:r>
      <w:proofErr w:type="spellStart"/>
      <w:r w:rsidRPr="00736BD1">
        <w:rPr>
          <w:rFonts w:ascii="微软雅黑" w:eastAsia="微软雅黑" w:hAnsi="微软雅黑" w:cs="宋体"/>
          <w:kern w:val="0"/>
          <w:sz w:val="24"/>
          <w:szCs w:val="24"/>
        </w:rPr>
        <w:t>SynergyFinder</w:t>
      </w:r>
      <w:proofErr w:type="spellEnd"/>
      <w:r w:rsidRPr="00736BD1">
        <w:rPr>
          <w:rFonts w:ascii="微软雅黑" w:eastAsia="微软雅黑" w:hAnsi="微软雅黑" w:cs="宋体"/>
          <w:kern w:val="0"/>
          <w:sz w:val="24"/>
          <w:szCs w:val="24"/>
        </w:rPr>
        <w:t>使用 Bliss 独立模型计算。</w:t>
      </w:r>
    </w:p>
    <w:p w14:paraId="42EEF1CB" w14:textId="77777777" w:rsidR="00736BD1" w:rsidRPr="00736BD1" w:rsidRDefault="00736BD1" w:rsidP="00736BD1">
      <w:pPr>
        <w:widowControl/>
        <w:spacing w:line="450" w:lineRule="atLeast"/>
        <w:outlineLvl w:val="2"/>
        <w:rPr>
          <w:rFonts w:ascii="微软雅黑" w:eastAsia="微软雅黑" w:hAnsi="微软雅黑" w:cs="宋体"/>
          <w:kern w:val="0"/>
          <w:sz w:val="32"/>
          <w:szCs w:val="32"/>
        </w:rPr>
      </w:pPr>
      <w:r w:rsidRPr="00736BD1">
        <w:rPr>
          <w:rFonts w:ascii="微软雅黑" w:eastAsia="微软雅黑" w:hAnsi="微软雅黑" w:cs="宋体"/>
          <w:kern w:val="0"/>
          <w:sz w:val="32"/>
          <w:szCs w:val="32"/>
        </w:rPr>
        <w:t>免疫印迹法。</w:t>
      </w:r>
    </w:p>
    <w:p w14:paraId="63BEDBCD" w14:textId="77777777" w:rsidR="00736BD1" w:rsidRPr="00736BD1" w:rsidRDefault="00736BD1" w:rsidP="00736BD1">
      <w:pPr>
        <w:widowControl/>
        <w:spacing w:before="450"/>
        <w:rPr>
          <w:rFonts w:ascii="微软雅黑" w:eastAsia="微软雅黑" w:hAnsi="微软雅黑" w:cs="宋体"/>
          <w:kern w:val="0"/>
          <w:sz w:val="24"/>
          <w:szCs w:val="24"/>
        </w:rPr>
      </w:pPr>
      <w:r w:rsidRPr="00736BD1">
        <w:rPr>
          <w:rFonts w:ascii="微软雅黑" w:eastAsia="微软雅黑" w:hAnsi="微软雅黑" w:cs="宋体"/>
          <w:kern w:val="0"/>
          <w:sz w:val="24"/>
          <w:szCs w:val="24"/>
        </w:rPr>
        <w:lastRenderedPageBreak/>
        <w:t>将细胞接种于 10 cm 培养皿中，并用指定药物处理指定时间。用冰冷的 PBS 洗涤细胞，并在添加了蛋白酶抑制剂混合物（Thermo Fisher Scientific；1861279）和磷酸酶抑制剂混合物（Sigma-Aldrich；4906845001）的 RIPA 裂解缓冲液中裂解细胞。裂解液在 4°C 下以 12,000 </w:t>
      </w:r>
      <w:r w:rsidRPr="00736BD1">
        <w:rPr>
          <w:rFonts w:ascii="微软雅黑" w:eastAsia="微软雅黑" w:hAnsi="微软雅黑" w:cs="宋体"/>
          <w:i/>
          <w:iCs/>
          <w:kern w:val="0"/>
          <w:sz w:val="24"/>
          <w:szCs w:val="24"/>
        </w:rPr>
        <w:t>g</w:t>
      </w:r>
      <w:r w:rsidRPr="00736BD1">
        <w:rPr>
          <w:rFonts w:ascii="微软雅黑" w:eastAsia="微软雅黑" w:hAnsi="微软雅黑" w:cs="宋体"/>
          <w:kern w:val="0"/>
          <w:sz w:val="24"/>
          <w:szCs w:val="24"/>
        </w:rPr>
        <w:t xml:space="preserve">离心10 </w:t>
      </w:r>
      <w:proofErr w:type="gramStart"/>
      <w:r w:rsidRPr="00736BD1">
        <w:rPr>
          <w:rFonts w:ascii="微软雅黑" w:eastAsia="微软雅黑" w:hAnsi="微软雅黑" w:cs="宋体"/>
          <w:kern w:val="0"/>
          <w:sz w:val="24"/>
          <w:szCs w:val="24"/>
        </w:rPr>
        <w:t>分钟进行</w:t>
      </w:r>
      <w:proofErr w:type="gramEnd"/>
      <w:r w:rsidRPr="00736BD1">
        <w:rPr>
          <w:rFonts w:ascii="微软雅黑" w:eastAsia="微软雅黑" w:hAnsi="微软雅黑" w:cs="宋体"/>
          <w:kern w:val="0"/>
          <w:sz w:val="24"/>
          <w:szCs w:val="24"/>
        </w:rPr>
        <w:t xml:space="preserve">澄清。使用 Pierce 660 nm 蛋白测定试剂盒（Thermo Fisher Scientific；22660）测定蛋白浓度。将等量的蛋白（10–20 </w:t>
      </w:r>
      <w:proofErr w:type="spellStart"/>
      <w:r w:rsidRPr="00736BD1">
        <w:rPr>
          <w:rFonts w:ascii="微软雅黑" w:eastAsia="微软雅黑" w:hAnsi="微软雅黑" w:cs="宋体"/>
          <w:kern w:val="0"/>
          <w:sz w:val="24"/>
          <w:szCs w:val="24"/>
        </w:rPr>
        <w:t>μg</w:t>
      </w:r>
      <w:proofErr w:type="spellEnd"/>
      <w:r w:rsidRPr="00736BD1">
        <w:rPr>
          <w:rFonts w:ascii="微软雅黑" w:eastAsia="微软雅黑" w:hAnsi="微软雅黑" w:cs="宋体"/>
          <w:kern w:val="0"/>
          <w:sz w:val="24"/>
          <w:szCs w:val="24"/>
        </w:rPr>
        <w:t xml:space="preserve">）与含有 2% 2-巯基乙醇（Bio-Rad；1610710）的 </w:t>
      </w:r>
      <w:proofErr w:type="spellStart"/>
      <w:r w:rsidRPr="00736BD1">
        <w:rPr>
          <w:rFonts w:ascii="微软雅黑" w:eastAsia="微软雅黑" w:hAnsi="微软雅黑" w:cs="宋体"/>
          <w:kern w:val="0"/>
          <w:sz w:val="24"/>
          <w:szCs w:val="24"/>
        </w:rPr>
        <w:t>Laemmli</w:t>
      </w:r>
      <w:proofErr w:type="spellEnd"/>
      <w:r w:rsidRPr="00736BD1">
        <w:rPr>
          <w:rFonts w:ascii="微软雅黑" w:eastAsia="微软雅黑" w:hAnsi="微软雅黑" w:cs="宋体"/>
          <w:kern w:val="0"/>
          <w:sz w:val="24"/>
          <w:szCs w:val="24"/>
        </w:rPr>
        <w:t xml:space="preserve"> 样品缓冲液混合，并在 95°C 下煮沸 5 分钟。蛋白质经8%手工SDS-PAGE凝胶或</w:t>
      </w:r>
      <w:proofErr w:type="spellStart"/>
      <w:r w:rsidRPr="00736BD1">
        <w:rPr>
          <w:rFonts w:ascii="微软雅黑" w:eastAsia="微软雅黑" w:hAnsi="微软雅黑" w:cs="宋体"/>
          <w:kern w:val="0"/>
          <w:sz w:val="24"/>
          <w:szCs w:val="24"/>
        </w:rPr>
        <w:t>NuPAGE</w:t>
      </w:r>
      <w:proofErr w:type="spellEnd"/>
      <w:r w:rsidRPr="00736BD1">
        <w:rPr>
          <w:rFonts w:ascii="微软雅黑" w:eastAsia="微软雅黑" w:hAnsi="微软雅黑" w:cs="宋体"/>
          <w:kern w:val="0"/>
          <w:sz w:val="24"/>
          <w:szCs w:val="24"/>
        </w:rPr>
        <w:t xml:space="preserve"> 4%–12% Bis-Tris预制凝胶（Invitrogen；NP0321）电泳分离后转移至膜上。膜在室温下用5% TBS封闭缓冲液封闭1小时，然后在4℃下与以下</w:t>
      </w:r>
      <w:proofErr w:type="gramStart"/>
      <w:r w:rsidRPr="00736BD1">
        <w:rPr>
          <w:rFonts w:ascii="微软雅黑" w:eastAsia="微软雅黑" w:hAnsi="微软雅黑" w:cs="宋体"/>
          <w:kern w:val="0"/>
          <w:sz w:val="24"/>
          <w:szCs w:val="24"/>
        </w:rPr>
        <w:t>一</w:t>
      </w:r>
      <w:proofErr w:type="gramEnd"/>
      <w:r w:rsidRPr="00736BD1">
        <w:rPr>
          <w:rFonts w:ascii="微软雅黑" w:eastAsia="微软雅黑" w:hAnsi="微软雅黑" w:cs="宋体"/>
          <w:kern w:val="0"/>
          <w:sz w:val="24"/>
          <w:szCs w:val="24"/>
        </w:rPr>
        <w:t xml:space="preserve">抗孵育过夜：抗β-肌动蛋白（1:2000）、抗Rb（1:2000）、抗Rpb1（1:1000）和抗磷酸化Rpb1 CTD（Ser2、Ser5和Ser7）（各1:1000）。将印迹用 TBS-T（0.1% Tween 20）洗涤，与 </w:t>
      </w:r>
      <w:proofErr w:type="spellStart"/>
      <w:r w:rsidRPr="00736BD1">
        <w:rPr>
          <w:rFonts w:ascii="微软雅黑" w:eastAsia="微软雅黑" w:hAnsi="微软雅黑" w:cs="宋体"/>
          <w:kern w:val="0"/>
          <w:sz w:val="24"/>
          <w:szCs w:val="24"/>
        </w:rPr>
        <w:t>IRDye</w:t>
      </w:r>
      <w:proofErr w:type="spellEnd"/>
      <w:r w:rsidRPr="00736BD1">
        <w:rPr>
          <w:rFonts w:ascii="微软雅黑" w:eastAsia="微软雅黑" w:hAnsi="微软雅黑" w:cs="宋体"/>
          <w:kern w:val="0"/>
          <w:sz w:val="24"/>
          <w:szCs w:val="24"/>
        </w:rPr>
        <w:t xml:space="preserve"> 标记的二抗（山羊抗小鼠 </w:t>
      </w:r>
      <w:proofErr w:type="spellStart"/>
      <w:r w:rsidRPr="00736BD1">
        <w:rPr>
          <w:rFonts w:ascii="微软雅黑" w:eastAsia="微软雅黑" w:hAnsi="微软雅黑" w:cs="宋体"/>
          <w:kern w:val="0"/>
          <w:sz w:val="24"/>
          <w:szCs w:val="24"/>
        </w:rPr>
        <w:t>IRDye</w:t>
      </w:r>
      <w:proofErr w:type="spellEnd"/>
      <w:r w:rsidRPr="00736BD1">
        <w:rPr>
          <w:rFonts w:ascii="微软雅黑" w:eastAsia="微软雅黑" w:hAnsi="微软雅黑" w:cs="宋体"/>
          <w:kern w:val="0"/>
          <w:sz w:val="24"/>
          <w:szCs w:val="24"/>
        </w:rPr>
        <w:t xml:space="preserve"> 800CW 或山羊抗兔 </w:t>
      </w:r>
      <w:proofErr w:type="spellStart"/>
      <w:r w:rsidRPr="00736BD1">
        <w:rPr>
          <w:rFonts w:ascii="微软雅黑" w:eastAsia="微软雅黑" w:hAnsi="微软雅黑" w:cs="宋体"/>
          <w:kern w:val="0"/>
          <w:sz w:val="24"/>
          <w:szCs w:val="24"/>
        </w:rPr>
        <w:t>IRDye</w:t>
      </w:r>
      <w:proofErr w:type="spellEnd"/>
      <w:r w:rsidRPr="00736BD1">
        <w:rPr>
          <w:rFonts w:ascii="微软雅黑" w:eastAsia="微软雅黑" w:hAnsi="微软雅黑" w:cs="宋体"/>
          <w:kern w:val="0"/>
          <w:sz w:val="24"/>
          <w:szCs w:val="24"/>
        </w:rPr>
        <w:t xml:space="preserve"> 680RD（1:2,000；LI-COR Biosciences））在室温下孵育 1 小时，然后使用 LI-COR Odyssey 红外成像系统成像。</w:t>
      </w:r>
    </w:p>
    <w:p w14:paraId="2C032642" w14:textId="77777777" w:rsidR="00736BD1" w:rsidRPr="00736BD1" w:rsidRDefault="00736BD1" w:rsidP="00736BD1">
      <w:pPr>
        <w:widowControl/>
        <w:spacing w:line="450" w:lineRule="atLeast"/>
        <w:outlineLvl w:val="2"/>
        <w:rPr>
          <w:rFonts w:ascii="微软雅黑" w:eastAsia="微软雅黑" w:hAnsi="微软雅黑" w:cs="宋体"/>
          <w:kern w:val="0"/>
          <w:sz w:val="32"/>
          <w:szCs w:val="32"/>
        </w:rPr>
      </w:pPr>
      <w:r w:rsidRPr="00736BD1">
        <w:rPr>
          <w:rFonts w:ascii="微软雅黑" w:eastAsia="微软雅黑" w:hAnsi="微软雅黑" w:cs="宋体"/>
          <w:kern w:val="0"/>
          <w:sz w:val="32"/>
          <w:szCs w:val="32"/>
        </w:rPr>
        <w:t>活细胞和固定细胞成像。</w:t>
      </w:r>
    </w:p>
    <w:p w14:paraId="0FDF8334" w14:textId="77777777" w:rsidR="00736BD1" w:rsidRPr="00736BD1" w:rsidRDefault="00736BD1" w:rsidP="00736BD1">
      <w:pPr>
        <w:widowControl/>
        <w:spacing w:before="450"/>
        <w:rPr>
          <w:rFonts w:ascii="微软雅黑" w:eastAsia="微软雅黑" w:hAnsi="微软雅黑" w:cs="宋体"/>
          <w:kern w:val="0"/>
          <w:sz w:val="24"/>
          <w:szCs w:val="24"/>
        </w:rPr>
      </w:pPr>
      <w:r w:rsidRPr="00736BD1">
        <w:rPr>
          <w:rFonts w:ascii="微软雅黑" w:eastAsia="微软雅黑" w:hAnsi="微软雅黑" w:cs="宋体"/>
          <w:kern w:val="0"/>
          <w:sz w:val="24"/>
          <w:szCs w:val="24"/>
        </w:rPr>
        <w:t>将细胞接种于96孔玻璃状聚合物底板（</w:t>
      </w:r>
      <w:proofErr w:type="spellStart"/>
      <w:r w:rsidRPr="00736BD1">
        <w:rPr>
          <w:rFonts w:ascii="微软雅黑" w:eastAsia="微软雅黑" w:hAnsi="微软雅黑" w:cs="宋体"/>
          <w:kern w:val="0"/>
          <w:sz w:val="24"/>
          <w:szCs w:val="24"/>
        </w:rPr>
        <w:t>Cellvis</w:t>
      </w:r>
      <w:proofErr w:type="spellEnd"/>
      <w:r w:rsidRPr="00736BD1">
        <w:rPr>
          <w:rFonts w:ascii="微软雅黑" w:eastAsia="微软雅黑" w:hAnsi="微软雅黑" w:cs="宋体"/>
          <w:kern w:val="0"/>
          <w:sz w:val="24"/>
          <w:szCs w:val="24"/>
        </w:rPr>
        <w:t>；P96-1.5P）中，接种密度经过优化，可在整个实验过程中维持30%–80%的细胞汇合度（</w:t>
      </w:r>
      <w:r w:rsidRPr="00736BD1">
        <w:rPr>
          <w:rFonts w:ascii="微软雅黑" w:eastAsia="微软雅黑" w:hAnsi="微软雅黑" w:cs="宋体"/>
          <w:kern w:val="0"/>
          <w:sz w:val="24"/>
          <w:szCs w:val="24"/>
        </w:rPr>
        <w:fldChar w:fldCharType="begin"/>
      </w:r>
      <w:r w:rsidRPr="00736BD1">
        <w:rPr>
          <w:rFonts w:ascii="微软雅黑" w:eastAsia="微软雅黑" w:hAnsi="微软雅黑" w:cs="宋体"/>
          <w:kern w:val="0"/>
          <w:sz w:val="24"/>
          <w:szCs w:val="24"/>
        </w:rPr>
        <w:instrText xml:space="preserve"> HYPERLINK "https://pmc.ncbi.nlm.nih.gov/articles/PMC12520673/" \l "B57" </w:instrText>
      </w:r>
      <w:r w:rsidRPr="00736BD1">
        <w:rPr>
          <w:rFonts w:ascii="微软雅黑" w:eastAsia="微软雅黑" w:hAnsi="微软雅黑" w:cs="宋体"/>
          <w:kern w:val="0"/>
          <w:sz w:val="24"/>
          <w:szCs w:val="24"/>
        </w:rPr>
        <w:fldChar w:fldCharType="separate"/>
      </w:r>
      <w:r w:rsidRPr="00736BD1">
        <w:rPr>
          <w:rFonts w:ascii="微软雅黑" w:eastAsia="微软雅黑" w:hAnsi="微软雅黑" w:cs="宋体"/>
          <w:kern w:val="0"/>
          <w:sz w:val="24"/>
          <w:szCs w:val="24"/>
          <w:u w:val="single"/>
        </w:rPr>
        <w:t>57</w:t>
      </w:r>
      <w:r w:rsidRPr="00736BD1">
        <w:rPr>
          <w:rFonts w:ascii="微软雅黑" w:eastAsia="微软雅黑" w:hAnsi="微软雅黑" w:cs="宋体"/>
          <w:kern w:val="0"/>
          <w:sz w:val="24"/>
          <w:szCs w:val="24"/>
        </w:rPr>
        <w:fldChar w:fldCharType="end"/>
      </w:r>
      <w:r w:rsidRPr="00736BD1">
        <w:rPr>
          <w:rFonts w:ascii="微软雅黑" w:eastAsia="微软雅黑" w:hAnsi="微软雅黑" w:cs="宋体"/>
          <w:kern w:val="0"/>
          <w:sz w:val="24"/>
          <w:szCs w:val="24"/>
        </w:rPr>
        <w:t>）。使用配备10倍（数值孔径[NA] 0.45，bin 1）或20倍（NA 0.75，bin 2）物镜的Eclipse Ti2倒置显微镜（Nikon Instruments）进行多色荧光成像。对于活细胞成像，将细胞置于37°C、5% CO</w:t>
      </w:r>
      <w:r w:rsidRPr="00736BD1">
        <w:rPr>
          <w:rFonts w:ascii="Cambria Math" w:eastAsia="微软雅黑" w:hAnsi="Cambria Math" w:cs="Cambria Math"/>
          <w:kern w:val="0"/>
          <w:sz w:val="24"/>
          <w:szCs w:val="24"/>
        </w:rPr>
        <w:t>₂</w:t>
      </w:r>
      <w:r w:rsidRPr="00736BD1">
        <w:rPr>
          <w:rFonts w:ascii="微软雅黑" w:eastAsia="微软雅黑" w:hAnsi="微软雅黑" w:cs="宋体"/>
          <w:kern w:val="0"/>
          <w:sz w:val="24"/>
          <w:szCs w:val="24"/>
        </w:rPr>
        <w:t>的加湿培养箱（Tokai Hit）中</w:t>
      </w:r>
      <w:r w:rsidRPr="00736BD1">
        <w:rPr>
          <w:rFonts w:ascii="微软雅黑" w:eastAsia="微软雅黑" w:hAnsi="微软雅黑" w:cs="宋体"/>
          <w:kern w:val="0"/>
          <w:sz w:val="24"/>
          <w:szCs w:val="24"/>
          <w:vertAlign w:val="subscript"/>
        </w:rPr>
        <w:t>，</w:t>
      </w:r>
      <w:r w:rsidRPr="00736BD1">
        <w:rPr>
          <w:rFonts w:ascii="微软雅黑" w:eastAsia="微软雅黑" w:hAnsi="微软雅黑" w:cs="宋体"/>
          <w:kern w:val="0"/>
          <w:sz w:val="24"/>
          <w:szCs w:val="24"/>
        </w:rPr>
        <w:t>每12分钟成像一次。</w:t>
      </w:r>
      <w:r w:rsidRPr="00736BD1">
        <w:rPr>
          <w:rFonts w:ascii="微软雅黑" w:eastAsia="微软雅黑" w:hAnsi="微软雅黑" w:cs="宋体"/>
          <w:kern w:val="0"/>
          <w:sz w:val="24"/>
          <w:szCs w:val="24"/>
        </w:rPr>
        <w:lastRenderedPageBreak/>
        <w:t>每个时间点的总光照时间控制在400毫秒以内，以最大程度地减少光毒性。图像采集和分析使用ImageJ软件和自定义MATLAB脚本完成。</w:t>
      </w:r>
    </w:p>
    <w:p w14:paraId="0CB91179" w14:textId="77777777" w:rsidR="00736BD1" w:rsidRPr="00736BD1" w:rsidRDefault="00736BD1" w:rsidP="00736BD1">
      <w:pPr>
        <w:widowControl/>
        <w:spacing w:line="450" w:lineRule="atLeast"/>
        <w:outlineLvl w:val="2"/>
        <w:rPr>
          <w:rFonts w:ascii="微软雅黑" w:eastAsia="微软雅黑" w:hAnsi="微软雅黑" w:cs="宋体"/>
          <w:kern w:val="0"/>
          <w:sz w:val="32"/>
          <w:szCs w:val="32"/>
        </w:rPr>
      </w:pPr>
      <w:r w:rsidRPr="00736BD1">
        <w:rPr>
          <w:rFonts w:ascii="微软雅黑" w:eastAsia="微软雅黑" w:hAnsi="微软雅黑" w:cs="宋体"/>
          <w:kern w:val="0"/>
          <w:sz w:val="32"/>
          <w:szCs w:val="32"/>
        </w:rPr>
        <w:t>图像分析。</w:t>
      </w:r>
    </w:p>
    <w:p w14:paraId="32E00F8C" w14:textId="77777777" w:rsidR="00736BD1" w:rsidRPr="00736BD1" w:rsidRDefault="00736BD1" w:rsidP="00736BD1">
      <w:pPr>
        <w:widowControl/>
        <w:spacing w:before="450"/>
        <w:rPr>
          <w:rFonts w:ascii="微软雅黑" w:eastAsia="微软雅黑" w:hAnsi="微软雅黑" w:cs="宋体"/>
          <w:kern w:val="0"/>
          <w:sz w:val="24"/>
          <w:szCs w:val="24"/>
        </w:rPr>
      </w:pPr>
      <w:r w:rsidRPr="00736BD1">
        <w:rPr>
          <w:rFonts w:ascii="微软雅黑" w:eastAsia="微软雅黑" w:hAnsi="微软雅黑" w:cs="宋体"/>
          <w:kern w:val="0"/>
          <w:sz w:val="24"/>
          <w:szCs w:val="24"/>
        </w:rPr>
        <w:t>图像自动处理采用基于MATLAB的算法，具体方法如前所述( </w:t>
      </w:r>
      <w:hyperlink r:id="rId70" w:anchor="B19" w:history="1">
        <w:r w:rsidRPr="00736BD1">
          <w:rPr>
            <w:rFonts w:ascii="微软雅黑" w:eastAsia="微软雅黑" w:hAnsi="微软雅黑" w:cs="宋体"/>
            <w:kern w:val="0"/>
            <w:sz w:val="24"/>
            <w:szCs w:val="24"/>
            <w:u w:val="single"/>
          </w:rPr>
          <w:t>19</w:t>
        </w:r>
      </w:hyperlink>
      <w:r w:rsidRPr="00736BD1">
        <w:rPr>
          <w:rFonts w:ascii="微软雅黑" w:eastAsia="微软雅黑" w:hAnsi="微软雅黑" w:cs="宋体"/>
          <w:kern w:val="0"/>
          <w:sz w:val="24"/>
          <w:szCs w:val="24"/>
        </w:rPr>
        <w:t xml:space="preserve"> )。在固定细胞实验中，使用基于直方图的阈值分割方法，通过Hoechst 33342染色分割细胞核。在活细胞实验中，通过高斯拉普拉斯算子斑点检测法检测H2B-iRFP670荧光来实现细胞核分割。应用平场校正以减轻照明偏差。细胞追踪采用偏转桥接算法。有丝分裂事件定义为出现两个紧密相邻的子细胞核，且其核强度与亲代细胞核的核强度相当。对于激酶易位报告基因，量化了胞质与核的荧光比值。胞质近似为从核掩模延伸2-10 </w:t>
      </w:r>
      <w:proofErr w:type="spellStart"/>
      <w:r w:rsidRPr="00736BD1">
        <w:rPr>
          <w:rFonts w:ascii="微软雅黑" w:eastAsia="微软雅黑" w:hAnsi="微软雅黑" w:cs="宋体"/>
          <w:kern w:val="0"/>
          <w:sz w:val="24"/>
          <w:szCs w:val="24"/>
        </w:rPr>
        <w:t>μm</w:t>
      </w:r>
      <w:proofErr w:type="spellEnd"/>
      <w:r w:rsidRPr="00736BD1">
        <w:rPr>
          <w:rFonts w:ascii="微软雅黑" w:eastAsia="微软雅黑" w:hAnsi="微软雅黑" w:cs="宋体"/>
          <w:kern w:val="0"/>
          <w:sz w:val="24"/>
          <w:szCs w:val="24"/>
        </w:rPr>
        <w:t>的环状区域，不包括与相邻细胞核重叠的环。核信号来自分割后的掩模，胞质信号由定义的环</w:t>
      </w:r>
      <w:proofErr w:type="gramStart"/>
      <w:r w:rsidRPr="00736BD1">
        <w:rPr>
          <w:rFonts w:ascii="微软雅黑" w:eastAsia="微软雅黑" w:hAnsi="微软雅黑" w:cs="宋体"/>
          <w:kern w:val="0"/>
          <w:sz w:val="24"/>
          <w:szCs w:val="24"/>
        </w:rPr>
        <w:t>内中值</w:t>
      </w:r>
      <w:proofErr w:type="gramEnd"/>
      <w:r w:rsidRPr="00736BD1">
        <w:rPr>
          <w:rFonts w:ascii="微软雅黑" w:eastAsia="微软雅黑" w:hAnsi="微软雅黑" w:cs="宋体"/>
          <w:kern w:val="0"/>
          <w:sz w:val="24"/>
          <w:szCs w:val="24"/>
        </w:rPr>
        <w:t>强度计算得出。</w:t>
      </w:r>
    </w:p>
    <w:p w14:paraId="58C1375D" w14:textId="77777777" w:rsidR="00736BD1" w:rsidRPr="00736BD1" w:rsidRDefault="00736BD1" w:rsidP="00736BD1">
      <w:pPr>
        <w:widowControl/>
        <w:spacing w:line="450" w:lineRule="atLeast"/>
        <w:outlineLvl w:val="2"/>
        <w:rPr>
          <w:rFonts w:ascii="微软雅黑" w:eastAsia="微软雅黑" w:hAnsi="微软雅黑" w:cs="宋体"/>
          <w:kern w:val="0"/>
          <w:sz w:val="32"/>
          <w:szCs w:val="32"/>
        </w:rPr>
      </w:pPr>
      <w:r w:rsidRPr="00736BD1">
        <w:rPr>
          <w:rFonts w:ascii="微软雅黑" w:eastAsia="微软雅黑" w:hAnsi="微软雅黑" w:cs="宋体"/>
          <w:kern w:val="0"/>
          <w:sz w:val="32"/>
          <w:szCs w:val="32"/>
        </w:rPr>
        <w:t>RNA提取、测序和分析。</w:t>
      </w:r>
    </w:p>
    <w:p w14:paraId="0775CBE5" w14:textId="77777777" w:rsidR="00736BD1" w:rsidRPr="00736BD1" w:rsidRDefault="00736BD1" w:rsidP="00736BD1">
      <w:pPr>
        <w:widowControl/>
        <w:spacing w:before="450"/>
        <w:rPr>
          <w:rFonts w:ascii="微软雅黑" w:eastAsia="微软雅黑" w:hAnsi="微软雅黑" w:cs="宋体"/>
          <w:kern w:val="0"/>
          <w:sz w:val="24"/>
          <w:szCs w:val="24"/>
        </w:rPr>
      </w:pPr>
      <w:r w:rsidRPr="00736BD1">
        <w:rPr>
          <w:rFonts w:ascii="微软雅黑" w:eastAsia="微软雅黑" w:hAnsi="微软雅黑" w:cs="宋体"/>
          <w:kern w:val="0"/>
          <w:sz w:val="24"/>
          <w:szCs w:val="24"/>
        </w:rPr>
        <w:t>表达</w:t>
      </w:r>
      <w:proofErr w:type="spellStart"/>
      <w:r w:rsidRPr="00736BD1">
        <w:rPr>
          <w:rFonts w:ascii="微软雅黑" w:eastAsia="微软雅黑" w:hAnsi="微软雅黑" w:cs="宋体"/>
          <w:kern w:val="0"/>
          <w:sz w:val="24"/>
          <w:szCs w:val="24"/>
        </w:rPr>
        <w:t>mCerulean</w:t>
      </w:r>
      <w:proofErr w:type="spellEnd"/>
      <w:r w:rsidRPr="00736BD1">
        <w:rPr>
          <w:rFonts w:ascii="微软雅黑" w:eastAsia="微软雅黑" w:hAnsi="微软雅黑" w:cs="宋体"/>
          <w:kern w:val="0"/>
          <w:sz w:val="24"/>
          <w:szCs w:val="24"/>
        </w:rPr>
        <w:t>标记的geminin（氨基酸1-110）的MDA-MB-231细胞用指定药物处理42小时或14天。细胞经解离后，根据</w:t>
      </w:r>
      <w:proofErr w:type="spellStart"/>
      <w:r w:rsidRPr="00736BD1">
        <w:rPr>
          <w:rFonts w:ascii="微软雅黑" w:eastAsia="微软雅黑" w:hAnsi="微软雅黑" w:cs="宋体"/>
          <w:kern w:val="0"/>
          <w:sz w:val="24"/>
          <w:szCs w:val="24"/>
        </w:rPr>
        <w:t>mCerulean</w:t>
      </w:r>
      <w:proofErr w:type="spellEnd"/>
      <w:r w:rsidRPr="00736BD1">
        <w:rPr>
          <w:rFonts w:ascii="微软雅黑" w:eastAsia="微软雅黑" w:hAnsi="微软雅黑" w:cs="宋体"/>
          <w:kern w:val="0"/>
          <w:sz w:val="24"/>
          <w:szCs w:val="24"/>
        </w:rPr>
        <w:t>荧光强度通过FACS分选，分离出geminin阳性细胞。分选后立即用</w:t>
      </w:r>
      <w:proofErr w:type="spellStart"/>
      <w:r w:rsidRPr="00736BD1">
        <w:rPr>
          <w:rFonts w:ascii="微软雅黑" w:eastAsia="微软雅黑" w:hAnsi="微软雅黑" w:cs="宋体"/>
          <w:kern w:val="0"/>
          <w:sz w:val="24"/>
          <w:szCs w:val="24"/>
        </w:rPr>
        <w:t>TRIzol</w:t>
      </w:r>
      <w:proofErr w:type="spellEnd"/>
      <w:r w:rsidRPr="00736BD1">
        <w:rPr>
          <w:rFonts w:ascii="微软雅黑" w:eastAsia="微软雅黑" w:hAnsi="微软雅黑" w:cs="宋体"/>
          <w:kern w:val="0"/>
          <w:sz w:val="24"/>
          <w:szCs w:val="24"/>
        </w:rPr>
        <w:t xml:space="preserve"> LS试剂（Invitrogen；10296010）裂解细胞，并与每1 mL </w:t>
      </w:r>
      <w:proofErr w:type="spellStart"/>
      <w:r w:rsidRPr="00736BD1">
        <w:rPr>
          <w:rFonts w:ascii="微软雅黑" w:eastAsia="微软雅黑" w:hAnsi="微软雅黑" w:cs="宋体"/>
          <w:kern w:val="0"/>
          <w:sz w:val="24"/>
          <w:szCs w:val="24"/>
        </w:rPr>
        <w:t>TRIzol</w:t>
      </w:r>
      <w:proofErr w:type="spellEnd"/>
      <w:r w:rsidRPr="00736BD1">
        <w:rPr>
          <w:rFonts w:ascii="微软雅黑" w:eastAsia="微软雅黑" w:hAnsi="微软雅黑" w:cs="宋体"/>
          <w:kern w:val="0"/>
          <w:sz w:val="24"/>
          <w:szCs w:val="24"/>
        </w:rPr>
        <w:t>中加入0.2 mL氯仿混合，以诱导相分离。在4°C下以12,000 </w:t>
      </w:r>
      <w:r w:rsidRPr="00736BD1">
        <w:rPr>
          <w:rFonts w:ascii="微软雅黑" w:eastAsia="微软雅黑" w:hAnsi="微软雅黑" w:cs="宋体"/>
          <w:i/>
          <w:iCs/>
          <w:kern w:val="0"/>
          <w:sz w:val="24"/>
          <w:szCs w:val="24"/>
        </w:rPr>
        <w:t>g</w:t>
      </w:r>
      <w:r w:rsidRPr="00736BD1">
        <w:rPr>
          <w:rFonts w:ascii="微软雅黑" w:eastAsia="微软雅黑" w:hAnsi="微软雅黑" w:cs="宋体"/>
          <w:kern w:val="0"/>
          <w:sz w:val="24"/>
          <w:szCs w:val="24"/>
        </w:rPr>
        <w:t>离心15分钟后，收集水相，并加入0.5 mL异丙醇和</w:t>
      </w:r>
      <w:proofErr w:type="spellStart"/>
      <w:r w:rsidRPr="00736BD1">
        <w:rPr>
          <w:rFonts w:ascii="微软雅黑" w:eastAsia="微软雅黑" w:hAnsi="微软雅黑" w:cs="宋体"/>
          <w:kern w:val="0"/>
          <w:sz w:val="24"/>
          <w:szCs w:val="24"/>
        </w:rPr>
        <w:t>GlycoBlue</w:t>
      </w:r>
      <w:proofErr w:type="spellEnd"/>
      <w:r w:rsidRPr="00736BD1">
        <w:rPr>
          <w:rFonts w:ascii="微软雅黑" w:eastAsia="微软雅黑" w:hAnsi="微软雅黑" w:cs="宋体"/>
          <w:kern w:val="0"/>
          <w:sz w:val="24"/>
          <w:szCs w:val="24"/>
        </w:rPr>
        <w:t xml:space="preserve">（50 </w:t>
      </w:r>
      <w:proofErr w:type="spellStart"/>
      <w:r w:rsidRPr="00736BD1">
        <w:rPr>
          <w:rFonts w:ascii="微软雅黑" w:eastAsia="微软雅黑" w:hAnsi="微软雅黑" w:cs="宋体"/>
          <w:kern w:val="0"/>
          <w:sz w:val="24"/>
          <w:szCs w:val="24"/>
        </w:rPr>
        <w:t>μg</w:t>
      </w:r>
      <w:proofErr w:type="spellEnd"/>
      <w:r w:rsidRPr="00736BD1">
        <w:rPr>
          <w:rFonts w:ascii="微软雅黑" w:eastAsia="微软雅黑" w:hAnsi="微软雅黑" w:cs="宋体"/>
          <w:kern w:val="0"/>
          <w:sz w:val="24"/>
          <w:szCs w:val="24"/>
        </w:rPr>
        <w:t>/mL）（Applied Biosystems；AM9515）沉淀RNA，然后在-20°C下孵育过夜。沉淀的RNA在4°C下以12,000 </w:t>
      </w:r>
      <w:r w:rsidRPr="00736BD1">
        <w:rPr>
          <w:rFonts w:ascii="微软雅黑" w:eastAsia="微软雅黑" w:hAnsi="微软雅黑" w:cs="宋体"/>
          <w:i/>
          <w:iCs/>
          <w:kern w:val="0"/>
          <w:sz w:val="24"/>
          <w:szCs w:val="24"/>
        </w:rPr>
        <w:t>g</w:t>
      </w:r>
      <w:r w:rsidRPr="00736BD1">
        <w:rPr>
          <w:rFonts w:ascii="微软雅黑" w:eastAsia="微软雅黑" w:hAnsi="微软雅黑" w:cs="宋体"/>
          <w:kern w:val="0"/>
          <w:sz w:val="24"/>
          <w:szCs w:val="24"/>
        </w:rPr>
        <w:t>离心10分钟，用75%乙醇洗涤，然后再次以7,500 </w:t>
      </w:r>
      <w:r w:rsidRPr="00736BD1">
        <w:rPr>
          <w:rFonts w:ascii="微软雅黑" w:eastAsia="微软雅黑" w:hAnsi="微软雅黑" w:cs="宋体"/>
          <w:i/>
          <w:iCs/>
          <w:kern w:val="0"/>
          <w:sz w:val="24"/>
          <w:szCs w:val="24"/>
        </w:rPr>
        <w:t>g</w:t>
      </w:r>
      <w:r w:rsidRPr="00736BD1">
        <w:rPr>
          <w:rFonts w:ascii="微软雅黑" w:eastAsia="微软雅黑" w:hAnsi="微软雅黑" w:cs="宋体"/>
          <w:kern w:val="0"/>
          <w:sz w:val="24"/>
          <w:szCs w:val="24"/>
        </w:rPr>
        <w:t>离心5分钟。风干后，将RNA重悬于无RNase水中。使用</w:t>
      </w:r>
      <w:proofErr w:type="spellStart"/>
      <w:r w:rsidRPr="00736BD1">
        <w:rPr>
          <w:rFonts w:ascii="微软雅黑" w:eastAsia="微软雅黑" w:hAnsi="微软雅黑" w:cs="宋体"/>
          <w:kern w:val="0"/>
          <w:sz w:val="24"/>
          <w:szCs w:val="24"/>
        </w:rPr>
        <w:t>TapeStation</w:t>
      </w:r>
      <w:proofErr w:type="spellEnd"/>
      <w:r w:rsidRPr="00736BD1">
        <w:rPr>
          <w:rFonts w:ascii="微软雅黑" w:eastAsia="微软雅黑" w:hAnsi="微软雅黑" w:cs="宋体"/>
          <w:kern w:val="0"/>
          <w:sz w:val="24"/>
          <w:szCs w:val="24"/>
        </w:rPr>
        <w:t xml:space="preserve"> 4200系统（安捷伦科技公司）评估</w:t>
      </w:r>
      <w:r w:rsidRPr="00736BD1">
        <w:rPr>
          <w:rFonts w:ascii="微软雅黑" w:eastAsia="微软雅黑" w:hAnsi="微软雅黑" w:cs="宋体"/>
          <w:kern w:val="0"/>
          <w:sz w:val="24"/>
          <w:szCs w:val="24"/>
        </w:rPr>
        <w:lastRenderedPageBreak/>
        <w:t>RNA的质量和数量。RNA测序在哥伦比亚基因组中心进行，使用</w:t>
      </w:r>
      <w:proofErr w:type="spellStart"/>
      <w:r w:rsidRPr="00736BD1">
        <w:rPr>
          <w:rFonts w:ascii="微软雅黑" w:eastAsia="微软雅黑" w:hAnsi="微软雅黑" w:cs="宋体"/>
          <w:kern w:val="0"/>
          <w:sz w:val="24"/>
          <w:szCs w:val="24"/>
        </w:rPr>
        <w:t>Clontech</w:t>
      </w:r>
      <w:proofErr w:type="spellEnd"/>
      <w:r w:rsidRPr="00736BD1">
        <w:rPr>
          <w:rFonts w:ascii="微软雅黑" w:eastAsia="微软雅黑" w:hAnsi="微软雅黑" w:cs="宋体"/>
          <w:kern w:val="0"/>
          <w:sz w:val="24"/>
          <w:szCs w:val="24"/>
        </w:rPr>
        <w:t xml:space="preserve"> Ultra Low v4试剂盒和Element </w:t>
      </w:r>
      <w:proofErr w:type="spellStart"/>
      <w:r w:rsidRPr="00736BD1">
        <w:rPr>
          <w:rFonts w:ascii="微软雅黑" w:eastAsia="微软雅黑" w:hAnsi="微软雅黑" w:cs="宋体"/>
          <w:kern w:val="0"/>
          <w:sz w:val="24"/>
          <w:szCs w:val="24"/>
        </w:rPr>
        <w:t>Aviti</w:t>
      </w:r>
      <w:proofErr w:type="spellEnd"/>
      <w:r w:rsidRPr="00736BD1">
        <w:rPr>
          <w:rFonts w:ascii="微软雅黑" w:eastAsia="微软雅黑" w:hAnsi="微软雅黑" w:cs="宋体"/>
          <w:kern w:val="0"/>
          <w:sz w:val="24"/>
          <w:szCs w:val="24"/>
        </w:rPr>
        <w:t>平台。差异表达分析使用DESeq2 R包（v1.44.0）（</w:t>
      </w:r>
      <w:hyperlink r:id="rId71" w:anchor="B58" w:history="1">
        <w:r w:rsidRPr="00736BD1">
          <w:rPr>
            <w:rFonts w:ascii="微软雅黑" w:eastAsia="微软雅黑" w:hAnsi="微软雅黑" w:cs="宋体"/>
            <w:kern w:val="0"/>
            <w:sz w:val="24"/>
            <w:szCs w:val="24"/>
            <w:u w:val="single"/>
          </w:rPr>
          <w:t>58 ）进行，并采用apeglm方法（ </w:t>
        </w:r>
      </w:hyperlink>
      <w:hyperlink r:id="rId72" w:anchor="B59" w:history="1">
        <w:r w:rsidRPr="00736BD1">
          <w:rPr>
            <w:rFonts w:ascii="微软雅黑" w:eastAsia="微软雅黑" w:hAnsi="微软雅黑" w:cs="宋体"/>
            <w:kern w:val="0"/>
            <w:sz w:val="24"/>
            <w:szCs w:val="24"/>
            <w:u w:val="single"/>
          </w:rPr>
          <w:t>59</w:t>
        </w:r>
      </w:hyperlink>
      <w:r w:rsidRPr="00736BD1">
        <w:rPr>
          <w:rFonts w:ascii="微软雅黑" w:eastAsia="微软雅黑" w:hAnsi="微软雅黑" w:cs="宋体"/>
          <w:kern w:val="0"/>
          <w:sz w:val="24"/>
          <w:szCs w:val="24"/>
        </w:rPr>
        <w:t> ）进行log2倍数变化收缩。基因集富集分析（GSEA）使用</w:t>
      </w:r>
      <w:proofErr w:type="spellStart"/>
      <w:r w:rsidRPr="00736BD1">
        <w:rPr>
          <w:rFonts w:ascii="微软雅黑" w:eastAsia="微软雅黑" w:hAnsi="微软雅黑" w:cs="宋体"/>
          <w:kern w:val="0"/>
          <w:sz w:val="24"/>
          <w:szCs w:val="24"/>
        </w:rPr>
        <w:t>clusterProfiler</w:t>
      </w:r>
      <w:proofErr w:type="spellEnd"/>
      <w:r w:rsidRPr="00736BD1">
        <w:rPr>
          <w:rFonts w:ascii="微软雅黑" w:eastAsia="微软雅黑" w:hAnsi="微软雅黑" w:cs="宋体"/>
          <w:kern w:val="0"/>
          <w:sz w:val="24"/>
          <w:szCs w:val="24"/>
        </w:rPr>
        <w:t xml:space="preserve"> R包（v4.12.6）进行，基因</w:t>
      </w:r>
      <w:proofErr w:type="gramStart"/>
      <w:r w:rsidRPr="00736BD1">
        <w:rPr>
          <w:rFonts w:ascii="微软雅黑" w:eastAsia="微软雅黑" w:hAnsi="微软雅黑" w:cs="宋体"/>
          <w:kern w:val="0"/>
          <w:sz w:val="24"/>
          <w:szCs w:val="24"/>
        </w:rPr>
        <w:t>集包括</w:t>
      </w:r>
      <w:proofErr w:type="gramEnd"/>
      <w:r w:rsidRPr="00736BD1">
        <w:rPr>
          <w:rFonts w:ascii="微软雅黑" w:eastAsia="微软雅黑" w:hAnsi="微软雅黑" w:cs="宋体"/>
          <w:kern w:val="0"/>
          <w:sz w:val="24"/>
          <w:szCs w:val="24"/>
        </w:rPr>
        <w:t>来自</w:t>
      </w:r>
      <w:proofErr w:type="spellStart"/>
      <w:r w:rsidRPr="00736BD1">
        <w:rPr>
          <w:rFonts w:ascii="微软雅黑" w:eastAsia="微软雅黑" w:hAnsi="微软雅黑" w:cs="宋体"/>
          <w:kern w:val="0"/>
          <w:sz w:val="24"/>
          <w:szCs w:val="24"/>
        </w:rPr>
        <w:t>MSigDB</w:t>
      </w:r>
      <w:proofErr w:type="spellEnd"/>
      <w:r w:rsidRPr="00736BD1">
        <w:rPr>
          <w:rFonts w:ascii="微软雅黑" w:eastAsia="微软雅黑" w:hAnsi="微软雅黑" w:cs="宋体"/>
          <w:kern w:val="0"/>
          <w:sz w:val="24"/>
          <w:szCs w:val="24"/>
        </w:rPr>
        <w:t>的hallmark和</w:t>
      </w:r>
      <w:proofErr w:type="spellStart"/>
      <w:r w:rsidRPr="00736BD1">
        <w:rPr>
          <w:rFonts w:ascii="微软雅黑" w:eastAsia="微软雅黑" w:hAnsi="微软雅黑" w:cs="宋体"/>
          <w:kern w:val="0"/>
          <w:sz w:val="24"/>
          <w:szCs w:val="24"/>
        </w:rPr>
        <w:t>reactome</w:t>
      </w:r>
      <w:proofErr w:type="spellEnd"/>
      <w:r w:rsidRPr="00736BD1">
        <w:rPr>
          <w:rFonts w:ascii="微软雅黑" w:eastAsia="微软雅黑" w:hAnsi="微软雅黑" w:cs="宋体"/>
          <w:kern w:val="0"/>
          <w:sz w:val="24"/>
          <w:szCs w:val="24"/>
        </w:rPr>
        <w:t>基因集。使用排序后的基因列表作为输入（最大基因</w:t>
      </w:r>
      <w:proofErr w:type="gramStart"/>
      <w:r w:rsidRPr="00736BD1">
        <w:rPr>
          <w:rFonts w:ascii="微软雅黑" w:eastAsia="微软雅黑" w:hAnsi="微软雅黑" w:cs="宋体"/>
          <w:kern w:val="0"/>
          <w:sz w:val="24"/>
          <w:szCs w:val="24"/>
        </w:rPr>
        <w:t>集大小</w:t>
      </w:r>
      <w:proofErr w:type="gramEnd"/>
      <w:r w:rsidRPr="00736BD1">
        <w:rPr>
          <w:rFonts w:ascii="微软雅黑" w:eastAsia="微软雅黑" w:hAnsi="微软雅黑" w:cs="宋体"/>
          <w:kern w:val="0"/>
          <w:sz w:val="24"/>
          <w:szCs w:val="24"/>
        </w:rPr>
        <w:t>为 500），并通过 10,000 次置换检验评估统计学显著性。当</w:t>
      </w:r>
      <w:r w:rsidRPr="00736BD1">
        <w:rPr>
          <w:rFonts w:ascii="微软雅黑" w:eastAsia="微软雅黑" w:hAnsi="微软雅黑" w:cs="宋体"/>
          <w:i/>
          <w:iCs/>
          <w:kern w:val="0"/>
          <w:sz w:val="24"/>
          <w:szCs w:val="24"/>
        </w:rPr>
        <w:t>P</w:t>
      </w:r>
      <w:r w:rsidRPr="00736BD1">
        <w:rPr>
          <w:rFonts w:ascii="微软雅黑" w:eastAsia="微软雅黑" w:hAnsi="微软雅黑" w:cs="宋体"/>
          <w:kern w:val="0"/>
          <w:sz w:val="24"/>
          <w:szCs w:val="24"/>
        </w:rPr>
        <w:t> &lt; 0.05 且 FDR &lt; 0.25 时，认为通路显著富集。</w:t>
      </w:r>
    </w:p>
    <w:p w14:paraId="4D1BD340" w14:textId="77777777" w:rsidR="00736BD1" w:rsidRPr="00736BD1" w:rsidRDefault="00736BD1" w:rsidP="00736BD1">
      <w:pPr>
        <w:widowControl/>
        <w:spacing w:line="450" w:lineRule="atLeast"/>
        <w:outlineLvl w:val="2"/>
        <w:rPr>
          <w:rFonts w:ascii="微软雅黑" w:eastAsia="微软雅黑" w:hAnsi="微软雅黑" w:cs="宋体"/>
          <w:kern w:val="0"/>
          <w:sz w:val="32"/>
          <w:szCs w:val="32"/>
        </w:rPr>
      </w:pPr>
      <w:r w:rsidRPr="00736BD1">
        <w:rPr>
          <w:rFonts w:ascii="微软雅黑" w:eastAsia="微软雅黑" w:hAnsi="微软雅黑" w:cs="宋体"/>
          <w:kern w:val="0"/>
          <w:sz w:val="32"/>
          <w:szCs w:val="32"/>
        </w:rPr>
        <w:t>体内异种移植和同基因小鼠模型。</w:t>
      </w:r>
    </w:p>
    <w:p w14:paraId="3F842DE5" w14:textId="77777777" w:rsidR="00736BD1" w:rsidRPr="00736BD1" w:rsidRDefault="00736BD1" w:rsidP="00736BD1">
      <w:pPr>
        <w:widowControl/>
        <w:spacing w:before="450"/>
        <w:rPr>
          <w:rFonts w:ascii="微软雅黑" w:eastAsia="微软雅黑" w:hAnsi="微软雅黑" w:cs="宋体"/>
          <w:kern w:val="0"/>
          <w:sz w:val="24"/>
          <w:szCs w:val="24"/>
        </w:rPr>
      </w:pPr>
      <w:r w:rsidRPr="00736BD1">
        <w:rPr>
          <w:rFonts w:ascii="微软雅黑" w:eastAsia="微软雅黑" w:hAnsi="微软雅黑" w:cs="宋体"/>
          <w:kern w:val="0"/>
          <w:sz w:val="24"/>
          <w:szCs w:val="24"/>
        </w:rPr>
        <w:t>雌性C57BL/6J和J:NU小鼠（7-8周龄）经腹腔注射氯胺酮（90 mg/kg）和赛拉</w:t>
      </w:r>
      <w:proofErr w:type="gramStart"/>
      <w:r w:rsidRPr="00736BD1">
        <w:rPr>
          <w:rFonts w:ascii="微软雅黑" w:eastAsia="微软雅黑" w:hAnsi="微软雅黑" w:cs="宋体"/>
          <w:kern w:val="0"/>
          <w:sz w:val="24"/>
          <w:szCs w:val="24"/>
        </w:rPr>
        <w:t>嗪</w:t>
      </w:r>
      <w:proofErr w:type="gramEnd"/>
      <w:r w:rsidRPr="00736BD1">
        <w:rPr>
          <w:rFonts w:ascii="微软雅黑" w:eastAsia="微软雅黑" w:hAnsi="微软雅黑" w:cs="宋体"/>
          <w:kern w:val="0"/>
          <w:sz w:val="24"/>
          <w:szCs w:val="24"/>
        </w:rPr>
        <w:t>（10 mg/kg）麻醉。将AT3 </w:t>
      </w:r>
      <w:r w:rsidRPr="00736BD1">
        <w:rPr>
          <w:rFonts w:ascii="微软雅黑" w:eastAsia="微软雅黑" w:hAnsi="微软雅黑" w:cs="宋体"/>
          <w:kern w:val="0"/>
          <w:sz w:val="24"/>
          <w:szCs w:val="24"/>
          <w:vertAlign w:val="superscript"/>
        </w:rPr>
        <w:t>OVA</w:t>
      </w:r>
      <w:r w:rsidRPr="00736BD1">
        <w:rPr>
          <w:rFonts w:ascii="微软雅黑" w:eastAsia="微软雅黑" w:hAnsi="微软雅黑" w:cs="宋体"/>
          <w:kern w:val="0"/>
          <w:sz w:val="24"/>
          <w:szCs w:val="24"/>
        </w:rPr>
        <w:t>细胞（每只小鼠5 × 10</w:t>
      </w:r>
      <w:r w:rsidRPr="00736BD1">
        <w:rPr>
          <w:rFonts w:ascii="微软雅黑" w:eastAsia="微软雅黑" w:hAnsi="微软雅黑" w:cs="微软雅黑" w:hint="eastAsia"/>
          <w:kern w:val="0"/>
          <w:sz w:val="24"/>
          <w:szCs w:val="24"/>
        </w:rPr>
        <w:t>⁵</w:t>
      </w:r>
      <w:proofErr w:type="gramStart"/>
      <w:r w:rsidRPr="00736BD1">
        <w:rPr>
          <w:rFonts w:ascii="微软雅黑" w:eastAsia="微软雅黑" w:hAnsi="微软雅黑" w:cs="宋体"/>
          <w:kern w:val="0"/>
          <w:sz w:val="24"/>
          <w:szCs w:val="24"/>
          <w:vertAlign w:val="superscript"/>
        </w:rPr>
        <w:t>个</w:t>
      </w:r>
      <w:proofErr w:type="gramEnd"/>
      <w:r w:rsidRPr="00736BD1">
        <w:rPr>
          <w:rFonts w:ascii="微软雅黑" w:eastAsia="微软雅黑" w:hAnsi="微软雅黑" w:cs="宋体"/>
          <w:kern w:val="0"/>
          <w:sz w:val="24"/>
          <w:szCs w:val="24"/>
        </w:rPr>
        <w:t>细胞，溶于PBS）原位注射到C57BL/6J和J:NU小鼠的腹部乳腺脂肪垫中。对于人源异种移植模型，将MDA-MB-231细胞（每只小鼠2 × 10</w:t>
      </w:r>
      <w:r w:rsidRPr="00736BD1">
        <w:rPr>
          <w:rFonts w:ascii="MS Gothic" w:eastAsia="MS Gothic" w:hAnsi="MS Gothic" w:cs="MS Gothic" w:hint="eastAsia"/>
          <w:kern w:val="0"/>
          <w:sz w:val="24"/>
          <w:szCs w:val="24"/>
        </w:rPr>
        <w:t>⁶</w:t>
      </w:r>
      <w:proofErr w:type="gramStart"/>
      <w:r w:rsidRPr="00736BD1">
        <w:rPr>
          <w:rFonts w:ascii="微软雅黑" w:eastAsia="微软雅黑" w:hAnsi="微软雅黑" w:cs="宋体"/>
          <w:kern w:val="0"/>
          <w:sz w:val="24"/>
          <w:szCs w:val="24"/>
          <w:vertAlign w:val="superscript"/>
        </w:rPr>
        <w:t>个</w:t>
      </w:r>
      <w:proofErr w:type="gramEnd"/>
      <w:r w:rsidRPr="00736BD1">
        <w:rPr>
          <w:rFonts w:ascii="微软雅黑" w:eastAsia="微软雅黑" w:hAnsi="微软雅黑" w:cs="宋体"/>
          <w:kern w:val="0"/>
          <w:sz w:val="24"/>
          <w:szCs w:val="24"/>
        </w:rPr>
        <w:t>细胞）悬浮于</w:t>
      </w:r>
      <w:proofErr w:type="spellStart"/>
      <w:r w:rsidRPr="00736BD1">
        <w:rPr>
          <w:rFonts w:ascii="微软雅黑" w:eastAsia="微软雅黑" w:hAnsi="微软雅黑" w:cs="宋体"/>
          <w:kern w:val="0"/>
          <w:sz w:val="24"/>
          <w:szCs w:val="24"/>
        </w:rPr>
        <w:t>Geltrex</w:t>
      </w:r>
      <w:proofErr w:type="spellEnd"/>
      <w:r w:rsidRPr="00736BD1">
        <w:rPr>
          <w:rFonts w:ascii="微软雅黑" w:eastAsia="微软雅黑" w:hAnsi="微软雅黑" w:cs="宋体"/>
          <w:kern w:val="0"/>
          <w:sz w:val="24"/>
          <w:szCs w:val="24"/>
        </w:rPr>
        <w:t xml:space="preserve"> LDEV-Free低生长因子基底膜基质（Thermo Fisher Scientific；A1413201）中，并以相同方式注射到J:NU小鼠体内。每两周使用数字游标卡尺测量肿瘤体积，并使用公式：体积 = (宽度</w:t>
      </w:r>
      <w:r w:rsidRPr="00736BD1">
        <w:rPr>
          <w:rFonts w:ascii="微软雅黑" w:eastAsia="微软雅黑" w:hAnsi="微软雅黑" w:cs="宋体"/>
          <w:kern w:val="0"/>
          <w:sz w:val="24"/>
          <w:szCs w:val="24"/>
          <w:vertAlign w:val="superscript"/>
        </w:rPr>
        <w:t>²</w:t>
      </w:r>
      <w:r w:rsidRPr="00736BD1">
        <w:rPr>
          <w:rFonts w:ascii="微软雅黑" w:eastAsia="微软雅黑" w:hAnsi="微软雅黑" w:cs="宋体"/>
          <w:kern w:val="0"/>
          <w:sz w:val="24"/>
          <w:szCs w:val="24"/>
        </w:rPr>
        <w:t> × 长度) × ½ 计算。当肿瘤平均体积达到约100 mm³时开始药物治疗。携带AT3 </w:t>
      </w:r>
      <w:r w:rsidRPr="00736BD1">
        <w:rPr>
          <w:rFonts w:ascii="微软雅黑" w:eastAsia="微软雅黑" w:hAnsi="微软雅黑" w:cs="宋体"/>
          <w:kern w:val="0"/>
          <w:sz w:val="24"/>
          <w:szCs w:val="24"/>
          <w:vertAlign w:val="superscript"/>
        </w:rPr>
        <w:t>OVA</w:t>
      </w:r>
      <w:r w:rsidRPr="00736BD1">
        <w:rPr>
          <w:rFonts w:ascii="微软雅黑" w:eastAsia="微软雅黑" w:hAnsi="微软雅黑" w:cs="宋体"/>
          <w:kern w:val="0"/>
          <w:sz w:val="24"/>
          <w:szCs w:val="24"/>
        </w:rPr>
        <w:t>肿瘤的小鼠分别接受不同剂量的SY5609（溶于玉米油中，剂量分别为2、5、10或25 mg/kg）治疗，或接受载体对照（玉米油）、帕博西尼（50 mg/kg）、SY5609（10 mg/kg）或</w:t>
      </w:r>
      <w:proofErr w:type="spellStart"/>
      <w:r w:rsidRPr="00736BD1">
        <w:rPr>
          <w:rFonts w:ascii="微软雅黑" w:eastAsia="微软雅黑" w:hAnsi="微软雅黑" w:cs="宋体"/>
          <w:kern w:val="0"/>
          <w:sz w:val="24"/>
          <w:szCs w:val="24"/>
        </w:rPr>
        <w:t>tagtociclib</w:t>
      </w:r>
      <w:proofErr w:type="spellEnd"/>
      <w:r w:rsidRPr="00736BD1">
        <w:rPr>
          <w:rFonts w:ascii="微软雅黑" w:eastAsia="微软雅黑" w:hAnsi="微软雅黑" w:cs="宋体"/>
          <w:kern w:val="0"/>
          <w:sz w:val="24"/>
          <w:szCs w:val="24"/>
        </w:rPr>
        <w:t>（50 mg/kg）治疗。携带AT3 </w:t>
      </w:r>
      <w:r w:rsidRPr="00736BD1">
        <w:rPr>
          <w:rFonts w:ascii="微软雅黑" w:eastAsia="微软雅黑" w:hAnsi="微软雅黑" w:cs="宋体"/>
          <w:kern w:val="0"/>
          <w:sz w:val="24"/>
          <w:szCs w:val="24"/>
          <w:vertAlign w:val="superscript"/>
        </w:rPr>
        <w:t>OVA</w:t>
      </w:r>
      <w:r w:rsidRPr="00736BD1">
        <w:rPr>
          <w:rFonts w:ascii="微软雅黑" w:eastAsia="微软雅黑" w:hAnsi="微软雅黑" w:cs="宋体"/>
          <w:kern w:val="0"/>
          <w:sz w:val="24"/>
          <w:szCs w:val="24"/>
        </w:rPr>
        <w:t>或MDA-MB-231肿瘤的小鼠接受载体、帕博西尼（50 mg/kg）、SY5609（2 mg/kg）或帕博西尼联合SY5609治疗。所有治疗均每日一次，通过灌胃给药。研究结束时，小鼠用氯胺酮（90 mg/kg）和赛拉</w:t>
      </w:r>
      <w:proofErr w:type="gramStart"/>
      <w:r w:rsidRPr="00736BD1">
        <w:rPr>
          <w:rFonts w:ascii="微软雅黑" w:eastAsia="微软雅黑" w:hAnsi="微软雅黑" w:cs="宋体"/>
          <w:kern w:val="0"/>
          <w:sz w:val="24"/>
          <w:szCs w:val="24"/>
        </w:rPr>
        <w:t>嗪</w:t>
      </w:r>
      <w:proofErr w:type="gramEnd"/>
      <w:r w:rsidRPr="00736BD1">
        <w:rPr>
          <w:rFonts w:ascii="微软雅黑" w:eastAsia="微软雅黑" w:hAnsi="微软雅黑" w:cs="宋体"/>
          <w:kern w:val="0"/>
          <w:sz w:val="24"/>
          <w:szCs w:val="24"/>
        </w:rPr>
        <w:t xml:space="preserve">（10 </w:t>
      </w:r>
      <w:r w:rsidRPr="00736BD1">
        <w:rPr>
          <w:rFonts w:ascii="微软雅黑" w:eastAsia="微软雅黑" w:hAnsi="微软雅黑" w:cs="宋体"/>
          <w:kern w:val="0"/>
          <w:sz w:val="24"/>
          <w:szCs w:val="24"/>
        </w:rPr>
        <w:lastRenderedPageBreak/>
        <w:t>mg/kg）麻醉，并进行血管灌注，免疫组化样本用1% PFA/PBS灌注，流式细胞术样本用冰冷的PBS灌注。切除肿瘤并称重。治疗后28天采集血液样本，用于评估血液学参数和</w:t>
      </w:r>
      <w:proofErr w:type="gramStart"/>
      <w:r w:rsidRPr="00736BD1">
        <w:rPr>
          <w:rFonts w:ascii="微软雅黑" w:eastAsia="微软雅黑" w:hAnsi="微软雅黑" w:cs="宋体"/>
          <w:kern w:val="0"/>
          <w:sz w:val="24"/>
          <w:szCs w:val="24"/>
        </w:rPr>
        <w:t>血浆肝酶水平</w:t>
      </w:r>
      <w:proofErr w:type="gramEnd"/>
      <w:r w:rsidRPr="00736BD1">
        <w:rPr>
          <w:rFonts w:ascii="微软雅黑" w:eastAsia="微软雅黑" w:hAnsi="微软雅黑" w:cs="宋体"/>
          <w:kern w:val="0"/>
          <w:sz w:val="24"/>
          <w:szCs w:val="24"/>
        </w:rPr>
        <w:t>（丙氨酸氨基转移酶和天冬氨酸氨基转移酶）。血液分析在哥伦比亚大学医学中心比较医学研究所进行，使用</w:t>
      </w:r>
      <w:proofErr w:type="spellStart"/>
      <w:r w:rsidRPr="00736BD1">
        <w:rPr>
          <w:rFonts w:ascii="微软雅黑" w:eastAsia="微软雅黑" w:hAnsi="微软雅黑" w:cs="宋体"/>
          <w:kern w:val="0"/>
          <w:sz w:val="24"/>
          <w:szCs w:val="24"/>
        </w:rPr>
        <w:t>Heska</w:t>
      </w:r>
      <w:proofErr w:type="spellEnd"/>
      <w:r w:rsidRPr="00736BD1">
        <w:rPr>
          <w:rFonts w:ascii="微软雅黑" w:eastAsia="微软雅黑" w:hAnsi="微软雅黑" w:cs="宋体"/>
          <w:kern w:val="0"/>
          <w:sz w:val="24"/>
          <w:szCs w:val="24"/>
        </w:rPr>
        <w:t xml:space="preserve"> Element HT5分析仪进行全血细胞计数，使用</w:t>
      </w:r>
      <w:proofErr w:type="spellStart"/>
      <w:r w:rsidRPr="00736BD1">
        <w:rPr>
          <w:rFonts w:ascii="微软雅黑" w:eastAsia="微软雅黑" w:hAnsi="微软雅黑" w:cs="宋体"/>
          <w:kern w:val="0"/>
          <w:sz w:val="24"/>
          <w:szCs w:val="24"/>
        </w:rPr>
        <w:t>Heska</w:t>
      </w:r>
      <w:proofErr w:type="spellEnd"/>
      <w:r w:rsidRPr="00736BD1">
        <w:rPr>
          <w:rFonts w:ascii="微软雅黑" w:eastAsia="微软雅黑" w:hAnsi="微软雅黑" w:cs="宋体"/>
          <w:kern w:val="0"/>
          <w:sz w:val="24"/>
          <w:szCs w:val="24"/>
        </w:rPr>
        <w:t xml:space="preserve"> Element DC分析仪进行生化分析。所有动物实验均按照机构关于实验动物饲养和使用的指南进行。实验方案已获得哥伦比亚大学欧文医学中心机构动物护理和使用委员会的批准。对小鼠进行定期监测，并严格遵守伦理终点，以确保动物福利。</w:t>
      </w:r>
    </w:p>
    <w:p w14:paraId="4CE17665" w14:textId="77777777" w:rsidR="00736BD1" w:rsidRPr="00736BD1" w:rsidRDefault="00736BD1" w:rsidP="00736BD1">
      <w:pPr>
        <w:widowControl/>
        <w:spacing w:line="450" w:lineRule="atLeast"/>
        <w:outlineLvl w:val="2"/>
        <w:rPr>
          <w:rFonts w:ascii="微软雅黑" w:eastAsia="微软雅黑" w:hAnsi="微软雅黑" w:cs="宋体"/>
          <w:kern w:val="0"/>
          <w:sz w:val="32"/>
          <w:szCs w:val="32"/>
        </w:rPr>
      </w:pPr>
      <w:r w:rsidRPr="00736BD1">
        <w:rPr>
          <w:rFonts w:ascii="微软雅黑" w:eastAsia="微软雅黑" w:hAnsi="微软雅黑" w:cs="宋体"/>
          <w:kern w:val="0"/>
          <w:sz w:val="32"/>
          <w:szCs w:val="32"/>
        </w:rPr>
        <w:t>流式细胞术。</w:t>
      </w:r>
    </w:p>
    <w:p w14:paraId="0087D01F" w14:textId="77777777" w:rsidR="00736BD1" w:rsidRPr="00736BD1" w:rsidRDefault="00736BD1" w:rsidP="00736BD1">
      <w:pPr>
        <w:widowControl/>
        <w:spacing w:before="450"/>
        <w:rPr>
          <w:rFonts w:ascii="微软雅黑" w:eastAsia="微软雅黑" w:hAnsi="微软雅黑" w:cs="宋体"/>
          <w:kern w:val="0"/>
          <w:sz w:val="24"/>
          <w:szCs w:val="24"/>
        </w:rPr>
      </w:pPr>
      <w:r w:rsidRPr="00736BD1">
        <w:rPr>
          <w:rFonts w:ascii="微软雅黑" w:eastAsia="微软雅黑" w:hAnsi="微软雅黑" w:cs="宋体"/>
          <w:kern w:val="0"/>
          <w:sz w:val="24"/>
          <w:szCs w:val="24"/>
        </w:rPr>
        <w:t>实验结束时，通过左心室向小鼠灌注冰冷的PBS 2分钟。切除肿瘤，用无菌刀片将其切碎，并在由FACS缓冲液（PBS + 2% FBS）、0.1% IV型胶原酶（Worthington；</w:t>
      </w:r>
      <w:r w:rsidRPr="00736BD1">
        <w:rPr>
          <w:rFonts w:ascii="微软雅黑" w:eastAsia="微软雅黑" w:hAnsi="微软雅黑" w:cs="宋体"/>
          <w:kern w:val="0"/>
          <w:sz w:val="24"/>
          <w:szCs w:val="24"/>
        </w:rPr>
        <w:fldChar w:fldCharType="begin"/>
      </w:r>
      <w:r w:rsidRPr="00736BD1">
        <w:rPr>
          <w:rFonts w:ascii="微软雅黑" w:eastAsia="微软雅黑" w:hAnsi="微软雅黑" w:cs="宋体"/>
          <w:kern w:val="0"/>
          <w:sz w:val="24"/>
          <w:szCs w:val="24"/>
        </w:rPr>
        <w:instrText xml:space="preserve"> HYPERLINK "https://www.ncbi.nlm.nih.gov/nuccore/LS004188" \t "_blank" </w:instrText>
      </w:r>
      <w:r w:rsidRPr="00736BD1">
        <w:rPr>
          <w:rFonts w:ascii="微软雅黑" w:eastAsia="微软雅黑" w:hAnsi="微软雅黑" w:cs="宋体"/>
          <w:kern w:val="0"/>
          <w:sz w:val="24"/>
          <w:szCs w:val="24"/>
        </w:rPr>
        <w:fldChar w:fldCharType="separate"/>
      </w:r>
      <w:r w:rsidRPr="00736BD1">
        <w:rPr>
          <w:rFonts w:ascii="微软雅黑" w:eastAsia="微软雅黑" w:hAnsi="微软雅黑" w:cs="宋体"/>
          <w:kern w:val="0"/>
          <w:sz w:val="24"/>
          <w:szCs w:val="24"/>
          <w:u w:val="single"/>
        </w:rPr>
        <w:t>LS004188</w:t>
      </w:r>
      <w:r w:rsidRPr="00736BD1">
        <w:rPr>
          <w:rFonts w:ascii="微软雅黑" w:eastAsia="微软雅黑" w:hAnsi="微软雅黑" w:cs="宋体"/>
          <w:kern w:val="0"/>
          <w:sz w:val="24"/>
          <w:szCs w:val="24"/>
        </w:rPr>
        <w:fldChar w:fldCharType="end"/>
      </w:r>
      <w:r w:rsidRPr="00736BD1">
        <w:rPr>
          <w:rFonts w:ascii="微软雅黑" w:eastAsia="微软雅黑" w:hAnsi="微软雅黑" w:cs="宋体"/>
          <w:kern w:val="0"/>
          <w:sz w:val="24"/>
          <w:szCs w:val="24"/>
        </w:rPr>
        <w:t xml:space="preserve">）和10 U/mL DNase I（Sigma-Aldrich；D4527）组成的消化缓冲液中于37°C消化30分钟。将所得单细胞悬液通过70 </w:t>
      </w:r>
      <w:proofErr w:type="spellStart"/>
      <w:r w:rsidRPr="00736BD1">
        <w:rPr>
          <w:rFonts w:ascii="微软雅黑" w:eastAsia="微软雅黑" w:hAnsi="微软雅黑" w:cs="宋体"/>
          <w:kern w:val="0"/>
          <w:sz w:val="24"/>
          <w:szCs w:val="24"/>
        </w:rPr>
        <w:t>μm</w:t>
      </w:r>
      <w:proofErr w:type="spellEnd"/>
      <w:r w:rsidRPr="00736BD1">
        <w:rPr>
          <w:rFonts w:ascii="微软雅黑" w:eastAsia="微软雅黑" w:hAnsi="微软雅黑" w:cs="宋体"/>
          <w:kern w:val="0"/>
          <w:sz w:val="24"/>
          <w:szCs w:val="24"/>
        </w:rPr>
        <w:t>尼龙网过滤，并使用1×红细胞裂解缓冲液（</w:t>
      </w:r>
      <w:proofErr w:type="spellStart"/>
      <w:r w:rsidRPr="00736BD1">
        <w:rPr>
          <w:rFonts w:ascii="微软雅黑" w:eastAsia="微软雅黑" w:hAnsi="微软雅黑" w:cs="宋体"/>
          <w:kern w:val="0"/>
          <w:sz w:val="24"/>
          <w:szCs w:val="24"/>
        </w:rPr>
        <w:t>eBioscience</w:t>
      </w:r>
      <w:proofErr w:type="spellEnd"/>
      <w:r w:rsidRPr="00736BD1">
        <w:rPr>
          <w:rFonts w:ascii="微软雅黑" w:eastAsia="微软雅黑" w:hAnsi="微软雅黑" w:cs="宋体"/>
          <w:kern w:val="0"/>
          <w:sz w:val="24"/>
          <w:szCs w:val="24"/>
        </w:rPr>
        <w:t>；00-4300-54）裂解红细胞。为了评估肿瘤抗原特异性T细胞反应，将5 × 10</w:t>
      </w:r>
      <w:r w:rsidRPr="00736BD1">
        <w:rPr>
          <w:rFonts w:ascii="MS Gothic" w:eastAsia="MS Gothic" w:hAnsi="MS Gothic" w:cs="MS Gothic" w:hint="eastAsia"/>
          <w:kern w:val="0"/>
          <w:sz w:val="24"/>
          <w:szCs w:val="24"/>
        </w:rPr>
        <w:t>⁶</w:t>
      </w:r>
      <w:proofErr w:type="gramStart"/>
      <w:r w:rsidRPr="00736BD1">
        <w:rPr>
          <w:rFonts w:ascii="微软雅黑" w:eastAsia="微软雅黑" w:hAnsi="微软雅黑" w:cs="宋体"/>
          <w:kern w:val="0"/>
          <w:sz w:val="24"/>
          <w:szCs w:val="24"/>
          <w:vertAlign w:val="superscript"/>
        </w:rPr>
        <w:t>个</w:t>
      </w:r>
      <w:proofErr w:type="gramEnd"/>
      <w:r w:rsidRPr="00736BD1">
        <w:rPr>
          <w:rFonts w:ascii="微软雅黑" w:eastAsia="微软雅黑" w:hAnsi="微软雅黑" w:cs="宋体"/>
          <w:kern w:val="0"/>
          <w:sz w:val="24"/>
          <w:szCs w:val="24"/>
        </w:rPr>
        <w:t>活细胞培养于添加了10%胎牛血清（FBS）、1×青霉素/链霉素（Gibco；15-140-122）、1×谷氨酰胺/谷氨酰胺酶（</w:t>
      </w:r>
      <w:proofErr w:type="spellStart"/>
      <w:r w:rsidRPr="00736BD1">
        <w:rPr>
          <w:rFonts w:ascii="微软雅黑" w:eastAsia="微软雅黑" w:hAnsi="微软雅黑" w:cs="宋体"/>
          <w:kern w:val="0"/>
          <w:sz w:val="24"/>
          <w:szCs w:val="24"/>
        </w:rPr>
        <w:t>GlutaMAX</w:t>
      </w:r>
      <w:proofErr w:type="spellEnd"/>
      <w:r w:rsidRPr="00736BD1">
        <w:rPr>
          <w:rFonts w:ascii="微软雅黑" w:eastAsia="微软雅黑" w:hAnsi="微软雅黑" w:cs="宋体"/>
          <w:kern w:val="0"/>
          <w:sz w:val="24"/>
          <w:szCs w:val="24"/>
        </w:rPr>
        <w:t xml:space="preserve">）、10 mM HEPES、100 mM丙酮酸钠、50 </w:t>
      </w:r>
      <w:proofErr w:type="spellStart"/>
      <w:r w:rsidRPr="00736BD1">
        <w:rPr>
          <w:rFonts w:ascii="微软雅黑" w:eastAsia="微软雅黑" w:hAnsi="微软雅黑" w:cs="宋体"/>
          <w:kern w:val="0"/>
          <w:sz w:val="24"/>
          <w:szCs w:val="24"/>
        </w:rPr>
        <w:t>μM</w:t>
      </w:r>
      <w:proofErr w:type="spellEnd"/>
      <w:r w:rsidRPr="00736BD1">
        <w:rPr>
          <w:rFonts w:ascii="微软雅黑" w:eastAsia="微软雅黑" w:hAnsi="微软雅黑" w:cs="宋体"/>
          <w:kern w:val="0"/>
          <w:sz w:val="24"/>
          <w:szCs w:val="24"/>
        </w:rPr>
        <w:t xml:space="preserve"> 2-巯基乙醇和1×MEM非必需氨基酸（</w:t>
      </w:r>
      <w:proofErr w:type="spellStart"/>
      <w:r w:rsidRPr="00736BD1">
        <w:rPr>
          <w:rFonts w:ascii="微软雅黑" w:eastAsia="微软雅黑" w:hAnsi="微软雅黑" w:cs="宋体"/>
          <w:kern w:val="0"/>
          <w:sz w:val="24"/>
          <w:szCs w:val="24"/>
        </w:rPr>
        <w:t>Cytiva</w:t>
      </w:r>
      <w:proofErr w:type="spellEnd"/>
      <w:r w:rsidRPr="00736BD1">
        <w:rPr>
          <w:rFonts w:ascii="微软雅黑" w:eastAsia="微软雅黑" w:hAnsi="微软雅黑" w:cs="宋体"/>
          <w:kern w:val="0"/>
          <w:sz w:val="24"/>
          <w:szCs w:val="24"/>
        </w:rPr>
        <w:t>；SH30238.01）的RPMI培养基中。在收集细胞前6小时加入蛋白质转运抑制剂（Invitrogen；00-4980-93），以促进细胞内细胞因子的积累。首先将单细胞悬液与抗小鼠 CD16/CD32（克隆 S17011E）（Fc 阻断剂；</w:t>
      </w:r>
      <w:proofErr w:type="spellStart"/>
      <w:r w:rsidRPr="00736BD1">
        <w:rPr>
          <w:rFonts w:ascii="微软雅黑" w:eastAsia="微软雅黑" w:hAnsi="微软雅黑" w:cs="宋体"/>
          <w:kern w:val="0"/>
          <w:sz w:val="24"/>
          <w:szCs w:val="24"/>
        </w:rPr>
        <w:t>BioLegend</w:t>
      </w:r>
      <w:proofErr w:type="spellEnd"/>
      <w:r w:rsidRPr="00736BD1">
        <w:rPr>
          <w:rFonts w:ascii="微软雅黑" w:eastAsia="微软雅黑" w:hAnsi="微软雅黑" w:cs="宋体"/>
          <w:kern w:val="0"/>
          <w:sz w:val="24"/>
          <w:szCs w:val="24"/>
        </w:rPr>
        <w:t>；156604）孵育，以最大程度地减少非特</w:t>
      </w:r>
      <w:r w:rsidRPr="00736BD1">
        <w:rPr>
          <w:rFonts w:ascii="微软雅黑" w:eastAsia="微软雅黑" w:hAnsi="微软雅黑" w:cs="宋体"/>
          <w:kern w:val="0"/>
          <w:sz w:val="24"/>
          <w:szCs w:val="24"/>
        </w:rPr>
        <w:lastRenderedPageBreak/>
        <w:t>异性抗体结合，然后用 Zombie Aqua 活细胞染料（1:1,000；</w:t>
      </w:r>
      <w:proofErr w:type="spellStart"/>
      <w:r w:rsidRPr="00736BD1">
        <w:rPr>
          <w:rFonts w:ascii="微软雅黑" w:eastAsia="微软雅黑" w:hAnsi="微软雅黑" w:cs="宋体"/>
          <w:kern w:val="0"/>
          <w:sz w:val="24"/>
          <w:szCs w:val="24"/>
        </w:rPr>
        <w:t>BioLegend</w:t>
      </w:r>
      <w:proofErr w:type="spellEnd"/>
      <w:r w:rsidRPr="00736BD1">
        <w:rPr>
          <w:rFonts w:ascii="微软雅黑" w:eastAsia="微软雅黑" w:hAnsi="微软雅黑" w:cs="宋体"/>
          <w:kern w:val="0"/>
          <w:sz w:val="24"/>
          <w:szCs w:val="24"/>
        </w:rPr>
        <w:t>；423101）染色。为了检测肿瘤特异性 CD8 </w:t>
      </w:r>
      <w:r w:rsidRPr="00736BD1">
        <w:rPr>
          <w:rFonts w:ascii="微软雅黑" w:eastAsia="微软雅黑" w:hAnsi="微软雅黑" w:cs="宋体"/>
          <w:kern w:val="0"/>
          <w:sz w:val="24"/>
          <w:szCs w:val="24"/>
          <w:vertAlign w:val="superscript"/>
        </w:rPr>
        <w:t>+</w:t>
      </w:r>
      <w:r w:rsidRPr="00736BD1">
        <w:rPr>
          <w:rFonts w:ascii="微软雅黑" w:eastAsia="微软雅黑" w:hAnsi="微软雅黑" w:cs="宋体"/>
          <w:kern w:val="0"/>
          <w:sz w:val="24"/>
          <w:szCs w:val="24"/>
        </w:rPr>
        <w:t> T 细胞，将细胞用 H-2K </w:t>
      </w:r>
      <w:r w:rsidRPr="00736BD1">
        <w:rPr>
          <w:rFonts w:ascii="微软雅黑" w:eastAsia="微软雅黑" w:hAnsi="微软雅黑" w:cs="宋体"/>
          <w:kern w:val="0"/>
          <w:sz w:val="24"/>
          <w:szCs w:val="24"/>
          <w:vertAlign w:val="superscript"/>
        </w:rPr>
        <w:t>b</w:t>
      </w:r>
      <w:r w:rsidRPr="00736BD1">
        <w:rPr>
          <w:rFonts w:ascii="微软雅黑" w:eastAsia="微软雅黑" w:hAnsi="微软雅黑" w:cs="宋体"/>
          <w:kern w:val="0"/>
          <w:sz w:val="24"/>
          <w:szCs w:val="24"/>
        </w:rPr>
        <w:t> –SIINFEKL 四聚体偶联藻红蛋白 (PE) (克隆 25-D1.16) (MBL; TS-5001-1C) 在室温下染色 30 分钟，然后用荧光染料偶联抗体染色：抗 CD8a 偶联 FITC (克隆 KT15) (1:20; Invitrogen; MA5-16759) 和 CD45 偶联 Brilliant Ultraviolet 395 (克隆 30-F11) (1:100; BD Biosciences; 564279)。对于细胞内细胞因子分析，细胞先用固定/</w:t>
      </w:r>
      <w:proofErr w:type="gramStart"/>
      <w:r w:rsidRPr="00736BD1">
        <w:rPr>
          <w:rFonts w:ascii="微软雅黑" w:eastAsia="微软雅黑" w:hAnsi="微软雅黑" w:cs="宋体"/>
          <w:kern w:val="0"/>
          <w:sz w:val="24"/>
          <w:szCs w:val="24"/>
        </w:rPr>
        <w:t>透化缓冲</w:t>
      </w:r>
      <w:proofErr w:type="gramEnd"/>
      <w:r w:rsidRPr="00736BD1">
        <w:rPr>
          <w:rFonts w:ascii="微软雅黑" w:eastAsia="微软雅黑" w:hAnsi="微软雅黑" w:cs="宋体"/>
          <w:kern w:val="0"/>
          <w:sz w:val="24"/>
          <w:szCs w:val="24"/>
        </w:rPr>
        <w:t>液（</w:t>
      </w:r>
      <w:proofErr w:type="spellStart"/>
      <w:r w:rsidRPr="00736BD1">
        <w:rPr>
          <w:rFonts w:ascii="微软雅黑" w:eastAsia="微软雅黑" w:hAnsi="微软雅黑" w:cs="宋体"/>
          <w:kern w:val="0"/>
          <w:sz w:val="24"/>
          <w:szCs w:val="24"/>
        </w:rPr>
        <w:t>eBioscience</w:t>
      </w:r>
      <w:proofErr w:type="spellEnd"/>
      <w:r w:rsidRPr="00736BD1">
        <w:rPr>
          <w:rFonts w:ascii="微软雅黑" w:eastAsia="微软雅黑" w:hAnsi="微软雅黑" w:cs="宋体"/>
          <w:kern w:val="0"/>
          <w:sz w:val="24"/>
          <w:szCs w:val="24"/>
        </w:rPr>
        <w:t>；00-5123-43）固定和透化，随后用相应的荧光染料标记抗体（TNF-α，亮紫650；IL-2，</w:t>
      </w:r>
      <w:proofErr w:type="spellStart"/>
      <w:r w:rsidRPr="00736BD1">
        <w:rPr>
          <w:rFonts w:ascii="微软雅黑" w:eastAsia="微软雅黑" w:hAnsi="微软雅黑" w:cs="宋体"/>
          <w:kern w:val="0"/>
          <w:sz w:val="24"/>
          <w:szCs w:val="24"/>
        </w:rPr>
        <w:t>PerCP</w:t>
      </w:r>
      <w:proofErr w:type="spellEnd"/>
      <w:r w:rsidRPr="00736BD1">
        <w:rPr>
          <w:rFonts w:ascii="微软雅黑" w:eastAsia="微软雅黑" w:hAnsi="微软雅黑" w:cs="宋体"/>
          <w:kern w:val="0"/>
          <w:sz w:val="24"/>
          <w:szCs w:val="24"/>
        </w:rPr>
        <w:t>-花青5.5；IFN-γ，PE/花青7）染色。所有使用的抗体均列于</w:t>
      </w:r>
      <w:r w:rsidRPr="00736BD1">
        <w:rPr>
          <w:rFonts w:ascii="微软雅黑" w:eastAsia="微软雅黑" w:hAnsi="微软雅黑" w:cs="宋体"/>
          <w:kern w:val="0"/>
          <w:sz w:val="24"/>
          <w:szCs w:val="24"/>
        </w:rPr>
        <w:fldChar w:fldCharType="begin"/>
      </w:r>
      <w:r w:rsidRPr="00736BD1">
        <w:rPr>
          <w:rFonts w:ascii="微软雅黑" w:eastAsia="微软雅黑" w:hAnsi="微软雅黑" w:cs="宋体"/>
          <w:kern w:val="0"/>
          <w:sz w:val="24"/>
          <w:szCs w:val="24"/>
        </w:rPr>
        <w:instrText xml:space="preserve"> HYPERLINK "https://pmc.ncbi.nlm.nih.gov/articles/PMC12520673/" \l "sd" </w:instrText>
      </w:r>
      <w:r w:rsidRPr="00736BD1">
        <w:rPr>
          <w:rFonts w:ascii="微软雅黑" w:eastAsia="微软雅黑" w:hAnsi="微软雅黑" w:cs="宋体"/>
          <w:kern w:val="0"/>
          <w:sz w:val="24"/>
          <w:szCs w:val="24"/>
        </w:rPr>
        <w:fldChar w:fldCharType="separate"/>
      </w:r>
      <w:r w:rsidRPr="00736BD1">
        <w:rPr>
          <w:rFonts w:ascii="微软雅黑" w:eastAsia="微软雅黑" w:hAnsi="微软雅黑" w:cs="宋体"/>
          <w:kern w:val="0"/>
          <w:sz w:val="24"/>
          <w:szCs w:val="24"/>
          <w:u w:val="single"/>
        </w:rPr>
        <w:t>补充表1。</w:t>
      </w:r>
      <w:r w:rsidRPr="00736BD1">
        <w:rPr>
          <w:rFonts w:ascii="微软雅黑" w:eastAsia="微软雅黑" w:hAnsi="微软雅黑" w:cs="宋体"/>
          <w:kern w:val="0"/>
          <w:sz w:val="24"/>
          <w:szCs w:val="24"/>
        </w:rPr>
        <w:fldChar w:fldCharType="end"/>
      </w:r>
      <w:r w:rsidRPr="00736BD1">
        <w:rPr>
          <w:rFonts w:ascii="微软雅黑" w:eastAsia="微软雅黑" w:hAnsi="微软雅黑" w:cs="宋体"/>
          <w:kern w:val="0"/>
          <w:sz w:val="24"/>
          <w:szCs w:val="24"/>
        </w:rPr>
        <w:t>样本采集在</w:t>
      </w:r>
      <w:proofErr w:type="spellStart"/>
      <w:r w:rsidRPr="00736BD1">
        <w:rPr>
          <w:rFonts w:ascii="微软雅黑" w:eastAsia="微软雅黑" w:hAnsi="微软雅黑" w:cs="宋体"/>
          <w:kern w:val="0"/>
          <w:sz w:val="24"/>
          <w:szCs w:val="24"/>
        </w:rPr>
        <w:t>NovoCyte</w:t>
      </w:r>
      <w:proofErr w:type="spellEnd"/>
      <w:r w:rsidRPr="00736BD1">
        <w:rPr>
          <w:rFonts w:ascii="微软雅黑" w:eastAsia="微软雅黑" w:hAnsi="微软雅黑" w:cs="宋体"/>
          <w:kern w:val="0"/>
          <w:sz w:val="24"/>
          <w:szCs w:val="24"/>
        </w:rPr>
        <w:t xml:space="preserve"> </w:t>
      </w:r>
      <w:proofErr w:type="spellStart"/>
      <w:r w:rsidRPr="00736BD1">
        <w:rPr>
          <w:rFonts w:ascii="微软雅黑" w:eastAsia="微软雅黑" w:hAnsi="微软雅黑" w:cs="宋体"/>
          <w:kern w:val="0"/>
          <w:sz w:val="24"/>
          <w:szCs w:val="24"/>
        </w:rPr>
        <w:t>Penteon</w:t>
      </w:r>
      <w:proofErr w:type="spellEnd"/>
      <w:r w:rsidRPr="00736BD1">
        <w:rPr>
          <w:rFonts w:ascii="微软雅黑" w:eastAsia="微软雅黑" w:hAnsi="微软雅黑" w:cs="宋体"/>
          <w:kern w:val="0"/>
          <w:sz w:val="24"/>
          <w:szCs w:val="24"/>
        </w:rPr>
        <w:t>流式细胞仪（Agilent）上进行，数据分析使用</w:t>
      </w:r>
      <w:proofErr w:type="spellStart"/>
      <w:r w:rsidRPr="00736BD1">
        <w:rPr>
          <w:rFonts w:ascii="微软雅黑" w:eastAsia="微软雅黑" w:hAnsi="微软雅黑" w:cs="宋体"/>
          <w:kern w:val="0"/>
          <w:sz w:val="24"/>
          <w:szCs w:val="24"/>
        </w:rPr>
        <w:t>FlowJo</w:t>
      </w:r>
      <w:proofErr w:type="spellEnd"/>
      <w:r w:rsidRPr="00736BD1">
        <w:rPr>
          <w:rFonts w:ascii="微软雅黑" w:eastAsia="微软雅黑" w:hAnsi="微软雅黑" w:cs="宋体"/>
          <w:kern w:val="0"/>
          <w:sz w:val="24"/>
          <w:szCs w:val="24"/>
        </w:rPr>
        <w:t xml:space="preserve"> v10.8.1（BD Biosciences）或</w:t>
      </w:r>
      <w:proofErr w:type="spellStart"/>
      <w:r w:rsidRPr="00736BD1">
        <w:rPr>
          <w:rFonts w:ascii="微软雅黑" w:eastAsia="微软雅黑" w:hAnsi="微软雅黑" w:cs="宋体"/>
          <w:kern w:val="0"/>
          <w:sz w:val="24"/>
          <w:szCs w:val="24"/>
        </w:rPr>
        <w:t>NovoExpress</w:t>
      </w:r>
      <w:proofErr w:type="spellEnd"/>
      <w:r w:rsidRPr="00736BD1">
        <w:rPr>
          <w:rFonts w:ascii="微软雅黑" w:eastAsia="微软雅黑" w:hAnsi="微软雅黑" w:cs="宋体"/>
          <w:kern w:val="0"/>
          <w:sz w:val="24"/>
          <w:szCs w:val="24"/>
        </w:rPr>
        <w:t xml:space="preserve"> v1.6.2（Agilent）软件。</w:t>
      </w:r>
    </w:p>
    <w:p w14:paraId="7547D70D" w14:textId="77777777" w:rsidR="00736BD1" w:rsidRPr="00736BD1" w:rsidRDefault="00736BD1" w:rsidP="00736BD1">
      <w:pPr>
        <w:widowControl/>
        <w:spacing w:line="450" w:lineRule="atLeast"/>
        <w:outlineLvl w:val="2"/>
        <w:rPr>
          <w:rFonts w:ascii="微软雅黑" w:eastAsia="微软雅黑" w:hAnsi="微软雅黑" w:cs="宋体"/>
          <w:kern w:val="0"/>
          <w:sz w:val="32"/>
          <w:szCs w:val="32"/>
        </w:rPr>
      </w:pPr>
      <w:r w:rsidRPr="00736BD1">
        <w:rPr>
          <w:rFonts w:ascii="微软雅黑" w:eastAsia="微软雅黑" w:hAnsi="微软雅黑" w:cs="宋体"/>
          <w:kern w:val="0"/>
          <w:sz w:val="32"/>
          <w:szCs w:val="32"/>
        </w:rPr>
        <w:t>组织制备。</w:t>
      </w:r>
    </w:p>
    <w:p w14:paraId="60120ADA" w14:textId="77777777" w:rsidR="00736BD1" w:rsidRPr="00736BD1" w:rsidRDefault="00736BD1" w:rsidP="00736BD1">
      <w:pPr>
        <w:widowControl/>
        <w:spacing w:before="450"/>
        <w:rPr>
          <w:rFonts w:ascii="微软雅黑" w:eastAsia="微软雅黑" w:hAnsi="微软雅黑" w:cs="宋体"/>
          <w:kern w:val="0"/>
          <w:sz w:val="24"/>
          <w:szCs w:val="24"/>
        </w:rPr>
      </w:pPr>
      <w:r w:rsidRPr="00736BD1">
        <w:rPr>
          <w:rFonts w:ascii="微软雅黑" w:eastAsia="微软雅黑" w:hAnsi="微软雅黑" w:cs="宋体"/>
          <w:kern w:val="0"/>
          <w:sz w:val="24"/>
          <w:szCs w:val="24"/>
        </w:rPr>
        <w:t xml:space="preserve">心脏灌注后，收集肿瘤和器官（心脏、肾脏、肝脏和肺），并在4℃下用1%多聚甲醛固定1小时，然后在4℃下用30%蔗糖溶液孵育过夜。将组织包埋于最佳切割温度化合物（Thermo Fisher Scientific；23-730-571）中，并使用冷冻切片机（Leica；CM1850）进行切片。肿瘤切片厚度为50 </w:t>
      </w:r>
      <w:proofErr w:type="spellStart"/>
      <w:r w:rsidRPr="00736BD1">
        <w:rPr>
          <w:rFonts w:ascii="微软雅黑" w:eastAsia="微软雅黑" w:hAnsi="微软雅黑" w:cs="宋体"/>
          <w:kern w:val="0"/>
          <w:sz w:val="24"/>
          <w:szCs w:val="24"/>
        </w:rPr>
        <w:t>μm</w:t>
      </w:r>
      <w:proofErr w:type="spellEnd"/>
      <w:r w:rsidRPr="00736BD1">
        <w:rPr>
          <w:rFonts w:ascii="微软雅黑" w:eastAsia="微软雅黑" w:hAnsi="微软雅黑" w:cs="宋体"/>
          <w:kern w:val="0"/>
          <w:sz w:val="24"/>
          <w:szCs w:val="24"/>
        </w:rPr>
        <w:t xml:space="preserve">，器官切片厚度为10 </w:t>
      </w:r>
      <w:proofErr w:type="spellStart"/>
      <w:r w:rsidRPr="00736BD1">
        <w:rPr>
          <w:rFonts w:ascii="微软雅黑" w:eastAsia="微软雅黑" w:hAnsi="微软雅黑" w:cs="宋体"/>
          <w:kern w:val="0"/>
          <w:sz w:val="24"/>
          <w:szCs w:val="24"/>
        </w:rPr>
        <w:t>μm</w:t>
      </w:r>
      <w:proofErr w:type="spellEnd"/>
      <w:r w:rsidRPr="00736BD1">
        <w:rPr>
          <w:rFonts w:ascii="微软雅黑" w:eastAsia="微软雅黑" w:hAnsi="微软雅黑" w:cs="宋体"/>
          <w:kern w:val="0"/>
          <w:sz w:val="24"/>
          <w:szCs w:val="24"/>
        </w:rPr>
        <w:t>。</w:t>
      </w:r>
    </w:p>
    <w:p w14:paraId="2F373F9D" w14:textId="77777777" w:rsidR="00736BD1" w:rsidRPr="00736BD1" w:rsidRDefault="00736BD1" w:rsidP="00736BD1">
      <w:pPr>
        <w:widowControl/>
        <w:spacing w:line="450" w:lineRule="atLeast"/>
        <w:outlineLvl w:val="2"/>
        <w:rPr>
          <w:rFonts w:ascii="微软雅黑" w:eastAsia="微软雅黑" w:hAnsi="微软雅黑" w:cs="宋体"/>
          <w:kern w:val="0"/>
          <w:sz w:val="32"/>
          <w:szCs w:val="32"/>
        </w:rPr>
      </w:pPr>
      <w:r w:rsidRPr="00736BD1">
        <w:rPr>
          <w:rFonts w:ascii="微软雅黑" w:eastAsia="微软雅黑" w:hAnsi="微软雅黑" w:cs="宋体"/>
          <w:kern w:val="0"/>
          <w:sz w:val="32"/>
          <w:szCs w:val="32"/>
        </w:rPr>
        <w:t>免疫组织化学。</w:t>
      </w:r>
    </w:p>
    <w:p w14:paraId="75902B85" w14:textId="77777777" w:rsidR="00736BD1" w:rsidRPr="00736BD1" w:rsidRDefault="00736BD1" w:rsidP="00736BD1">
      <w:pPr>
        <w:widowControl/>
        <w:spacing w:before="450"/>
        <w:rPr>
          <w:rFonts w:ascii="微软雅黑" w:eastAsia="微软雅黑" w:hAnsi="微软雅黑" w:cs="宋体"/>
          <w:kern w:val="0"/>
          <w:sz w:val="24"/>
          <w:szCs w:val="24"/>
        </w:rPr>
      </w:pPr>
      <w:r w:rsidRPr="00736BD1">
        <w:rPr>
          <w:rFonts w:ascii="微软雅黑" w:eastAsia="微软雅黑" w:hAnsi="微软雅黑" w:cs="宋体"/>
          <w:kern w:val="0"/>
          <w:sz w:val="24"/>
          <w:szCs w:val="24"/>
        </w:rPr>
        <w:t xml:space="preserve">将肿瘤切片用含0.3% Triton X-100的PBS缓冲液（PBST）洗涤，并在室温下用5%正常驴血清（Jackson </w:t>
      </w:r>
      <w:proofErr w:type="spellStart"/>
      <w:r w:rsidRPr="00736BD1">
        <w:rPr>
          <w:rFonts w:ascii="微软雅黑" w:eastAsia="微软雅黑" w:hAnsi="微软雅黑" w:cs="宋体"/>
          <w:kern w:val="0"/>
          <w:sz w:val="24"/>
          <w:szCs w:val="24"/>
        </w:rPr>
        <w:t>ImmunoResearch</w:t>
      </w:r>
      <w:proofErr w:type="spellEnd"/>
      <w:r w:rsidRPr="00736BD1">
        <w:rPr>
          <w:rFonts w:ascii="微软雅黑" w:eastAsia="微软雅黑" w:hAnsi="微软雅黑" w:cs="宋体"/>
          <w:kern w:val="0"/>
          <w:sz w:val="24"/>
          <w:szCs w:val="24"/>
        </w:rPr>
        <w:t>；017-000-121）封闭1小时。切片在4℃下与兔抗鼠CD8 </w:t>
      </w:r>
      <w:r w:rsidRPr="00736BD1">
        <w:rPr>
          <w:rFonts w:ascii="微软雅黑" w:eastAsia="微软雅黑" w:hAnsi="微软雅黑" w:cs="宋体"/>
          <w:kern w:val="0"/>
          <w:sz w:val="24"/>
          <w:szCs w:val="24"/>
          <w:vertAlign w:val="superscript"/>
        </w:rPr>
        <w:t>+</w:t>
      </w:r>
      <w:r w:rsidRPr="00736BD1">
        <w:rPr>
          <w:rFonts w:ascii="微软雅黑" w:eastAsia="微软雅黑" w:hAnsi="微软雅黑" w:cs="宋体"/>
          <w:kern w:val="0"/>
          <w:sz w:val="24"/>
          <w:szCs w:val="24"/>
        </w:rPr>
        <w:t>抗体（克隆</w:t>
      </w:r>
      <w:r w:rsidRPr="00736BD1">
        <w:rPr>
          <w:rFonts w:ascii="微软雅黑" w:eastAsia="微软雅黑" w:hAnsi="微软雅黑" w:cs="宋体"/>
          <w:kern w:val="0"/>
          <w:sz w:val="24"/>
          <w:szCs w:val="24"/>
        </w:rPr>
        <w:fldChar w:fldCharType="begin"/>
      </w:r>
      <w:r w:rsidRPr="00736BD1">
        <w:rPr>
          <w:rFonts w:ascii="微软雅黑" w:eastAsia="微软雅黑" w:hAnsi="微软雅黑" w:cs="宋体"/>
          <w:kern w:val="0"/>
          <w:sz w:val="24"/>
          <w:szCs w:val="24"/>
        </w:rPr>
        <w:instrText xml:space="preserve"> HYPERLINK "https://www.ncbi.nlm.nih.gov/protein/EPR21769" \t "_blank" </w:instrText>
      </w:r>
      <w:r w:rsidRPr="00736BD1">
        <w:rPr>
          <w:rFonts w:ascii="微软雅黑" w:eastAsia="微软雅黑" w:hAnsi="微软雅黑" w:cs="宋体"/>
          <w:kern w:val="0"/>
          <w:sz w:val="24"/>
          <w:szCs w:val="24"/>
        </w:rPr>
        <w:fldChar w:fldCharType="separate"/>
      </w:r>
      <w:r w:rsidRPr="00736BD1">
        <w:rPr>
          <w:rFonts w:ascii="微软雅黑" w:eastAsia="微软雅黑" w:hAnsi="微软雅黑" w:cs="宋体"/>
          <w:kern w:val="0"/>
          <w:sz w:val="24"/>
          <w:szCs w:val="24"/>
          <w:u w:val="single"/>
        </w:rPr>
        <w:t>EPR21769</w:t>
      </w:r>
      <w:r w:rsidRPr="00736BD1">
        <w:rPr>
          <w:rFonts w:ascii="微软雅黑" w:eastAsia="微软雅黑" w:hAnsi="微软雅黑" w:cs="宋体"/>
          <w:kern w:val="0"/>
          <w:sz w:val="24"/>
          <w:szCs w:val="24"/>
        </w:rPr>
        <w:fldChar w:fldCharType="end"/>
      </w:r>
      <w:r w:rsidRPr="00736BD1">
        <w:rPr>
          <w:rFonts w:ascii="微软雅黑" w:eastAsia="微软雅黑" w:hAnsi="微软雅黑" w:cs="宋体"/>
          <w:kern w:val="0"/>
          <w:sz w:val="24"/>
          <w:szCs w:val="24"/>
        </w:rPr>
        <w:t>）（1:500；Abcam；</w:t>
      </w:r>
      <w:r w:rsidRPr="00736BD1">
        <w:rPr>
          <w:rFonts w:ascii="微软雅黑" w:eastAsia="微软雅黑" w:hAnsi="微软雅黑" w:cs="宋体"/>
          <w:kern w:val="0"/>
          <w:sz w:val="24"/>
          <w:szCs w:val="24"/>
        </w:rPr>
        <w:lastRenderedPageBreak/>
        <w:t>ab217344）在封闭缓冲液中孵育过夜。次日，切片在室温下与Alexa Fluor 594标记</w:t>
      </w:r>
      <w:proofErr w:type="gramStart"/>
      <w:r w:rsidRPr="00736BD1">
        <w:rPr>
          <w:rFonts w:ascii="微软雅黑" w:eastAsia="微软雅黑" w:hAnsi="微软雅黑" w:cs="宋体"/>
          <w:kern w:val="0"/>
          <w:sz w:val="24"/>
          <w:szCs w:val="24"/>
        </w:rPr>
        <w:t>的驴抗兔</w:t>
      </w:r>
      <w:proofErr w:type="gramEnd"/>
      <w:r w:rsidRPr="00736BD1">
        <w:rPr>
          <w:rFonts w:ascii="微软雅黑" w:eastAsia="微软雅黑" w:hAnsi="微软雅黑" w:cs="宋体"/>
          <w:kern w:val="0"/>
          <w:sz w:val="24"/>
          <w:szCs w:val="24"/>
        </w:rPr>
        <w:t xml:space="preserve">IgG（1:500；Jackson </w:t>
      </w:r>
      <w:proofErr w:type="spellStart"/>
      <w:r w:rsidRPr="00736BD1">
        <w:rPr>
          <w:rFonts w:ascii="微软雅黑" w:eastAsia="微软雅黑" w:hAnsi="微软雅黑" w:cs="宋体"/>
          <w:kern w:val="0"/>
          <w:sz w:val="24"/>
          <w:szCs w:val="24"/>
        </w:rPr>
        <w:t>ImmunoResearch</w:t>
      </w:r>
      <w:proofErr w:type="spellEnd"/>
      <w:r w:rsidRPr="00736BD1">
        <w:rPr>
          <w:rFonts w:ascii="微软雅黑" w:eastAsia="微软雅黑" w:hAnsi="微软雅黑" w:cs="宋体"/>
          <w:kern w:val="0"/>
          <w:sz w:val="24"/>
          <w:szCs w:val="24"/>
        </w:rPr>
        <w:t xml:space="preserve">；711-585-152）在PBST中孵育4小时。用 DAPI（Sigma-Aldrich；D9542）对细胞核进行复染 10 分钟，然后用 </w:t>
      </w:r>
      <w:proofErr w:type="spellStart"/>
      <w:r w:rsidRPr="00736BD1">
        <w:rPr>
          <w:rFonts w:ascii="微软雅黑" w:eastAsia="微软雅黑" w:hAnsi="微软雅黑" w:cs="宋体"/>
          <w:kern w:val="0"/>
          <w:sz w:val="24"/>
          <w:szCs w:val="24"/>
        </w:rPr>
        <w:t>Fluoromount</w:t>
      </w:r>
      <w:proofErr w:type="spellEnd"/>
      <w:r w:rsidRPr="00736BD1">
        <w:rPr>
          <w:rFonts w:ascii="微软雅黑" w:eastAsia="微软雅黑" w:hAnsi="微软雅黑" w:cs="宋体"/>
          <w:kern w:val="0"/>
          <w:sz w:val="24"/>
          <w:szCs w:val="24"/>
        </w:rPr>
        <w:t>-G（Invitrogen；00-4958-02）封片。</w:t>
      </w:r>
    </w:p>
    <w:p w14:paraId="36E28414" w14:textId="77777777" w:rsidR="00736BD1" w:rsidRPr="00736BD1" w:rsidRDefault="00736BD1" w:rsidP="00736BD1">
      <w:pPr>
        <w:widowControl/>
        <w:spacing w:line="450" w:lineRule="atLeast"/>
        <w:outlineLvl w:val="2"/>
        <w:rPr>
          <w:rFonts w:ascii="微软雅黑" w:eastAsia="微软雅黑" w:hAnsi="微软雅黑" w:cs="宋体"/>
          <w:kern w:val="0"/>
          <w:sz w:val="32"/>
          <w:szCs w:val="32"/>
        </w:rPr>
      </w:pPr>
      <w:r w:rsidRPr="00736BD1">
        <w:rPr>
          <w:rFonts w:ascii="微软雅黑" w:eastAsia="微软雅黑" w:hAnsi="微软雅黑" w:cs="宋体"/>
          <w:kern w:val="0"/>
          <w:sz w:val="32"/>
          <w:szCs w:val="32"/>
        </w:rPr>
        <w:t>苏木精-伊红染色。</w:t>
      </w:r>
    </w:p>
    <w:p w14:paraId="2AF1C95C" w14:textId="77777777" w:rsidR="00736BD1" w:rsidRPr="00736BD1" w:rsidRDefault="00736BD1" w:rsidP="00736BD1">
      <w:pPr>
        <w:widowControl/>
        <w:spacing w:before="450"/>
        <w:rPr>
          <w:rFonts w:ascii="微软雅黑" w:eastAsia="微软雅黑" w:hAnsi="微软雅黑" w:cs="宋体"/>
          <w:kern w:val="0"/>
          <w:sz w:val="24"/>
          <w:szCs w:val="24"/>
        </w:rPr>
      </w:pPr>
      <w:r w:rsidRPr="00736BD1">
        <w:rPr>
          <w:rFonts w:ascii="微软雅黑" w:eastAsia="微软雅黑" w:hAnsi="微软雅黑" w:cs="宋体"/>
          <w:kern w:val="0"/>
          <w:sz w:val="24"/>
          <w:szCs w:val="24"/>
        </w:rPr>
        <w:t>将器官切片用蒸馏水冲洗，并在室温下用 Mayer 苏木精（Sigma-Aldrich；MHS1-100ML）染色 1 分钟。切片用自来水冲洗，</w:t>
      </w:r>
      <w:proofErr w:type="gramStart"/>
      <w:r w:rsidRPr="00736BD1">
        <w:rPr>
          <w:rFonts w:ascii="微软雅黑" w:eastAsia="微软雅黑" w:hAnsi="微软雅黑" w:cs="宋体"/>
          <w:kern w:val="0"/>
          <w:sz w:val="24"/>
          <w:szCs w:val="24"/>
        </w:rPr>
        <w:t>用蓝化剂</w:t>
      </w:r>
      <w:proofErr w:type="gramEnd"/>
      <w:r w:rsidRPr="00736BD1">
        <w:rPr>
          <w:rFonts w:ascii="微软雅黑" w:eastAsia="微软雅黑" w:hAnsi="微软雅黑" w:cs="宋体"/>
          <w:kern w:val="0"/>
          <w:sz w:val="24"/>
          <w:szCs w:val="24"/>
        </w:rPr>
        <w:t xml:space="preserve">（Thermo Fisher Scientific；6769001）处理 10 秒，再次冲洗。用伊红 Y 复染（Sigma-Aldrich；1170811000）10 秒。切片经梯度乙醇（70%、96% 和 100%）脱水，然后用二甲苯（Fisher Chemical；X3S-4）洗涤两次，最后用 </w:t>
      </w:r>
      <w:proofErr w:type="spellStart"/>
      <w:r w:rsidRPr="00736BD1">
        <w:rPr>
          <w:rFonts w:ascii="微软雅黑" w:eastAsia="微软雅黑" w:hAnsi="微软雅黑" w:cs="宋体"/>
          <w:kern w:val="0"/>
          <w:sz w:val="24"/>
          <w:szCs w:val="24"/>
        </w:rPr>
        <w:t>Entellan</w:t>
      </w:r>
      <w:proofErr w:type="spellEnd"/>
      <w:r w:rsidRPr="00736BD1">
        <w:rPr>
          <w:rFonts w:ascii="微软雅黑" w:eastAsia="微软雅黑" w:hAnsi="微软雅黑" w:cs="宋体"/>
          <w:kern w:val="0"/>
          <w:sz w:val="24"/>
          <w:szCs w:val="24"/>
        </w:rPr>
        <w:t>（Sigma-Aldrich；1079610100）封片。</w:t>
      </w:r>
    </w:p>
    <w:p w14:paraId="18C69CF3" w14:textId="77777777" w:rsidR="00736BD1" w:rsidRPr="00736BD1" w:rsidRDefault="00736BD1" w:rsidP="00736BD1">
      <w:pPr>
        <w:widowControl/>
        <w:spacing w:line="450" w:lineRule="atLeast"/>
        <w:outlineLvl w:val="2"/>
        <w:rPr>
          <w:rFonts w:ascii="微软雅黑" w:eastAsia="微软雅黑" w:hAnsi="微软雅黑" w:cs="宋体"/>
          <w:kern w:val="0"/>
          <w:sz w:val="32"/>
          <w:szCs w:val="32"/>
        </w:rPr>
      </w:pPr>
      <w:r w:rsidRPr="00736BD1">
        <w:rPr>
          <w:rFonts w:ascii="微软雅黑" w:eastAsia="微软雅黑" w:hAnsi="微软雅黑" w:cs="宋体"/>
          <w:kern w:val="0"/>
          <w:sz w:val="32"/>
          <w:szCs w:val="32"/>
        </w:rPr>
        <w:t>形态计量分析。</w:t>
      </w:r>
    </w:p>
    <w:p w14:paraId="167FD78B" w14:textId="77777777" w:rsidR="00736BD1" w:rsidRPr="00736BD1" w:rsidRDefault="00736BD1" w:rsidP="00736BD1">
      <w:pPr>
        <w:widowControl/>
        <w:spacing w:before="450"/>
        <w:rPr>
          <w:rFonts w:ascii="微软雅黑" w:eastAsia="微软雅黑" w:hAnsi="微软雅黑" w:cs="宋体"/>
          <w:kern w:val="0"/>
          <w:sz w:val="24"/>
          <w:szCs w:val="24"/>
        </w:rPr>
      </w:pPr>
      <w:r w:rsidRPr="00736BD1">
        <w:rPr>
          <w:rFonts w:ascii="微软雅黑" w:eastAsia="微软雅黑" w:hAnsi="微软雅黑" w:cs="宋体"/>
          <w:kern w:val="0"/>
          <w:sz w:val="24"/>
          <w:szCs w:val="24"/>
        </w:rPr>
        <w:t xml:space="preserve">使用配备 Apotome2 软件（蔡司；10 </w:t>
      </w:r>
      <w:proofErr w:type="gramStart"/>
      <w:r w:rsidRPr="00736BD1">
        <w:rPr>
          <w:rFonts w:ascii="微软雅黑" w:eastAsia="微软雅黑" w:hAnsi="微软雅黑" w:cs="宋体"/>
          <w:kern w:val="0"/>
          <w:sz w:val="24"/>
          <w:szCs w:val="24"/>
        </w:rPr>
        <w:t>倍</w:t>
      </w:r>
      <w:proofErr w:type="gramEnd"/>
      <w:r w:rsidRPr="00736BD1">
        <w:rPr>
          <w:rFonts w:ascii="微软雅黑" w:eastAsia="微软雅黑" w:hAnsi="微软雅黑" w:cs="宋体"/>
          <w:kern w:val="0"/>
          <w:sz w:val="24"/>
          <w:szCs w:val="24"/>
        </w:rPr>
        <w:t xml:space="preserve">物镜，NA 0.45，2 像素合并）的 </w:t>
      </w:r>
      <w:proofErr w:type="spellStart"/>
      <w:r w:rsidRPr="00736BD1">
        <w:rPr>
          <w:rFonts w:ascii="微软雅黑" w:eastAsia="微软雅黑" w:hAnsi="微软雅黑" w:cs="宋体"/>
          <w:kern w:val="0"/>
          <w:sz w:val="24"/>
          <w:szCs w:val="24"/>
        </w:rPr>
        <w:t>Axio</w:t>
      </w:r>
      <w:proofErr w:type="spellEnd"/>
      <w:r w:rsidRPr="00736BD1">
        <w:rPr>
          <w:rFonts w:ascii="微软雅黑" w:eastAsia="微软雅黑" w:hAnsi="微软雅黑" w:cs="宋体"/>
          <w:kern w:val="0"/>
          <w:sz w:val="24"/>
          <w:szCs w:val="24"/>
        </w:rPr>
        <w:t xml:space="preserve"> Observer 7 显微镜采集图像。图像分析采用 MATLAB 进行，方法如前所述 ( </w:t>
      </w:r>
      <w:hyperlink r:id="rId73" w:anchor="B44" w:history="1">
        <w:r w:rsidRPr="00736BD1">
          <w:rPr>
            <w:rFonts w:ascii="微软雅黑" w:eastAsia="微软雅黑" w:hAnsi="微软雅黑" w:cs="宋体"/>
            <w:kern w:val="0"/>
            <w:sz w:val="24"/>
            <w:szCs w:val="24"/>
            <w:u w:val="single"/>
          </w:rPr>
          <w:t>44</w:t>
        </w:r>
      </w:hyperlink>
      <w:r w:rsidRPr="00736BD1">
        <w:rPr>
          <w:rFonts w:ascii="微软雅黑" w:eastAsia="微软雅黑" w:hAnsi="微软雅黑" w:cs="宋体"/>
          <w:kern w:val="0"/>
          <w:sz w:val="24"/>
          <w:szCs w:val="24"/>
        </w:rPr>
        <w:t xml:space="preserve"> )。对肿瘤区域进行分割，并使用 </w:t>
      </w:r>
      <w:proofErr w:type="spellStart"/>
      <w:r w:rsidRPr="00736BD1">
        <w:rPr>
          <w:rFonts w:ascii="微软雅黑" w:eastAsia="微软雅黑" w:hAnsi="微软雅黑" w:cs="宋体"/>
          <w:kern w:val="0"/>
          <w:sz w:val="24"/>
          <w:szCs w:val="24"/>
        </w:rPr>
        <w:t>bwdist</w:t>
      </w:r>
      <w:proofErr w:type="spellEnd"/>
      <w:r w:rsidRPr="00736BD1">
        <w:rPr>
          <w:rFonts w:ascii="微软雅黑" w:eastAsia="微软雅黑" w:hAnsi="微软雅黑" w:cs="宋体"/>
          <w:kern w:val="0"/>
          <w:sz w:val="24"/>
          <w:szCs w:val="24"/>
        </w:rPr>
        <w:t xml:space="preserve"> 函数计算距肿瘤边缘的距离。CD8 </w:t>
      </w:r>
      <w:r w:rsidRPr="00736BD1">
        <w:rPr>
          <w:rFonts w:ascii="微软雅黑" w:eastAsia="微软雅黑" w:hAnsi="微软雅黑" w:cs="宋体"/>
          <w:kern w:val="0"/>
          <w:sz w:val="24"/>
          <w:szCs w:val="24"/>
          <w:vertAlign w:val="superscript"/>
        </w:rPr>
        <w:t>+</w:t>
      </w:r>
      <w:r w:rsidRPr="00736BD1">
        <w:rPr>
          <w:rFonts w:ascii="微软雅黑" w:eastAsia="微软雅黑" w:hAnsi="微软雅黑" w:cs="宋体"/>
          <w:kern w:val="0"/>
          <w:sz w:val="24"/>
          <w:szCs w:val="24"/>
        </w:rPr>
        <w:t xml:space="preserve"> T 细胞浸润程度以细胞/mm² 表示，分别在肿瘤周边（距边界 &lt;500 </w:t>
      </w:r>
      <w:proofErr w:type="spellStart"/>
      <w:r w:rsidRPr="00736BD1">
        <w:rPr>
          <w:rFonts w:ascii="微软雅黑" w:eastAsia="微软雅黑" w:hAnsi="微软雅黑" w:cs="宋体"/>
          <w:kern w:val="0"/>
          <w:sz w:val="24"/>
          <w:szCs w:val="24"/>
        </w:rPr>
        <w:t>μm</w:t>
      </w:r>
      <w:proofErr w:type="spellEnd"/>
      <w:r w:rsidRPr="00736BD1">
        <w:rPr>
          <w:rFonts w:ascii="微软雅黑" w:eastAsia="微软雅黑" w:hAnsi="微软雅黑" w:cs="宋体"/>
          <w:kern w:val="0"/>
          <w:sz w:val="24"/>
          <w:szCs w:val="24"/>
        </w:rPr>
        <w:t xml:space="preserve">）和核心（距边界 &gt;500 </w:t>
      </w:r>
      <w:proofErr w:type="spellStart"/>
      <w:r w:rsidRPr="00736BD1">
        <w:rPr>
          <w:rFonts w:ascii="微软雅黑" w:eastAsia="微软雅黑" w:hAnsi="微软雅黑" w:cs="宋体"/>
          <w:kern w:val="0"/>
          <w:sz w:val="24"/>
          <w:szCs w:val="24"/>
        </w:rPr>
        <w:t>μm</w:t>
      </w:r>
      <w:proofErr w:type="spellEnd"/>
      <w:r w:rsidRPr="00736BD1">
        <w:rPr>
          <w:rFonts w:ascii="微软雅黑" w:eastAsia="微软雅黑" w:hAnsi="微软雅黑" w:cs="宋体"/>
          <w:kern w:val="0"/>
          <w:sz w:val="24"/>
          <w:szCs w:val="24"/>
        </w:rPr>
        <w:t>）进行评估。</w:t>
      </w:r>
    </w:p>
    <w:p w14:paraId="417CAAFD" w14:textId="77777777" w:rsidR="00736BD1" w:rsidRPr="00736BD1" w:rsidRDefault="00736BD1" w:rsidP="00736BD1">
      <w:pPr>
        <w:widowControl/>
        <w:spacing w:line="450" w:lineRule="atLeast"/>
        <w:outlineLvl w:val="2"/>
        <w:rPr>
          <w:rFonts w:ascii="微软雅黑" w:eastAsia="微软雅黑" w:hAnsi="微软雅黑" w:cs="宋体"/>
          <w:kern w:val="0"/>
          <w:sz w:val="32"/>
          <w:szCs w:val="32"/>
        </w:rPr>
      </w:pPr>
      <w:r w:rsidRPr="00736BD1">
        <w:rPr>
          <w:rFonts w:ascii="微软雅黑" w:eastAsia="微软雅黑" w:hAnsi="微软雅黑" w:cs="宋体"/>
          <w:kern w:val="0"/>
          <w:sz w:val="32"/>
          <w:szCs w:val="32"/>
        </w:rPr>
        <w:t>单细胞RNA测序和分析。</w:t>
      </w:r>
    </w:p>
    <w:p w14:paraId="66B88E4A" w14:textId="77777777" w:rsidR="00736BD1" w:rsidRPr="00736BD1" w:rsidRDefault="00736BD1" w:rsidP="00736BD1">
      <w:pPr>
        <w:widowControl/>
        <w:spacing w:before="450"/>
        <w:rPr>
          <w:rFonts w:ascii="微软雅黑" w:eastAsia="微软雅黑" w:hAnsi="微软雅黑" w:cs="宋体"/>
          <w:kern w:val="0"/>
          <w:sz w:val="24"/>
          <w:szCs w:val="24"/>
        </w:rPr>
      </w:pPr>
      <w:r w:rsidRPr="00736BD1">
        <w:rPr>
          <w:rFonts w:ascii="微软雅黑" w:eastAsia="微软雅黑" w:hAnsi="微软雅黑" w:cs="宋体"/>
          <w:kern w:val="0"/>
          <w:sz w:val="24"/>
          <w:szCs w:val="24"/>
        </w:rPr>
        <w:t>将肿瘤组织解离成单细胞悬液，重悬于含0.4% BSA（Sigma-Aldrich；9647）的PBS缓冲液中，并送至哥伦比亚基因组中心进行10X Genomics处理。使用</w:t>
      </w:r>
      <w:r w:rsidRPr="00736BD1">
        <w:rPr>
          <w:rFonts w:ascii="微软雅黑" w:eastAsia="微软雅黑" w:hAnsi="微软雅黑" w:cs="宋体"/>
          <w:kern w:val="0"/>
          <w:sz w:val="24"/>
          <w:szCs w:val="24"/>
        </w:rPr>
        <w:lastRenderedPageBreak/>
        <w:t>Cell Ranger生成基因表达矩阵，并在R语言中使用Seurat v5.1.0（</w:t>
      </w:r>
      <w:hyperlink r:id="rId74" w:anchor="B60" w:history="1">
        <w:r w:rsidRPr="00736BD1">
          <w:rPr>
            <w:rFonts w:ascii="微软雅黑" w:eastAsia="微软雅黑" w:hAnsi="微软雅黑" w:cs="宋体"/>
            <w:kern w:val="0"/>
            <w:sz w:val="24"/>
            <w:szCs w:val="24"/>
            <w:u w:val="single"/>
          </w:rPr>
          <w:t>60</w:t>
        </w:r>
      </w:hyperlink>
      <w:r w:rsidRPr="00736BD1">
        <w:rPr>
          <w:rFonts w:ascii="微软雅黑" w:eastAsia="微软雅黑" w:hAnsi="微软雅黑" w:cs="宋体"/>
          <w:kern w:val="0"/>
          <w:sz w:val="24"/>
          <w:szCs w:val="24"/>
        </w:rPr>
        <w:t>）进行分析。排除表达基因数&lt;500或&gt;5000，或线粒体转录本比例&gt;10%的细胞。使用</w:t>
      </w:r>
      <w:proofErr w:type="spellStart"/>
      <w:r w:rsidRPr="00736BD1">
        <w:rPr>
          <w:rFonts w:ascii="微软雅黑" w:eastAsia="微软雅黑" w:hAnsi="微软雅黑" w:cs="宋体"/>
          <w:kern w:val="0"/>
          <w:sz w:val="24"/>
          <w:szCs w:val="24"/>
        </w:rPr>
        <w:t>SCTransform</w:t>
      </w:r>
      <w:proofErr w:type="spellEnd"/>
      <w:r w:rsidRPr="00736BD1">
        <w:rPr>
          <w:rFonts w:ascii="微软雅黑" w:eastAsia="微软雅黑" w:hAnsi="微软雅黑" w:cs="宋体"/>
          <w:kern w:val="0"/>
          <w:sz w:val="24"/>
          <w:szCs w:val="24"/>
        </w:rPr>
        <w:t>结合线粒体回归进行数据标准化（</w:t>
      </w:r>
      <w:r w:rsidRPr="00736BD1">
        <w:rPr>
          <w:rFonts w:ascii="微软雅黑" w:eastAsia="微软雅黑" w:hAnsi="微软雅黑" w:cs="宋体"/>
          <w:kern w:val="0"/>
          <w:sz w:val="24"/>
          <w:szCs w:val="24"/>
        </w:rPr>
        <w:fldChar w:fldCharType="begin"/>
      </w:r>
      <w:r w:rsidRPr="00736BD1">
        <w:rPr>
          <w:rFonts w:ascii="微软雅黑" w:eastAsia="微软雅黑" w:hAnsi="微软雅黑" w:cs="宋体"/>
          <w:kern w:val="0"/>
          <w:sz w:val="24"/>
          <w:szCs w:val="24"/>
        </w:rPr>
        <w:instrText xml:space="preserve"> HYPERLINK "https://pmc.ncbi.nlm.nih.gov/articles/PMC12520673/" \l "B61" </w:instrText>
      </w:r>
      <w:r w:rsidRPr="00736BD1">
        <w:rPr>
          <w:rFonts w:ascii="微软雅黑" w:eastAsia="微软雅黑" w:hAnsi="微软雅黑" w:cs="宋体"/>
          <w:kern w:val="0"/>
          <w:sz w:val="24"/>
          <w:szCs w:val="24"/>
        </w:rPr>
        <w:fldChar w:fldCharType="separate"/>
      </w:r>
      <w:r w:rsidRPr="00736BD1">
        <w:rPr>
          <w:rFonts w:ascii="微软雅黑" w:eastAsia="微软雅黑" w:hAnsi="微软雅黑" w:cs="宋体"/>
          <w:kern w:val="0"/>
          <w:sz w:val="24"/>
          <w:szCs w:val="24"/>
          <w:u w:val="single"/>
        </w:rPr>
        <w:t>61</w:t>
      </w:r>
      <w:r w:rsidRPr="00736BD1">
        <w:rPr>
          <w:rFonts w:ascii="微软雅黑" w:eastAsia="微软雅黑" w:hAnsi="微软雅黑" w:cs="宋体"/>
          <w:kern w:val="0"/>
          <w:sz w:val="24"/>
          <w:szCs w:val="24"/>
        </w:rPr>
        <w:fldChar w:fldCharType="end"/>
      </w:r>
      <w:r w:rsidRPr="00736BD1">
        <w:rPr>
          <w:rFonts w:ascii="微软雅黑" w:eastAsia="微软雅黑" w:hAnsi="微软雅黑" w:cs="宋体"/>
          <w:kern w:val="0"/>
          <w:sz w:val="24"/>
          <w:szCs w:val="24"/>
        </w:rPr>
        <w:t>）。采用典型相关分析进行批次校正和整合。通过主成分分析进行降维，并使用</w:t>
      </w:r>
      <w:proofErr w:type="spellStart"/>
      <w:r w:rsidRPr="00736BD1">
        <w:rPr>
          <w:rFonts w:ascii="微软雅黑" w:eastAsia="微软雅黑" w:hAnsi="微软雅黑" w:cs="宋体"/>
          <w:kern w:val="0"/>
          <w:sz w:val="24"/>
          <w:szCs w:val="24"/>
        </w:rPr>
        <w:t>FindClusters</w:t>
      </w:r>
      <w:proofErr w:type="spellEnd"/>
      <w:r w:rsidRPr="00736BD1">
        <w:rPr>
          <w:rFonts w:ascii="微软雅黑" w:eastAsia="微软雅黑" w:hAnsi="微软雅黑" w:cs="宋体"/>
          <w:kern w:val="0"/>
          <w:sz w:val="24"/>
          <w:szCs w:val="24"/>
        </w:rPr>
        <w:t>函数进行聚类。基于典型标记对细胞类型进行注释。使用UMAP进行可视化。使用 DESeq2 ( </w:t>
      </w:r>
      <w:hyperlink r:id="rId75" w:anchor="B58" w:history="1">
        <w:r w:rsidRPr="00736BD1">
          <w:rPr>
            <w:rFonts w:ascii="微软雅黑" w:eastAsia="微软雅黑" w:hAnsi="微软雅黑" w:cs="宋体"/>
            <w:kern w:val="0"/>
            <w:sz w:val="24"/>
            <w:szCs w:val="24"/>
            <w:u w:val="single"/>
          </w:rPr>
          <w:t>58</w:t>
        </w:r>
      </w:hyperlink>
      <w:r w:rsidRPr="00736BD1">
        <w:rPr>
          <w:rFonts w:ascii="微软雅黑" w:eastAsia="微软雅黑" w:hAnsi="微软雅黑" w:cs="宋体"/>
          <w:kern w:val="0"/>
          <w:sz w:val="24"/>
          <w:szCs w:val="24"/>
        </w:rPr>
        <w:t xml:space="preserve"> )进行伪批量差异表达分析，并使用 </w:t>
      </w:r>
      <w:proofErr w:type="spellStart"/>
      <w:r w:rsidRPr="00736BD1">
        <w:rPr>
          <w:rFonts w:ascii="微软雅黑" w:eastAsia="微软雅黑" w:hAnsi="微软雅黑" w:cs="宋体"/>
          <w:kern w:val="0"/>
          <w:sz w:val="24"/>
          <w:szCs w:val="24"/>
        </w:rPr>
        <w:t>apeglm</w:t>
      </w:r>
      <w:proofErr w:type="spellEnd"/>
      <w:r w:rsidRPr="00736BD1">
        <w:rPr>
          <w:rFonts w:ascii="微软雅黑" w:eastAsia="微软雅黑" w:hAnsi="微软雅黑" w:cs="宋体"/>
          <w:kern w:val="0"/>
          <w:sz w:val="24"/>
          <w:szCs w:val="24"/>
        </w:rPr>
        <w:t xml:space="preserve"> 方法 ( </w:t>
      </w:r>
      <w:hyperlink r:id="rId76" w:anchor="B59" w:history="1">
        <w:r w:rsidRPr="00736BD1">
          <w:rPr>
            <w:rFonts w:ascii="微软雅黑" w:eastAsia="微软雅黑" w:hAnsi="微软雅黑" w:cs="宋体"/>
            <w:kern w:val="0"/>
            <w:sz w:val="24"/>
            <w:szCs w:val="24"/>
            <w:u w:val="single"/>
          </w:rPr>
          <w:t>59</w:t>
        </w:r>
      </w:hyperlink>
      <w:r w:rsidRPr="00736BD1">
        <w:rPr>
          <w:rFonts w:ascii="微软雅黑" w:eastAsia="微软雅黑" w:hAnsi="微软雅黑" w:cs="宋体"/>
          <w:kern w:val="0"/>
          <w:sz w:val="24"/>
          <w:szCs w:val="24"/>
        </w:rPr>
        <w:t xml:space="preserve"> )进行效应量收缩。使用 </w:t>
      </w:r>
      <w:proofErr w:type="spellStart"/>
      <w:r w:rsidRPr="00736BD1">
        <w:rPr>
          <w:rFonts w:ascii="微软雅黑" w:eastAsia="微软雅黑" w:hAnsi="微软雅黑" w:cs="宋体"/>
          <w:kern w:val="0"/>
          <w:sz w:val="24"/>
          <w:szCs w:val="24"/>
        </w:rPr>
        <w:t>MSigDB</w:t>
      </w:r>
      <w:proofErr w:type="spellEnd"/>
      <w:r w:rsidRPr="00736BD1">
        <w:rPr>
          <w:rFonts w:ascii="微软雅黑" w:eastAsia="微软雅黑" w:hAnsi="微软雅黑" w:cs="宋体"/>
          <w:kern w:val="0"/>
          <w:sz w:val="24"/>
          <w:szCs w:val="24"/>
        </w:rPr>
        <w:t xml:space="preserve"> 进行 GSEA 分析，置换次数为 10,000 次；显著性定义为</w:t>
      </w:r>
      <w:r w:rsidRPr="00736BD1">
        <w:rPr>
          <w:rFonts w:ascii="微软雅黑" w:eastAsia="微软雅黑" w:hAnsi="微软雅黑" w:cs="宋体"/>
          <w:i/>
          <w:iCs/>
          <w:kern w:val="0"/>
          <w:sz w:val="24"/>
          <w:szCs w:val="24"/>
        </w:rPr>
        <w:t>P</w:t>
      </w:r>
      <w:r w:rsidRPr="00736BD1">
        <w:rPr>
          <w:rFonts w:ascii="微软雅黑" w:eastAsia="微软雅黑" w:hAnsi="微软雅黑" w:cs="宋体"/>
          <w:kern w:val="0"/>
          <w:sz w:val="24"/>
          <w:szCs w:val="24"/>
        </w:rPr>
        <w:t> &lt; 0.05 和 FDR &lt; 0.25。</w:t>
      </w:r>
    </w:p>
    <w:p w14:paraId="513799AE" w14:textId="77777777" w:rsidR="00736BD1" w:rsidRPr="00736BD1" w:rsidRDefault="00736BD1" w:rsidP="00736BD1">
      <w:pPr>
        <w:widowControl/>
        <w:spacing w:line="450" w:lineRule="atLeast"/>
        <w:outlineLvl w:val="2"/>
        <w:rPr>
          <w:rFonts w:ascii="微软雅黑" w:eastAsia="微软雅黑" w:hAnsi="微软雅黑" w:cs="宋体"/>
          <w:kern w:val="0"/>
          <w:sz w:val="32"/>
          <w:szCs w:val="32"/>
        </w:rPr>
      </w:pPr>
      <w:r w:rsidRPr="00736BD1">
        <w:rPr>
          <w:rFonts w:ascii="微软雅黑" w:eastAsia="微软雅黑" w:hAnsi="微软雅黑" w:cs="宋体"/>
          <w:kern w:val="0"/>
          <w:sz w:val="32"/>
          <w:szCs w:val="32"/>
        </w:rPr>
        <w:t>统计数据。</w:t>
      </w:r>
    </w:p>
    <w:p w14:paraId="5D0F7828" w14:textId="77777777" w:rsidR="00736BD1" w:rsidRPr="00736BD1" w:rsidRDefault="00736BD1" w:rsidP="00736BD1">
      <w:pPr>
        <w:widowControl/>
        <w:spacing w:before="450"/>
        <w:rPr>
          <w:rFonts w:ascii="微软雅黑" w:eastAsia="微软雅黑" w:hAnsi="微软雅黑" w:cs="宋体"/>
          <w:kern w:val="0"/>
          <w:sz w:val="24"/>
          <w:szCs w:val="24"/>
        </w:rPr>
      </w:pPr>
      <w:r w:rsidRPr="00736BD1">
        <w:rPr>
          <w:rFonts w:ascii="微软雅黑" w:eastAsia="微软雅黑" w:hAnsi="微软雅黑" w:cs="宋体"/>
          <w:kern w:val="0"/>
          <w:sz w:val="24"/>
          <w:szCs w:val="24"/>
        </w:rPr>
        <w:t>所有统计分析均使用 GraphPad Prism v10.3.1 进行。检验方法包括非配对或配对双尾 Student's </w:t>
      </w:r>
      <w:r w:rsidRPr="00736BD1">
        <w:rPr>
          <w:rFonts w:ascii="微软雅黑" w:eastAsia="微软雅黑" w:hAnsi="微软雅黑" w:cs="宋体"/>
          <w:i/>
          <w:iCs/>
          <w:kern w:val="0"/>
          <w:sz w:val="24"/>
          <w:szCs w:val="24"/>
        </w:rPr>
        <w:t>t检验，以及单因素或</w:t>
      </w:r>
      <w:proofErr w:type="gramStart"/>
      <w:r w:rsidRPr="00736BD1">
        <w:rPr>
          <w:rFonts w:ascii="微软雅黑" w:eastAsia="微软雅黑" w:hAnsi="微软雅黑" w:cs="宋体"/>
          <w:i/>
          <w:iCs/>
          <w:kern w:val="0"/>
          <w:sz w:val="24"/>
          <w:szCs w:val="24"/>
        </w:rPr>
        <w:t>双因素</w:t>
      </w:r>
      <w:proofErr w:type="gramEnd"/>
      <w:r w:rsidRPr="00736BD1">
        <w:rPr>
          <w:rFonts w:ascii="微软雅黑" w:eastAsia="微软雅黑" w:hAnsi="微软雅黑" w:cs="宋体"/>
          <w:i/>
          <w:iCs/>
          <w:kern w:val="0"/>
          <w:sz w:val="24"/>
          <w:szCs w:val="24"/>
        </w:rPr>
        <w:t>方差</w:t>
      </w:r>
      <w:r w:rsidRPr="00736BD1">
        <w:rPr>
          <w:rFonts w:ascii="微软雅黑" w:eastAsia="微软雅黑" w:hAnsi="微软雅黑" w:cs="宋体"/>
          <w:kern w:val="0"/>
          <w:sz w:val="24"/>
          <w:szCs w:val="24"/>
        </w:rPr>
        <w:t>分析（ANOVA），具体方法见图例。P值 ≤ 0.05 被认为具有统计学意义。生物学重复次数和样本量详见相应的图例和</w:t>
      </w:r>
      <w:hyperlink r:id="rId77" w:anchor="sd" w:history="1">
        <w:r w:rsidRPr="00736BD1">
          <w:rPr>
            <w:rFonts w:ascii="微软雅黑" w:eastAsia="微软雅黑" w:hAnsi="微软雅黑" w:cs="宋体"/>
            <w:kern w:val="0"/>
            <w:sz w:val="24"/>
            <w:szCs w:val="24"/>
            <w:u w:val="single"/>
          </w:rPr>
          <w:t>补充数据</w:t>
        </w:r>
      </w:hyperlink>
      <w:r w:rsidRPr="00736BD1">
        <w:rPr>
          <w:rFonts w:ascii="微软雅黑" w:eastAsia="微软雅黑" w:hAnsi="微软雅黑" w:cs="宋体"/>
          <w:kern w:val="0"/>
          <w:sz w:val="24"/>
          <w:szCs w:val="24"/>
        </w:rPr>
        <w:t>文件。</w:t>
      </w:r>
    </w:p>
    <w:p w14:paraId="35818F77" w14:textId="77777777" w:rsidR="00736BD1" w:rsidRPr="00736BD1" w:rsidRDefault="00736BD1" w:rsidP="00736BD1">
      <w:pPr>
        <w:widowControl/>
        <w:spacing w:line="450" w:lineRule="atLeast"/>
        <w:outlineLvl w:val="2"/>
        <w:rPr>
          <w:rFonts w:ascii="微软雅黑" w:eastAsia="微软雅黑" w:hAnsi="微软雅黑" w:cs="宋体"/>
          <w:kern w:val="0"/>
          <w:sz w:val="32"/>
          <w:szCs w:val="32"/>
        </w:rPr>
      </w:pPr>
      <w:r w:rsidRPr="00736BD1">
        <w:rPr>
          <w:rFonts w:ascii="微软雅黑" w:eastAsia="微软雅黑" w:hAnsi="微软雅黑" w:cs="宋体"/>
          <w:kern w:val="0"/>
          <w:sz w:val="32"/>
          <w:szCs w:val="32"/>
        </w:rPr>
        <w:t>研究获得批准。</w:t>
      </w:r>
    </w:p>
    <w:p w14:paraId="4669A883" w14:textId="77777777" w:rsidR="00736BD1" w:rsidRPr="00736BD1" w:rsidRDefault="00736BD1" w:rsidP="00736BD1">
      <w:pPr>
        <w:widowControl/>
        <w:spacing w:before="450"/>
        <w:rPr>
          <w:rFonts w:ascii="微软雅黑" w:eastAsia="微软雅黑" w:hAnsi="微软雅黑" w:cs="宋体"/>
          <w:kern w:val="0"/>
          <w:sz w:val="24"/>
          <w:szCs w:val="24"/>
        </w:rPr>
      </w:pPr>
      <w:r w:rsidRPr="00736BD1">
        <w:rPr>
          <w:rFonts w:ascii="微软雅黑" w:eastAsia="微软雅黑" w:hAnsi="微软雅黑" w:cs="宋体"/>
          <w:kern w:val="0"/>
          <w:sz w:val="24"/>
          <w:szCs w:val="24"/>
        </w:rPr>
        <w:t>雌性C57BL/6J（品系000664）和J:NU（品系007850）小鼠（6-7周龄）</w:t>
      </w:r>
      <w:proofErr w:type="gramStart"/>
      <w:r w:rsidRPr="00736BD1">
        <w:rPr>
          <w:rFonts w:ascii="微软雅黑" w:eastAsia="微软雅黑" w:hAnsi="微软雅黑" w:cs="宋体"/>
          <w:kern w:val="0"/>
          <w:sz w:val="24"/>
          <w:szCs w:val="24"/>
        </w:rPr>
        <w:t>购自杰克</w:t>
      </w:r>
      <w:proofErr w:type="gramEnd"/>
      <w:r w:rsidRPr="00736BD1">
        <w:rPr>
          <w:rFonts w:ascii="微软雅黑" w:eastAsia="微软雅黑" w:hAnsi="微软雅黑" w:cs="宋体"/>
          <w:kern w:val="0"/>
          <w:sz w:val="24"/>
          <w:szCs w:val="24"/>
        </w:rPr>
        <w:t>逊实验室，饲养于屏障设施内，光照/黑暗周期为12小时，并可自由摄取食物和水。实验终点设定在小鼠14至16周</w:t>
      </w:r>
      <w:proofErr w:type="gramStart"/>
      <w:r w:rsidRPr="00736BD1">
        <w:rPr>
          <w:rFonts w:ascii="微软雅黑" w:eastAsia="微软雅黑" w:hAnsi="微软雅黑" w:cs="宋体"/>
          <w:kern w:val="0"/>
          <w:sz w:val="24"/>
          <w:szCs w:val="24"/>
        </w:rPr>
        <w:t>龄</w:t>
      </w:r>
      <w:proofErr w:type="gramEnd"/>
      <w:r w:rsidRPr="00736BD1">
        <w:rPr>
          <w:rFonts w:ascii="微软雅黑" w:eastAsia="微软雅黑" w:hAnsi="微软雅黑" w:cs="宋体"/>
          <w:kern w:val="0"/>
          <w:sz w:val="24"/>
          <w:szCs w:val="24"/>
        </w:rPr>
        <w:t>之间。所有实验操作均符合机构伦理准则，并经哥伦比亚大学欧文医学中心机构动物护理和使用委员会批准。</w:t>
      </w:r>
    </w:p>
    <w:p w14:paraId="5E729316" w14:textId="77777777" w:rsidR="00736BD1" w:rsidRPr="00736BD1" w:rsidRDefault="00736BD1" w:rsidP="00736BD1">
      <w:pPr>
        <w:widowControl/>
        <w:spacing w:line="450" w:lineRule="atLeast"/>
        <w:outlineLvl w:val="2"/>
        <w:rPr>
          <w:rFonts w:ascii="微软雅黑" w:eastAsia="微软雅黑" w:hAnsi="微软雅黑" w:cs="宋体"/>
          <w:kern w:val="0"/>
          <w:sz w:val="32"/>
          <w:szCs w:val="32"/>
        </w:rPr>
      </w:pPr>
      <w:r w:rsidRPr="00736BD1">
        <w:rPr>
          <w:rFonts w:ascii="微软雅黑" w:eastAsia="微软雅黑" w:hAnsi="微软雅黑" w:cs="宋体"/>
          <w:kern w:val="0"/>
          <w:sz w:val="32"/>
          <w:szCs w:val="32"/>
        </w:rPr>
        <w:t>数据可用性。</w:t>
      </w:r>
    </w:p>
    <w:p w14:paraId="6C81A99A" w14:textId="1514ABB6" w:rsidR="00736BD1" w:rsidRPr="00736BD1" w:rsidRDefault="00736BD1" w:rsidP="00736BD1">
      <w:pPr>
        <w:widowControl/>
        <w:spacing w:before="450"/>
        <w:rPr>
          <w:rFonts w:ascii="微软雅黑" w:eastAsia="微软雅黑" w:hAnsi="微软雅黑" w:cs="宋体"/>
          <w:kern w:val="0"/>
          <w:sz w:val="24"/>
          <w:szCs w:val="24"/>
        </w:rPr>
      </w:pPr>
      <w:r w:rsidRPr="00736BD1">
        <w:rPr>
          <w:rFonts w:ascii="微软雅黑" w:eastAsia="微软雅黑" w:hAnsi="微软雅黑" w:cs="宋体"/>
          <w:kern w:val="0"/>
          <w:sz w:val="24"/>
          <w:szCs w:val="24"/>
        </w:rPr>
        <w:lastRenderedPageBreak/>
        <w:t>所有支持图表和分析的数据值均包含在</w:t>
      </w:r>
      <w:hyperlink r:id="rId78" w:anchor="sd" w:history="1">
        <w:r w:rsidRPr="00736BD1">
          <w:rPr>
            <w:rFonts w:ascii="微软雅黑" w:eastAsia="微软雅黑" w:hAnsi="微软雅黑" w:cs="宋体"/>
            <w:kern w:val="0"/>
            <w:sz w:val="24"/>
            <w:szCs w:val="24"/>
            <w:u w:val="single"/>
          </w:rPr>
          <w:t>支持数据值</w:t>
        </w:r>
      </w:hyperlink>
      <w:r w:rsidRPr="00736BD1">
        <w:rPr>
          <w:rFonts w:ascii="微软雅黑" w:eastAsia="微软雅黑" w:hAnsi="微软雅黑" w:cs="宋体"/>
          <w:kern w:val="0"/>
          <w:sz w:val="24"/>
          <w:szCs w:val="24"/>
        </w:rPr>
        <w:t>文件中。原始和处理后的 RNA-Seq 数据已存入基因表达综合数据库 (Gene Expression Omnibus)，登录号为</w:t>
      </w:r>
      <w:hyperlink r:id="rId79" w:tgtFrame="_blank" w:history="1">
        <w:r w:rsidRPr="00736BD1">
          <w:rPr>
            <w:rFonts w:ascii="微软雅黑" w:eastAsia="微软雅黑" w:hAnsi="微软雅黑" w:cs="宋体"/>
            <w:kern w:val="0"/>
            <w:sz w:val="24"/>
            <w:szCs w:val="24"/>
            <w:u w:val="single"/>
          </w:rPr>
          <w:t>GSE281158</w:t>
        </w:r>
      </w:hyperlink>
      <w:r w:rsidRPr="00736BD1">
        <w:rPr>
          <w:rFonts w:ascii="微软雅黑" w:eastAsia="微软雅黑" w:hAnsi="微软雅黑" w:cs="宋体"/>
          <w:kern w:val="0"/>
          <w:sz w:val="24"/>
          <w:szCs w:val="24"/>
        </w:rPr>
        <w:t>。用于处理批量和单细胞 RNA-Seq 数据的自定义分析脚本；</w:t>
      </w:r>
    </w:p>
    <w:p w14:paraId="35C68157" w14:textId="77777777" w:rsidR="005C4DCE" w:rsidRPr="00736BD1" w:rsidRDefault="005C4DCE" w:rsidP="00736BD1">
      <w:pPr>
        <w:rPr>
          <w:rFonts w:ascii="微软雅黑" w:eastAsia="微软雅黑" w:hAnsi="微软雅黑"/>
        </w:rPr>
      </w:pPr>
    </w:p>
    <w:sectPr w:rsidR="005C4DCE" w:rsidRPr="00736BD1">
      <w:pgSz w:w="11906" w:h="16838"/>
      <w:pgMar w:top="1440" w:right="1800" w:bottom="1440" w:left="1800" w:header="720" w:footer="720"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MS Gothic">
    <w:altName w:val="ＭＳ ゴシック"/>
    <w:panose1 w:val="020B06090702050802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09E4939"/>
    <w:multiLevelType w:val="multilevel"/>
    <w:tmpl w:val="8D1CCC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4DCE"/>
    <w:rsid w:val="005C4DCE"/>
    <w:rsid w:val="00736B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BB8EDF"/>
  <w15:chartTrackingRefBased/>
  <w15:docId w15:val="{698B5275-8102-4FDD-A4FE-5ACEDA2469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link w:val="10"/>
    <w:uiPriority w:val="9"/>
    <w:qFormat/>
    <w:rsid w:val="00736BD1"/>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link w:val="20"/>
    <w:uiPriority w:val="9"/>
    <w:qFormat/>
    <w:rsid w:val="00736BD1"/>
    <w:pPr>
      <w:widowControl/>
      <w:spacing w:before="100" w:beforeAutospacing="1" w:after="100" w:afterAutospacing="1"/>
      <w:jc w:val="left"/>
      <w:outlineLvl w:val="1"/>
    </w:pPr>
    <w:rPr>
      <w:rFonts w:ascii="宋体" w:eastAsia="宋体" w:hAnsi="宋体" w:cs="宋体"/>
      <w:b/>
      <w:bCs/>
      <w:kern w:val="0"/>
      <w:sz w:val="36"/>
      <w:szCs w:val="36"/>
    </w:rPr>
  </w:style>
  <w:style w:type="paragraph" w:styleId="3">
    <w:name w:val="heading 3"/>
    <w:basedOn w:val="a"/>
    <w:link w:val="30"/>
    <w:uiPriority w:val="9"/>
    <w:qFormat/>
    <w:rsid w:val="00736BD1"/>
    <w:pPr>
      <w:widowControl/>
      <w:spacing w:before="100" w:beforeAutospacing="1" w:after="100" w:afterAutospacing="1"/>
      <w:jc w:val="left"/>
      <w:outlineLvl w:val="2"/>
    </w:pPr>
    <w:rPr>
      <w:rFonts w:ascii="宋体" w:eastAsia="宋体" w:hAnsi="宋体" w:cs="宋体"/>
      <w:b/>
      <w:bCs/>
      <w:kern w:val="0"/>
      <w:sz w:val="27"/>
      <w:szCs w:val="27"/>
    </w:rPr>
  </w:style>
  <w:style w:type="paragraph" w:styleId="4">
    <w:name w:val="heading 4"/>
    <w:basedOn w:val="a"/>
    <w:link w:val="40"/>
    <w:uiPriority w:val="9"/>
    <w:qFormat/>
    <w:rsid w:val="00736BD1"/>
    <w:pPr>
      <w:widowControl/>
      <w:spacing w:before="100" w:beforeAutospacing="1" w:after="100" w:afterAutospacing="1"/>
      <w:jc w:val="left"/>
      <w:outlineLvl w:val="3"/>
    </w:pPr>
    <w:rPr>
      <w:rFonts w:ascii="宋体" w:eastAsia="宋体" w:hAnsi="宋体" w:cs="宋体"/>
      <w:b/>
      <w:bCs/>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736BD1"/>
    <w:rPr>
      <w:rFonts w:ascii="宋体" w:eastAsia="宋体" w:hAnsi="宋体" w:cs="宋体"/>
      <w:b/>
      <w:bCs/>
      <w:kern w:val="36"/>
      <w:sz w:val="48"/>
      <w:szCs w:val="48"/>
    </w:rPr>
  </w:style>
  <w:style w:type="character" w:customStyle="1" w:styleId="20">
    <w:name w:val="标题 2 字符"/>
    <w:basedOn w:val="a0"/>
    <w:link w:val="2"/>
    <w:uiPriority w:val="9"/>
    <w:rsid w:val="00736BD1"/>
    <w:rPr>
      <w:rFonts w:ascii="宋体" w:eastAsia="宋体" w:hAnsi="宋体" w:cs="宋体"/>
      <w:b/>
      <w:bCs/>
      <w:kern w:val="0"/>
      <w:sz w:val="36"/>
      <w:szCs w:val="36"/>
    </w:rPr>
  </w:style>
  <w:style w:type="character" w:customStyle="1" w:styleId="30">
    <w:name w:val="标题 3 字符"/>
    <w:basedOn w:val="a0"/>
    <w:link w:val="3"/>
    <w:uiPriority w:val="9"/>
    <w:rsid w:val="00736BD1"/>
    <w:rPr>
      <w:rFonts w:ascii="宋体" w:eastAsia="宋体" w:hAnsi="宋体" w:cs="宋体"/>
      <w:b/>
      <w:bCs/>
      <w:kern w:val="0"/>
      <w:sz w:val="27"/>
      <w:szCs w:val="27"/>
    </w:rPr>
  </w:style>
  <w:style w:type="character" w:customStyle="1" w:styleId="40">
    <w:name w:val="标题 4 字符"/>
    <w:basedOn w:val="a0"/>
    <w:link w:val="4"/>
    <w:uiPriority w:val="9"/>
    <w:rsid w:val="00736BD1"/>
    <w:rPr>
      <w:rFonts w:ascii="宋体" w:eastAsia="宋体" w:hAnsi="宋体" w:cs="宋体"/>
      <w:b/>
      <w:bCs/>
      <w:kern w:val="0"/>
      <w:sz w:val="24"/>
      <w:szCs w:val="24"/>
    </w:rPr>
  </w:style>
  <w:style w:type="paragraph" w:customStyle="1" w:styleId="msonormal0">
    <w:name w:val="msonormal"/>
    <w:basedOn w:val="a"/>
    <w:rsid w:val="00736BD1"/>
    <w:pPr>
      <w:widowControl/>
      <w:spacing w:before="100" w:beforeAutospacing="1" w:after="100" w:afterAutospacing="1"/>
      <w:jc w:val="left"/>
    </w:pPr>
    <w:rPr>
      <w:rFonts w:ascii="宋体" w:eastAsia="宋体" w:hAnsi="宋体" w:cs="宋体"/>
      <w:kern w:val="0"/>
      <w:sz w:val="24"/>
      <w:szCs w:val="24"/>
    </w:rPr>
  </w:style>
  <w:style w:type="character" w:styleId="a3">
    <w:name w:val="Hyperlink"/>
    <w:basedOn w:val="a0"/>
    <w:uiPriority w:val="99"/>
    <w:semiHidden/>
    <w:unhideWhenUsed/>
    <w:rsid w:val="00736BD1"/>
    <w:rPr>
      <w:color w:val="0000FF"/>
      <w:u w:val="single"/>
    </w:rPr>
  </w:style>
  <w:style w:type="character" w:styleId="a4">
    <w:name w:val="FollowedHyperlink"/>
    <w:basedOn w:val="a0"/>
    <w:uiPriority w:val="99"/>
    <w:semiHidden/>
    <w:unhideWhenUsed/>
    <w:rsid w:val="00736BD1"/>
    <w:rPr>
      <w:color w:val="800080"/>
      <w:u w:val="single"/>
    </w:rPr>
  </w:style>
  <w:style w:type="character" w:customStyle="1" w:styleId="name">
    <w:name w:val="name"/>
    <w:basedOn w:val="a0"/>
    <w:rsid w:val="00736BD1"/>
  </w:style>
  <w:style w:type="paragraph" w:styleId="a5">
    <w:name w:val="Normal (Web)"/>
    <w:basedOn w:val="a"/>
    <w:uiPriority w:val="99"/>
    <w:semiHidden/>
    <w:unhideWhenUsed/>
    <w:rsid w:val="00736BD1"/>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736BD1"/>
    <w:rPr>
      <w:b/>
      <w:bCs/>
    </w:rPr>
  </w:style>
  <w:style w:type="paragraph" w:customStyle="1" w:styleId="img-box">
    <w:name w:val="img-box"/>
    <w:basedOn w:val="a"/>
    <w:rsid w:val="00736BD1"/>
    <w:pPr>
      <w:widowControl/>
      <w:spacing w:before="100" w:beforeAutospacing="1" w:after="100" w:afterAutospacing="1"/>
      <w:jc w:val="left"/>
    </w:pPr>
    <w:rPr>
      <w:rFonts w:ascii="宋体" w:eastAsia="宋体" w:hAnsi="宋体" w:cs="宋体"/>
      <w:kern w:val="0"/>
      <w:sz w:val="24"/>
      <w:szCs w:val="24"/>
    </w:rPr>
  </w:style>
  <w:style w:type="character" w:styleId="a7">
    <w:name w:val="Emphasis"/>
    <w:basedOn w:val="a0"/>
    <w:uiPriority w:val="20"/>
    <w:qFormat/>
    <w:rsid w:val="00736BD1"/>
    <w:rPr>
      <w:i/>
      <w:iCs/>
    </w:rPr>
  </w:style>
  <w:style w:type="character" w:customStyle="1" w:styleId="font-variant-small-caps">
    <w:name w:val="font-variant-small-caps"/>
    <w:basedOn w:val="a0"/>
    <w:rsid w:val="00736B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99758177">
      <w:bodyDiv w:val="1"/>
      <w:marLeft w:val="0"/>
      <w:marRight w:val="0"/>
      <w:marTop w:val="0"/>
      <w:marBottom w:val="0"/>
      <w:divBdr>
        <w:top w:val="none" w:sz="0" w:space="0" w:color="auto"/>
        <w:left w:val="none" w:sz="0" w:space="0" w:color="auto"/>
        <w:bottom w:val="none" w:sz="0" w:space="0" w:color="auto"/>
        <w:right w:val="none" w:sz="0" w:space="0" w:color="auto"/>
      </w:divBdr>
      <w:divsChild>
        <w:div w:id="375666182">
          <w:marLeft w:val="0"/>
          <w:marRight w:val="0"/>
          <w:marTop w:val="0"/>
          <w:marBottom w:val="0"/>
          <w:divBdr>
            <w:top w:val="none" w:sz="0" w:space="0" w:color="auto"/>
            <w:left w:val="none" w:sz="0" w:space="0" w:color="auto"/>
            <w:bottom w:val="none" w:sz="0" w:space="0" w:color="auto"/>
            <w:right w:val="none" w:sz="0" w:space="0" w:color="auto"/>
          </w:divBdr>
          <w:divsChild>
            <w:div w:id="1517574805">
              <w:marLeft w:val="0"/>
              <w:marRight w:val="0"/>
              <w:marTop w:val="225"/>
              <w:marBottom w:val="0"/>
              <w:divBdr>
                <w:top w:val="none" w:sz="0" w:space="0" w:color="auto"/>
                <w:left w:val="none" w:sz="0" w:space="0" w:color="auto"/>
                <w:bottom w:val="none" w:sz="0" w:space="0" w:color="auto"/>
                <w:right w:val="none" w:sz="0" w:space="0" w:color="auto"/>
              </w:divBdr>
            </w:div>
            <w:div w:id="568998216">
              <w:marLeft w:val="0"/>
              <w:marRight w:val="0"/>
              <w:marTop w:val="0"/>
              <w:marBottom w:val="0"/>
              <w:divBdr>
                <w:top w:val="none" w:sz="0" w:space="0" w:color="auto"/>
                <w:left w:val="none" w:sz="0" w:space="0" w:color="auto"/>
                <w:bottom w:val="none" w:sz="0" w:space="0" w:color="auto"/>
                <w:right w:val="none" w:sz="0" w:space="0" w:color="auto"/>
              </w:divBdr>
            </w:div>
          </w:divsChild>
        </w:div>
        <w:div w:id="325479618">
          <w:marLeft w:val="0"/>
          <w:marRight w:val="0"/>
          <w:marTop w:val="450"/>
          <w:marBottom w:val="0"/>
          <w:divBdr>
            <w:top w:val="none" w:sz="0" w:space="0" w:color="auto"/>
            <w:left w:val="none" w:sz="0" w:space="0" w:color="auto"/>
            <w:bottom w:val="none" w:sz="0" w:space="0" w:color="auto"/>
            <w:right w:val="none" w:sz="0" w:space="0" w:color="auto"/>
          </w:divBdr>
        </w:div>
        <w:div w:id="1859585173">
          <w:marLeft w:val="0"/>
          <w:marRight w:val="0"/>
          <w:marTop w:val="450"/>
          <w:marBottom w:val="0"/>
          <w:divBdr>
            <w:top w:val="none" w:sz="0" w:space="0" w:color="auto"/>
            <w:left w:val="none" w:sz="0" w:space="0" w:color="auto"/>
            <w:bottom w:val="none" w:sz="0" w:space="0" w:color="auto"/>
            <w:right w:val="none" w:sz="0" w:space="0" w:color="auto"/>
          </w:divBdr>
        </w:div>
        <w:div w:id="1236553927">
          <w:marLeft w:val="0"/>
          <w:marRight w:val="0"/>
          <w:marTop w:val="450"/>
          <w:marBottom w:val="0"/>
          <w:divBdr>
            <w:top w:val="none" w:sz="0" w:space="0" w:color="auto"/>
            <w:left w:val="none" w:sz="0" w:space="0" w:color="auto"/>
            <w:bottom w:val="none" w:sz="0" w:space="0" w:color="auto"/>
            <w:right w:val="none" w:sz="0" w:space="0" w:color="auto"/>
          </w:divBdr>
        </w:div>
        <w:div w:id="1983584195">
          <w:marLeft w:val="0"/>
          <w:marRight w:val="0"/>
          <w:marTop w:val="450"/>
          <w:marBottom w:val="0"/>
          <w:divBdr>
            <w:top w:val="none" w:sz="0" w:space="0" w:color="auto"/>
            <w:left w:val="none" w:sz="0" w:space="0" w:color="auto"/>
            <w:bottom w:val="none" w:sz="0" w:space="0" w:color="auto"/>
            <w:right w:val="none" w:sz="0" w:space="0" w:color="auto"/>
          </w:divBdr>
        </w:div>
        <w:div w:id="750348096">
          <w:marLeft w:val="0"/>
          <w:marRight w:val="0"/>
          <w:marTop w:val="450"/>
          <w:marBottom w:val="0"/>
          <w:divBdr>
            <w:top w:val="none" w:sz="0" w:space="0" w:color="auto"/>
            <w:left w:val="none" w:sz="0" w:space="0" w:color="auto"/>
            <w:bottom w:val="none" w:sz="0" w:space="0" w:color="auto"/>
            <w:right w:val="none" w:sz="0" w:space="0" w:color="auto"/>
          </w:divBdr>
        </w:div>
        <w:div w:id="817039986">
          <w:marLeft w:val="0"/>
          <w:marRight w:val="0"/>
          <w:marTop w:val="450"/>
          <w:marBottom w:val="0"/>
          <w:divBdr>
            <w:top w:val="none" w:sz="0" w:space="0" w:color="auto"/>
            <w:left w:val="none" w:sz="0" w:space="0" w:color="auto"/>
            <w:bottom w:val="none" w:sz="0" w:space="0" w:color="auto"/>
            <w:right w:val="none" w:sz="0" w:space="0" w:color="auto"/>
          </w:divBdr>
        </w:div>
        <w:div w:id="1431121047">
          <w:marLeft w:val="0"/>
          <w:marRight w:val="0"/>
          <w:marTop w:val="450"/>
          <w:marBottom w:val="0"/>
          <w:divBdr>
            <w:top w:val="none" w:sz="0" w:space="0" w:color="auto"/>
            <w:left w:val="none" w:sz="0" w:space="0" w:color="auto"/>
            <w:bottom w:val="none" w:sz="0" w:space="0" w:color="auto"/>
            <w:right w:val="none" w:sz="0" w:space="0" w:color="auto"/>
          </w:divBdr>
        </w:div>
        <w:div w:id="1134257242">
          <w:marLeft w:val="0"/>
          <w:marRight w:val="0"/>
          <w:marTop w:val="45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pmc.ncbi.nlm.nih.gov/articles/PMC12520673/" TargetMode="External"/><Relationship Id="rId21" Type="http://schemas.openxmlformats.org/officeDocument/2006/relationships/hyperlink" Target="https://pmc.ncbi.nlm.nih.gov/articles/PMC12520673/" TargetMode="External"/><Relationship Id="rId42" Type="http://schemas.openxmlformats.org/officeDocument/2006/relationships/hyperlink" Target="https://pmc.ncbi.nlm.nih.gov/articles/PMC12520673/" TargetMode="External"/><Relationship Id="rId47" Type="http://schemas.openxmlformats.org/officeDocument/2006/relationships/image" Target="media/image5.jpeg"/><Relationship Id="rId63" Type="http://schemas.openxmlformats.org/officeDocument/2006/relationships/hyperlink" Target="https://pmc.ncbi.nlm.nih.gov/articles/PMC12520673/" TargetMode="External"/><Relationship Id="rId68" Type="http://schemas.openxmlformats.org/officeDocument/2006/relationships/hyperlink" Target="https://pmc.ncbi.nlm.nih.gov/articles/PMC12520673/" TargetMode="External"/><Relationship Id="rId16" Type="http://schemas.openxmlformats.org/officeDocument/2006/relationships/hyperlink" Target="https://pmc.ncbi.nlm.nih.gov/articles/PMC12520673/" TargetMode="External"/><Relationship Id="rId11" Type="http://schemas.openxmlformats.org/officeDocument/2006/relationships/hyperlink" Target="https://pmc.ncbi.nlm.nih.gov/articles/PMC12520673/" TargetMode="External"/><Relationship Id="rId32" Type="http://schemas.openxmlformats.org/officeDocument/2006/relationships/hyperlink" Target="https://pmc.ncbi.nlm.nih.gov/articles/PMC12520673/" TargetMode="External"/><Relationship Id="rId37" Type="http://schemas.openxmlformats.org/officeDocument/2006/relationships/hyperlink" Target="https://pmc.ncbi.nlm.nih.gov/articles/PMC12520673/" TargetMode="External"/><Relationship Id="rId53" Type="http://schemas.openxmlformats.org/officeDocument/2006/relationships/hyperlink" Target="https://pmc.ncbi.nlm.nih.gov/articles/PMC12520673/" TargetMode="External"/><Relationship Id="rId58" Type="http://schemas.openxmlformats.org/officeDocument/2006/relationships/image" Target="media/image8.jpeg"/><Relationship Id="rId74" Type="http://schemas.openxmlformats.org/officeDocument/2006/relationships/hyperlink" Target="https://pmc.ncbi.nlm.nih.gov/articles/PMC12520673/" TargetMode="External"/><Relationship Id="rId79" Type="http://schemas.openxmlformats.org/officeDocument/2006/relationships/hyperlink" Target="https://www.ncbi.nlm.nih.gov/geo/query/acc.cgi?acc=GSE281158" TargetMode="External"/><Relationship Id="rId5" Type="http://schemas.openxmlformats.org/officeDocument/2006/relationships/hyperlink" Target="https://www.ncbi.nlm.nih.gov/core/lw/2.0/html/tileshop_pmc/tileshop_pmc_inline.html?title=Click%20on%20image%20to%20zoom&amp;p=PMC3&amp;id=12520673_jci-135-188839-g117.jpg" TargetMode="External"/><Relationship Id="rId61" Type="http://schemas.openxmlformats.org/officeDocument/2006/relationships/hyperlink" Target="https://www.ncbi.nlm.nih.gov/core/lw/2.0/html/tileshop_pmc/tileshop_pmc_inline.html?title=Click%20on%20image%20to%20zoom&amp;p=PMC3&amp;id=12520673_jci-135-188839-g112.jpg" TargetMode="External"/><Relationship Id="rId19" Type="http://schemas.openxmlformats.org/officeDocument/2006/relationships/hyperlink" Target="https://pmc.ncbi.nlm.nih.gov/articles/PMC12520673/" TargetMode="External"/><Relationship Id="rId14" Type="http://schemas.openxmlformats.org/officeDocument/2006/relationships/hyperlink" Target="https://pmc.ncbi.nlm.nih.gov/articles/PMC12520673/" TargetMode="External"/><Relationship Id="rId22" Type="http://schemas.openxmlformats.org/officeDocument/2006/relationships/hyperlink" Target="https://pmc.ncbi.nlm.nih.gov/articles/PMC12520673/" TargetMode="External"/><Relationship Id="rId27" Type="http://schemas.openxmlformats.org/officeDocument/2006/relationships/hyperlink" Target="https://clinicaltrials.gov/ct2/show/NCT03363893" TargetMode="External"/><Relationship Id="rId30" Type="http://schemas.openxmlformats.org/officeDocument/2006/relationships/hyperlink" Target="https://pmc.ncbi.nlm.nih.gov/articles/PMC12520673/" TargetMode="External"/><Relationship Id="rId35" Type="http://schemas.openxmlformats.org/officeDocument/2006/relationships/hyperlink" Target="https://www.ncbi.nlm.nih.gov/core/lw/2.0/html/tileshop_pmc/tileshop_pmc_inline.html?title=Click%20on%20image%20to%20zoom&amp;p=PMC3&amp;id=12520673_jci-135-188839-g105.jpg" TargetMode="External"/><Relationship Id="rId43" Type="http://schemas.openxmlformats.org/officeDocument/2006/relationships/hyperlink" Target="https://pmc.ncbi.nlm.nih.gov/articles/PMC12520673/" TargetMode="External"/><Relationship Id="rId48" Type="http://schemas.openxmlformats.org/officeDocument/2006/relationships/hyperlink" Target="https://pmc.ncbi.nlm.nih.gov/articles/PMC12520673/" TargetMode="External"/><Relationship Id="rId56" Type="http://schemas.openxmlformats.org/officeDocument/2006/relationships/image" Target="media/image7.jpeg"/><Relationship Id="rId64" Type="http://schemas.openxmlformats.org/officeDocument/2006/relationships/hyperlink" Target="https://pmc.ncbi.nlm.nih.gov/articles/PMC12520673/" TargetMode="External"/><Relationship Id="rId69" Type="http://schemas.openxmlformats.org/officeDocument/2006/relationships/hyperlink" Target="https://pmc.ncbi.nlm.nih.gov/articles/PMC12520673/" TargetMode="External"/><Relationship Id="rId77" Type="http://schemas.openxmlformats.org/officeDocument/2006/relationships/hyperlink" Target="https://pmc.ncbi.nlm.nih.gov/articles/PMC12520673/" TargetMode="External"/><Relationship Id="rId8" Type="http://schemas.openxmlformats.org/officeDocument/2006/relationships/hyperlink" Target="https://pmc.ncbi.nlm.nih.gov/articles/PMC12520673/" TargetMode="External"/><Relationship Id="rId51" Type="http://schemas.openxmlformats.org/officeDocument/2006/relationships/hyperlink" Target="https://pmc.ncbi.nlm.nih.gov/articles/PMC12520673/" TargetMode="External"/><Relationship Id="rId72" Type="http://schemas.openxmlformats.org/officeDocument/2006/relationships/hyperlink" Target="https://pmc.ncbi.nlm.nih.gov/articles/PMC12520673/" TargetMode="External"/><Relationship Id="rId80"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hyperlink" Target="https://pmc.ncbi.nlm.nih.gov/articles/PMC12520673/" TargetMode="External"/><Relationship Id="rId17" Type="http://schemas.openxmlformats.org/officeDocument/2006/relationships/hyperlink" Target="https://pmc.ncbi.nlm.nih.gov/articles/PMC12520673/" TargetMode="External"/><Relationship Id="rId25" Type="http://schemas.openxmlformats.org/officeDocument/2006/relationships/hyperlink" Target="https://pmc.ncbi.nlm.nih.gov/articles/PMC12520673/" TargetMode="External"/><Relationship Id="rId33" Type="http://schemas.openxmlformats.org/officeDocument/2006/relationships/hyperlink" Target="https://pmc.ncbi.nlm.nih.gov/articles/PMC12520673/" TargetMode="External"/><Relationship Id="rId38" Type="http://schemas.openxmlformats.org/officeDocument/2006/relationships/hyperlink" Target="https://pmc.ncbi.nlm.nih.gov/articles/PMC12520673/" TargetMode="External"/><Relationship Id="rId46" Type="http://schemas.openxmlformats.org/officeDocument/2006/relationships/hyperlink" Target="https://www.ncbi.nlm.nih.gov/core/lw/2.0/html/tileshop_pmc/tileshop_pmc_inline.html?title=Click%20on%20image%20to%20zoom&amp;p=PMC3&amp;id=12520673_jci-135-188839-g108.jpg" TargetMode="External"/><Relationship Id="rId59" Type="http://schemas.openxmlformats.org/officeDocument/2006/relationships/hyperlink" Target="https://pmc.ncbi.nlm.nih.gov/articles/PMC12520673/" TargetMode="External"/><Relationship Id="rId67" Type="http://schemas.openxmlformats.org/officeDocument/2006/relationships/hyperlink" Target="https://pmc.ncbi.nlm.nih.gov/articles/PMC12520673/" TargetMode="External"/><Relationship Id="rId20" Type="http://schemas.openxmlformats.org/officeDocument/2006/relationships/hyperlink" Target="https://pmc.ncbi.nlm.nih.gov/articles/PMC12520673/" TargetMode="External"/><Relationship Id="rId41" Type="http://schemas.openxmlformats.org/officeDocument/2006/relationships/image" Target="media/image3.jpeg"/><Relationship Id="rId54" Type="http://schemas.openxmlformats.org/officeDocument/2006/relationships/hyperlink" Target="https://pmc.ncbi.nlm.nih.gov/articles/PMC12520673/" TargetMode="External"/><Relationship Id="rId62" Type="http://schemas.openxmlformats.org/officeDocument/2006/relationships/image" Target="media/image9.jpeg"/><Relationship Id="rId70" Type="http://schemas.openxmlformats.org/officeDocument/2006/relationships/hyperlink" Target="https://pmc.ncbi.nlm.nih.gov/articles/PMC12520673/" TargetMode="External"/><Relationship Id="rId75" Type="http://schemas.openxmlformats.org/officeDocument/2006/relationships/hyperlink" Target="https://pmc.ncbi.nlm.nih.gov/articles/PMC12520673/" TargetMode="External"/><Relationship Id="rId1" Type="http://schemas.openxmlformats.org/officeDocument/2006/relationships/numbering" Target="numbering.xml"/><Relationship Id="rId6" Type="http://schemas.openxmlformats.org/officeDocument/2006/relationships/image" Target="media/image1.jpeg"/><Relationship Id="rId15" Type="http://schemas.openxmlformats.org/officeDocument/2006/relationships/hyperlink" Target="https://pmc.ncbi.nlm.nih.gov/articles/PMC12520673/" TargetMode="External"/><Relationship Id="rId23" Type="http://schemas.openxmlformats.org/officeDocument/2006/relationships/hyperlink" Target="https://pmc.ncbi.nlm.nih.gov/articles/PMC12520673/" TargetMode="External"/><Relationship Id="rId28" Type="http://schemas.openxmlformats.org/officeDocument/2006/relationships/hyperlink" Target="https://pmc.ncbi.nlm.nih.gov/articles/PMC12520673/" TargetMode="External"/><Relationship Id="rId36" Type="http://schemas.openxmlformats.org/officeDocument/2006/relationships/image" Target="media/image2.jpeg"/><Relationship Id="rId49" Type="http://schemas.openxmlformats.org/officeDocument/2006/relationships/hyperlink" Target="https://www.ncbi.nlm.nih.gov/core/lw/2.0/html/tileshop_pmc/tileshop_pmc_inline.html?title=Click%20on%20image%20to%20zoom&amp;p=PMC3&amp;id=12520673_jci-135-188839-g109.jpg" TargetMode="External"/><Relationship Id="rId57" Type="http://schemas.openxmlformats.org/officeDocument/2006/relationships/hyperlink" Target="https://www.ncbi.nlm.nih.gov/core/lw/2.0/html/tileshop_pmc/tileshop_pmc_inline.html?title=Click%20on%20image%20to%20zoom&amp;p=PMC3&amp;id=12520673_jci-135-188839-g111.jpg" TargetMode="External"/><Relationship Id="rId10" Type="http://schemas.openxmlformats.org/officeDocument/2006/relationships/hyperlink" Target="https://pmc.ncbi.nlm.nih.gov/articles/PMC12520673/" TargetMode="External"/><Relationship Id="rId31" Type="http://schemas.openxmlformats.org/officeDocument/2006/relationships/hyperlink" Target="https://pmc.ncbi.nlm.nih.gov/articles/PMC12520673/" TargetMode="External"/><Relationship Id="rId44" Type="http://schemas.openxmlformats.org/officeDocument/2006/relationships/hyperlink" Target="https://www.ncbi.nlm.nih.gov/core/lw/2.0/html/tileshop_pmc/tileshop_pmc_inline.html?title=Click%20on%20image%20to%20zoom&amp;p=PMC3&amp;id=12520673_jci-135-188839-g107.jpg" TargetMode="External"/><Relationship Id="rId52" Type="http://schemas.openxmlformats.org/officeDocument/2006/relationships/hyperlink" Target="https://pmc.ncbi.nlm.nih.gov/articles/PMC12520673/" TargetMode="External"/><Relationship Id="rId60" Type="http://schemas.openxmlformats.org/officeDocument/2006/relationships/hyperlink" Target="https://pmc.ncbi.nlm.nih.gov/articles/PMC12520673/" TargetMode="External"/><Relationship Id="rId65" Type="http://schemas.openxmlformats.org/officeDocument/2006/relationships/hyperlink" Target="https://pmc.ncbi.nlm.nih.gov/articles/PMC12520673/" TargetMode="External"/><Relationship Id="rId73" Type="http://schemas.openxmlformats.org/officeDocument/2006/relationships/hyperlink" Target="https://pmc.ncbi.nlm.nih.gov/articles/PMC12520673/" TargetMode="External"/><Relationship Id="rId78" Type="http://schemas.openxmlformats.org/officeDocument/2006/relationships/hyperlink" Target="https://pmc.ncbi.nlm.nih.gov/articles/PMC12520673/" TargetMode="External"/><Relationship Id="rId8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pmc.ncbi.nlm.nih.gov/articles/PMC12520673/" TargetMode="External"/><Relationship Id="rId13" Type="http://schemas.openxmlformats.org/officeDocument/2006/relationships/hyperlink" Target="https://pmc.ncbi.nlm.nih.gov/articles/PMC12520673/" TargetMode="External"/><Relationship Id="rId18" Type="http://schemas.openxmlformats.org/officeDocument/2006/relationships/hyperlink" Target="https://pmc.ncbi.nlm.nih.gov/articles/PMC12520673/" TargetMode="External"/><Relationship Id="rId39" Type="http://schemas.openxmlformats.org/officeDocument/2006/relationships/hyperlink" Target="https://pmc.ncbi.nlm.nih.gov/articles/PMC12520673/" TargetMode="External"/><Relationship Id="rId34" Type="http://schemas.openxmlformats.org/officeDocument/2006/relationships/hyperlink" Target="https://pmc.ncbi.nlm.nih.gov/articles/PMC12520673/" TargetMode="External"/><Relationship Id="rId50" Type="http://schemas.openxmlformats.org/officeDocument/2006/relationships/image" Target="media/image6.jpeg"/><Relationship Id="rId55" Type="http://schemas.openxmlformats.org/officeDocument/2006/relationships/hyperlink" Target="https://www.ncbi.nlm.nih.gov/core/lw/2.0/html/tileshop_pmc/tileshop_pmc_inline.html?title=Click%20on%20image%20to%20zoom&amp;p=PMC3&amp;id=12520673_jci-135-188839-g110.jpg" TargetMode="External"/><Relationship Id="rId76" Type="http://schemas.openxmlformats.org/officeDocument/2006/relationships/hyperlink" Target="https://pmc.ncbi.nlm.nih.gov/articles/PMC12520673/" TargetMode="External"/><Relationship Id="rId7" Type="http://schemas.openxmlformats.org/officeDocument/2006/relationships/hyperlink" Target="https://pmc.ncbi.nlm.nih.gov/articles/PMC12520673/" TargetMode="External"/><Relationship Id="rId71" Type="http://schemas.openxmlformats.org/officeDocument/2006/relationships/hyperlink" Target="https://pmc.ncbi.nlm.nih.gov/articles/PMC12520673/" TargetMode="External"/><Relationship Id="rId2" Type="http://schemas.openxmlformats.org/officeDocument/2006/relationships/styles" Target="styles.xml"/><Relationship Id="rId29" Type="http://schemas.openxmlformats.org/officeDocument/2006/relationships/hyperlink" Target="https://pmc.ncbi.nlm.nih.gov/articles/PMC12520673/" TargetMode="External"/><Relationship Id="rId24" Type="http://schemas.openxmlformats.org/officeDocument/2006/relationships/hyperlink" Target="https://pmc.ncbi.nlm.nih.gov/articles/PMC12520673/" TargetMode="External"/><Relationship Id="rId40" Type="http://schemas.openxmlformats.org/officeDocument/2006/relationships/hyperlink" Target="https://www.ncbi.nlm.nih.gov/core/lw/2.0/html/tileshop_pmc/tileshop_pmc_inline.html?title=Click%20on%20image%20to%20zoom&amp;p=PMC3&amp;id=12520673_jci-135-188839-g106.jpg" TargetMode="External"/><Relationship Id="rId45" Type="http://schemas.openxmlformats.org/officeDocument/2006/relationships/image" Target="media/image4.jpeg"/><Relationship Id="rId66" Type="http://schemas.openxmlformats.org/officeDocument/2006/relationships/hyperlink" Target="https://pmc.ncbi.nlm.nih.gov/articles/PMC12520673/"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39</Pages>
  <Words>5374</Words>
  <Characters>30635</Characters>
  <Application>Microsoft Office Word</Application>
  <DocSecurity>0</DocSecurity>
  <Lines>255</Lines>
  <Paragraphs>71</Paragraphs>
  <ScaleCrop>false</ScaleCrop>
  <Company/>
  <LinksUpToDate>false</LinksUpToDate>
  <CharactersWithSpaces>35938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放心飞</dc:creator>
  <cp:keywords/>
  <dc:description/>
  <cp:lastModifiedBy>放心飞</cp:lastModifiedBy>
  <cp:revision>2</cp:revision>
  <dcterms:created xsi:type="dcterms:W3CDTF">2026-01-04T11:23:00Z</dcterms:created>
  <dcterms:modified xsi:type="dcterms:W3CDTF">2026-01-04T11:28:00Z</dcterms:modified>
</cp:coreProperties>
</file>