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24629" w14:textId="77777777" w:rsidR="0023503F" w:rsidRPr="0023503F" w:rsidRDefault="0023503F" w:rsidP="0023503F">
      <w:pPr>
        <w:widowControl/>
        <w:spacing w:line="450" w:lineRule="atLeast"/>
        <w:outlineLvl w:val="0"/>
        <w:rPr>
          <w:rFonts w:ascii="微软雅黑" w:eastAsia="微软雅黑" w:hAnsi="微软雅黑" w:cs="宋体"/>
          <w:b/>
          <w:bCs/>
          <w:kern w:val="36"/>
          <w:sz w:val="36"/>
          <w:szCs w:val="36"/>
        </w:rPr>
      </w:pPr>
      <w:r w:rsidRPr="0023503F">
        <w:rPr>
          <w:rFonts w:ascii="微软雅黑" w:eastAsia="微软雅黑" w:hAnsi="微软雅黑" w:cs="宋体"/>
          <w:b/>
          <w:bCs/>
          <w:kern w:val="36"/>
          <w:sz w:val="36"/>
          <w:szCs w:val="36"/>
        </w:rPr>
        <w:t>CDK4/6抑制剂作为一线治疗方案用于临床危重乳腺癌患者：病例报告及文献综述</w:t>
      </w:r>
    </w:p>
    <w:p w14:paraId="0887021E" w14:textId="26B37F02" w:rsidR="0023503F" w:rsidRPr="0023503F" w:rsidRDefault="0023503F" w:rsidP="0023503F">
      <w:pPr>
        <w:widowControl/>
        <w:pBdr>
          <w:bottom w:val="single" w:sz="6" w:space="0" w:color="97B1C8"/>
        </w:pBdr>
        <w:spacing w:line="450" w:lineRule="atLeast"/>
        <w:outlineLvl w:val="1"/>
        <w:rPr>
          <w:rFonts w:ascii="微软雅黑" w:eastAsia="微软雅黑" w:hAnsi="微软雅黑" w:cs="宋体"/>
          <w:kern w:val="0"/>
          <w:sz w:val="34"/>
          <w:szCs w:val="34"/>
        </w:rPr>
      </w:pPr>
      <w:r w:rsidRPr="0023503F">
        <w:rPr>
          <w:rFonts w:ascii="微软雅黑" w:eastAsia="微软雅黑" w:hAnsi="微软雅黑" w:cs="宋体" w:hint="eastAsia"/>
          <w:kern w:val="0"/>
          <w:sz w:val="34"/>
          <w:szCs w:val="34"/>
        </w:rPr>
        <w:t>摘要</w:t>
      </w:r>
    </w:p>
    <w:p w14:paraId="3E68F285"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CDK4/6抑制剂彻底改变了</w:t>
      </w:r>
      <w:proofErr w:type="gramStart"/>
      <w:r w:rsidRPr="0023503F">
        <w:rPr>
          <w:rFonts w:ascii="微软雅黑" w:eastAsia="微软雅黑" w:hAnsi="微软雅黑" w:cs="宋体"/>
          <w:kern w:val="0"/>
          <w:sz w:val="24"/>
          <w:szCs w:val="24"/>
        </w:rPr>
        <w:t>管腔型转移性</w:t>
      </w:r>
      <w:proofErr w:type="gramEnd"/>
      <w:r w:rsidRPr="0023503F">
        <w:rPr>
          <w:rFonts w:ascii="微软雅黑" w:eastAsia="微软雅黑" w:hAnsi="微软雅黑" w:cs="宋体"/>
          <w:kern w:val="0"/>
          <w:sz w:val="24"/>
          <w:szCs w:val="24"/>
        </w:rPr>
        <w:t>乳腺癌的治疗方案，成为内分泌治疗联合一线治疗的推荐方案。然而，由于其理论上能更显著、更快速地缩小肿瘤，在某些临床情况下，例如内脏危象，仍需考虑先行化疗。目前，关于CDK4/6抑制剂在出现内脏危象或危及生命状况的患者中的应用数据仍然匮乏，因为这类人群历来被排除在临床试验之外。此外，也缺乏关于化疗联合CDK4/6抑制剂在疗效、起</w:t>
      </w:r>
      <w:proofErr w:type="gramStart"/>
      <w:r w:rsidRPr="0023503F">
        <w:rPr>
          <w:rFonts w:ascii="微软雅黑" w:eastAsia="微软雅黑" w:hAnsi="微软雅黑" w:cs="宋体"/>
          <w:kern w:val="0"/>
          <w:sz w:val="24"/>
          <w:szCs w:val="24"/>
        </w:rPr>
        <w:t>效速度</w:t>
      </w:r>
      <w:proofErr w:type="gramEnd"/>
      <w:r w:rsidRPr="0023503F">
        <w:rPr>
          <w:rFonts w:ascii="微软雅黑" w:eastAsia="微软雅黑" w:hAnsi="微软雅黑" w:cs="宋体"/>
          <w:kern w:val="0"/>
          <w:sz w:val="24"/>
          <w:szCs w:val="24"/>
        </w:rPr>
        <w:t>和长期预后方面的直接比较数据。我们报告了一例68岁女性</w:t>
      </w:r>
      <w:proofErr w:type="gramStart"/>
      <w:r w:rsidRPr="0023503F">
        <w:rPr>
          <w:rFonts w:ascii="微软雅黑" w:eastAsia="微软雅黑" w:hAnsi="微软雅黑" w:cs="宋体"/>
          <w:kern w:val="0"/>
          <w:sz w:val="24"/>
          <w:szCs w:val="24"/>
        </w:rPr>
        <w:t>管腔型转移性</w:t>
      </w:r>
      <w:proofErr w:type="gramEnd"/>
      <w:r w:rsidRPr="0023503F">
        <w:rPr>
          <w:rFonts w:ascii="微软雅黑" w:eastAsia="微软雅黑" w:hAnsi="微软雅黑" w:cs="宋体"/>
          <w:kern w:val="0"/>
          <w:sz w:val="24"/>
          <w:szCs w:val="24"/>
        </w:rPr>
        <w:t>乳腺癌患者，该患者在确诊时病情危重，可能危及生命。患者接受了一线阿贝西利联合来曲</w:t>
      </w:r>
      <w:proofErr w:type="gramStart"/>
      <w:r w:rsidRPr="0023503F">
        <w:rPr>
          <w:rFonts w:ascii="微软雅黑" w:eastAsia="微软雅黑" w:hAnsi="微软雅黑" w:cs="宋体"/>
          <w:kern w:val="0"/>
          <w:sz w:val="24"/>
          <w:szCs w:val="24"/>
        </w:rPr>
        <w:t>唑</w:t>
      </w:r>
      <w:proofErr w:type="gramEnd"/>
      <w:r w:rsidRPr="0023503F">
        <w:rPr>
          <w:rFonts w:ascii="微软雅黑" w:eastAsia="微软雅黑" w:hAnsi="微软雅黑" w:cs="宋体"/>
          <w:kern w:val="0"/>
          <w:sz w:val="24"/>
          <w:szCs w:val="24"/>
        </w:rPr>
        <w:t>治疗，迅速达到部分缓解，病情也迅速稳定。虽然该患者严格意义上并未出现内脏危象，但本病例报告也支持在没有严重器官功能障碍且经过多学科讨论后，在危急临床情况下优先使用 CDK4/6 抑制剂组合。</w:t>
      </w:r>
    </w:p>
    <w:p w14:paraId="5B2CA5F1" w14:textId="77777777" w:rsidR="0023503F" w:rsidRPr="0023503F" w:rsidRDefault="0023503F" w:rsidP="0023503F">
      <w:pPr>
        <w:widowControl/>
        <w:rPr>
          <w:rFonts w:ascii="微软雅黑" w:eastAsia="微软雅黑" w:hAnsi="微软雅黑" w:cs="宋体"/>
          <w:kern w:val="0"/>
          <w:sz w:val="24"/>
          <w:szCs w:val="24"/>
        </w:rPr>
      </w:pPr>
      <w:r w:rsidRPr="0023503F">
        <w:rPr>
          <w:rFonts w:ascii="微软雅黑" w:eastAsia="微软雅黑" w:hAnsi="微软雅黑" w:cs="宋体"/>
          <w:b/>
          <w:bCs/>
          <w:kern w:val="0"/>
          <w:sz w:val="24"/>
          <w:szCs w:val="24"/>
        </w:rPr>
        <w:t>关键词：</w:t>
      </w:r>
      <w:r w:rsidRPr="0023503F">
        <w:rPr>
          <w:rFonts w:ascii="微软雅黑" w:eastAsia="微软雅黑" w:hAnsi="微软雅黑" w:cs="宋体"/>
          <w:kern w:val="0"/>
          <w:sz w:val="24"/>
          <w:szCs w:val="24"/>
        </w:rPr>
        <w:t>乳腺癌、化疗、内分泌治疗、CDK4/6抑制剂、阿贝西利、内脏危象</w:t>
      </w:r>
    </w:p>
    <w:p w14:paraId="5AE6EF48" w14:textId="77777777" w:rsidR="0023503F" w:rsidRPr="0023503F" w:rsidRDefault="0023503F" w:rsidP="0023503F">
      <w:pPr>
        <w:widowControl/>
        <w:pBdr>
          <w:bottom w:val="single" w:sz="6" w:space="0" w:color="97B1C8"/>
        </w:pBdr>
        <w:spacing w:line="450" w:lineRule="atLeast"/>
        <w:outlineLvl w:val="1"/>
        <w:rPr>
          <w:rFonts w:ascii="微软雅黑" w:eastAsia="微软雅黑" w:hAnsi="微软雅黑" w:cs="宋体"/>
          <w:kern w:val="0"/>
          <w:sz w:val="34"/>
          <w:szCs w:val="34"/>
        </w:rPr>
      </w:pPr>
      <w:r w:rsidRPr="0023503F">
        <w:rPr>
          <w:rFonts w:ascii="微软雅黑" w:eastAsia="微软雅黑" w:hAnsi="微软雅黑" w:cs="宋体"/>
          <w:kern w:val="0"/>
          <w:sz w:val="34"/>
          <w:szCs w:val="34"/>
        </w:rPr>
        <w:t>1. 引言</w:t>
      </w:r>
    </w:p>
    <w:p w14:paraId="68768A1A"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约5%～8%的乳腺癌患者在确诊时已出现远处转移[ </w:t>
      </w:r>
      <w:hyperlink r:id="rId5" w:anchor="B1-curroncol-29-00756" w:history="1">
        <w:r w:rsidRPr="0023503F">
          <w:rPr>
            <w:rFonts w:ascii="微软雅黑" w:eastAsia="微软雅黑" w:hAnsi="微软雅黑" w:cs="宋体"/>
            <w:kern w:val="0"/>
            <w:sz w:val="24"/>
            <w:szCs w:val="24"/>
            <w:u w:val="single"/>
          </w:rPr>
          <w:t>1</w:t>
        </w:r>
      </w:hyperlink>
      <w:r w:rsidRPr="0023503F">
        <w:rPr>
          <w:rFonts w:ascii="微软雅黑" w:eastAsia="微软雅黑" w:hAnsi="微软雅黑" w:cs="宋体"/>
          <w:kern w:val="0"/>
          <w:sz w:val="24"/>
          <w:szCs w:val="24"/>
        </w:rPr>
        <w:t> ]。原发性转移性乳腺癌是一种高度异质性疾病，根据疾病负荷、转移部位、组织学类型和分子亚型，其临床表现和预后各不相同。IV期乳腺癌目前仍无法治愈；然而，过去十年中，治疗方面取得了显著进展。</w:t>
      </w:r>
    </w:p>
    <w:p w14:paraId="269CE555"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lastRenderedPageBreak/>
        <w:t>对于激素受体（HR）阳性、人表皮生长因子受体2（HER2）阴性的晚期乳腺癌，多项研究表明，与单独内分泌治疗（ET）相比，CDK4/6抑制剂联合内分泌治疗可显著改善总体缓解率和长期疗效，且不受绝经状态的影响[ </w:t>
      </w:r>
      <w:hyperlink r:id="rId6" w:anchor="B2-curroncol-29-00756" w:history="1">
        <w:r w:rsidRPr="0023503F">
          <w:rPr>
            <w:rFonts w:ascii="微软雅黑" w:eastAsia="微软雅黑" w:hAnsi="微软雅黑" w:cs="宋体"/>
            <w:kern w:val="0"/>
            <w:sz w:val="24"/>
            <w:szCs w:val="24"/>
            <w:u w:val="single"/>
          </w:rPr>
          <w:t>2</w:t>
        </w:r>
      </w:hyperlink>
      <w:r w:rsidRPr="0023503F">
        <w:rPr>
          <w:rFonts w:ascii="微软雅黑" w:eastAsia="微软雅黑" w:hAnsi="微软雅黑" w:cs="宋体"/>
          <w:kern w:val="0"/>
          <w:sz w:val="24"/>
          <w:szCs w:val="24"/>
        </w:rPr>
        <w:t> , </w:t>
      </w:r>
      <w:hyperlink r:id="rId7" w:anchor="B3-curroncol-29-00756" w:history="1">
        <w:r w:rsidRPr="0023503F">
          <w:rPr>
            <w:rFonts w:ascii="微软雅黑" w:eastAsia="微软雅黑" w:hAnsi="微软雅黑" w:cs="宋体"/>
            <w:kern w:val="0"/>
            <w:sz w:val="24"/>
            <w:szCs w:val="24"/>
            <w:u w:val="single"/>
          </w:rPr>
          <w:t>3</w:t>
        </w:r>
      </w:hyperlink>
      <w:r w:rsidRPr="0023503F">
        <w:rPr>
          <w:rFonts w:ascii="微软雅黑" w:eastAsia="微软雅黑" w:hAnsi="微软雅黑" w:cs="宋体"/>
          <w:kern w:val="0"/>
          <w:sz w:val="24"/>
          <w:szCs w:val="24"/>
        </w:rPr>
        <w:t> , </w:t>
      </w:r>
      <w:hyperlink r:id="rId8" w:anchor="B4-curroncol-29-00756" w:history="1">
        <w:r w:rsidRPr="0023503F">
          <w:rPr>
            <w:rFonts w:ascii="微软雅黑" w:eastAsia="微软雅黑" w:hAnsi="微软雅黑" w:cs="宋体"/>
            <w:kern w:val="0"/>
            <w:sz w:val="24"/>
            <w:szCs w:val="24"/>
            <w:u w:val="single"/>
          </w:rPr>
          <w:t>4</w:t>
        </w:r>
      </w:hyperlink>
      <w:r w:rsidRPr="0023503F">
        <w:rPr>
          <w:rFonts w:ascii="微软雅黑" w:eastAsia="微软雅黑" w:hAnsi="微软雅黑" w:cs="宋体"/>
          <w:kern w:val="0"/>
          <w:sz w:val="24"/>
          <w:szCs w:val="24"/>
        </w:rPr>
        <w:t> , </w:t>
      </w:r>
      <w:hyperlink r:id="rId9" w:anchor="B5-curroncol-29-00756" w:history="1">
        <w:r w:rsidRPr="0023503F">
          <w:rPr>
            <w:rFonts w:ascii="微软雅黑" w:eastAsia="微软雅黑" w:hAnsi="微软雅黑" w:cs="宋体"/>
            <w:kern w:val="0"/>
            <w:sz w:val="24"/>
            <w:szCs w:val="24"/>
            <w:u w:val="single"/>
          </w:rPr>
          <w:t>5</w:t>
        </w:r>
      </w:hyperlink>
      <w:r w:rsidRPr="0023503F">
        <w:rPr>
          <w:rFonts w:ascii="微软雅黑" w:eastAsia="微软雅黑" w:hAnsi="微软雅黑" w:cs="宋体"/>
          <w:kern w:val="0"/>
          <w:sz w:val="24"/>
          <w:szCs w:val="24"/>
        </w:rPr>
        <w:t> , </w:t>
      </w:r>
      <w:hyperlink r:id="rId10" w:anchor="B6-curroncol-29-00756" w:history="1">
        <w:r w:rsidRPr="0023503F">
          <w:rPr>
            <w:rFonts w:ascii="微软雅黑" w:eastAsia="微软雅黑" w:hAnsi="微软雅黑" w:cs="宋体"/>
            <w:kern w:val="0"/>
            <w:sz w:val="24"/>
            <w:szCs w:val="24"/>
            <w:u w:val="single"/>
          </w:rPr>
          <w:t>6</w:t>
        </w:r>
      </w:hyperlink>
      <w:r w:rsidRPr="0023503F">
        <w:rPr>
          <w:rFonts w:ascii="微软雅黑" w:eastAsia="微软雅黑" w:hAnsi="微软雅黑" w:cs="宋体"/>
          <w:kern w:val="0"/>
          <w:sz w:val="24"/>
          <w:szCs w:val="24"/>
        </w:rPr>
        <w:t> , </w:t>
      </w:r>
      <w:hyperlink r:id="rId11" w:anchor="B7-curroncol-29-00756" w:history="1">
        <w:r w:rsidRPr="0023503F">
          <w:rPr>
            <w:rFonts w:ascii="微软雅黑" w:eastAsia="微软雅黑" w:hAnsi="微软雅黑" w:cs="宋体"/>
            <w:kern w:val="0"/>
            <w:sz w:val="24"/>
            <w:szCs w:val="24"/>
            <w:u w:val="single"/>
          </w:rPr>
          <w:t>7</w:t>
        </w:r>
      </w:hyperlink>
      <w:r w:rsidRPr="0023503F">
        <w:rPr>
          <w:rFonts w:ascii="微软雅黑" w:eastAsia="微软雅黑" w:hAnsi="微软雅黑" w:cs="宋体"/>
          <w:kern w:val="0"/>
          <w:sz w:val="24"/>
          <w:szCs w:val="24"/>
        </w:rPr>
        <w:t> , </w:t>
      </w:r>
      <w:hyperlink r:id="rId12" w:anchor="B8-curroncol-29-00756" w:history="1">
        <w:r w:rsidRPr="0023503F">
          <w:rPr>
            <w:rFonts w:ascii="微软雅黑" w:eastAsia="微软雅黑" w:hAnsi="微软雅黑" w:cs="宋体"/>
            <w:kern w:val="0"/>
            <w:sz w:val="24"/>
            <w:szCs w:val="24"/>
            <w:u w:val="single"/>
          </w:rPr>
          <w:t>8</w:t>
        </w:r>
      </w:hyperlink>
      <w:r w:rsidRPr="0023503F">
        <w:rPr>
          <w:rFonts w:ascii="微软雅黑" w:eastAsia="微软雅黑" w:hAnsi="微软雅黑" w:cs="宋体"/>
          <w:kern w:val="0"/>
          <w:sz w:val="24"/>
          <w:szCs w:val="24"/>
        </w:rPr>
        <w:t> , </w:t>
      </w:r>
      <w:hyperlink r:id="rId13" w:anchor="B9-curroncol-29-00756" w:history="1">
        <w:r w:rsidRPr="0023503F">
          <w:rPr>
            <w:rFonts w:ascii="微软雅黑" w:eastAsia="微软雅黑" w:hAnsi="微软雅黑" w:cs="宋体"/>
            <w:kern w:val="0"/>
            <w:sz w:val="24"/>
            <w:szCs w:val="24"/>
            <w:u w:val="single"/>
          </w:rPr>
          <w:t>9</w:t>
        </w:r>
      </w:hyperlink>
      <w:r w:rsidRPr="0023503F">
        <w:rPr>
          <w:rFonts w:ascii="微软雅黑" w:eastAsia="微软雅黑" w:hAnsi="微软雅黑" w:cs="宋体"/>
          <w:kern w:val="0"/>
          <w:sz w:val="24"/>
          <w:szCs w:val="24"/>
        </w:rPr>
        <w:t> , </w:t>
      </w:r>
      <w:hyperlink r:id="rId14" w:anchor="B10-curroncol-29-00756" w:history="1">
        <w:r w:rsidRPr="0023503F">
          <w:rPr>
            <w:rFonts w:ascii="微软雅黑" w:eastAsia="微软雅黑" w:hAnsi="微软雅黑" w:cs="宋体"/>
            <w:kern w:val="0"/>
            <w:sz w:val="24"/>
            <w:szCs w:val="24"/>
            <w:u w:val="single"/>
          </w:rPr>
          <w:t>10</w:t>
        </w:r>
      </w:hyperlink>
      <w:r w:rsidRPr="0023503F">
        <w:rPr>
          <w:rFonts w:ascii="微软雅黑" w:eastAsia="微软雅黑" w:hAnsi="微软雅黑" w:cs="宋体"/>
          <w:kern w:val="0"/>
          <w:sz w:val="24"/>
          <w:szCs w:val="24"/>
        </w:rPr>
        <w:t> , </w:t>
      </w:r>
      <w:hyperlink r:id="rId15" w:anchor="B11-curroncol-29-00756" w:history="1">
        <w:r w:rsidRPr="0023503F">
          <w:rPr>
            <w:rFonts w:ascii="微软雅黑" w:eastAsia="微软雅黑" w:hAnsi="微软雅黑" w:cs="宋体"/>
            <w:kern w:val="0"/>
            <w:sz w:val="24"/>
            <w:szCs w:val="24"/>
            <w:u w:val="single"/>
          </w:rPr>
          <w:t>11</w:t>
        </w:r>
      </w:hyperlink>
      <w:r w:rsidRPr="0023503F">
        <w:rPr>
          <w:rFonts w:ascii="微软雅黑" w:eastAsia="微软雅黑" w:hAnsi="微软雅黑" w:cs="宋体"/>
          <w:kern w:val="0"/>
          <w:sz w:val="24"/>
          <w:szCs w:val="24"/>
        </w:rPr>
        <w:t> , </w:t>
      </w:r>
      <w:hyperlink r:id="rId16" w:anchor="B12-curroncol-29-00756" w:history="1">
        <w:r w:rsidRPr="0023503F">
          <w:rPr>
            <w:rFonts w:ascii="微软雅黑" w:eastAsia="微软雅黑" w:hAnsi="微软雅黑" w:cs="宋体"/>
            <w:kern w:val="0"/>
            <w:sz w:val="24"/>
            <w:szCs w:val="24"/>
            <w:u w:val="single"/>
          </w:rPr>
          <w:t>12</w:t>
        </w:r>
      </w:hyperlink>
      <w:r w:rsidRPr="0023503F">
        <w:rPr>
          <w:rFonts w:ascii="微软雅黑" w:eastAsia="微软雅黑" w:hAnsi="微软雅黑" w:cs="宋体"/>
          <w:kern w:val="0"/>
          <w:sz w:val="24"/>
          <w:szCs w:val="24"/>
        </w:rPr>
        <w:t> ]。因此，该策略已成为新的治疗标准，并被主要国际指南推荐为ER阳性、HER2阴性转移性乳腺癌的一线治疗方案，适用于内分泌敏感和耐药的患者[ </w:t>
      </w:r>
      <w:hyperlink r:id="rId17" w:anchor="B13-curroncol-29-00756" w:history="1">
        <w:r w:rsidRPr="0023503F">
          <w:rPr>
            <w:rFonts w:ascii="微软雅黑" w:eastAsia="微软雅黑" w:hAnsi="微软雅黑" w:cs="宋体"/>
            <w:kern w:val="0"/>
            <w:sz w:val="24"/>
            <w:szCs w:val="24"/>
            <w:u w:val="single"/>
          </w:rPr>
          <w:t>13</w:t>
        </w:r>
      </w:hyperlink>
      <w:r w:rsidRPr="0023503F">
        <w:rPr>
          <w:rFonts w:ascii="微软雅黑" w:eastAsia="微软雅黑" w:hAnsi="微软雅黑" w:cs="宋体"/>
          <w:kern w:val="0"/>
          <w:sz w:val="24"/>
          <w:szCs w:val="24"/>
        </w:rPr>
        <w:t> , </w:t>
      </w:r>
      <w:hyperlink r:id="rId18" w:anchor="B14-curroncol-29-00756" w:history="1">
        <w:r w:rsidRPr="0023503F">
          <w:rPr>
            <w:rFonts w:ascii="微软雅黑" w:eastAsia="微软雅黑" w:hAnsi="微软雅黑" w:cs="宋体"/>
            <w:kern w:val="0"/>
            <w:sz w:val="24"/>
            <w:szCs w:val="24"/>
            <w:u w:val="single"/>
          </w:rPr>
          <w:t>14</w:t>
        </w:r>
      </w:hyperlink>
      <w:r w:rsidRPr="0023503F">
        <w:rPr>
          <w:rFonts w:ascii="微软雅黑" w:eastAsia="微软雅黑" w:hAnsi="微软雅黑" w:cs="宋体"/>
          <w:kern w:val="0"/>
          <w:sz w:val="24"/>
          <w:szCs w:val="24"/>
        </w:rPr>
        <w:t> ]。目前尚无大型前瞻性随机对照研究对化疗（CT）和基于CDK4/6抑制剂的治疗方案作为新发转移性疾病一线治疗方案进行直接比较。然而，目前化疗作为一线治疗策略的临床</w:t>
      </w:r>
      <w:proofErr w:type="gramStart"/>
      <w:r w:rsidRPr="0023503F">
        <w:rPr>
          <w:rFonts w:ascii="微软雅黑" w:eastAsia="微软雅黑" w:hAnsi="微软雅黑" w:cs="宋体"/>
          <w:kern w:val="0"/>
          <w:sz w:val="24"/>
          <w:szCs w:val="24"/>
        </w:rPr>
        <w:t>应用仅</w:t>
      </w:r>
      <w:proofErr w:type="gramEnd"/>
      <w:r w:rsidRPr="0023503F">
        <w:rPr>
          <w:rFonts w:ascii="微软雅黑" w:eastAsia="微软雅黑" w:hAnsi="微软雅黑" w:cs="宋体"/>
          <w:kern w:val="0"/>
          <w:sz w:val="24"/>
          <w:szCs w:val="24"/>
        </w:rPr>
        <w:t>限于出现内脏危象的情况，这种情况约占新发转移性乳腺癌病例的10-15%。近年来，内脏危象的概念被反复讨论，目前尚无广泛接受的定义：根据ESO-ESMO国际共识指南（ABC 5），内脏危象可定义为严重的器官功能障碍，包括严重的症状、实验室指标异常以及由于内脏转移导致的危及生命的器官损害而引起的疾病快速进展[ </w:t>
      </w:r>
      <w:hyperlink r:id="rId19" w:anchor="B14-curroncol-29-00756" w:history="1">
        <w:r w:rsidRPr="0023503F">
          <w:rPr>
            <w:rFonts w:ascii="微软雅黑" w:eastAsia="微软雅黑" w:hAnsi="微软雅黑" w:cs="宋体"/>
            <w:kern w:val="0"/>
            <w:sz w:val="24"/>
            <w:szCs w:val="24"/>
            <w:u w:val="single"/>
          </w:rPr>
          <w:t>14</w:t>
        </w:r>
      </w:hyperlink>
      <w:r w:rsidRPr="0023503F">
        <w:rPr>
          <w:rFonts w:ascii="微软雅黑" w:eastAsia="微软雅黑" w:hAnsi="微软雅黑" w:cs="宋体"/>
          <w:kern w:val="0"/>
          <w:sz w:val="24"/>
          <w:szCs w:val="24"/>
        </w:rPr>
        <w:t> ]。因此，需要一种快速、可靠、有效且安全性可控的治疗方法，并制定个体化的给药方案。化疗被认为能够更早、更有效地缩小肿瘤体积并控制症状，尤其是在内脏转移负荷较高的情况下[ </w:t>
      </w:r>
      <w:hyperlink r:id="rId20" w:anchor="B15-curroncol-29-00756" w:history="1">
        <w:r w:rsidRPr="0023503F">
          <w:rPr>
            <w:rFonts w:ascii="微软雅黑" w:eastAsia="微软雅黑" w:hAnsi="微软雅黑" w:cs="宋体"/>
            <w:kern w:val="0"/>
            <w:sz w:val="24"/>
            <w:szCs w:val="24"/>
            <w:u w:val="single"/>
          </w:rPr>
          <w:t>15</w:t>
        </w:r>
      </w:hyperlink>
      <w:r w:rsidRPr="0023503F">
        <w:rPr>
          <w:rFonts w:ascii="微软雅黑" w:eastAsia="微软雅黑" w:hAnsi="微软雅黑" w:cs="宋体"/>
          <w:kern w:val="0"/>
          <w:sz w:val="24"/>
          <w:szCs w:val="24"/>
        </w:rPr>
        <w:t> , </w:t>
      </w:r>
      <w:hyperlink r:id="rId21" w:anchor="B16-curroncol-29-00756" w:history="1">
        <w:r w:rsidRPr="0023503F">
          <w:rPr>
            <w:rFonts w:ascii="微软雅黑" w:eastAsia="微软雅黑" w:hAnsi="微软雅黑" w:cs="宋体"/>
            <w:kern w:val="0"/>
            <w:sz w:val="24"/>
            <w:szCs w:val="24"/>
            <w:u w:val="single"/>
          </w:rPr>
          <w:t>16</w:t>
        </w:r>
      </w:hyperlink>
      <w:r w:rsidRPr="0023503F">
        <w:rPr>
          <w:rFonts w:ascii="微软雅黑" w:eastAsia="微软雅黑" w:hAnsi="微软雅黑" w:cs="宋体"/>
          <w:kern w:val="0"/>
          <w:sz w:val="24"/>
          <w:szCs w:val="24"/>
        </w:rPr>
        <w:t> ]。由于临床试验通常排除内脏危象患者，因此关于CDK4/6抑制剂在内脏危象患者中的疗效数据有限。我们介绍了一例绝经后妇女的临床病例，该妇女被诊断为新发</w:t>
      </w:r>
      <w:proofErr w:type="gramStart"/>
      <w:r w:rsidRPr="0023503F">
        <w:rPr>
          <w:rFonts w:ascii="微软雅黑" w:eastAsia="微软雅黑" w:hAnsi="微软雅黑" w:cs="宋体"/>
          <w:kern w:val="0"/>
          <w:sz w:val="24"/>
          <w:szCs w:val="24"/>
        </w:rPr>
        <w:t>管腔样转移性</w:t>
      </w:r>
      <w:proofErr w:type="gramEnd"/>
      <w:r w:rsidRPr="0023503F">
        <w:rPr>
          <w:rFonts w:ascii="微软雅黑" w:eastAsia="微软雅黑" w:hAnsi="微软雅黑" w:cs="宋体"/>
          <w:kern w:val="0"/>
          <w:sz w:val="24"/>
          <w:szCs w:val="24"/>
        </w:rPr>
        <w:t>乳腺癌，症状严重，病情危及生命，接受了内分泌治疗联合 CDK4/6 抑制剂作为一线治疗。</w:t>
      </w:r>
    </w:p>
    <w:p w14:paraId="6C16B835" w14:textId="77777777" w:rsidR="0023503F" w:rsidRPr="0023503F" w:rsidRDefault="0023503F" w:rsidP="0023503F">
      <w:pPr>
        <w:widowControl/>
        <w:pBdr>
          <w:bottom w:val="single" w:sz="6" w:space="0" w:color="97B1C8"/>
        </w:pBdr>
        <w:spacing w:line="450" w:lineRule="atLeast"/>
        <w:outlineLvl w:val="1"/>
        <w:rPr>
          <w:rFonts w:ascii="微软雅黑" w:eastAsia="微软雅黑" w:hAnsi="微软雅黑" w:cs="宋体"/>
          <w:kern w:val="0"/>
          <w:sz w:val="34"/>
          <w:szCs w:val="34"/>
        </w:rPr>
      </w:pPr>
      <w:r w:rsidRPr="0023503F">
        <w:rPr>
          <w:rFonts w:ascii="微软雅黑" w:eastAsia="微软雅黑" w:hAnsi="微软雅黑" w:cs="宋体"/>
          <w:kern w:val="0"/>
          <w:sz w:val="34"/>
          <w:szCs w:val="34"/>
        </w:rPr>
        <w:t>2. 病例介绍</w:t>
      </w:r>
    </w:p>
    <w:p w14:paraId="3EA5AA49"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lastRenderedPageBreak/>
        <w:t>2021年3月31日，一名68岁女性因严重呼吸困难、咳嗽和乏力前往乌迪</w:t>
      </w:r>
      <w:proofErr w:type="gramStart"/>
      <w:r w:rsidRPr="0023503F">
        <w:rPr>
          <w:rFonts w:ascii="微软雅黑" w:eastAsia="微软雅黑" w:hAnsi="微软雅黑" w:cs="宋体"/>
          <w:kern w:val="0"/>
          <w:sz w:val="24"/>
          <w:szCs w:val="24"/>
        </w:rPr>
        <w:t>内学术</w:t>
      </w:r>
      <w:proofErr w:type="gramEnd"/>
      <w:r w:rsidRPr="0023503F">
        <w:rPr>
          <w:rFonts w:ascii="微软雅黑" w:eastAsia="微软雅黑" w:hAnsi="微软雅黑" w:cs="宋体"/>
          <w:kern w:val="0"/>
          <w:sz w:val="24"/>
          <w:szCs w:val="24"/>
        </w:rPr>
        <w:t>医院急诊科就诊，症状在过去一周内突然加重。除药物控制的高血压外，该患者无其他相关合并症，且从不吸烟。</w:t>
      </w:r>
    </w:p>
    <w:p w14:paraId="7482950C"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就诊时，患者面色苍白，血压偏低，心率加快。详细体格检查发现左侧乳房上象限有一处溃疡性出血病灶，完全占据该区域，大小约为10×7厘米（</w:t>
      </w:r>
      <w:r w:rsidRPr="0023503F">
        <w:rPr>
          <w:rFonts w:ascii="微软雅黑" w:eastAsia="微软雅黑" w:hAnsi="微软雅黑" w:cs="宋体"/>
          <w:kern w:val="0"/>
          <w:sz w:val="24"/>
          <w:szCs w:val="24"/>
        </w:rPr>
        <w:fldChar w:fldCharType="begin"/>
      </w:r>
      <w:r w:rsidRPr="0023503F">
        <w:rPr>
          <w:rFonts w:ascii="微软雅黑" w:eastAsia="微软雅黑" w:hAnsi="微软雅黑" w:cs="宋体"/>
          <w:kern w:val="0"/>
          <w:sz w:val="24"/>
          <w:szCs w:val="24"/>
        </w:rPr>
        <w:instrText xml:space="preserve"> HYPERLINK "https://pmc.ncbi.nlm.nih.gov/articles/PMC9777243/" \l "curroncol-29-00756-f001" </w:instrText>
      </w:r>
      <w:r w:rsidRPr="0023503F">
        <w:rPr>
          <w:rFonts w:ascii="微软雅黑" w:eastAsia="微软雅黑" w:hAnsi="微软雅黑" w:cs="宋体"/>
          <w:kern w:val="0"/>
          <w:sz w:val="24"/>
          <w:szCs w:val="24"/>
        </w:rPr>
        <w:fldChar w:fldCharType="separate"/>
      </w:r>
      <w:r w:rsidRPr="0023503F">
        <w:rPr>
          <w:rFonts w:ascii="微软雅黑" w:eastAsia="微软雅黑" w:hAnsi="微软雅黑" w:cs="宋体"/>
          <w:kern w:val="0"/>
          <w:sz w:val="24"/>
          <w:szCs w:val="24"/>
          <w:u w:val="single"/>
        </w:rPr>
        <w:t>图1a</w:t>
      </w:r>
      <w:r w:rsidRPr="0023503F">
        <w:rPr>
          <w:rFonts w:ascii="微软雅黑" w:eastAsia="微软雅黑" w:hAnsi="微软雅黑" w:cs="宋体"/>
          <w:kern w:val="0"/>
          <w:sz w:val="24"/>
          <w:szCs w:val="24"/>
        </w:rPr>
        <w:fldChar w:fldCharType="end"/>
      </w:r>
      <w:r w:rsidRPr="0023503F">
        <w:rPr>
          <w:rFonts w:ascii="微软雅黑" w:eastAsia="微软雅黑" w:hAnsi="微软雅黑" w:cs="宋体"/>
          <w:kern w:val="0"/>
          <w:sz w:val="24"/>
          <w:szCs w:val="24"/>
        </w:rPr>
        <w:t>）。同侧腋窝和锁骨上区可见病理性淋巴结肿大，最大直径分别为5.5厘米和4.0厘米。血液检查显示血红蛋白值为2.6克/分升，可能由至少持续12个月的溃疡性病灶慢性出血所致。</w:t>
      </w:r>
    </w:p>
    <w:p w14:paraId="509CE817" w14:textId="77777777" w:rsidR="0023503F" w:rsidRPr="0023503F" w:rsidRDefault="0023503F" w:rsidP="0023503F">
      <w:pPr>
        <w:widowControl/>
        <w:spacing w:line="450" w:lineRule="atLeast"/>
        <w:outlineLvl w:val="2"/>
        <w:rPr>
          <w:rFonts w:ascii="微软雅黑" w:eastAsia="微软雅黑" w:hAnsi="微软雅黑" w:cs="宋体"/>
          <w:kern w:val="0"/>
          <w:sz w:val="30"/>
          <w:szCs w:val="30"/>
        </w:rPr>
      </w:pPr>
      <w:r w:rsidRPr="0023503F">
        <w:rPr>
          <w:rFonts w:ascii="微软雅黑" w:eastAsia="微软雅黑" w:hAnsi="微软雅黑" w:cs="宋体"/>
          <w:kern w:val="0"/>
          <w:sz w:val="30"/>
          <w:szCs w:val="30"/>
        </w:rPr>
        <w:t>图1。</w:t>
      </w:r>
    </w:p>
    <w:p w14:paraId="2E80A894" w14:textId="6CFB5025"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noProof/>
          <w:kern w:val="0"/>
          <w:sz w:val="24"/>
          <w:szCs w:val="24"/>
        </w:rPr>
        <w:lastRenderedPageBreak/>
        <w:drawing>
          <wp:inline distT="0" distB="0" distL="0" distR="0" wp14:anchorId="2D520051" wp14:editId="21664F42">
            <wp:extent cx="5274310" cy="5987415"/>
            <wp:effectExtent l="0" t="0" r="2540" b="0"/>
            <wp:docPr id="5" name="图片 5" descr="图 1">
              <a:hlinkClick xmlns:a="http://schemas.openxmlformats.org/drawingml/2006/main" r:id="rId2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 1">
                      <a:hlinkClick r:id="rId22" tgtFrame="&quot;_blank&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5987415"/>
                    </a:xfrm>
                    <a:prstGeom prst="rect">
                      <a:avLst/>
                    </a:prstGeom>
                    <a:noFill/>
                    <a:ln>
                      <a:noFill/>
                    </a:ln>
                  </pic:spPr>
                </pic:pic>
              </a:graphicData>
            </a:graphic>
          </wp:inline>
        </w:drawing>
      </w:r>
    </w:p>
    <w:p w14:paraId="18CFF0A9" w14:textId="154D3A12"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noProof/>
          <w:kern w:val="0"/>
          <w:sz w:val="24"/>
          <w:szCs w:val="24"/>
        </w:rPr>
        <w:lastRenderedPageBreak/>
        <w:drawing>
          <wp:inline distT="0" distB="0" distL="0" distR="0" wp14:anchorId="3DE2F3E6" wp14:editId="77A1CD48">
            <wp:extent cx="5274310" cy="5374640"/>
            <wp:effectExtent l="0" t="0" r="2540" b="0"/>
            <wp:docPr id="4" name="图片 4" descr="图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5374640"/>
                    </a:xfrm>
                    <a:prstGeom prst="rect">
                      <a:avLst/>
                    </a:prstGeom>
                    <a:noFill/>
                    <a:ln>
                      <a:noFill/>
                    </a:ln>
                  </pic:spPr>
                </pic:pic>
              </a:graphicData>
            </a:graphic>
          </wp:inline>
        </w:drawing>
      </w:r>
    </w:p>
    <w:p w14:paraId="30C267BB" w14:textId="77777777" w:rsidR="0023503F" w:rsidRPr="0023503F" w:rsidRDefault="0023503F" w:rsidP="0023503F">
      <w:pPr>
        <w:widowControl/>
        <w:rPr>
          <w:rFonts w:ascii="微软雅黑" w:eastAsia="微软雅黑" w:hAnsi="微软雅黑" w:cs="宋体"/>
          <w:kern w:val="0"/>
          <w:sz w:val="24"/>
          <w:szCs w:val="24"/>
        </w:rPr>
      </w:pPr>
      <w:r w:rsidRPr="0023503F">
        <w:rPr>
          <w:rFonts w:ascii="微软雅黑" w:eastAsia="微软雅黑" w:hAnsi="微软雅黑" w:cs="宋体"/>
          <w:kern w:val="0"/>
          <w:sz w:val="24"/>
          <w:szCs w:val="24"/>
        </w:rPr>
        <w:t>原发性溃疡性乳腺病变的基线临床评估和随时间推移的反应：（</w:t>
      </w:r>
      <w:r w:rsidRPr="0023503F">
        <w:rPr>
          <w:rFonts w:ascii="微软雅黑" w:eastAsia="微软雅黑" w:hAnsi="微软雅黑" w:cs="宋体"/>
          <w:b/>
          <w:bCs/>
          <w:kern w:val="0"/>
          <w:sz w:val="24"/>
          <w:szCs w:val="24"/>
        </w:rPr>
        <w:t>a</w:t>
      </w:r>
      <w:r w:rsidRPr="0023503F">
        <w:rPr>
          <w:rFonts w:ascii="微软雅黑" w:eastAsia="微软雅黑" w:hAnsi="微软雅黑" w:cs="宋体"/>
          <w:kern w:val="0"/>
          <w:sz w:val="24"/>
          <w:szCs w:val="24"/>
        </w:rPr>
        <w:t>）2021年3月临床表现：左乳原发性肿瘤表现为占据上象限的</w:t>
      </w:r>
      <w:proofErr w:type="gramStart"/>
      <w:r w:rsidRPr="0023503F">
        <w:rPr>
          <w:rFonts w:ascii="微软雅黑" w:eastAsia="微软雅黑" w:hAnsi="微软雅黑" w:cs="宋体"/>
          <w:kern w:val="0"/>
          <w:sz w:val="24"/>
          <w:szCs w:val="24"/>
        </w:rPr>
        <w:t>溃疡性出血性</w:t>
      </w:r>
      <w:proofErr w:type="gramEnd"/>
      <w:r w:rsidRPr="0023503F">
        <w:rPr>
          <w:rFonts w:ascii="微软雅黑" w:eastAsia="微软雅黑" w:hAnsi="微软雅黑" w:cs="宋体"/>
          <w:kern w:val="0"/>
          <w:sz w:val="24"/>
          <w:szCs w:val="24"/>
        </w:rPr>
        <w:t>病变，大小约为10×70毫米；（</w:t>
      </w:r>
      <w:r w:rsidRPr="0023503F">
        <w:rPr>
          <w:rFonts w:ascii="微软雅黑" w:eastAsia="微软雅黑" w:hAnsi="微软雅黑" w:cs="宋体"/>
          <w:b/>
          <w:bCs/>
          <w:kern w:val="0"/>
          <w:sz w:val="24"/>
          <w:szCs w:val="24"/>
        </w:rPr>
        <w:t>b</w:t>
      </w:r>
      <w:r w:rsidRPr="0023503F">
        <w:rPr>
          <w:rFonts w:ascii="微软雅黑" w:eastAsia="微软雅黑" w:hAnsi="微软雅黑" w:cs="宋体"/>
          <w:kern w:val="0"/>
          <w:sz w:val="24"/>
          <w:szCs w:val="24"/>
        </w:rPr>
        <w:t>）2021年5月临床表现：左乳原发性肿瘤的初始大小缩小，特别是活动性出血区域；（</w:t>
      </w:r>
      <w:r w:rsidRPr="0023503F">
        <w:rPr>
          <w:rFonts w:ascii="微软雅黑" w:eastAsia="微软雅黑" w:hAnsi="微软雅黑" w:cs="宋体"/>
          <w:b/>
          <w:bCs/>
          <w:kern w:val="0"/>
          <w:sz w:val="24"/>
          <w:szCs w:val="24"/>
        </w:rPr>
        <w:t>c</w:t>
      </w:r>
      <w:r w:rsidRPr="0023503F">
        <w:rPr>
          <w:rFonts w:ascii="微软雅黑" w:eastAsia="微软雅黑" w:hAnsi="微软雅黑" w:cs="宋体"/>
          <w:kern w:val="0"/>
          <w:sz w:val="24"/>
          <w:szCs w:val="24"/>
        </w:rPr>
        <w:t>）2021年8月临床表现：皮肤完整恢复，出血和溃疡区域消失；（</w:t>
      </w:r>
      <w:r w:rsidRPr="0023503F">
        <w:rPr>
          <w:rFonts w:ascii="微软雅黑" w:eastAsia="微软雅黑" w:hAnsi="微软雅黑" w:cs="宋体"/>
          <w:b/>
          <w:bCs/>
          <w:kern w:val="0"/>
          <w:sz w:val="24"/>
          <w:szCs w:val="24"/>
        </w:rPr>
        <w:t>d</w:t>
      </w:r>
      <w:r w:rsidRPr="0023503F">
        <w:rPr>
          <w:rFonts w:ascii="微软雅黑" w:eastAsia="微软雅黑" w:hAnsi="微软雅黑" w:cs="宋体"/>
          <w:kern w:val="0"/>
          <w:sz w:val="24"/>
          <w:szCs w:val="24"/>
        </w:rPr>
        <w:t>）2021年11月临床表现：左乳原发性病变进一步缩小，皮肤完整性完全恢复；（</w:t>
      </w:r>
      <w:r w:rsidRPr="0023503F">
        <w:rPr>
          <w:rFonts w:ascii="微软雅黑" w:eastAsia="微软雅黑" w:hAnsi="微软雅黑" w:cs="宋体"/>
          <w:b/>
          <w:bCs/>
          <w:kern w:val="0"/>
          <w:sz w:val="24"/>
          <w:szCs w:val="24"/>
        </w:rPr>
        <w:t>e</w:t>
      </w:r>
      <w:r w:rsidRPr="0023503F">
        <w:rPr>
          <w:rFonts w:ascii="微软雅黑" w:eastAsia="微软雅黑" w:hAnsi="微软雅黑" w:cs="宋体"/>
          <w:kern w:val="0"/>
          <w:sz w:val="24"/>
          <w:szCs w:val="24"/>
        </w:rPr>
        <w:t>）2022年3月临床表现，诊断后一年。</w:t>
      </w:r>
    </w:p>
    <w:p w14:paraId="2D123DE3"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lastRenderedPageBreak/>
        <w:t>患者立即被送入内科接受支持治疗，并接受了多次输血、低流量氧疗以缓解呼吸困难以及对溃疡病灶的适当处理。</w:t>
      </w:r>
    </w:p>
    <w:p w14:paraId="2FDCF5D9"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双侧乳腺超声检查结果符合BIRADS分类6类肿瘤的特征性表现[ </w:t>
      </w:r>
      <w:hyperlink r:id="rId25" w:anchor="B17-curroncol-29-00756" w:history="1">
        <w:r w:rsidRPr="0023503F">
          <w:rPr>
            <w:rFonts w:ascii="微软雅黑" w:eastAsia="微软雅黑" w:hAnsi="微软雅黑" w:cs="宋体"/>
            <w:kern w:val="0"/>
            <w:sz w:val="24"/>
            <w:szCs w:val="24"/>
            <w:u w:val="single"/>
          </w:rPr>
          <w:t>17</w:t>
        </w:r>
      </w:hyperlink>
      <w:r w:rsidRPr="0023503F">
        <w:rPr>
          <w:rFonts w:ascii="微软雅黑" w:eastAsia="微软雅黑" w:hAnsi="微软雅黑" w:cs="宋体"/>
          <w:kern w:val="0"/>
          <w:sz w:val="24"/>
          <w:szCs w:val="24"/>
        </w:rPr>
        <w:t> ]。随后，患者接受了左侧腋窝淋巴结切除活检，该淋巴结位置较为容易触及。后续的组织学和免疫组化检查证实为雌激素受体（ER）阳性、人表皮生长因子受体2（HER2）阴性的非特殊类型乳腺癌（ER 100%，孕激素受体（</w:t>
      </w:r>
      <w:proofErr w:type="spellStart"/>
      <w:r w:rsidRPr="0023503F">
        <w:rPr>
          <w:rFonts w:ascii="微软雅黑" w:eastAsia="微软雅黑" w:hAnsi="微软雅黑" w:cs="宋体"/>
          <w:kern w:val="0"/>
          <w:sz w:val="24"/>
          <w:szCs w:val="24"/>
        </w:rPr>
        <w:t>PgR</w:t>
      </w:r>
      <w:proofErr w:type="spellEnd"/>
      <w:r w:rsidRPr="0023503F">
        <w:rPr>
          <w:rFonts w:ascii="微软雅黑" w:eastAsia="微软雅黑" w:hAnsi="微软雅黑" w:cs="宋体"/>
          <w:kern w:val="0"/>
          <w:sz w:val="24"/>
          <w:szCs w:val="24"/>
        </w:rPr>
        <w:t>）80%，Ki67 30%，分化程度为G2）。标准分期包括全身CT和骨扫描，结果显示几乎整个骨骼均受肿瘤侵犯，但未见内脏转移（</w:t>
      </w:r>
      <w:hyperlink r:id="rId26" w:anchor="curroncol-29-00756-f002" w:history="1">
        <w:r w:rsidRPr="0023503F">
          <w:rPr>
            <w:rFonts w:ascii="微软雅黑" w:eastAsia="微软雅黑" w:hAnsi="微软雅黑" w:cs="宋体"/>
            <w:kern w:val="0"/>
            <w:sz w:val="24"/>
            <w:szCs w:val="24"/>
            <w:u w:val="single"/>
          </w:rPr>
          <w:t>图2a</w:t>
        </w:r>
      </w:hyperlink>
      <w:r w:rsidRPr="0023503F">
        <w:rPr>
          <w:rFonts w:ascii="微软雅黑" w:eastAsia="微软雅黑" w:hAnsi="微软雅黑" w:cs="宋体"/>
          <w:kern w:val="0"/>
          <w:sz w:val="24"/>
          <w:szCs w:val="24"/>
        </w:rPr>
        <w:t>）。所有受累骨骼部位均无骨折风险，且由于白细胞和血小板计数均在正常范围内，因此排除了骨髓衰竭。</w:t>
      </w:r>
    </w:p>
    <w:p w14:paraId="4AD04B24" w14:textId="77777777" w:rsidR="0023503F" w:rsidRPr="0023503F" w:rsidRDefault="0023503F" w:rsidP="0023503F">
      <w:pPr>
        <w:widowControl/>
        <w:spacing w:line="450" w:lineRule="atLeast"/>
        <w:outlineLvl w:val="2"/>
        <w:rPr>
          <w:rFonts w:ascii="微软雅黑" w:eastAsia="微软雅黑" w:hAnsi="微软雅黑" w:cs="宋体"/>
          <w:kern w:val="0"/>
          <w:sz w:val="30"/>
          <w:szCs w:val="30"/>
        </w:rPr>
      </w:pPr>
      <w:r w:rsidRPr="0023503F">
        <w:rPr>
          <w:rFonts w:ascii="微软雅黑" w:eastAsia="微软雅黑" w:hAnsi="微软雅黑" w:cs="宋体"/>
          <w:kern w:val="0"/>
          <w:sz w:val="30"/>
          <w:szCs w:val="30"/>
        </w:rPr>
        <w:t>图2。</w:t>
      </w:r>
    </w:p>
    <w:p w14:paraId="33DF7E98" w14:textId="274395E3"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noProof/>
          <w:kern w:val="0"/>
          <w:sz w:val="24"/>
          <w:szCs w:val="24"/>
        </w:rPr>
        <w:drawing>
          <wp:inline distT="0" distB="0" distL="0" distR="0" wp14:anchorId="46B39B8A" wp14:editId="0ABA4707">
            <wp:extent cx="5274310" cy="3755390"/>
            <wp:effectExtent l="0" t="0" r="2540" b="0"/>
            <wp:docPr id="3" name="图片 3" descr="图 2">
              <a:hlinkClick xmlns:a="http://schemas.openxmlformats.org/drawingml/2006/main" r:id="rId2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 2">
                      <a:hlinkClick r:id="rId27" tgtFrame="&quot;_blank&quot;"/>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755390"/>
                    </a:xfrm>
                    <a:prstGeom prst="rect">
                      <a:avLst/>
                    </a:prstGeom>
                    <a:noFill/>
                    <a:ln>
                      <a:noFill/>
                    </a:ln>
                  </pic:spPr>
                </pic:pic>
              </a:graphicData>
            </a:graphic>
          </wp:inline>
        </w:drawing>
      </w:r>
    </w:p>
    <w:p w14:paraId="7A13A266" w14:textId="77777777" w:rsidR="0023503F" w:rsidRPr="0023503F" w:rsidRDefault="0023503F" w:rsidP="0023503F">
      <w:pPr>
        <w:widowControl/>
        <w:rPr>
          <w:rFonts w:ascii="微软雅黑" w:eastAsia="微软雅黑" w:hAnsi="微软雅黑" w:cs="宋体"/>
          <w:kern w:val="0"/>
          <w:sz w:val="24"/>
          <w:szCs w:val="24"/>
        </w:rPr>
      </w:pPr>
      <w:r w:rsidRPr="0023503F">
        <w:rPr>
          <w:rFonts w:ascii="微软雅黑" w:eastAsia="微软雅黑" w:hAnsi="微软雅黑" w:cs="宋体"/>
          <w:kern w:val="0"/>
          <w:sz w:val="24"/>
          <w:szCs w:val="24"/>
        </w:rPr>
        <w:lastRenderedPageBreak/>
        <w:t>基线 CT 扫描评估和后续时间点：（</w:t>
      </w:r>
      <w:r w:rsidRPr="0023503F">
        <w:rPr>
          <w:rFonts w:ascii="微软雅黑" w:eastAsia="微软雅黑" w:hAnsi="微软雅黑" w:cs="宋体"/>
          <w:b/>
          <w:bCs/>
          <w:kern w:val="0"/>
          <w:sz w:val="24"/>
          <w:szCs w:val="24"/>
        </w:rPr>
        <w:t>a</w:t>
      </w:r>
      <w:r w:rsidRPr="0023503F">
        <w:rPr>
          <w:rFonts w:ascii="微软雅黑" w:eastAsia="微软雅黑" w:hAnsi="微软雅黑" w:cs="宋体"/>
          <w:kern w:val="0"/>
          <w:sz w:val="24"/>
          <w:szCs w:val="24"/>
        </w:rPr>
        <w:t>）2021 年 3 月 CT 扫描，基线评估：左乳原发病灶和左腋窝淋巴结肿大；（</w:t>
      </w:r>
      <w:r w:rsidRPr="0023503F">
        <w:rPr>
          <w:rFonts w:ascii="微软雅黑" w:eastAsia="微软雅黑" w:hAnsi="微软雅黑" w:cs="宋体"/>
          <w:b/>
          <w:bCs/>
          <w:kern w:val="0"/>
          <w:sz w:val="24"/>
          <w:szCs w:val="24"/>
        </w:rPr>
        <w:t>b</w:t>
      </w:r>
      <w:r w:rsidRPr="0023503F">
        <w:rPr>
          <w:rFonts w:ascii="微软雅黑" w:eastAsia="微软雅黑" w:hAnsi="微软雅黑" w:cs="宋体"/>
          <w:kern w:val="0"/>
          <w:sz w:val="24"/>
          <w:szCs w:val="24"/>
        </w:rPr>
        <w:t>）2021 年 11 月 CT 扫描：左乳原发病灶和左腋窝淋巴结肿大缩小。</w:t>
      </w:r>
    </w:p>
    <w:p w14:paraId="5E4A1B03"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经同行评估，并在输血后血红蛋白水平恢复至安全水平后，于2021年4月10日开始对绝经后</w:t>
      </w:r>
      <w:proofErr w:type="gramStart"/>
      <w:r w:rsidRPr="0023503F">
        <w:rPr>
          <w:rFonts w:ascii="微软雅黑" w:eastAsia="微软雅黑" w:hAnsi="微软雅黑" w:cs="宋体"/>
          <w:kern w:val="0"/>
          <w:sz w:val="24"/>
          <w:szCs w:val="24"/>
        </w:rPr>
        <w:t>管腔型乳腺癌</w:t>
      </w:r>
      <w:proofErr w:type="gramEnd"/>
      <w:r w:rsidRPr="0023503F">
        <w:rPr>
          <w:rFonts w:ascii="微软雅黑" w:eastAsia="微软雅黑" w:hAnsi="微软雅黑" w:cs="宋体"/>
          <w:kern w:val="0"/>
          <w:sz w:val="24"/>
          <w:szCs w:val="24"/>
        </w:rPr>
        <w:t>患者进行一线标准治疗，即每日持续服用来曲</w:t>
      </w:r>
      <w:proofErr w:type="gramStart"/>
      <w:r w:rsidRPr="0023503F">
        <w:rPr>
          <w:rFonts w:ascii="微软雅黑" w:eastAsia="微软雅黑" w:hAnsi="微软雅黑" w:cs="宋体"/>
          <w:kern w:val="0"/>
          <w:sz w:val="24"/>
          <w:szCs w:val="24"/>
        </w:rPr>
        <w:t>唑</w:t>
      </w:r>
      <w:proofErr w:type="gramEnd"/>
      <w:r w:rsidRPr="0023503F">
        <w:rPr>
          <w:rFonts w:ascii="微软雅黑" w:eastAsia="微软雅黑" w:hAnsi="微软雅黑" w:cs="宋体"/>
          <w:kern w:val="0"/>
          <w:sz w:val="24"/>
          <w:szCs w:val="24"/>
        </w:rPr>
        <w:t>2.5 mg和阿贝西利300 mg。选择这种CDK4/6抑制剂联合内皮素（ET）的方案，是因为每日服药方案有助于提高患者依从性，并降低剂量错误的风险。此外，考虑到患者骨骼疾病负担较重，为了能够接受每三个月一次的</w:t>
      </w:r>
      <w:proofErr w:type="gramStart"/>
      <w:r w:rsidRPr="0023503F">
        <w:rPr>
          <w:rFonts w:ascii="微软雅黑" w:eastAsia="微软雅黑" w:hAnsi="微软雅黑" w:cs="宋体"/>
          <w:kern w:val="0"/>
          <w:sz w:val="24"/>
          <w:szCs w:val="24"/>
        </w:rPr>
        <w:t>唑</w:t>
      </w:r>
      <w:proofErr w:type="gramEnd"/>
      <w:r w:rsidRPr="0023503F">
        <w:rPr>
          <w:rFonts w:ascii="微软雅黑" w:eastAsia="微软雅黑" w:hAnsi="微软雅黑" w:cs="宋体"/>
          <w:kern w:val="0"/>
          <w:sz w:val="24"/>
          <w:szCs w:val="24"/>
        </w:rPr>
        <w:t>来</w:t>
      </w:r>
      <w:proofErr w:type="gramStart"/>
      <w:r w:rsidRPr="0023503F">
        <w:rPr>
          <w:rFonts w:ascii="微软雅黑" w:eastAsia="微软雅黑" w:hAnsi="微软雅黑" w:cs="宋体"/>
          <w:kern w:val="0"/>
          <w:sz w:val="24"/>
          <w:szCs w:val="24"/>
        </w:rPr>
        <w:t>膦</w:t>
      </w:r>
      <w:proofErr w:type="gramEnd"/>
      <w:r w:rsidRPr="0023503F">
        <w:rPr>
          <w:rFonts w:ascii="微软雅黑" w:eastAsia="微软雅黑" w:hAnsi="微软雅黑" w:cs="宋体"/>
          <w:kern w:val="0"/>
          <w:sz w:val="24"/>
          <w:szCs w:val="24"/>
        </w:rPr>
        <w:t>酸双</w:t>
      </w:r>
      <w:proofErr w:type="gramStart"/>
      <w:r w:rsidRPr="0023503F">
        <w:rPr>
          <w:rFonts w:ascii="微软雅黑" w:eastAsia="微软雅黑" w:hAnsi="微软雅黑" w:cs="宋体"/>
          <w:kern w:val="0"/>
          <w:sz w:val="24"/>
          <w:szCs w:val="24"/>
        </w:rPr>
        <w:t>膦</w:t>
      </w:r>
      <w:proofErr w:type="gramEnd"/>
      <w:r w:rsidRPr="0023503F">
        <w:rPr>
          <w:rFonts w:ascii="微软雅黑" w:eastAsia="微软雅黑" w:hAnsi="微软雅黑" w:cs="宋体"/>
          <w:kern w:val="0"/>
          <w:sz w:val="24"/>
          <w:szCs w:val="24"/>
        </w:rPr>
        <w:t>酸盐治疗，患者还接受了必要的牙科治疗。</w:t>
      </w:r>
    </w:p>
    <w:p w14:paraId="5BFB3AF3"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治疗开始两周后，患者的临床状况明显改善，血红蛋白水平迅速恢复并稳定下来（</w:t>
      </w:r>
      <w:hyperlink r:id="rId29" w:anchor="curroncol-29-00756-f003" w:history="1">
        <w:r w:rsidRPr="0023503F">
          <w:rPr>
            <w:rFonts w:ascii="微软雅黑" w:eastAsia="微软雅黑" w:hAnsi="微软雅黑" w:cs="宋体"/>
            <w:kern w:val="0"/>
            <w:sz w:val="24"/>
            <w:szCs w:val="24"/>
            <w:u w:val="single"/>
          </w:rPr>
          <w:t>图 3</w:t>
        </w:r>
      </w:hyperlink>
      <w:r w:rsidRPr="0023503F">
        <w:rPr>
          <w:rFonts w:ascii="微软雅黑" w:eastAsia="微软雅黑" w:hAnsi="微软雅黑" w:cs="宋体"/>
          <w:kern w:val="0"/>
          <w:sz w:val="24"/>
          <w:szCs w:val="24"/>
        </w:rPr>
        <w:t>），她不再需要氧疗。</w:t>
      </w:r>
    </w:p>
    <w:p w14:paraId="50115597" w14:textId="77777777" w:rsidR="0023503F" w:rsidRPr="0023503F" w:rsidRDefault="0023503F" w:rsidP="0023503F">
      <w:pPr>
        <w:widowControl/>
        <w:spacing w:line="450" w:lineRule="atLeast"/>
        <w:outlineLvl w:val="2"/>
        <w:rPr>
          <w:rFonts w:ascii="微软雅黑" w:eastAsia="微软雅黑" w:hAnsi="微软雅黑" w:cs="宋体"/>
          <w:kern w:val="0"/>
          <w:sz w:val="30"/>
          <w:szCs w:val="30"/>
        </w:rPr>
      </w:pPr>
      <w:r w:rsidRPr="0023503F">
        <w:rPr>
          <w:rFonts w:ascii="微软雅黑" w:eastAsia="微软雅黑" w:hAnsi="微软雅黑" w:cs="宋体"/>
          <w:kern w:val="0"/>
          <w:sz w:val="30"/>
          <w:szCs w:val="30"/>
        </w:rPr>
        <w:t>图 3。</w:t>
      </w:r>
    </w:p>
    <w:p w14:paraId="440D6F7A" w14:textId="3AB6EE38"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noProof/>
          <w:kern w:val="0"/>
          <w:sz w:val="24"/>
          <w:szCs w:val="24"/>
        </w:rPr>
        <w:drawing>
          <wp:inline distT="0" distB="0" distL="0" distR="0" wp14:anchorId="7362E6EE" wp14:editId="188ED610">
            <wp:extent cx="5274310" cy="3005455"/>
            <wp:effectExtent l="0" t="0" r="2540" b="4445"/>
            <wp:docPr id="2" name="图片 2" descr="图 3">
              <a:hlinkClick xmlns:a="http://schemas.openxmlformats.org/drawingml/2006/main" r:id="rId3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 3">
                      <a:hlinkClick r:id="rId30" tgtFrame="&quot;_blank&quot;"/>
                    </pic:cNvP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3005455"/>
                    </a:xfrm>
                    <a:prstGeom prst="rect">
                      <a:avLst/>
                    </a:prstGeom>
                    <a:noFill/>
                    <a:ln>
                      <a:noFill/>
                    </a:ln>
                  </pic:spPr>
                </pic:pic>
              </a:graphicData>
            </a:graphic>
          </wp:inline>
        </w:drawing>
      </w:r>
    </w:p>
    <w:p w14:paraId="3D6F28C4" w14:textId="77777777" w:rsidR="0023503F" w:rsidRPr="0023503F" w:rsidRDefault="0023503F" w:rsidP="0023503F">
      <w:pPr>
        <w:widowControl/>
        <w:rPr>
          <w:rFonts w:ascii="微软雅黑" w:eastAsia="微软雅黑" w:hAnsi="微软雅黑" w:cs="宋体"/>
          <w:kern w:val="0"/>
          <w:sz w:val="24"/>
          <w:szCs w:val="24"/>
        </w:rPr>
      </w:pPr>
      <w:r w:rsidRPr="0023503F">
        <w:rPr>
          <w:rFonts w:ascii="微软雅黑" w:eastAsia="微软雅黑" w:hAnsi="微软雅黑" w:cs="宋体"/>
          <w:kern w:val="0"/>
          <w:sz w:val="24"/>
          <w:szCs w:val="24"/>
        </w:rPr>
        <w:lastRenderedPageBreak/>
        <w:t>血红蛋白值随时间变化的趋势。</w:t>
      </w:r>
    </w:p>
    <w:p w14:paraId="6C7BCB9B"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2021年8月，经过四个疗程的肿瘤治疗后，首次CT扫描复查显示部分缓解：原发肿瘤缩小至40 × 11 mm，病理淋巴结也缩小。溃疡完全消失，皮肤完整恢复（</w:t>
      </w:r>
      <w:r w:rsidRPr="0023503F">
        <w:rPr>
          <w:rFonts w:ascii="微软雅黑" w:eastAsia="微软雅黑" w:hAnsi="微软雅黑" w:cs="宋体"/>
          <w:kern w:val="0"/>
          <w:sz w:val="24"/>
          <w:szCs w:val="24"/>
        </w:rPr>
        <w:fldChar w:fldCharType="begin"/>
      </w:r>
      <w:r w:rsidRPr="0023503F">
        <w:rPr>
          <w:rFonts w:ascii="微软雅黑" w:eastAsia="微软雅黑" w:hAnsi="微软雅黑" w:cs="宋体"/>
          <w:kern w:val="0"/>
          <w:sz w:val="24"/>
          <w:szCs w:val="24"/>
        </w:rPr>
        <w:instrText xml:space="preserve"> HYPERLINK "https://pmc.ncbi.nlm.nih.gov/articles/PMC9777243/" \l "curroncol-29-00756-f001" </w:instrText>
      </w:r>
      <w:r w:rsidRPr="0023503F">
        <w:rPr>
          <w:rFonts w:ascii="微软雅黑" w:eastAsia="微软雅黑" w:hAnsi="微软雅黑" w:cs="宋体"/>
          <w:kern w:val="0"/>
          <w:sz w:val="24"/>
          <w:szCs w:val="24"/>
        </w:rPr>
        <w:fldChar w:fldCharType="separate"/>
      </w:r>
      <w:r w:rsidRPr="0023503F">
        <w:rPr>
          <w:rFonts w:ascii="微软雅黑" w:eastAsia="微软雅黑" w:hAnsi="微软雅黑" w:cs="宋体"/>
          <w:kern w:val="0"/>
          <w:sz w:val="24"/>
          <w:szCs w:val="24"/>
          <w:u w:val="single"/>
        </w:rPr>
        <w:t>图1b</w:t>
      </w:r>
      <w:r w:rsidRPr="0023503F">
        <w:rPr>
          <w:rFonts w:ascii="微软雅黑" w:eastAsia="微软雅黑" w:hAnsi="微软雅黑" w:cs="宋体"/>
          <w:kern w:val="0"/>
          <w:sz w:val="24"/>
          <w:szCs w:val="24"/>
        </w:rPr>
        <w:fldChar w:fldCharType="end"/>
      </w:r>
      <w:r w:rsidRPr="0023503F">
        <w:rPr>
          <w:rFonts w:ascii="微软雅黑" w:eastAsia="微软雅黑" w:hAnsi="微软雅黑" w:cs="宋体"/>
          <w:kern w:val="0"/>
          <w:sz w:val="24"/>
          <w:szCs w:val="24"/>
        </w:rPr>
        <w:t>），无需局部区域治疗（例如放射治疗或电化学疗法）。</w:t>
      </w:r>
    </w:p>
    <w:p w14:paraId="643EE26E"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2021年11月，在完成七个疗程的治疗后，采用TC方案进行了后续复查，结果显示治疗效果进一步增强：乳腺病灶缩小至36 × 8 mm，而骨转移灶的负荷保持稳定（</w:t>
      </w:r>
      <w:r w:rsidRPr="0023503F">
        <w:rPr>
          <w:rFonts w:ascii="微软雅黑" w:eastAsia="微软雅黑" w:hAnsi="微软雅黑" w:cs="宋体"/>
          <w:kern w:val="0"/>
          <w:sz w:val="24"/>
          <w:szCs w:val="24"/>
        </w:rPr>
        <w:fldChar w:fldCharType="begin"/>
      </w:r>
      <w:r w:rsidRPr="0023503F">
        <w:rPr>
          <w:rFonts w:ascii="微软雅黑" w:eastAsia="微软雅黑" w:hAnsi="微软雅黑" w:cs="宋体"/>
          <w:kern w:val="0"/>
          <w:sz w:val="24"/>
          <w:szCs w:val="24"/>
        </w:rPr>
        <w:instrText xml:space="preserve"> HYPERLINK "https://pmc.ncbi.nlm.nih.gov/articles/PMC9777243/" \l "curroncol-29-00756-f001" </w:instrText>
      </w:r>
      <w:r w:rsidRPr="0023503F">
        <w:rPr>
          <w:rFonts w:ascii="微软雅黑" w:eastAsia="微软雅黑" w:hAnsi="微软雅黑" w:cs="宋体"/>
          <w:kern w:val="0"/>
          <w:sz w:val="24"/>
          <w:szCs w:val="24"/>
        </w:rPr>
        <w:fldChar w:fldCharType="separate"/>
      </w:r>
      <w:r w:rsidRPr="0023503F">
        <w:rPr>
          <w:rFonts w:ascii="微软雅黑" w:eastAsia="微软雅黑" w:hAnsi="微软雅黑" w:cs="宋体"/>
          <w:kern w:val="0"/>
          <w:sz w:val="24"/>
          <w:szCs w:val="24"/>
          <w:u w:val="single"/>
        </w:rPr>
        <w:t>图1c</w:t>
      </w:r>
      <w:r w:rsidRPr="0023503F">
        <w:rPr>
          <w:rFonts w:ascii="微软雅黑" w:eastAsia="微软雅黑" w:hAnsi="微软雅黑" w:cs="宋体"/>
          <w:kern w:val="0"/>
          <w:sz w:val="24"/>
          <w:szCs w:val="24"/>
        </w:rPr>
        <w:fldChar w:fldCharType="end"/>
      </w:r>
      <w:r w:rsidRPr="0023503F">
        <w:rPr>
          <w:rFonts w:ascii="微软雅黑" w:eastAsia="微软雅黑" w:hAnsi="微软雅黑" w:cs="宋体"/>
          <w:kern w:val="0"/>
          <w:sz w:val="24"/>
          <w:szCs w:val="24"/>
        </w:rPr>
        <w:t>和</w:t>
      </w:r>
      <w:r w:rsidRPr="0023503F">
        <w:rPr>
          <w:rFonts w:ascii="微软雅黑" w:eastAsia="微软雅黑" w:hAnsi="微软雅黑" w:cs="宋体"/>
          <w:kern w:val="0"/>
          <w:sz w:val="24"/>
          <w:szCs w:val="24"/>
        </w:rPr>
        <w:fldChar w:fldCharType="begin"/>
      </w:r>
      <w:r w:rsidRPr="0023503F">
        <w:rPr>
          <w:rFonts w:ascii="微软雅黑" w:eastAsia="微软雅黑" w:hAnsi="微软雅黑" w:cs="宋体"/>
          <w:kern w:val="0"/>
          <w:sz w:val="24"/>
          <w:szCs w:val="24"/>
        </w:rPr>
        <w:instrText xml:space="preserve"> HYPERLINK "https://pmc.ncbi.nlm.nih.gov/articles/PMC9777243/" \l "curroncol-29-00756-f002" </w:instrText>
      </w:r>
      <w:r w:rsidRPr="0023503F">
        <w:rPr>
          <w:rFonts w:ascii="微软雅黑" w:eastAsia="微软雅黑" w:hAnsi="微软雅黑" w:cs="宋体"/>
          <w:kern w:val="0"/>
          <w:sz w:val="24"/>
          <w:szCs w:val="24"/>
        </w:rPr>
        <w:fldChar w:fldCharType="separate"/>
      </w:r>
      <w:r w:rsidRPr="0023503F">
        <w:rPr>
          <w:rFonts w:ascii="微软雅黑" w:eastAsia="微软雅黑" w:hAnsi="微软雅黑" w:cs="宋体"/>
          <w:kern w:val="0"/>
          <w:sz w:val="24"/>
          <w:szCs w:val="24"/>
          <w:u w:val="single"/>
        </w:rPr>
        <w:t>图2b</w:t>
      </w:r>
      <w:r w:rsidRPr="0023503F">
        <w:rPr>
          <w:rFonts w:ascii="微软雅黑" w:eastAsia="微软雅黑" w:hAnsi="微软雅黑" w:cs="宋体"/>
          <w:kern w:val="0"/>
          <w:sz w:val="24"/>
          <w:szCs w:val="24"/>
        </w:rPr>
        <w:fldChar w:fldCharType="end"/>
      </w:r>
      <w:r w:rsidRPr="0023503F">
        <w:rPr>
          <w:rFonts w:ascii="微软雅黑" w:eastAsia="微软雅黑" w:hAnsi="微软雅黑" w:cs="宋体"/>
          <w:kern w:val="0"/>
          <w:sz w:val="24"/>
          <w:szCs w:val="24"/>
        </w:rPr>
        <w:t>）。肿瘤标志物的同步下降也证实了治疗的良好效果：CEA从10.9 ng/mL降至0.9 ng/mL，CA125从443.7 U/mL降至12.7 U/mL，CA15.3从32.6 U/mL降至3.7 U/mL（</w:t>
      </w:r>
      <w:hyperlink r:id="rId32" w:anchor="curroncol-29-00756-f002" w:history="1">
        <w:r w:rsidRPr="0023503F">
          <w:rPr>
            <w:rFonts w:ascii="微软雅黑" w:eastAsia="微软雅黑" w:hAnsi="微软雅黑" w:cs="宋体"/>
            <w:kern w:val="0"/>
            <w:sz w:val="24"/>
            <w:szCs w:val="24"/>
            <w:u w:val="single"/>
          </w:rPr>
          <w:t>图2a</w:t>
        </w:r>
      </w:hyperlink>
      <w:r w:rsidRPr="0023503F">
        <w:rPr>
          <w:rFonts w:ascii="微软雅黑" w:eastAsia="微软雅黑" w:hAnsi="微软雅黑" w:cs="宋体"/>
          <w:kern w:val="0"/>
          <w:sz w:val="24"/>
          <w:szCs w:val="24"/>
        </w:rPr>
        <w:t>、b和</w:t>
      </w:r>
      <w:r w:rsidRPr="0023503F">
        <w:rPr>
          <w:rFonts w:ascii="微软雅黑" w:eastAsia="微软雅黑" w:hAnsi="微软雅黑" w:cs="宋体"/>
          <w:kern w:val="0"/>
          <w:sz w:val="24"/>
          <w:szCs w:val="24"/>
        </w:rPr>
        <w:fldChar w:fldCharType="begin"/>
      </w:r>
      <w:r w:rsidRPr="0023503F">
        <w:rPr>
          <w:rFonts w:ascii="微软雅黑" w:eastAsia="微软雅黑" w:hAnsi="微软雅黑" w:cs="宋体"/>
          <w:kern w:val="0"/>
          <w:sz w:val="24"/>
          <w:szCs w:val="24"/>
        </w:rPr>
        <w:instrText xml:space="preserve"> HYPERLINK "https://pmc.ncbi.nlm.nih.gov/articles/PMC9777243/" \l "curroncol-29-00756-f004" </w:instrText>
      </w:r>
      <w:r w:rsidRPr="0023503F">
        <w:rPr>
          <w:rFonts w:ascii="微软雅黑" w:eastAsia="微软雅黑" w:hAnsi="微软雅黑" w:cs="宋体"/>
          <w:kern w:val="0"/>
          <w:sz w:val="24"/>
          <w:szCs w:val="24"/>
        </w:rPr>
        <w:fldChar w:fldCharType="separate"/>
      </w:r>
      <w:r w:rsidRPr="0023503F">
        <w:rPr>
          <w:rFonts w:ascii="微软雅黑" w:eastAsia="微软雅黑" w:hAnsi="微软雅黑" w:cs="宋体"/>
          <w:kern w:val="0"/>
          <w:sz w:val="24"/>
          <w:szCs w:val="24"/>
          <w:u w:val="single"/>
        </w:rPr>
        <w:t>图4</w:t>
      </w:r>
      <w:r w:rsidRPr="0023503F">
        <w:rPr>
          <w:rFonts w:ascii="微软雅黑" w:eastAsia="微软雅黑" w:hAnsi="微软雅黑" w:cs="宋体"/>
          <w:kern w:val="0"/>
          <w:sz w:val="24"/>
          <w:szCs w:val="24"/>
        </w:rPr>
        <w:fldChar w:fldCharType="end"/>
      </w:r>
      <w:r w:rsidRPr="0023503F">
        <w:rPr>
          <w:rFonts w:ascii="微软雅黑" w:eastAsia="微软雅黑" w:hAnsi="微软雅黑" w:cs="宋体"/>
          <w:kern w:val="0"/>
          <w:sz w:val="24"/>
          <w:szCs w:val="24"/>
        </w:rPr>
        <w:t>）。该肿瘤联合治疗方案耐受性良好，未</w:t>
      </w:r>
      <w:proofErr w:type="gramStart"/>
      <w:r w:rsidRPr="0023503F">
        <w:rPr>
          <w:rFonts w:ascii="微软雅黑" w:eastAsia="微软雅黑" w:hAnsi="微软雅黑" w:cs="宋体"/>
          <w:kern w:val="0"/>
          <w:sz w:val="24"/>
          <w:szCs w:val="24"/>
        </w:rPr>
        <w:t>报告重</w:t>
      </w:r>
      <w:proofErr w:type="gramEnd"/>
      <w:r w:rsidRPr="0023503F">
        <w:rPr>
          <w:rFonts w:ascii="微软雅黑" w:eastAsia="微软雅黑" w:hAnsi="微软雅黑" w:cs="宋体"/>
          <w:kern w:val="0"/>
          <w:sz w:val="24"/>
          <w:szCs w:val="24"/>
        </w:rPr>
        <w:t>大副作用。</w:t>
      </w:r>
    </w:p>
    <w:p w14:paraId="5B81902B" w14:textId="77777777" w:rsidR="0023503F" w:rsidRPr="0023503F" w:rsidRDefault="0023503F" w:rsidP="0023503F">
      <w:pPr>
        <w:widowControl/>
        <w:spacing w:line="450" w:lineRule="atLeast"/>
        <w:outlineLvl w:val="2"/>
        <w:rPr>
          <w:rFonts w:ascii="微软雅黑" w:eastAsia="微软雅黑" w:hAnsi="微软雅黑" w:cs="宋体"/>
          <w:kern w:val="0"/>
          <w:sz w:val="30"/>
          <w:szCs w:val="30"/>
        </w:rPr>
      </w:pPr>
      <w:r w:rsidRPr="0023503F">
        <w:rPr>
          <w:rFonts w:ascii="微软雅黑" w:eastAsia="微软雅黑" w:hAnsi="微软雅黑" w:cs="宋体"/>
          <w:kern w:val="0"/>
          <w:sz w:val="30"/>
          <w:szCs w:val="30"/>
        </w:rPr>
        <w:t>图 4。</w:t>
      </w:r>
    </w:p>
    <w:p w14:paraId="1484A547" w14:textId="1494B2F9"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noProof/>
          <w:kern w:val="0"/>
          <w:sz w:val="24"/>
          <w:szCs w:val="24"/>
        </w:rPr>
        <w:lastRenderedPageBreak/>
        <w:drawing>
          <wp:inline distT="0" distB="0" distL="0" distR="0" wp14:anchorId="34422495" wp14:editId="756A92F5">
            <wp:extent cx="5274310" cy="7022465"/>
            <wp:effectExtent l="0" t="0" r="2540" b="6985"/>
            <wp:docPr id="1" name="图片 1" descr="图 4">
              <a:hlinkClick xmlns:a="http://schemas.openxmlformats.org/drawingml/2006/main" r:id="rId3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 4">
                      <a:hlinkClick r:id="rId33" tgtFrame="&quot;_blank&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4310" cy="7022465"/>
                    </a:xfrm>
                    <a:prstGeom prst="rect">
                      <a:avLst/>
                    </a:prstGeom>
                    <a:noFill/>
                    <a:ln>
                      <a:noFill/>
                    </a:ln>
                  </pic:spPr>
                </pic:pic>
              </a:graphicData>
            </a:graphic>
          </wp:inline>
        </w:drawing>
      </w:r>
    </w:p>
    <w:p w14:paraId="11CAEA34" w14:textId="77777777" w:rsidR="0023503F" w:rsidRPr="0023503F" w:rsidRDefault="0023503F" w:rsidP="0023503F">
      <w:pPr>
        <w:widowControl/>
        <w:rPr>
          <w:rFonts w:ascii="微软雅黑" w:eastAsia="微软雅黑" w:hAnsi="微软雅黑" w:cs="宋体"/>
          <w:kern w:val="0"/>
          <w:sz w:val="24"/>
          <w:szCs w:val="24"/>
        </w:rPr>
      </w:pPr>
      <w:r w:rsidRPr="0023503F">
        <w:rPr>
          <w:rFonts w:ascii="微软雅黑" w:eastAsia="微软雅黑" w:hAnsi="微软雅黑" w:cs="宋体"/>
          <w:b/>
          <w:bCs/>
          <w:kern w:val="0"/>
          <w:sz w:val="24"/>
          <w:szCs w:val="24"/>
        </w:rPr>
        <w:t>CA15.3 ( a</w:t>
      </w:r>
      <w:r w:rsidRPr="0023503F">
        <w:rPr>
          <w:rFonts w:ascii="微软雅黑" w:eastAsia="微软雅黑" w:hAnsi="微软雅黑" w:cs="宋体"/>
          <w:kern w:val="0"/>
          <w:sz w:val="24"/>
          <w:szCs w:val="24"/>
        </w:rPr>
        <w:t> ) 和 CEA ( </w:t>
      </w:r>
      <w:r w:rsidRPr="0023503F">
        <w:rPr>
          <w:rFonts w:ascii="微软雅黑" w:eastAsia="微软雅黑" w:hAnsi="微软雅黑" w:cs="宋体"/>
          <w:b/>
          <w:bCs/>
          <w:kern w:val="0"/>
          <w:sz w:val="24"/>
          <w:szCs w:val="24"/>
        </w:rPr>
        <w:t>b</w:t>
      </w:r>
      <w:r w:rsidRPr="0023503F">
        <w:rPr>
          <w:rFonts w:ascii="微软雅黑" w:eastAsia="微软雅黑" w:hAnsi="微软雅黑" w:cs="宋体"/>
          <w:kern w:val="0"/>
          <w:sz w:val="24"/>
          <w:szCs w:val="24"/>
        </w:rPr>
        <w:t> ) 随时间变化的趋势。</w:t>
      </w:r>
    </w:p>
    <w:p w14:paraId="30877F78"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目前，确诊一年多后，既无临床证据也无放射学证据表明病情进展，患者仍在接受肿瘤治疗，临床获益良好，耐受性也极佳。</w:t>
      </w:r>
    </w:p>
    <w:p w14:paraId="5931E95F" w14:textId="77777777" w:rsidR="0023503F" w:rsidRPr="0023503F" w:rsidRDefault="0023503F" w:rsidP="0023503F">
      <w:pPr>
        <w:widowControl/>
        <w:pBdr>
          <w:bottom w:val="single" w:sz="6" w:space="0" w:color="97B1C8"/>
        </w:pBdr>
        <w:spacing w:line="450" w:lineRule="atLeast"/>
        <w:outlineLvl w:val="1"/>
        <w:rPr>
          <w:rFonts w:ascii="微软雅黑" w:eastAsia="微软雅黑" w:hAnsi="微软雅黑" w:cs="宋体"/>
          <w:kern w:val="0"/>
          <w:sz w:val="34"/>
          <w:szCs w:val="34"/>
        </w:rPr>
      </w:pPr>
      <w:r w:rsidRPr="0023503F">
        <w:rPr>
          <w:rFonts w:ascii="微软雅黑" w:eastAsia="微软雅黑" w:hAnsi="微软雅黑" w:cs="宋体"/>
          <w:kern w:val="0"/>
          <w:sz w:val="34"/>
          <w:szCs w:val="34"/>
        </w:rPr>
        <w:lastRenderedPageBreak/>
        <w:t>3. 讨论</w:t>
      </w:r>
    </w:p>
    <w:p w14:paraId="6AD2C5FD"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CDK4/6 抑制剂的出现彻底改变了晚期 HR 阳性和 HER2 阴性乳腺癌在内分泌敏感和内分泌耐药情况下的治疗方案，成为内分泌治疗联合内分泌治疗的一线推荐疗法，但某些危及生命的疾病（如内脏危象）除外。</w:t>
      </w:r>
    </w:p>
    <w:p w14:paraId="33026B01"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在本病例中，快速反应至关重要，因为溃疡性乳腺病灶持</w:t>
      </w:r>
      <w:r w:rsidRPr="0023503F">
        <w:rPr>
          <w:rFonts w:ascii="MS Gothic" w:eastAsia="MS Gothic" w:hAnsi="MS Gothic" w:cs="MS Gothic" w:hint="eastAsia"/>
          <w:kern w:val="0"/>
          <w:sz w:val="24"/>
          <w:szCs w:val="24"/>
        </w:rPr>
        <w:t>​​</w:t>
      </w:r>
      <w:r w:rsidRPr="0023503F">
        <w:rPr>
          <w:rFonts w:ascii="微软雅黑" w:eastAsia="微软雅黑" w:hAnsi="微软雅黑" w:cs="宋体"/>
          <w:kern w:val="0"/>
          <w:sz w:val="24"/>
          <w:szCs w:val="24"/>
        </w:rPr>
        <w:t>续出血，导致严重且可能危及生命的贫血，需要住院接受支持治疗。尽管患者并未出现内脏危象，但病情危重以及需要迅速缩小肿瘤，促使我们考虑一线使用化疗。目前，关于 CDK4/6 抑制剂联合内分泌治疗与化疗作为</w:t>
      </w:r>
      <w:proofErr w:type="gramStart"/>
      <w:r w:rsidRPr="0023503F">
        <w:rPr>
          <w:rFonts w:ascii="微软雅黑" w:eastAsia="微软雅黑" w:hAnsi="微软雅黑" w:cs="宋体"/>
          <w:kern w:val="0"/>
          <w:sz w:val="24"/>
          <w:szCs w:val="24"/>
        </w:rPr>
        <w:t>管腔型乳腺癌</w:t>
      </w:r>
      <w:proofErr w:type="gramEnd"/>
      <w:r w:rsidRPr="0023503F">
        <w:rPr>
          <w:rFonts w:ascii="微软雅黑" w:eastAsia="微软雅黑" w:hAnsi="微软雅黑" w:cs="宋体"/>
          <w:kern w:val="0"/>
          <w:sz w:val="24"/>
          <w:szCs w:val="24"/>
        </w:rPr>
        <w:t>一线治疗方案的直接比较研究非常有限。</w:t>
      </w:r>
    </w:p>
    <w:p w14:paraId="7ECFD502"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一项在韩国开展的II期临床研究比较了依西美坦联合卵巢功能抑制疗法（ET）加帕博西尼与</w:t>
      </w:r>
      <w:proofErr w:type="gramStart"/>
      <w:r w:rsidRPr="0023503F">
        <w:rPr>
          <w:rFonts w:ascii="微软雅黑" w:eastAsia="微软雅黑" w:hAnsi="微软雅黑" w:cs="宋体"/>
          <w:kern w:val="0"/>
          <w:sz w:val="24"/>
          <w:szCs w:val="24"/>
        </w:rPr>
        <w:t>卡培他滨治疗</w:t>
      </w:r>
      <w:proofErr w:type="gramEnd"/>
      <w:r w:rsidRPr="0023503F">
        <w:rPr>
          <w:rFonts w:ascii="微软雅黑" w:eastAsia="微软雅黑" w:hAnsi="微软雅黑" w:cs="宋体"/>
          <w:kern w:val="0"/>
          <w:sz w:val="24"/>
          <w:szCs w:val="24"/>
        </w:rPr>
        <w:t>既往接受过辅助或一线他</w:t>
      </w:r>
      <w:proofErr w:type="gramStart"/>
      <w:r w:rsidRPr="0023503F">
        <w:rPr>
          <w:rFonts w:ascii="微软雅黑" w:eastAsia="微软雅黑" w:hAnsi="微软雅黑" w:cs="宋体"/>
          <w:kern w:val="0"/>
          <w:sz w:val="24"/>
          <w:szCs w:val="24"/>
        </w:rPr>
        <w:t>莫昔芬</w:t>
      </w:r>
      <w:proofErr w:type="gramEnd"/>
      <w:r w:rsidRPr="0023503F">
        <w:rPr>
          <w:rFonts w:ascii="微软雅黑" w:eastAsia="微软雅黑" w:hAnsi="微软雅黑" w:cs="宋体"/>
          <w:kern w:val="0"/>
          <w:sz w:val="24"/>
          <w:szCs w:val="24"/>
        </w:rPr>
        <w:t>治疗后病情进展的绝经</w:t>
      </w:r>
      <w:proofErr w:type="gramStart"/>
      <w:r w:rsidRPr="0023503F">
        <w:rPr>
          <w:rFonts w:ascii="微软雅黑" w:eastAsia="微软雅黑" w:hAnsi="微软雅黑" w:cs="宋体"/>
          <w:kern w:val="0"/>
          <w:sz w:val="24"/>
          <w:szCs w:val="24"/>
        </w:rPr>
        <w:t>前女性</w:t>
      </w:r>
      <w:proofErr w:type="gramEnd"/>
      <w:r w:rsidRPr="0023503F">
        <w:rPr>
          <w:rFonts w:ascii="微软雅黑" w:eastAsia="微软雅黑" w:hAnsi="微软雅黑" w:cs="宋体"/>
          <w:kern w:val="0"/>
          <w:sz w:val="24"/>
          <w:szCs w:val="24"/>
        </w:rPr>
        <w:t>患者的疗效，其中86%的研究人群被认为对他</w:t>
      </w:r>
      <w:proofErr w:type="gramStart"/>
      <w:r w:rsidRPr="0023503F">
        <w:rPr>
          <w:rFonts w:ascii="微软雅黑" w:eastAsia="微软雅黑" w:hAnsi="微软雅黑" w:cs="宋体"/>
          <w:kern w:val="0"/>
          <w:sz w:val="24"/>
          <w:szCs w:val="24"/>
        </w:rPr>
        <w:t>莫昔芬</w:t>
      </w:r>
      <w:proofErr w:type="gramEnd"/>
      <w:r w:rsidRPr="0023503F">
        <w:rPr>
          <w:rFonts w:ascii="微软雅黑" w:eastAsia="微软雅黑" w:hAnsi="微软雅黑" w:cs="宋体"/>
          <w:kern w:val="0"/>
          <w:sz w:val="24"/>
          <w:szCs w:val="24"/>
        </w:rPr>
        <w:t>耐药。结果显示，帕博西尼联合ET组的中位无进展生存期（PFS）显著</w:t>
      </w:r>
      <w:proofErr w:type="gramStart"/>
      <w:r w:rsidRPr="0023503F">
        <w:rPr>
          <w:rFonts w:ascii="微软雅黑" w:eastAsia="微软雅黑" w:hAnsi="微软雅黑" w:cs="宋体"/>
          <w:kern w:val="0"/>
          <w:sz w:val="24"/>
          <w:szCs w:val="24"/>
        </w:rPr>
        <w:t>长于卡培他滨组</w:t>
      </w:r>
      <w:proofErr w:type="gramEnd"/>
      <w:r w:rsidRPr="0023503F">
        <w:rPr>
          <w:rFonts w:ascii="微软雅黑" w:eastAsia="微软雅黑" w:hAnsi="微软雅黑" w:cs="宋体"/>
          <w:kern w:val="0"/>
          <w:sz w:val="24"/>
          <w:szCs w:val="24"/>
        </w:rPr>
        <w:t>（20.1个月 vs 14.4个月，HR = 0.66，</w:t>
      </w:r>
      <w:r w:rsidRPr="0023503F">
        <w:rPr>
          <w:rFonts w:ascii="微软雅黑" w:eastAsia="微软雅黑" w:hAnsi="微软雅黑" w:cs="宋体"/>
          <w:i/>
          <w:iCs/>
          <w:kern w:val="0"/>
          <w:sz w:val="24"/>
          <w:szCs w:val="24"/>
        </w:rPr>
        <w:t>p</w:t>
      </w:r>
      <w:r w:rsidRPr="0023503F">
        <w:rPr>
          <w:rFonts w:ascii="微软雅黑" w:eastAsia="微软雅黑" w:hAnsi="微软雅黑" w:cs="宋体"/>
          <w:kern w:val="0"/>
          <w:sz w:val="24"/>
          <w:szCs w:val="24"/>
        </w:rPr>
        <w:t> = 0.0235），且年龄大于35岁、ECOG评分较差、无内脏转移以及</w:t>
      </w:r>
      <w:proofErr w:type="gramStart"/>
      <w:r w:rsidRPr="0023503F">
        <w:rPr>
          <w:rFonts w:ascii="微软雅黑" w:eastAsia="微软雅黑" w:hAnsi="微软雅黑" w:cs="宋体"/>
          <w:kern w:val="0"/>
          <w:sz w:val="24"/>
          <w:szCs w:val="24"/>
        </w:rPr>
        <w:t>既往未</w:t>
      </w:r>
      <w:proofErr w:type="gramEnd"/>
      <w:r w:rsidRPr="0023503F">
        <w:rPr>
          <w:rFonts w:ascii="微软雅黑" w:eastAsia="微软雅黑" w:hAnsi="微软雅黑" w:cs="宋体"/>
          <w:kern w:val="0"/>
          <w:sz w:val="24"/>
          <w:szCs w:val="24"/>
        </w:rPr>
        <w:t>接受过化疗的患者获益更大。两组的客观缓解率（ORR）相似：帕博西尼联合ET组为37%，</w:t>
      </w:r>
      <w:proofErr w:type="gramStart"/>
      <w:r w:rsidRPr="0023503F">
        <w:rPr>
          <w:rFonts w:ascii="微软雅黑" w:eastAsia="微软雅黑" w:hAnsi="微软雅黑" w:cs="宋体"/>
          <w:kern w:val="0"/>
          <w:sz w:val="24"/>
          <w:szCs w:val="24"/>
        </w:rPr>
        <w:t>卡培他滨组</w:t>
      </w:r>
      <w:proofErr w:type="gramEnd"/>
      <w:r w:rsidRPr="0023503F">
        <w:rPr>
          <w:rFonts w:ascii="微软雅黑" w:eastAsia="微软雅黑" w:hAnsi="微软雅黑" w:cs="宋体"/>
          <w:kern w:val="0"/>
          <w:sz w:val="24"/>
          <w:szCs w:val="24"/>
        </w:rPr>
        <w:t>为34%。事后分析显示，尽管中位数略微有利于</w:t>
      </w:r>
      <w:proofErr w:type="gramStart"/>
      <w:r w:rsidRPr="0023503F">
        <w:rPr>
          <w:rFonts w:ascii="微软雅黑" w:eastAsia="微软雅黑" w:hAnsi="微软雅黑" w:cs="宋体"/>
          <w:kern w:val="0"/>
          <w:sz w:val="24"/>
          <w:szCs w:val="24"/>
        </w:rPr>
        <w:t>卡培他滨组</w:t>
      </w:r>
      <w:proofErr w:type="gramEnd"/>
      <w:r w:rsidRPr="0023503F">
        <w:rPr>
          <w:rFonts w:ascii="微软雅黑" w:eastAsia="微软雅黑" w:hAnsi="微软雅黑" w:cs="宋体"/>
          <w:kern w:val="0"/>
          <w:sz w:val="24"/>
          <w:szCs w:val="24"/>
        </w:rPr>
        <w:t xml:space="preserve">（2.9 </w:t>
      </w:r>
      <w:proofErr w:type="gramStart"/>
      <w:r w:rsidRPr="0023503F">
        <w:rPr>
          <w:rFonts w:ascii="微软雅黑" w:eastAsia="微软雅黑" w:hAnsi="微软雅黑" w:cs="宋体"/>
          <w:kern w:val="0"/>
          <w:sz w:val="24"/>
          <w:szCs w:val="24"/>
        </w:rPr>
        <w:t>个</w:t>
      </w:r>
      <w:proofErr w:type="gramEnd"/>
      <w:r w:rsidRPr="0023503F">
        <w:rPr>
          <w:rFonts w:ascii="微软雅黑" w:eastAsia="微软雅黑" w:hAnsi="微软雅黑" w:cs="宋体"/>
          <w:kern w:val="0"/>
          <w:sz w:val="24"/>
          <w:szCs w:val="24"/>
        </w:rPr>
        <w:t xml:space="preserve">月 vs 4.3 </w:t>
      </w:r>
      <w:proofErr w:type="gramStart"/>
      <w:r w:rsidRPr="0023503F">
        <w:rPr>
          <w:rFonts w:ascii="微软雅黑" w:eastAsia="微软雅黑" w:hAnsi="微软雅黑" w:cs="宋体"/>
          <w:kern w:val="0"/>
          <w:sz w:val="24"/>
          <w:szCs w:val="24"/>
        </w:rPr>
        <w:t>个</w:t>
      </w:r>
      <w:proofErr w:type="gramEnd"/>
      <w:r w:rsidRPr="0023503F">
        <w:rPr>
          <w:rFonts w:ascii="微软雅黑" w:eastAsia="微软雅黑" w:hAnsi="微软雅黑" w:cs="宋体"/>
          <w:kern w:val="0"/>
          <w:sz w:val="24"/>
          <w:szCs w:val="24"/>
        </w:rPr>
        <w:t>月）[ </w:t>
      </w:r>
      <w:hyperlink r:id="rId35" w:anchor="B18-curroncol-29-00756" w:history="1">
        <w:r w:rsidRPr="0023503F">
          <w:rPr>
            <w:rFonts w:ascii="微软雅黑" w:eastAsia="微软雅黑" w:hAnsi="微软雅黑" w:cs="宋体"/>
            <w:kern w:val="0"/>
            <w:sz w:val="24"/>
            <w:szCs w:val="24"/>
            <w:u w:val="single"/>
          </w:rPr>
          <w:t>18</w:t>
        </w:r>
      </w:hyperlink>
      <w:r w:rsidRPr="0023503F">
        <w:rPr>
          <w:rFonts w:ascii="微软雅黑" w:eastAsia="微软雅黑" w:hAnsi="微软雅黑" w:cs="宋体"/>
          <w:kern w:val="0"/>
          <w:sz w:val="24"/>
          <w:szCs w:val="24"/>
        </w:rPr>
        <w:t> ]，但在可测量疾病患者的最佳反应方面，随着时间的推移，没有显著差异。</w:t>
      </w:r>
    </w:p>
    <w:p w14:paraId="062BB128"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lastRenderedPageBreak/>
        <w:t>PEARL 研究是一项有趣的 III 期临床试验，旨在比较</w:t>
      </w:r>
      <w:proofErr w:type="gramStart"/>
      <w:r w:rsidRPr="0023503F">
        <w:rPr>
          <w:rFonts w:ascii="微软雅黑" w:eastAsia="微软雅黑" w:hAnsi="微软雅黑" w:cs="宋体"/>
          <w:kern w:val="0"/>
          <w:sz w:val="24"/>
          <w:szCs w:val="24"/>
        </w:rPr>
        <w:t>卡培他滨</w:t>
      </w:r>
      <w:proofErr w:type="gramEnd"/>
      <w:r w:rsidRPr="0023503F">
        <w:rPr>
          <w:rFonts w:ascii="微软雅黑" w:eastAsia="微软雅黑" w:hAnsi="微软雅黑" w:cs="宋体"/>
          <w:kern w:val="0"/>
          <w:sz w:val="24"/>
          <w:szCs w:val="24"/>
        </w:rPr>
        <w:t>与帕博西尼联合内分泌治疗（依西美坦或</w:t>
      </w:r>
      <w:proofErr w:type="gramStart"/>
      <w:r w:rsidRPr="0023503F">
        <w:rPr>
          <w:rFonts w:ascii="微软雅黑" w:eastAsia="微软雅黑" w:hAnsi="微软雅黑" w:cs="宋体"/>
          <w:kern w:val="0"/>
          <w:sz w:val="24"/>
          <w:szCs w:val="24"/>
        </w:rPr>
        <w:t>氟维司群</w:t>
      </w:r>
      <w:proofErr w:type="gramEnd"/>
      <w:r w:rsidRPr="0023503F">
        <w:rPr>
          <w:rFonts w:ascii="微软雅黑" w:eastAsia="微软雅黑" w:hAnsi="微软雅黑" w:cs="宋体"/>
          <w:kern w:val="0"/>
          <w:sz w:val="24"/>
          <w:szCs w:val="24"/>
        </w:rPr>
        <w:t>）治疗对芳香化酶抑制剂（AI）耐药的绝经后 ER 阳性、HER2 阴性转移性乳腺癌患者的疗效。与前述韩国研究不同，本试验中，无论是在所有患者中，还是在帕博西尼联合</w:t>
      </w:r>
      <w:proofErr w:type="gramStart"/>
      <w:r w:rsidRPr="0023503F">
        <w:rPr>
          <w:rFonts w:ascii="微软雅黑" w:eastAsia="微软雅黑" w:hAnsi="微软雅黑" w:cs="宋体"/>
          <w:kern w:val="0"/>
          <w:sz w:val="24"/>
          <w:szCs w:val="24"/>
        </w:rPr>
        <w:t>氟维司群</w:t>
      </w:r>
      <w:proofErr w:type="gramEnd"/>
      <w:r w:rsidRPr="0023503F">
        <w:rPr>
          <w:rFonts w:ascii="微软雅黑" w:eastAsia="微软雅黑" w:hAnsi="微软雅黑" w:cs="宋体"/>
          <w:kern w:val="0"/>
          <w:sz w:val="24"/>
          <w:szCs w:val="24"/>
        </w:rPr>
        <w:t>组中（该组纳入了更适合 AI 耐药患者的内分泌治疗方案），帕博西尼联合内分泌治疗组与</w:t>
      </w:r>
      <w:proofErr w:type="gramStart"/>
      <w:r w:rsidRPr="0023503F">
        <w:rPr>
          <w:rFonts w:ascii="微软雅黑" w:eastAsia="微软雅黑" w:hAnsi="微软雅黑" w:cs="宋体"/>
          <w:kern w:val="0"/>
          <w:sz w:val="24"/>
          <w:szCs w:val="24"/>
        </w:rPr>
        <w:t>卡培他滨组</w:t>
      </w:r>
      <w:proofErr w:type="gramEnd"/>
      <w:r w:rsidRPr="0023503F">
        <w:rPr>
          <w:rFonts w:ascii="微软雅黑" w:eastAsia="微软雅黑" w:hAnsi="微软雅黑" w:cs="宋体"/>
          <w:kern w:val="0"/>
          <w:sz w:val="24"/>
          <w:szCs w:val="24"/>
        </w:rPr>
        <w:t>的无进展生存期（PFS）均无统计学差异。另一方面，本研究中，帕博西尼联合</w:t>
      </w:r>
      <w:proofErr w:type="gramStart"/>
      <w:r w:rsidRPr="0023503F">
        <w:rPr>
          <w:rFonts w:ascii="微软雅黑" w:eastAsia="微软雅黑" w:hAnsi="微软雅黑" w:cs="宋体"/>
          <w:kern w:val="0"/>
          <w:sz w:val="24"/>
          <w:szCs w:val="24"/>
        </w:rPr>
        <w:t>氟维司群</w:t>
      </w:r>
      <w:proofErr w:type="gramEnd"/>
      <w:r w:rsidRPr="0023503F">
        <w:rPr>
          <w:rFonts w:ascii="微软雅黑" w:eastAsia="微软雅黑" w:hAnsi="微软雅黑" w:cs="宋体"/>
          <w:kern w:val="0"/>
          <w:sz w:val="24"/>
          <w:szCs w:val="24"/>
        </w:rPr>
        <w:t>组（26.7%）和</w:t>
      </w:r>
      <w:proofErr w:type="gramStart"/>
      <w:r w:rsidRPr="0023503F">
        <w:rPr>
          <w:rFonts w:ascii="微软雅黑" w:eastAsia="微软雅黑" w:hAnsi="微软雅黑" w:cs="宋体"/>
          <w:kern w:val="0"/>
          <w:sz w:val="24"/>
          <w:szCs w:val="24"/>
        </w:rPr>
        <w:t>卡培他滨组</w:t>
      </w:r>
      <w:proofErr w:type="gramEnd"/>
      <w:r w:rsidRPr="0023503F">
        <w:rPr>
          <w:rFonts w:ascii="微软雅黑" w:eastAsia="微软雅黑" w:hAnsi="微软雅黑" w:cs="宋体"/>
          <w:kern w:val="0"/>
          <w:sz w:val="24"/>
          <w:szCs w:val="24"/>
        </w:rPr>
        <w:t>（33.3%）的客观缓解率（ORR）也相似[ </w:t>
      </w:r>
      <w:hyperlink r:id="rId36" w:anchor="B19-curroncol-29-00756" w:history="1">
        <w:r w:rsidRPr="0023503F">
          <w:rPr>
            <w:rFonts w:ascii="微软雅黑" w:eastAsia="微软雅黑" w:hAnsi="微软雅黑" w:cs="宋体"/>
            <w:kern w:val="0"/>
            <w:sz w:val="24"/>
            <w:szCs w:val="24"/>
            <w:u w:val="single"/>
          </w:rPr>
          <w:t>19</w:t>
        </w:r>
      </w:hyperlink>
      <w:r w:rsidRPr="0023503F">
        <w:rPr>
          <w:rFonts w:ascii="微软雅黑" w:eastAsia="微软雅黑" w:hAnsi="微软雅黑" w:cs="宋体"/>
          <w:kern w:val="0"/>
          <w:sz w:val="24"/>
          <w:szCs w:val="24"/>
        </w:rPr>
        <w:t> ]。</w:t>
      </w:r>
    </w:p>
    <w:p w14:paraId="5537EFB8"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这些结果与Giuliano等人开展的网络荟萃分析结果一致，该分析表明，在接受一线或二线治疗的绝经后患者中，没有一种化疗方案的无进展生存期（PFS）显著优于帕博西尼联合来曲</w:t>
      </w:r>
      <w:proofErr w:type="gramStart"/>
      <w:r w:rsidRPr="0023503F">
        <w:rPr>
          <w:rFonts w:ascii="微软雅黑" w:eastAsia="微软雅黑" w:hAnsi="微软雅黑" w:cs="宋体"/>
          <w:kern w:val="0"/>
          <w:sz w:val="24"/>
          <w:szCs w:val="24"/>
        </w:rPr>
        <w:t>唑</w:t>
      </w:r>
      <w:proofErr w:type="gramEnd"/>
      <w:r w:rsidRPr="0023503F">
        <w:rPr>
          <w:rFonts w:ascii="微软雅黑" w:eastAsia="微软雅黑" w:hAnsi="微软雅黑" w:cs="宋体"/>
          <w:kern w:val="0"/>
          <w:sz w:val="24"/>
          <w:szCs w:val="24"/>
        </w:rPr>
        <w:t>。此外，在客观缓解率（ORR）方面，除每周一次的紫杉</w:t>
      </w:r>
      <w:proofErr w:type="gramStart"/>
      <w:r w:rsidRPr="0023503F">
        <w:rPr>
          <w:rFonts w:ascii="微软雅黑" w:eastAsia="微软雅黑" w:hAnsi="微软雅黑" w:cs="宋体"/>
          <w:kern w:val="0"/>
          <w:sz w:val="24"/>
          <w:szCs w:val="24"/>
        </w:rPr>
        <w:t>醇</w:t>
      </w:r>
      <w:proofErr w:type="gramEnd"/>
      <w:r w:rsidRPr="0023503F">
        <w:rPr>
          <w:rFonts w:ascii="微软雅黑" w:eastAsia="微软雅黑" w:hAnsi="微软雅黑" w:cs="宋体"/>
          <w:kern w:val="0"/>
          <w:sz w:val="24"/>
          <w:szCs w:val="24"/>
        </w:rPr>
        <w:t>联合贝</w:t>
      </w:r>
      <w:proofErr w:type="gramStart"/>
      <w:r w:rsidRPr="0023503F">
        <w:rPr>
          <w:rFonts w:ascii="微软雅黑" w:eastAsia="微软雅黑" w:hAnsi="微软雅黑" w:cs="宋体"/>
          <w:kern w:val="0"/>
          <w:sz w:val="24"/>
          <w:szCs w:val="24"/>
        </w:rPr>
        <w:t>伐珠单抗方案</w:t>
      </w:r>
      <w:proofErr w:type="gramEnd"/>
      <w:r w:rsidRPr="0023503F">
        <w:rPr>
          <w:rFonts w:ascii="微软雅黑" w:eastAsia="微软雅黑" w:hAnsi="微软雅黑" w:cs="宋体"/>
          <w:kern w:val="0"/>
          <w:sz w:val="24"/>
          <w:szCs w:val="24"/>
        </w:rPr>
        <w:t>外，没有其他化疗方案的客观缓解率高于帕博西尼联合来曲</w:t>
      </w:r>
      <w:proofErr w:type="gramStart"/>
      <w:r w:rsidRPr="0023503F">
        <w:rPr>
          <w:rFonts w:ascii="微软雅黑" w:eastAsia="微软雅黑" w:hAnsi="微软雅黑" w:cs="宋体"/>
          <w:kern w:val="0"/>
          <w:sz w:val="24"/>
          <w:szCs w:val="24"/>
        </w:rPr>
        <w:t>唑</w:t>
      </w:r>
      <w:proofErr w:type="gramEnd"/>
      <w:r w:rsidRPr="0023503F">
        <w:rPr>
          <w:rFonts w:ascii="微软雅黑" w:eastAsia="微软雅黑" w:hAnsi="微软雅黑" w:cs="宋体"/>
          <w:kern w:val="0"/>
          <w:sz w:val="24"/>
          <w:szCs w:val="24"/>
        </w:rPr>
        <w:t>方案。然而，紫杉</w:t>
      </w:r>
      <w:proofErr w:type="gramStart"/>
      <w:r w:rsidRPr="0023503F">
        <w:rPr>
          <w:rFonts w:ascii="微软雅黑" w:eastAsia="微软雅黑" w:hAnsi="微软雅黑" w:cs="宋体"/>
          <w:kern w:val="0"/>
          <w:sz w:val="24"/>
          <w:szCs w:val="24"/>
        </w:rPr>
        <w:t>醇</w:t>
      </w:r>
      <w:proofErr w:type="gramEnd"/>
      <w:r w:rsidRPr="0023503F">
        <w:rPr>
          <w:rFonts w:ascii="微软雅黑" w:eastAsia="微软雅黑" w:hAnsi="微软雅黑" w:cs="宋体"/>
          <w:kern w:val="0"/>
          <w:sz w:val="24"/>
          <w:szCs w:val="24"/>
        </w:rPr>
        <w:t>联合贝</w:t>
      </w:r>
      <w:proofErr w:type="gramStart"/>
      <w:r w:rsidRPr="0023503F">
        <w:rPr>
          <w:rFonts w:ascii="微软雅黑" w:eastAsia="微软雅黑" w:hAnsi="微软雅黑" w:cs="宋体"/>
          <w:kern w:val="0"/>
          <w:sz w:val="24"/>
          <w:szCs w:val="24"/>
        </w:rPr>
        <w:t>伐珠单</w:t>
      </w:r>
      <w:proofErr w:type="gramEnd"/>
      <w:r w:rsidRPr="0023503F">
        <w:rPr>
          <w:rFonts w:ascii="微软雅黑" w:eastAsia="微软雅黑" w:hAnsi="微软雅黑" w:cs="宋体"/>
          <w:kern w:val="0"/>
          <w:sz w:val="24"/>
          <w:szCs w:val="24"/>
        </w:rPr>
        <w:t>抗的疗效并不优于其他CDK4/6抑制剂联合内分泌治疗（ET）的方案，包括阿贝西利联合芳香化酶抑制剂（AI）[ </w:t>
      </w:r>
      <w:hyperlink r:id="rId37" w:anchor="B20-curroncol-29-00756" w:history="1">
        <w:r w:rsidRPr="0023503F">
          <w:rPr>
            <w:rFonts w:ascii="微软雅黑" w:eastAsia="微软雅黑" w:hAnsi="微软雅黑" w:cs="宋体"/>
            <w:kern w:val="0"/>
            <w:sz w:val="24"/>
            <w:szCs w:val="24"/>
            <w:u w:val="single"/>
          </w:rPr>
          <w:t>20</w:t>
        </w:r>
      </w:hyperlink>
      <w:r w:rsidRPr="0023503F">
        <w:rPr>
          <w:rFonts w:ascii="微软雅黑" w:eastAsia="微软雅黑" w:hAnsi="微软雅黑" w:cs="宋体"/>
          <w:kern w:val="0"/>
          <w:sz w:val="24"/>
          <w:szCs w:val="24"/>
        </w:rPr>
        <w:t> ]。</w:t>
      </w:r>
    </w:p>
    <w:p w14:paraId="5DF45BC8"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 xml:space="preserve">另一项包括 PALOMA、MONALEESA 和 MONARCH 研究的荟萃分析证实，CDK4/6 抑制剂具有较高的肿瘤消退率，三种不同化合物之间没有异质性：在 AI 敏感且可测量疾病的患者中，平均 ORR 为 55%，该 ORR 显示出优于单药 CT 的结果，并且与 </w:t>
      </w:r>
      <w:proofErr w:type="spellStart"/>
      <w:r w:rsidRPr="0023503F">
        <w:rPr>
          <w:rFonts w:ascii="微软雅黑" w:eastAsia="微软雅黑" w:hAnsi="微软雅黑" w:cs="宋体"/>
          <w:kern w:val="0"/>
          <w:sz w:val="24"/>
          <w:szCs w:val="24"/>
        </w:rPr>
        <w:t>polyCT</w:t>
      </w:r>
      <w:proofErr w:type="spellEnd"/>
      <w:r w:rsidRPr="0023503F">
        <w:rPr>
          <w:rFonts w:ascii="微软雅黑" w:eastAsia="微软雅黑" w:hAnsi="微软雅黑" w:cs="宋体"/>
          <w:kern w:val="0"/>
          <w:sz w:val="24"/>
          <w:szCs w:val="24"/>
        </w:rPr>
        <w:t xml:space="preserve"> 获得的结果相当[ </w:t>
      </w:r>
      <w:hyperlink r:id="rId38" w:anchor="B21-curroncol-29-00756" w:history="1">
        <w:r w:rsidRPr="0023503F">
          <w:rPr>
            <w:rFonts w:ascii="微软雅黑" w:eastAsia="微软雅黑" w:hAnsi="微软雅黑" w:cs="宋体"/>
            <w:kern w:val="0"/>
            <w:sz w:val="24"/>
            <w:szCs w:val="24"/>
            <w:u w:val="single"/>
          </w:rPr>
          <w:t>21</w:t>
        </w:r>
      </w:hyperlink>
      <w:r w:rsidRPr="0023503F">
        <w:rPr>
          <w:rFonts w:ascii="微软雅黑" w:eastAsia="微软雅黑" w:hAnsi="微软雅黑" w:cs="宋体"/>
          <w:kern w:val="0"/>
          <w:sz w:val="24"/>
          <w:szCs w:val="24"/>
        </w:rPr>
        <w:t> ]。</w:t>
      </w:r>
    </w:p>
    <w:p w14:paraId="0271DDC1"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尽管这些研究并未系统地考虑疗效的快速性，但MONARCH-3试验的探索性分析显示，仅两个疗程的阿贝西利治疗后，肿瘤体积缩小了27.7%，且肿瘤缩小持续至少24个疗程，提示疾病缓解更深层且更持久[ </w:t>
      </w:r>
      <w:hyperlink r:id="rId39" w:anchor="B8-curroncol-29-00756" w:history="1">
        <w:r w:rsidRPr="0023503F">
          <w:rPr>
            <w:rFonts w:ascii="微软雅黑" w:eastAsia="微软雅黑" w:hAnsi="微软雅黑" w:cs="宋体"/>
            <w:kern w:val="0"/>
            <w:sz w:val="24"/>
            <w:szCs w:val="24"/>
            <w:u w:val="single"/>
          </w:rPr>
          <w:t>8</w:t>
        </w:r>
      </w:hyperlink>
      <w:r w:rsidRPr="0023503F">
        <w:rPr>
          <w:rFonts w:ascii="微软雅黑" w:eastAsia="微软雅黑" w:hAnsi="微软雅黑" w:cs="宋体"/>
          <w:kern w:val="0"/>
          <w:sz w:val="24"/>
          <w:szCs w:val="24"/>
        </w:rPr>
        <w:t> ]。MONALEESA-2试验</w:t>
      </w:r>
      <w:r w:rsidRPr="0023503F">
        <w:rPr>
          <w:rFonts w:ascii="微软雅黑" w:eastAsia="微软雅黑" w:hAnsi="微软雅黑" w:cs="宋体"/>
          <w:kern w:val="0"/>
          <w:sz w:val="24"/>
          <w:szCs w:val="24"/>
        </w:rPr>
        <w:lastRenderedPageBreak/>
        <w:t>中，瑞博西尼联合内分泌治疗也观察到了早期疗效，治疗8周后，78%的患者肿瘤体积缩小[ </w:t>
      </w:r>
      <w:hyperlink r:id="rId40" w:anchor="B22-curroncol-29-00756" w:history="1">
        <w:r w:rsidRPr="0023503F">
          <w:rPr>
            <w:rFonts w:ascii="微软雅黑" w:eastAsia="微软雅黑" w:hAnsi="微软雅黑" w:cs="宋体"/>
            <w:kern w:val="0"/>
            <w:sz w:val="24"/>
            <w:szCs w:val="24"/>
            <w:u w:val="single"/>
          </w:rPr>
          <w:t>22</w:t>
        </w:r>
      </w:hyperlink>
      <w:r w:rsidRPr="0023503F">
        <w:rPr>
          <w:rFonts w:ascii="微软雅黑" w:eastAsia="微软雅黑" w:hAnsi="微软雅黑" w:cs="宋体"/>
          <w:kern w:val="0"/>
          <w:sz w:val="24"/>
          <w:szCs w:val="24"/>
        </w:rPr>
        <w:t> ]。由于现有文献数据显示，内分泌治疗联合CDK4/6抑制剂与化疗的疗效和缓解率并无显著差异，因此评估安全性结果对于治疗方案的选择至关重要。在韩国的II期研究中，CDK4/6抑制剂联合内分泌治疗组与</w:t>
      </w:r>
      <w:proofErr w:type="gramStart"/>
      <w:r w:rsidRPr="0023503F">
        <w:rPr>
          <w:rFonts w:ascii="微软雅黑" w:eastAsia="微软雅黑" w:hAnsi="微软雅黑" w:cs="宋体"/>
          <w:kern w:val="0"/>
          <w:sz w:val="24"/>
          <w:szCs w:val="24"/>
        </w:rPr>
        <w:t>卡培他滨组</w:t>
      </w:r>
      <w:proofErr w:type="gramEnd"/>
      <w:r w:rsidRPr="0023503F">
        <w:rPr>
          <w:rFonts w:ascii="微软雅黑" w:eastAsia="微软雅黑" w:hAnsi="微软雅黑" w:cs="宋体"/>
          <w:kern w:val="0"/>
          <w:sz w:val="24"/>
          <w:szCs w:val="24"/>
        </w:rPr>
        <w:t xml:space="preserve">相比，各级别血液学毒性的发生率更高，主要表现为中性粒细胞减少症（3级：75% vs 16%），但发热性中性粒细胞减少症的发生率并不显著。相反，CT </w:t>
      </w:r>
      <w:proofErr w:type="gramStart"/>
      <w:r w:rsidRPr="0023503F">
        <w:rPr>
          <w:rFonts w:ascii="微软雅黑" w:eastAsia="微软雅黑" w:hAnsi="微软雅黑" w:cs="宋体"/>
          <w:kern w:val="0"/>
          <w:sz w:val="24"/>
          <w:szCs w:val="24"/>
        </w:rPr>
        <w:t>组治疗</w:t>
      </w:r>
      <w:proofErr w:type="gramEnd"/>
      <w:r w:rsidRPr="0023503F">
        <w:rPr>
          <w:rFonts w:ascii="微软雅黑" w:eastAsia="微软雅黑" w:hAnsi="微软雅黑" w:cs="宋体"/>
          <w:kern w:val="0"/>
          <w:sz w:val="24"/>
          <w:szCs w:val="24"/>
        </w:rPr>
        <w:t>相关的严重不良事件 (AE) 更为常见（17% 对 2%）[ </w:t>
      </w:r>
      <w:hyperlink r:id="rId41" w:anchor="B18-curroncol-29-00756" w:history="1">
        <w:r w:rsidRPr="0023503F">
          <w:rPr>
            <w:rFonts w:ascii="微软雅黑" w:eastAsia="微软雅黑" w:hAnsi="微软雅黑" w:cs="宋体"/>
            <w:kern w:val="0"/>
            <w:sz w:val="24"/>
            <w:szCs w:val="24"/>
            <w:u w:val="single"/>
          </w:rPr>
          <w:t>18</w:t>
        </w:r>
      </w:hyperlink>
      <w:r w:rsidRPr="0023503F">
        <w:rPr>
          <w:rFonts w:ascii="微软雅黑" w:eastAsia="微软雅黑" w:hAnsi="微软雅黑" w:cs="宋体"/>
          <w:kern w:val="0"/>
          <w:sz w:val="24"/>
          <w:szCs w:val="24"/>
        </w:rPr>
        <w:t> ]。</w:t>
      </w:r>
    </w:p>
    <w:p w14:paraId="6554DD46"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同样，在PEARL研究中，3级或以上中性粒细胞减少症的发生率主要见于帕博西尼联合内分泌治疗组（依西美坦组为57.4%，</w:t>
      </w:r>
      <w:proofErr w:type="gramStart"/>
      <w:r w:rsidRPr="0023503F">
        <w:rPr>
          <w:rFonts w:ascii="微软雅黑" w:eastAsia="微软雅黑" w:hAnsi="微软雅黑" w:cs="宋体"/>
          <w:kern w:val="0"/>
          <w:sz w:val="24"/>
          <w:szCs w:val="24"/>
        </w:rPr>
        <w:t>氟维司群</w:t>
      </w:r>
      <w:proofErr w:type="gramEnd"/>
      <w:r w:rsidRPr="0023503F">
        <w:rPr>
          <w:rFonts w:ascii="微软雅黑" w:eastAsia="微软雅黑" w:hAnsi="微软雅黑" w:cs="宋体"/>
          <w:kern w:val="0"/>
          <w:sz w:val="24"/>
          <w:szCs w:val="24"/>
        </w:rPr>
        <w:t>组为55.7%，</w:t>
      </w:r>
      <w:proofErr w:type="gramStart"/>
      <w:r w:rsidRPr="0023503F">
        <w:rPr>
          <w:rFonts w:ascii="微软雅黑" w:eastAsia="微软雅黑" w:hAnsi="微软雅黑" w:cs="宋体"/>
          <w:kern w:val="0"/>
          <w:sz w:val="24"/>
          <w:szCs w:val="24"/>
        </w:rPr>
        <w:t>卡培他滨组</w:t>
      </w:r>
      <w:proofErr w:type="gramEnd"/>
      <w:r w:rsidRPr="0023503F">
        <w:rPr>
          <w:rFonts w:ascii="微软雅黑" w:eastAsia="微软雅黑" w:hAnsi="微软雅黑" w:cs="宋体"/>
          <w:kern w:val="0"/>
          <w:sz w:val="24"/>
          <w:szCs w:val="24"/>
        </w:rPr>
        <w:t>为5.5%），而发热性中性粒细胞减少症的发生率较低。另一方面，非血液学3级及以上毒性反应在</w:t>
      </w:r>
      <w:proofErr w:type="gramStart"/>
      <w:r w:rsidRPr="0023503F">
        <w:rPr>
          <w:rFonts w:ascii="微软雅黑" w:eastAsia="微软雅黑" w:hAnsi="微软雅黑" w:cs="宋体"/>
          <w:kern w:val="0"/>
          <w:sz w:val="24"/>
          <w:szCs w:val="24"/>
        </w:rPr>
        <w:t>卡培他滨组</w:t>
      </w:r>
      <w:proofErr w:type="gramEnd"/>
      <w:r w:rsidRPr="0023503F">
        <w:rPr>
          <w:rFonts w:ascii="微软雅黑" w:eastAsia="微软雅黑" w:hAnsi="微软雅黑" w:cs="宋体"/>
          <w:kern w:val="0"/>
          <w:sz w:val="24"/>
          <w:szCs w:val="24"/>
        </w:rPr>
        <w:t>最为常见（38.8%，而帕博西尼联合依西美坦组和</w:t>
      </w:r>
      <w:proofErr w:type="gramStart"/>
      <w:r w:rsidRPr="0023503F">
        <w:rPr>
          <w:rFonts w:ascii="微软雅黑" w:eastAsia="微软雅黑" w:hAnsi="微软雅黑" w:cs="宋体"/>
          <w:kern w:val="0"/>
          <w:sz w:val="24"/>
          <w:szCs w:val="24"/>
        </w:rPr>
        <w:t>氟维司群</w:t>
      </w:r>
      <w:proofErr w:type="gramEnd"/>
      <w:r w:rsidRPr="0023503F">
        <w:rPr>
          <w:rFonts w:ascii="微软雅黑" w:eastAsia="微软雅黑" w:hAnsi="微软雅黑" w:cs="宋体"/>
          <w:kern w:val="0"/>
          <w:sz w:val="24"/>
          <w:szCs w:val="24"/>
        </w:rPr>
        <w:t xml:space="preserve">组分别为6.6%和6.0%），严重不良事件和因治疗相关毒性导致的治疗中断也更为常见。此外，CDK4/6 抑制剂组的整体健康状况恶化的中位时间明显更长，结果为 8.6 </w:t>
      </w:r>
      <w:proofErr w:type="gramStart"/>
      <w:r w:rsidRPr="0023503F">
        <w:rPr>
          <w:rFonts w:ascii="微软雅黑" w:eastAsia="微软雅黑" w:hAnsi="微软雅黑" w:cs="宋体"/>
          <w:kern w:val="0"/>
          <w:sz w:val="24"/>
          <w:szCs w:val="24"/>
        </w:rPr>
        <w:t>个</w:t>
      </w:r>
      <w:proofErr w:type="gramEnd"/>
      <w:r w:rsidRPr="0023503F">
        <w:rPr>
          <w:rFonts w:ascii="微软雅黑" w:eastAsia="微软雅黑" w:hAnsi="微软雅黑" w:cs="宋体"/>
          <w:kern w:val="0"/>
          <w:sz w:val="24"/>
          <w:szCs w:val="24"/>
        </w:rPr>
        <w:t>月，而</w:t>
      </w:r>
      <w:proofErr w:type="gramStart"/>
      <w:r w:rsidRPr="0023503F">
        <w:rPr>
          <w:rFonts w:ascii="微软雅黑" w:eastAsia="微软雅黑" w:hAnsi="微软雅黑" w:cs="宋体"/>
          <w:kern w:val="0"/>
          <w:sz w:val="24"/>
          <w:szCs w:val="24"/>
        </w:rPr>
        <w:t>卡培他滨治疗</w:t>
      </w:r>
      <w:proofErr w:type="gramEnd"/>
      <w:r w:rsidRPr="0023503F">
        <w:rPr>
          <w:rFonts w:ascii="微软雅黑" w:eastAsia="微软雅黑" w:hAnsi="微软雅黑" w:cs="宋体"/>
          <w:kern w:val="0"/>
          <w:sz w:val="24"/>
          <w:szCs w:val="24"/>
        </w:rPr>
        <w:t xml:space="preserve">组为 6.2 </w:t>
      </w:r>
      <w:proofErr w:type="gramStart"/>
      <w:r w:rsidRPr="0023503F">
        <w:rPr>
          <w:rFonts w:ascii="微软雅黑" w:eastAsia="微软雅黑" w:hAnsi="微软雅黑" w:cs="宋体"/>
          <w:kern w:val="0"/>
          <w:sz w:val="24"/>
          <w:szCs w:val="24"/>
        </w:rPr>
        <w:t>个</w:t>
      </w:r>
      <w:proofErr w:type="gramEnd"/>
      <w:r w:rsidRPr="0023503F">
        <w:rPr>
          <w:rFonts w:ascii="微软雅黑" w:eastAsia="微软雅黑" w:hAnsi="微软雅黑" w:cs="宋体"/>
          <w:kern w:val="0"/>
          <w:sz w:val="24"/>
          <w:szCs w:val="24"/>
        </w:rPr>
        <w:t>月（</w:t>
      </w:r>
      <w:proofErr w:type="spellStart"/>
      <w:r w:rsidRPr="0023503F">
        <w:rPr>
          <w:rFonts w:ascii="微软雅黑" w:eastAsia="微软雅黑" w:hAnsi="微软雅黑" w:cs="宋体"/>
          <w:kern w:val="0"/>
          <w:sz w:val="24"/>
          <w:szCs w:val="24"/>
        </w:rPr>
        <w:t>aHR</w:t>
      </w:r>
      <w:proofErr w:type="spellEnd"/>
      <w:r w:rsidRPr="0023503F">
        <w:rPr>
          <w:rFonts w:ascii="微软雅黑" w:eastAsia="微软雅黑" w:hAnsi="微软雅黑" w:cs="宋体"/>
          <w:kern w:val="0"/>
          <w:sz w:val="24"/>
          <w:szCs w:val="24"/>
        </w:rPr>
        <w:t xml:space="preserve"> = 0.67，</w:t>
      </w:r>
      <w:r w:rsidRPr="0023503F">
        <w:rPr>
          <w:rFonts w:ascii="微软雅黑" w:eastAsia="微软雅黑" w:hAnsi="微软雅黑" w:cs="宋体"/>
          <w:i/>
          <w:iCs/>
          <w:kern w:val="0"/>
          <w:sz w:val="24"/>
          <w:szCs w:val="24"/>
        </w:rPr>
        <w:t>p</w:t>
      </w:r>
      <w:r w:rsidRPr="0023503F">
        <w:rPr>
          <w:rFonts w:ascii="微软雅黑" w:eastAsia="微软雅黑" w:hAnsi="微软雅黑" w:cs="宋体"/>
          <w:kern w:val="0"/>
          <w:sz w:val="24"/>
          <w:szCs w:val="24"/>
        </w:rPr>
        <w:t> = 0.001），这表明患者的生活质量感知更好[ </w:t>
      </w:r>
      <w:hyperlink r:id="rId42" w:anchor="B19-curroncol-29-00756" w:history="1">
        <w:r w:rsidRPr="0023503F">
          <w:rPr>
            <w:rFonts w:ascii="微软雅黑" w:eastAsia="微软雅黑" w:hAnsi="微软雅黑" w:cs="宋体"/>
            <w:kern w:val="0"/>
            <w:sz w:val="24"/>
            <w:szCs w:val="24"/>
            <w:u w:val="single"/>
          </w:rPr>
          <w:t>19</w:t>
        </w:r>
      </w:hyperlink>
      <w:r w:rsidRPr="0023503F">
        <w:rPr>
          <w:rFonts w:ascii="微软雅黑" w:eastAsia="微软雅黑" w:hAnsi="微软雅黑" w:cs="宋体"/>
          <w:kern w:val="0"/>
          <w:sz w:val="24"/>
          <w:szCs w:val="24"/>
        </w:rPr>
        <w:t> ]。</w:t>
      </w:r>
    </w:p>
    <w:p w14:paraId="03B9AE10"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在所有关键性临床试验中，帕博西尼、瑞博西尼和阿贝西利联合内分泌治疗均能延长内分泌治疗的无进展生存期（PFS），无论患者是否存在内分泌疾病或内分泌治疗耐药[ </w:t>
      </w:r>
      <w:hyperlink r:id="rId43" w:anchor="B5-curroncol-29-00756" w:history="1">
        <w:r w:rsidRPr="0023503F">
          <w:rPr>
            <w:rFonts w:ascii="微软雅黑" w:eastAsia="微软雅黑" w:hAnsi="微软雅黑" w:cs="宋体"/>
            <w:kern w:val="0"/>
            <w:sz w:val="24"/>
            <w:szCs w:val="24"/>
            <w:u w:val="single"/>
          </w:rPr>
          <w:t>5</w:t>
        </w:r>
      </w:hyperlink>
      <w:r w:rsidRPr="0023503F">
        <w:rPr>
          <w:rFonts w:ascii="微软雅黑" w:eastAsia="微软雅黑" w:hAnsi="微软雅黑" w:cs="宋体"/>
          <w:kern w:val="0"/>
          <w:sz w:val="24"/>
          <w:szCs w:val="24"/>
        </w:rPr>
        <w:t> , </w:t>
      </w:r>
      <w:hyperlink r:id="rId44" w:anchor="B6-curroncol-29-00756" w:history="1">
        <w:r w:rsidRPr="0023503F">
          <w:rPr>
            <w:rFonts w:ascii="微软雅黑" w:eastAsia="微软雅黑" w:hAnsi="微软雅黑" w:cs="宋体"/>
            <w:kern w:val="0"/>
            <w:sz w:val="24"/>
            <w:szCs w:val="24"/>
            <w:u w:val="single"/>
          </w:rPr>
          <w:t>6</w:t>
        </w:r>
      </w:hyperlink>
      <w:r w:rsidRPr="0023503F">
        <w:rPr>
          <w:rFonts w:ascii="微软雅黑" w:eastAsia="微软雅黑" w:hAnsi="微软雅黑" w:cs="宋体"/>
          <w:kern w:val="0"/>
          <w:sz w:val="24"/>
          <w:szCs w:val="24"/>
        </w:rPr>
        <w:t> , </w:t>
      </w:r>
      <w:hyperlink r:id="rId45" w:anchor="B7-curroncol-29-00756" w:history="1">
        <w:r w:rsidRPr="0023503F">
          <w:rPr>
            <w:rFonts w:ascii="微软雅黑" w:eastAsia="微软雅黑" w:hAnsi="微软雅黑" w:cs="宋体"/>
            <w:kern w:val="0"/>
            <w:sz w:val="24"/>
            <w:szCs w:val="24"/>
            <w:u w:val="single"/>
          </w:rPr>
          <w:t>7</w:t>
        </w:r>
      </w:hyperlink>
      <w:r w:rsidRPr="0023503F">
        <w:rPr>
          <w:rFonts w:ascii="微软雅黑" w:eastAsia="微软雅黑" w:hAnsi="微软雅黑" w:cs="宋体"/>
          <w:kern w:val="0"/>
          <w:sz w:val="24"/>
          <w:szCs w:val="24"/>
        </w:rPr>
        <w:t> , </w:t>
      </w:r>
      <w:hyperlink r:id="rId46" w:anchor="B8-curroncol-29-00756" w:history="1">
        <w:r w:rsidRPr="0023503F">
          <w:rPr>
            <w:rFonts w:ascii="微软雅黑" w:eastAsia="微软雅黑" w:hAnsi="微软雅黑" w:cs="宋体"/>
            <w:kern w:val="0"/>
            <w:sz w:val="24"/>
            <w:szCs w:val="24"/>
            <w:u w:val="single"/>
          </w:rPr>
          <w:t>8</w:t>
        </w:r>
      </w:hyperlink>
      <w:r w:rsidRPr="0023503F">
        <w:rPr>
          <w:rFonts w:ascii="微软雅黑" w:eastAsia="微软雅黑" w:hAnsi="微软雅黑" w:cs="宋体"/>
          <w:kern w:val="0"/>
          <w:sz w:val="24"/>
          <w:szCs w:val="24"/>
        </w:rPr>
        <w:t> , </w:t>
      </w:r>
      <w:hyperlink r:id="rId47" w:anchor="B9-curroncol-29-00756" w:history="1">
        <w:r w:rsidRPr="0023503F">
          <w:rPr>
            <w:rFonts w:ascii="微软雅黑" w:eastAsia="微软雅黑" w:hAnsi="微软雅黑" w:cs="宋体"/>
            <w:kern w:val="0"/>
            <w:sz w:val="24"/>
            <w:szCs w:val="24"/>
            <w:u w:val="single"/>
          </w:rPr>
          <w:t>9</w:t>
        </w:r>
      </w:hyperlink>
      <w:r w:rsidRPr="0023503F">
        <w:rPr>
          <w:rFonts w:ascii="微软雅黑" w:eastAsia="微软雅黑" w:hAnsi="微软雅黑" w:cs="宋体"/>
          <w:kern w:val="0"/>
          <w:sz w:val="24"/>
          <w:szCs w:val="24"/>
        </w:rPr>
        <w:t> , </w:t>
      </w:r>
      <w:hyperlink r:id="rId48" w:anchor="B10-curroncol-29-00756" w:history="1">
        <w:r w:rsidRPr="0023503F">
          <w:rPr>
            <w:rFonts w:ascii="微软雅黑" w:eastAsia="微软雅黑" w:hAnsi="微软雅黑" w:cs="宋体"/>
            <w:kern w:val="0"/>
            <w:sz w:val="24"/>
            <w:szCs w:val="24"/>
            <w:u w:val="single"/>
          </w:rPr>
          <w:t>10</w:t>
        </w:r>
      </w:hyperlink>
      <w:r w:rsidRPr="0023503F">
        <w:rPr>
          <w:rFonts w:ascii="微软雅黑" w:eastAsia="微软雅黑" w:hAnsi="微软雅黑" w:cs="宋体"/>
          <w:kern w:val="0"/>
          <w:sz w:val="24"/>
          <w:szCs w:val="24"/>
        </w:rPr>
        <w:t> , </w:t>
      </w:r>
      <w:hyperlink r:id="rId49" w:anchor="B11-curroncol-29-00756" w:history="1">
        <w:r w:rsidRPr="0023503F">
          <w:rPr>
            <w:rFonts w:ascii="微软雅黑" w:eastAsia="微软雅黑" w:hAnsi="微软雅黑" w:cs="宋体"/>
            <w:kern w:val="0"/>
            <w:sz w:val="24"/>
            <w:szCs w:val="24"/>
            <w:u w:val="single"/>
          </w:rPr>
          <w:t>11</w:t>
        </w:r>
      </w:hyperlink>
      <w:r w:rsidRPr="0023503F">
        <w:rPr>
          <w:rFonts w:ascii="微软雅黑" w:eastAsia="微软雅黑" w:hAnsi="微软雅黑" w:cs="宋体"/>
          <w:kern w:val="0"/>
          <w:sz w:val="24"/>
          <w:szCs w:val="24"/>
        </w:rPr>
        <w:t> , </w:t>
      </w:r>
      <w:hyperlink r:id="rId50" w:anchor="B23-curroncol-29-00756" w:history="1">
        <w:r w:rsidRPr="0023503F">
          <w:rPr>
            <w:rFonts w:ascii="微软雅黑" w:eastAsia="微软雅黑" w:hAnsi="微软雅黑" w:cs="宋体"/>
            <w:kern w:val="0"/>
            <w:sz w:val="24"/>
            <w:szCs w:val="24"/>
            <w:u w:val="single"/>
          </w:rPr>
          <w:t>23</w:t>
        </w:r>
      </w:hyperlink>
      <w:r w:rsidRPr="0023503F">
        <w:rPr>
          <w:rFonts w:ascii="微软雅黑" w:eastAsia="微软雅黑" w:hAnsi="微软雅黑" w:cs="宋体"/>
          <w:kern w:val="0"/>
          <w:sz w:val="24"/>
          <w:szCs w:val="24"/>
        </w:rPr>
        <w:t> ]。</w:t>
      </w:r>
      <w:proofErr w:type="spellStart"/>
      <w:r w:rsidRPr="0023503F">
        <w:rPr>
          <w:rFonts w:ascii="微软雅黑" w:eastAsia="微软雅黑" w:hAnsi="微软雅黑" w:cs="宋体"/>
          <w:kern w:val="0"/>
          <w:sz w:val="24"/>
          <w:szCs w:val="24"/>
        </w:rPr>
        <w:t>Piezzo</w:t>
      </w:r>
      <w:proofErr w:type="spellEnd"/>
      <w:r w:rsidRPr="0023503F">
        <w:rPr>
          <w:rFonts w:ascii="微软雅黑" w:eastAsia="微软雅黑" w:hAnsi="微软雅黑" w:cs="宋体"/>
          <w:kern w:val="0"/>
          <w:sz w:val="24"/>
          <w:szCs w:val="24"/>
        </w:rPr>
        <w:t>等人通过汇总分析和荟萃分析证实，每种化合物均能显著改善PFS，且风险降低幅度相似，并能降低转移灶数量、是否存在内脏疾病、内分泌敏感性以及治疗间隔时间（TFI）等因素的影响[ </w:t>
      </w:r>
      <w:hyperlink r:id="rId51" w:anchor="B21-curroncol-29-00756" w:history="1">
        <w:r w:rsidRPr="0023503F">
          <w:rPr>
            <w:rFonts w:ascii="微软雅黑" w:eastAsia="微软雅黑" w:hAnsi="微软雅黑" w:cs="宋体"/>
            <w:kern w:val="0"/>
            <w:sz w:val="24"/>
            <w:szCs w:val="24"/>
            <w:u w:val="single"/>
          </w:rPr>
          <w:t>21</w:t>
        </w:r>
      </w:hyperlink>
      <w:r w:rsidRPr="0023503F">
        <w:rPr>
          <w:rFonts w:ascii="微软雅黑" w:eastAsia="微软雅黑" w:hAnsi="微软雅黑" w:cs="宋体"/>
          <w:kern w:val="0"/>
          <w:sz w:val="24"/>
          <w:szCs w:val="24"/>
        </w:rPr>
        <w:t> ]。美国食品药品监督管理局（FDA）的汇总分析也得出了类似的结果[ </w:t>
      </w:r>
      <w:hyperlink r:id="rId52" w:anchor="B24-curroncol-29-00756" w:history="1">
        <w:r w:rsidRPr="0023503F">
          <w:rPr>
            <w:rFonts w:ascii="微软雅黑" w:eastAsia="微软雅黑" w:hAnsi="微软雅黑" w:cs="宋体"/>
            <w:kern w:val="0"/>
            <w:sz w:val="24"/>
            <w:szCs w:val="24"/>
            <w:u w:val="single"/>
          </w:rPr>
          <w:t>24</w:t>
        </w:r>
      </w:hyperlink>
      <w:r w:rsidRPr="0023503F">
        <w:rPr>
          <w:rFonts w:ascii="微软雅黑" w:eastAsia="微软雅黑" w:hAnsi="微软雅黑" w:cs="宋体"/>
          <w:kern w:val="0"/>
          <w:sz w:val="24"/>
          <w:szCs w:val="24"/>
        </w:rPr>
        <w:t> ]。</w:t>
      </w:r>
      <w:r w:rsidRPr="0023503F">
        <w:rPr>
          <w:rFonts w:ascii="微软雅黑" w:eastAsia="微软雅黑" w:hAnsi="微软雅黑" w:cs="宋体"/>
          <w:kern w:val="0"/>
          <w:sz w:val="24"/>
          <w:szCs w:val="24"/>
        </w:rPr>
        <w:lastRenderedPageBreak/>
        <w:t>此外，Giuliano等人的网络荟萃分析显示，三种CDK4/6抑制剂联合芳香化酶抑制剂（AI）或</w:t>
      </w:r>
      <w:proofErr w:type="gramStart"/>
      <w:r w:rsidRPr="0023503F">
        <w:rPr>
          <w:rFonts w:ascii="微软雅黑" w:eastAsia="微软雅黑" w:hAnsi="微软雅黑" w:cs="宋体"/>
          <w:kern w:val="0"/>
          <w:sz w:val="24"/>
          <w:szCs w:val="24"/>
        </w:rPr>
        <w:t>氟维司群治疗</w:t>
      </w:r>
      <w:proofErr w:type="gramEnd"/>
      <w:r w:rsidRPr="0023503F">
        <w:rPr>
          <w:rFonts w:ascii="微软雅黑" w:eastAsia="微软雅黑" w:hAnsi="微软雅黑" w:cs="宋体"/>
          <w:kern w:val="0"/>
          <w:sz w:val="24"/>
          <w:szCs w:val="24"/>
        </w:rPr>
        <w:t>在PFS和达到总体缓解的患者比例方面均无显著差异[ </w:t>
      </w:r>
      <w:hyperlink r:id="rId53" w:anchor="B20-curroncol-29-00756" w:history="1">
        <w:r w:rsidRPr="0023503F">
          <w:rPr>
            <w:rFonts w:ascii="微软雅黑" w:eastAsia="微软雅黑" w:hAnsi="微软雅黑" w:cs="宋体"/>
            <w:kern w:val="0"/>
            <w:sz w:val="24"/>
            <w:szCs w:val="24"/>
            <w:u w:val="single"/>
          </w:rPr>
          <w:t>20</w:t>
        </w:r>
      </w:hyperlink>
      <w:r w:rsidRPr="0023503F">
        <w:rPr>
          <w:rFonts w:ascii="微软雅黑" w:eastAsia="微软雅黑" w:hAnsi="微软雅黑" w:cs="宋体"/>
          <w:kern w:val="0"/>
          <w:sz w:val="24"/>
          <w:szCs w:val="24"/>
        </w:rPr>
        <w:t> ]。</w:t>
      </w:r>
    </w:p>
    <w:p w14:paraId="055747F3"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另一方面，目前仅有瑞博西尼和阿贝西利证实与内分泌治疗联合使用可</w:t>
      </w:r>
      <w:proofErr w:type="gramStart"/>
      <w:r w:rsidRPr="0023503F">
        <w:rPr>
          <w:rFonts w:ascii="微软雅黑" w:eastAsia="微软雅黑" w:hAnsi="微软雅黑" w:cs="宋体"/>
          <w:kern w:val="0"/>
          <w:sz w:val="24"/>
          <w:szCs w:val="24"/>
        </w:rPr>
        <w:t>延长总</w:t>
      </w:r>
      <w:proofErr w:type="gramEnd"/>
      <w:r w:rsidRPr="0023503F">
        <w:rPr>
          <w:rFonts w:ascii="微软雅黑" w:eastAsia="微软雅黑" w:hAnsi="微软雅黑" w:cs="宋体"/>
          <w:kern w:val="0"/>
          <w:sz w:val="24"/>
          <w:szCs w:val="24"/>
        </w:rPr>
        <w:t>生存期。在内分泌敏感型患者中，MONALEESA 2 试验观察到，瑞博西尼联合来曲</w:t>
      </w:r>
      <w:proofErr w:type="gramStart"/>
      <w:r w:rsidRPr="0023503F">
        <w:rPr>
          <w:rFonts w:ascii="微软雅黑" w:eastAsia="微软雅黑" w:hAnsi="微软雅黑" w:cs="宋体"/>
          <w:kern w:val="0"/>
          <w:sz w:val="24"/>
          <w:szCs w:val="24"/>
        </w:rPr>
        <w:t>唑</w:t>
      </w:r>
      <w:proofErr w:type="gramEnd"/>
      <w:r w:rsidRPr="0023503F">
        <w:rPr>
          <w:rFonts w:ascii="微软雅黑" w:eastAsia="微软雅黑" w:hAnsi="微软雅黑" w:cs="宋体"/>
          <w:kern w:val="0"/>
          <w:sz w:val="24"/>
          <w:szCs w:val="24"/>
        </w:rPr>
        <w:t xml:space="preserve">治疗可显著延长绝经后女性患者的总生存期，死亡风险降低 24%，中位生存期为 63.9 </w:t>
      </w:r>
      <w:proofErr w:type="gramStart"/>
      <w:r w:rsidRPr="0023503F">
        <w:rPr>
          <w:rFonts w:ascii="微软雅黑" w:eastAsia="微软雅黑" w:hAnsi="微软雅黑" w:cs="宋体"/>
          <w:kern w:val="0"/>
          <w:sz w:val="24"/>
          <w:szCs w:val="24"/>
        </w:rPr>
        <w:t>个</w:t>
      </w:r>
      <w:proofErr w:type="gramEnd"/>
      <w:r w:rsidRPr="0023503F">
        <w:rPr>
          <w:rFonts w:ascii="微软雅黑" w:eastAsia="微软雅黑" w:hAnsi="微软雅黑" w:cs="宋体"/>
          <w:kern w:val="0"/>
          <w:sz w:val="24"/>
          <w:szCs w:val="24"/>
        </w:rPr>
        <w:t xml:space="preserve">月（对照组为 51.4 </w:t>
      </w:r>
      <w:proofErr w:type="gramStart"/>
      <w:r w:rsidRPr="0023503F">
        <w:rPr>
          <w:rFonts w:ascii="微软雅黑" w:eastAsia="微软雅黑" w:hAnsi="微软雅黑" w:cs="宋体"/>
          <w:kern w:val="0"/>
          <w:sz w:val="24"/>
          <w:szCs w:val="24"/>
        </w:rPr>
        <w:t>个</w:t>
      </w:r>
      <w:proofErr w:type="gramEnd"/>
      <w:r w:rsidRPr="0023503F">
        <w:rPr>
          <w:rFonts w:ascii="微软雅黑" w:eastAsia="微软雅黑" w:hAnsi="微软雅黑" w:cs="宋体"/>
          <w:kern w:val="0"/>
          <w:sz w:val="24"/>
          <w:szCs w:val="24"/>
        </w:rPr>
        <w:t>月；HR 0.76；</w:t>
      </w:r>
      <w:r w:rsidRPr="0023503F">
        <w:rPr>
          <w:rFonts w:ascii="微软雅黑" w:eastAsia="微软雅黑" w:hAnsi="微软雅黑" w:cs="宋体"/>
          <w:i/>
          <w:iCs/>
          <w:kern w:val="0"/>
          <w:sz w:val="24"/>
          <w:szCs w:val="24"/>
        </w:rPr>
        <w:t>p</w:t>
      </w:r>
      <w:r w:rsidRPr="0023503F">
        <w:rPr>
          <w:rFonts w:ascii="微软雅黑" w:eastAsia="微软雅黑" w:hAnsi="微软雅黑" w:cs="宋体"/>
          <w:kern w:val="0"/>
          <w:sz w:val="24"/>
          <w:szCs w:val="24"/>
        </w:rPr>
        <w:t> = 0.004）[ </w:t>
      </w:r>
      <w:hyperlink r:id="rId54" w:anchor="B25-curroncol-29-00756" w:history="1">
        <w:r w:rsidRPr="0023503F">
          <w:rPr>
            <w:rFonts w:ascii="微软雅黑" w:eastAsia="微软雅黑" w:hAnsi="微软雅黑" w:cs="宋体"/>
            <w:kern w:val="0"/>
            <w:sz w:val="24"/>
            <w:szCs w:val="24"/>
            <w:u w:val="single"/>
          </w:rPr>
          <w:t>25</w:t>
        </w:r>
      </w:hyperlink>
      <w:r w:rsidRPr="0023503F">
        <w:rPr>
          <w:rFonts w:ascii="微软雅黑" w:eastAsia="微软雅黑" w:hAnsi="微软雅黑" w:cs="宋体"/>
          <w:kern w:val="0"/>
          <w:sz w:val="24"/>
          <w:szCs w:val="24"/>
        </w:rPr>
        <w:t> ]。同样，在 MONALEESA 3 试验中，接受瑞博西尼联合</w:t>
      </w:r>
      <w:proofErr w:type="gramStart"/>
      <w:r w:rsidRPr="0023503F">
        <w:rPr>
          <w:rFonts w:ascii="微软雅黑" w:eastAsia="微软雅黑" w:hAnsi="微软雅黑" w:cs="宋体"/>
          <w:kern w:val="0"/>
          <w:sz w:val="24"/>
          <w:szCs w:val="24"/>
        </w:rPr>
        <w:t>氟维司群</w:t>
      </w:r>
      <w:proofErr w:type="gramEnd"/>
      <w:r w:rsidRPr="0023503F">
        <w:rPr>
          <w:rFonts w:ascii="微软雅黑" w:eastAsia="微软雅黑" w:hAnsi="微软雅黑" w:cs="宋体"/>
          <w:kern w:val="0"/>
          <w:sz w:val="24"/>
          <w:szCs w:val="24"/>
        </w:rPr>
        <w:t>一线治疗的内分泌敏感型患者队列，在最新研究更新中，总生存期获益得到了统计学证实，中位生存期尚未达到，HR 为 0.64 [ </w:t>
      </w:r>
      <w:hyperlink r:id="rId55" w:anchor="B26-curroncol-29-00756" w:history="1">
        <w:r w:rsidRPr="0023503F">
          <w:rPr>
            <w:rFonts w:ascii="微软雅黑" w:eastAsia="微软雅黑" w:hAnsi="微软雅黑" w:cs="宋体"/>
            <w:kern w:val="0"/>
            <w:sz w:val="24"/>
            <w:szCs w:val="24"/>
            <w:u w:val="single"/>
          </w:rPr>
          <w:t>26</w:t>
        </w:r>
      </w:hyperlink>
      <w:r w:rsidRPr="0023503F">
        <w:rPr>
          <w:rFonts w:ascii="微软雅黑" w:eastAsia="微软雅黑" w:hAnsi="微软雅黑" w:cs="宋体"/>
          <w:kern w:val="0"/>
          <w:sz w:val="24"/>
          <w:szCs w:val="24"/>
        </w:rPr>
        <w:t xml:space="preserve"> ]。在 MONALEESA 7 试验中，接受 </w:t>
      </w:r>
      <w:proofErr w:type="spellStart"/>
      <w:r w:rsidRPr="0023503F">
        <w:rPr>
          <w:rFonts w:ascii="微软雅黑" w:eastAsia="微软雅黑" w:hAnsi="微软雅黑" w:cs="宋体"/>
          <w:kern w:val="0"/>
          <w:sz w:val="24"/>
          <w:szCs w:val="24"/>
        </w:rPr>
        <w:t>Ribociclib</w:t>
      </w:r>
      <w:proofErr w:type="spellEnd"/>
      <w:r w:rsidRPr="0023503F">
        <w:rPr>
          <w:rFonts w:ascii="微软雅黑" w:eastAsia="微软雅黑" w:hAnsi="微软雅黑" w:cs="宋体"/>
          <w:kern w:val="0"/>
          <w:sz w:val="24"/>
          <w:szCs w:val="24"/>
        </w:rPr>
        <w:t xml:space="preserve"> 加 ET（AI 或他</w:t>
      </w:r>
      <w:proofErr w:type="gramStart"/>
      <w:r w:rsidRPr="0023503F">
        <w:rPr>
          <w:rFonts w:ascii="微软雅黑" w:eastAsia="微软雅黑" w:hAnsi="微软雅黑" w:cs="宋体"/>
          <w:kern w:val="0"/>
          <w:sz w:val="24"/>
          <w:szCs w:val="24"/>
        </w:rPr>
        <w:t>莫昔芬</w:t>
      </w:r>
      <w:proofErr w:type="gramEnd"/>
      <w:r w:rsidRPr="0023503F">
        <w:rPr>
          <w:rFonts w:ascii="微软雅黑" w:eastAsia="微软雅黑" w:hAnsi="微软雅黑" w:cs="宋体"/>
          <w:kern w:val="0"/>
          <w:sz w:val="24"/>
          <w:szCs w:val="24"/>
        </w:rPr>
        <w:t>）和戈舍瑞林治疗的绝经前和围绝经期患者也出现了类似的死亡风险降低（总体人群的 HR 为 0.76）：值得注意的是，在新发疾病患者和年龄小于 40 岁的患者中，与安慰剂相比，CDK4/6 抑制剂观察到的生存获益更大（HR 分别为 0.53 和 0.65）[ </w:t>
      </w:r>
      <w:hyperlink r:id="rId56" w:anchor="B27-curroncol-29-00756" w:history="1">
        <w:r w:rsidRPr="0023503F">
          <w:rPr>
            <w:rFonts w:ascii="微软雅黑" w:eastAsia="微软雅黑" w:hAnsi="微软雅黑" w:cs="宋体"/>
            <w:kern w:val="0"/>
            <w:sz w:val="24"/>
            <w:szCs w:val="24"/>
            <w:u w:val="single"/>
          </w:rPr>
          <w:t>27</w:t>
        </w:r>
      </w:hyperlink>
      <w:r w:rsidRPr="0023503F">
        <w:rPr>
          <w:rFonts w:ascii="微软雅黑" w:eastAsia="微软雅黑" w:hAnsi="微软雅黑" w:cs="宋体"/>
          <w:kern w:val="0"/>
          <w:sz w:val="24"/>
          <w:szCs w:val="24"/>
        </w:rPr>
        <w:t> ]。</w:t>
      </w:r>
    </w:p>
    <w:p w14:paraId="006FE83C"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对于内分泌耐药患者，在MONARCH 2试验和MONALEESA 3试验的二线治疗队列中，</w:t>
      </w:r>
      <w:proofErr w:type="gramStart"/>
      <w:r w:rsidRPr="0023503F">
        <w:rPr>
          <w:rFonts w:ascii="微软雅黑" w:eastAsia="微软雅黑" w:hAnsi="微软雅黑" w:cs="宋体"/>
          <w:kern w:val="0"/>
          <w:sz w:val="24"/>
          <w:szCs w:val="24"/>
        </w:rPr>
        <w:t>氟维司群</w:t>
      </w:r>
      <w:proofErr w:type="gramEnd"/>
      <w:r w:rsidRPr="0023503F">
        <w:rPr>
          <w:rFonts w:ascii="微软雅黑" w:eastAsia="微软雅黑" w:hAnsi="微软雅黑" w:cs="宋体"/>
          <w:kern w:val="0"/>
          <w:sz w:val="24"/>
          <w:szCs w:val="24"/>
        </w:rPr>
        <w:t>与阿贝西利和瑞博西尼联合用药均显示出统计学意义上的生存期延长。尽管入组人群有所不同（MONARCH 2试验纳入了绝经前和绝经后患者），但死亡风险降低的程度相似（MONARCH 2试验的HR为0.757，MONALEESA 3研究的内分泌耐药队列的HR为0.780）[ </w:t>
      </w:r>
      <w:hyperlink r:id="rId57" w:anchor="B26-curroncol-29-00756" w:history="1">
        <w:r w:rsidRPr="0023503F">
          <w:rPr>
            <w:rFonts w:ascii="微软雅黑" w:eastAsia="微软雅黑" w:hAnsi="微软雅黑" w:cs="宋体"/>
            <w:kern w:val="0"/>
            <w:sz w:val="24"/>
            <w:szCs w:val="24"/>
            <w:u w:val="single"/>
          </w:rPr>
          <w:t>26</w:t>
        </w:r>
      </w:hyperlink>
      <w:r w:rsidRPr="0023503F">
        <w:rPr>
          <w:rFonts w:ascii="微软雅黑" w:eastAsia="微软雅黑" w:hAnsi="微软雅黑" w:cs="宋体"/>
          <w:kern w:val="0"/>
          <w:sz w:val="24"/>
          <w:szCs w:val="24"/>
        </w:rPr>
        <w:t> , </w:t>
      </w:r>
      <w:hyperlink r:id="rId58" w:anchor="B28-curroncol-29-00756" w:history="1">
        <w:r w:rsidRPr="0023503F">
          <w:rPr>
            <w:rFonts w:ascii="微软雅黑" w:eastAsia="微软雅黑" w:hAnsi="微软雅黑" w:cs="宋体"/>
            <w:kern w:val="0"/>
            <w:sz w:val="24"/>
            <w:szCs w:val="24"/>
            <w:u w:val="single"/>
          </w:rPr>
          <w:t>28</w:t>
        </w:r>
      </w:hyperlink>
      <w:r w:rsidRPr="0023503F">
        <w:rPr>
          <w:rFonts w:ascii="微软雅黑" w:eastAsia="微软雅黑" w:hAnsi="微软雅黑" w:cs="宋体"/>
          <w:kern w:val="0"/>
          <w:sz w:val="24"/>
          <w:szCs w:val="24"/>
        </w:rPr>
        <w:t> ]。</w:t>
      </w:r>
    </w:p>
    <w:p w14:paraId="602CE6B0" w14:textId="77777777" w:rsidR="0023503F" w:rsidRPr="0023503F" w:rsidRDefault="0023503F" w:rsidP="0023503F">
      <w:pPr>
        <w:widowControl/>
        <w:spacing w:before="450"/>
        <w:rPr>
          <w:rFonts w:ascii="微软雅黑" w:eastAsia="微软雅黑" w:hAnsi="微软雅黑" w:cs="宋体"/>
          <w:kern w:val="0"/>
          <w:sz w:val="24"/>
          <w:szCs w:val="24"/>
        </w:rPr>
      </w:pPr>
      <w:proofErr w:type="spellStart"/>
      <w:r w:rsidRPr="0023503F">
        <w:rPr>
          <w:rFonts w:ascii="微软雅黑" w:eastAsia="微软雅黑" w:hAnsi="微软雅黑" w:cs="宋体"/>
          <w:kern w:val="0"/>
          <w:sz w:val="24"/>
          <w:szCs w:val="24"/>
        </w:rPr>
        <w:lastRenderedPageBreak/>
        <w:t>Piezzo</w:t>
      </w:r>
      <w:proofErr w:type="spellEnd"/>
      <w:r w:rsidRPr="0023503F">
        <w:rPr>
          <w:rFonts w:ascii="微软雅黑" w:eastAsia="微软雅黑" w:hAnsi="微软雅黑" w:cs="宋体"/>
          <w:kern w:val="0"/>
          <w:sz w:val="24"/>
          <w:szCs w:val="24"/>
        </w:rPr>
        <w:t xml:space="preserve"> 等人的汇总荟萃分析支持了这些数据，其中包括 MONALEESA、MONARCH 和 PALOMA 试验（这些试验均有总生存期数据）：无论 AI 耐药或敏感，接受 CDK4/6 抑制剂治疗的患者死亡风险均显著降低，汇总 HR 为 0.760 ( </w:t>
      </w:r>
      <w:r w:rsidRPr="0023503F">
        <w:rPr>
          <w:rFonts w:ascii="微软雅黑" w:eastAsia="微软雅黑" w:hAnsi="微软雅黑" w:cs="宋体"/>
          <w:i/>
          <w:iCs/>
          <w:kern w:val="0"/>
          <w:sz w:val="24"/>
          <w:szCs w:val="24"/>
        </w:rPr>
        <w:t>p</w:t>
      </w:r>
      <w:r w:rsidRPr="0023503F">
        <w:rPr>
          <w:rFonts w:ascii="微软雅黑" w:eastAsia="微软雅黑" w:hAnsi="微软雅黑" w:cs="宋体"/>
          <w:kern w:val="0"/>
          <w:sz w:val="24"/>
          <w:szCs w:val="24"/>
        </w:rPr>
        <w:t> &lt; 0.0001)。此外，按 CDK4/6 抑制剂类型分组后，</w:t>
      </w:r>
      <w:proofErr w:type="spellStart"/>
      <w:r w:rsidRPr="0023503F">
        <w:rPr>
          <w:rFonts w:ascii="微软雅黑" w:eastAsia="微软雅黑" w:hAnsi="微软雅黑" w:cs="宋体"/>
          <w:kern w:val="0"/>
          <w:sz w:val="24"/>
          <w:szCs w:val="24"/>
        </w:rPr>
        <w:t>Ribociclib</w:t>
      </w:r>
      <w:proofErr w:type="spellEnd"/>
      <w:r w:rsidRPr="0023503F">
        <w:rPr>
          <w:rFonts w:ascii="微软雅黑" w:eastAsia="微软雅黑" w:hAnsi="微软雅黑" w:cs="宋体"/>
          <w:kern w:val="0"/>
          <w:sz w:val="24"/>
          <w:szCs w:val="24"/>
        </w:rPr>
        <w:t xml:space="preserve"> 和 </w:t>
      </w:r>
      <w:proofErr w:type="spellStart"/>
      <w:r w:rsidRPr="0023503F">
        <w:rPr>
          <w:rFonts w:ascii="微软雅黑" w:eastAsia="微软雅黑" w:hAnsi="微软雅黑" w:cs="宋体"/>
          <w:kern w:val="0"/>
          <w:sz w:val="24"/>
          <w:szCs w:val="24"/>
        </w:rPr>
        <w:t>Abemaciclib</w:t>
      </w:r>
      <w:proofErr w:type="spellEnd"/>
      <w:r w:rsidRPr="0023503F">
        <w:rPr>
          <w:rFonts w:ascii="微软雅黑" w:eastAsia="微软雅黑" w:hAnsi="微软雅黑" w:cs="宋体"/>
          <w:kern w:val="0"/>
          <w:sz w:val="24"/>
          <w:szCs w:val="24"/>
        </w:rPr>
        <w:t xml:space="preserve"> 证实了死亡风险的显著降低，而 Palbociclib 是唯一未显示 OS 统计学 HR 的同类药物。然而，由于交互作用检验表明这些差异可能归因于偶然因素，因此应谨慎解读这些数据，因为入组人群、研究设计以及后续或紧急治疗的差异可能会影响结果 [ </w:t>
      </w:r>
      <w:hyperlink r:id="rId59" w:anchor="B21-curroncol-29-00756" w:history="1">
        <w:r w:rsidRPr="0023503F">
          <w:rPr>
            <w:rFonts w:ascii="微软雅黑" w:eastAsia="微软雅黑" w:hAnsi="微软雅黑" w:cs="宋体"/>
            <w:kern w:val="0"/>
            <w:sz w:val="24"/>
            <w:szCs w:val="24"/>
            <w:u w:val="single"/>
          </w:rPr>
          <w:t>21</w:t>
        </w:r>
      </w:hyperlink>
      <w:r w:rsidRPr="0023503F">
        <w:rPr>
          <w:rFonts w:ascii="微软雅黑" w:eastAsia="微软雅黑" w:hAnsi="微软雅黑" w:cs="宋体"/>
          <w:kern w:val="0"/>
          <w:sz w:val="24"/>
          <w:szCs w:val="24"/>
        </w:rPr>
        <w:t> ]。</w:t>
      </w:r>
    </w:p>
    <w:p w14:paraId="359AE42D"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由于这三种 CDK4/6 抑制剂尚未在随机临床试验中进行直接的头对头比较，因此选择哪种 CDK4/6 抑制剂与 ET 联用取决于安全性差异、给药方案不同以及患者合并症等因素。不良反应与高增殖组织（例如造血组织和胃肠道组织）的细胞周期阻滞有关，因此这些药物与贫血、白细胞减少症和中性粒细胞减少症相关，尤其是 CDK6 抑制剂，因为 CDK6 主要参与造血过程 [ </w:t>
      </w:r>
      <w:hyperlink r:id="rId60" w:anchor="B29-curroncol-29-00756" w:history="1">
        <w:r w:rsidRPr="0023503F">
          <w:rPr>
            <w:rFonts w:ascii="微软雅黑" w:eastAsia="微软雅黑" w:hAnsi="微软雅黑" w:cs="宋体"/>
            <w:kern w:val="0"/>
            <w:sz w:val="24"/>
            <w:szCs w:val="24"/>
            <w:u w:val="single"/>
          </w:rPr>
          <w:t>29</w:t>
        </w:r>
      </w:hyperlink>
      <w:r w:rsidRPr="0023503F">
        <w:rPr>
          <w:rFonts w:ascii="微软雅黑" w:eastAsia="微软雅黑" w:hAnsi="微软雅黑" w:cs="宋体"/>
          <w:kern w:val="0"/>
          <w:sz w:val="24"/>
          <w:szCs w:val="24"/>
        </w:rPr>
        <w:t> ]。值得注意的是，阿贝西利对其他细胞周期蛋白依赖性激酶也显示出活性，并且对 CDK4 的选择性高于 CDK6，因此血液毒性较低，但胃肠道疾病（如恶心和腹泻）的发生率较高，这些疾病也可能由 CDK9 阻断</w:t>
      </w:r>
      <w:proofErr w:type="gramStart"/>
      <w:r w:rsidRPr="0023503F">
        <w:rPr>
          <w:rFonts w:ascii="微软雅黑" w:eastAsia="微软雅黑" w:hAnsi="微软雅黑" w:cs="宋体"/>
          <w:kern w:val="0"/>
          <w:sz w:val="24"/>
          <w:szCs w:val="24"/>
        </w:rPr>
        <w:t>介</w:t>
      </w:r>
      <w:proofErr w:type="gramEnd"/>
      <w:r w:rsidRPr="0023503F">
        <w:rPr>
          <w:rFonts w:ascii="微软雅黑" w:eastAsia="微软雅黑" w:hAnsi="微软雅黑" w:cs="宋体"/>
          <w:kern w:val="0"/>
          <w:sz w:val="24"/>
          <w:szCs w:val="24"/>
        </w:rPr>
        <w:t>导 [ </w:t>
      </w:r>
      <w:hyperlink r:id="rId61" w:anchor="B30-curroncol-29-00756" w:history="1">
        <w:r w:rsidRPr="0023503F">
          <w:rPr>
            <w:rFonts w:ascii="微软雅黑" w:eastAsia="微软雅黑" w:hAnsi="微软雅黑" w:cs="宋体"/>
            <w:kern w:val="0"/>
            <w:sz w:val="24"/>
            <w:szCs w:val="24"/>
            <w:u w:val="single"/>
          </w:rPr>
          <w:t>30</w:t>
        </w:r>
      </w:hyperlink>
      <w:r w:rsidRPr="0023503F">
        <w:rPr>
          <w:rFonts w:ascii="微软雅黑" w:eastAsia="微软雅黑" w:hAnsi="微软雅黑" w:cs="宋体"/>
          <w:kern w:val="0"/>
          <w:sz w:val="24"/>
          <w:szCs w:val="24"/>
        </w:rPr>
        <w:t> ]。阿贝西利（</w:t>
      </w:r>
      <w:proofErr w:type="spellStart"/>
      <w:r w:rsidRPr="0023503F">
        <w:rPr>
          <w:rFonts w:ascii="微软雅黑" w:eastAsia="微软雅黑" w:hAnsi="微软雅黑" w:cs="宋体"/>
          <w:kern w:val="0"/>
          <w:sz w:val="24"/>
          <w:szCs w:val="24"/>
        </w:rPr>
        <w:t>Abemaciclib</w:t>
      </w:r>
      <w:proofErr w:type="spellEnd"/>
      <w:r w:rsidRPr="0023503F">
        <w:rPr>
          <w:rFonts w:ascii="微软雅黑" w:eastAsia="微软雅黑" w:hAnsi="微软雅黑" w:cs="宋体"/>
          <w:kern w:val="0"/>
          <w:sz w:val="24"/>
          <w:szCs w:val="24"/>
        </w:rPr>
        <w:t>）也与肾小管转运蛋白抑制引起的血肌</w:t>
      </w:r>
      <w:proofErr w:type="gramStart"/>
      <w:r w:rsidRPr="0023503F">
        <w:rPr>
          <w:rFonts w:ascii="微软雅黑" w:eastAsia="微软雅黑" w:hAnsi="微软雅黑" w:cs="宋体"/>
          <w:kern w:val="0"/>
          <w:sz w:val="24"/>
          <w:szCs w:val="24"/>
        </w:rPr>
        <w:t>酐</w:t>
      </w:r>
      <w:proofErr w:type="gramEnd"/>
      <w:r w:rsidRPr="0023503F">
        <w:rPr>
          <w:rFonts w:ascii="微软雅黑" w:eastAsia="微软雅黑" w:hAnsi="微软雅黑" w:cs="宋体"/>
          <w:kern w:val="0"/>
          <w:sz w:val="24"/>
          <w:szCs w:val="24"/>
        </w:rPr>
        <w:t>水平可逆性升高有关，但不会损害肾小球功能，因此其在肾功能不全患者中的使用应谨慎评估[ </w:t>
      </w:r>
      <w:hyperlink r:id="rId62" w:anchor="B31-curroncol-29-00756" w:history="1">
        <w:r w:rsidRPr="0023503F">
          <w:rPr>
            <w:rFonts w:ascii="微软雅黑" w:eastAsia="微软雅黑" w:hAnsi="微软雅黑" w:cs="宋体"/>
            <w:kern w:val="0"/>
            <w:sz w:val="24"/>
            <w:szCs w:val="24"/>
            <w:u w:val="single"/>
          </w:rPr>
          <w:t>31</w:t>
        </w:r>
      </w:hyperlink>
      <w:r w:rsidRPr="0023503F">
        <w:rPr>
          <w:rFonts w:ascii="微软雅黑" w:eastAsia="微软雅黑" w:hAnsi="微软雅黑" w:cs="宋体"/>
          <w:kern w:val="0"/>
          <w:sz w:val="24"/>
          <w:szCs w:val="24"/>
        </w:rPr>
        <w:t> ]。此外，QTc间期延长、肝毒性和间质性肺病是瑞博西尼（</w:t>
      </w:r>
      <w:proofErr w:type="spellStart"/>
      <w:r w:rsidRPr="0023503F">
        <w:rPr>
          <w:rFonts w:ascii="微软雅黑" w:eastAsia="微软雅黑" w:hAnsi="微软雅黑" w:cs="宋体"/>
          <w:kern w:val="0"/>
          <w:sz w:val="24"/>
          <w:szCs w:val="24"/>
        </w:rPr>
        <w:t>Ribociclib</w:t>
      </w:r>
      <w:proofErr w:type="spellEnd"/>
      <w:r w:rsidRPr="0023503F">
        <w:rPr>
          <w:rFonts w:ascii="微软雅黑" w:eastAsia="微软雅黑" w:hAnsi="微软雅黑" w:cs="宋体"/>
          <w:kern w:val="0"/>
          <w:sz w:val="24"/>
          <w:szCs w:val="24"/>
        </w:rPr>
        <w:t>）主要相关的副作用[ </w:t>
      </w:r>
      <w:hyperlink r:id="rId63" w:anchor="B31-curroncol-29-00756" w:history="1">
        <w:r w:rsidRPr="0023503F">
          <w:rPr>
            <w:rFonts w:ascii="微软雅黑" w:eastAsia="微软雅黑" w:hAnsi="微软雅黑" w:cs="宋体"/>
            <w:kern w:val="0"/>
            <w:sz w:val="24"/>
            <w:szCs w:val="24"/>
            <w:u w:val="single"/>
          </w:rPr>
          <w:t>31</w:t>
        </w:r>
      </w:hyperlink>
      <w:r w:rsidRPr="0023503F">
        <w:rPr>
          <w:rFonts w:ascii="微软雅黑" w:eastAsia="微软雅黑" w:hAnsi="微软雅黑" w:cs="宋体"/>
          <w:kern w:val="0"/>
          <w:sz w:val="24"/>
          <w:szCs w:val="24"/>
        </w:rPr>
        <w:t> ]。</w:t>
      </w:r>
    </w:p>
    <w:p w14:paraId="1230696B"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因此，考虑到现有文献数据表明 CDK4/6 抑制剂治疗与化疗在客观缓解率 (ORR) 和无进展生存期 (PFS) 方面差异不显著，且观察到的疗效迅速令人鼓舞，</w:t>
      </w:r>
      <w:r w:rsidRPr="0023503F">
        <w:rPr>
          <w:rFonts w:ascii="微软雅黑" w:eastAsia="微软雅黑" w:hAnsi="微软雅黑" w:cs="宋体"/>
          <w:kern w:val="0"/>
          <w:sz w:val="24"/>
          <w:szCs w:val="24"/>
        </w:rPr>
        <w:lastRenderedPageBreak/>
        <w:t>我们选择 CDK4/6 抑制剂联合内分泌治疗 (ET) 作为该患者的一线治疗方案。CDK4/6 抑制剂良好的安全性是另一优势。此外，由于患者骨髓功能良好，且在输血和对乳腺溃疡病灶进行适当的局部处理后血红蛋白值稳定，因此该患者并未出现典型的内脏危象所致的严重器官损害。</w:t>
      </w:r>
    </w:p>
    <w:p w14:paraId="6648E3E4" w14:textId="77777777" w:rsidR="0023503F" w:rsidRPr="0023503F" w:rsidRDefault="0023503F" w:rsidP="0023503F">
      <w:pPr>
        <w:widowControl/>
        <w:pBdr>
          <w:bottom w:val="single" w:sz="6" w:space="0" w:color="97B1C8"/>
        </w:pBdr>
        <w:spacing w:line="450" w:lineRule="atLeast"/>
        <w:outlineLvl w:val="1"/>
        <w:rPr>
          <w:rFonts w:ascii="微软雅黑" w:eastAsia="微软雅黑" w:hAnsi="微软雅黑" w:cs="宋体"/>
          <w:kern w:val="0"/>
          <w:sz w:val="34"/>
          <w:szCs w:val="34"/>
        </w:rPr>
      </w:pPr>
      <w:r w:rsidRPr="0023503F">
        <w:rPr>
          <w:rFonts w:ascii="微软雅黑" w:eastAsia="微软雅黑" w:hAnsi="微软雅黑" w:cs="宋体"/>
          <w:kern w:val="0"/>
          <w:sz w:val="34"/>
          <w:szCs w:val="34"/>
        </w:rPr>
        <w:t>4. 结论</w:t>
      </w:r>
    </w:p>
    <w:p w14:paraId="155BA09C" w14:textId="77777777" w:rsidR="0023503F" w:rsidRPr="0023503F" w:rsidRDefault="0023503F" w:rsidP="0023503F">
      <w:pPr>
        <w:widowControl/>
        <w:spacing w:before="450"/>
        <w:rPr>
          <w:rFonts w:ascii="微软雅黑" w:eastAsia="微软雅黑" w:hAnsi="微软雅黑" w:cs="宋体"/>
          <w:kern w:val="0"/>
          <w:sz w:val="24"/>
          <w:szCs w:val="24"/>
        </w:rPr>
      </w:pPr>
      <w:r w:rsidRPr="0023503F">
        <w:rPr>
          <w:rFonts w:ascii="微软雅黑" w:eastAsia="微软雅黑" w:hAnsi="微软雅黑" w:cs="宋体"/>
          <w:kern w:val="0"/>
          <w:sz w:val="24"/>
          <w:szCs w:val="24"/>
        </w:rPr>
        <w:t xml:space="preserve">尽管目前尚无关于 CDK4/6 抑制剂在内脏危象中疗效和安全性的文献数据，但多项研究表明，这些药物具有较高的缓解率和显著的疾病控制效果。在少数直接比较数据中，CDK4/6 抑制剂联合内分泌治疗 (ET) 的客观缓解率 (ORR) 与单药化疗 (CT) 相当，且毒性更低。值得注意的是，在 MONARCH 3 试验中，评估了阿贝西利联合芳香化酶抑制剂 (AI) 治疗绝经后内分泌敏感性疾病患者的疗效，结果显示，可测量病灶患者的 ORR 达到 61%，中位缓解持续时间 (DOR) 为 32.7 </w:t>
      </w:r>
      <w:proofErr w:type="gramStart"/>
      <w:r w:rsidRPr="0023503F">
        <w:rPr>
          <w:rFonts w:ascii="微软雅黑" w:eastAsia="微软雅黑" w:hAnsi="微软雅黑" w:cs="宋体"/>
          <w:kern w:val="0"/>
          <w:sz w:val="24"/>
          <w:szCs w:val="24"/>
        </w:rPr>
        <w:t>个</w:t>
      </w:r>
      <w:proofErr w:type="gramEnd"/>
      <w:r w:rsidRPr="0023503F">
        <w:rPr>
          <w:rFonts w:ascii="微软雅黑" w:eastAsia="微软雅黑" w:hAnsi="微软雅黑" w:cs="宋体"/>
          <w:kern w:val="0"/>
          <w:sz w:val="24"/>
          <w:szCs w:val="24"/>
        </w:rPr>
        <w:t>月 [ </w:t>
      </w:r>
      <w:hyperlink r:id="rId64" w:anchor="B32-curroncol-29-00756" w:history="1">
        <w:r w:rsidRPr="0023503F">
          <w:rPr>
            <w:rFonts w:ascii="微软雅黑" w:eastAsia="微软雅黑" w:hAnsi="微软雅黑" w:cs="宋体"/>
            <w:kern w:val="0"/>
            <w:sz w:val="24"/>
            <w:szCs w:val="24"/>
            <w:u w:val="single"/>
          </w:rPr>
          <w:t>32</w:t>
        </w:r>
      </w:hyperlink>
      <w:r w:rsidRPr="0023503F">
        <w:rPr>
          <w:rFonts w:ascii="微软雅黑" w:eastAsia="微软雅黑" w:hAnsi="微软雅黑" w:cs="宋体"/>
          <w:kern w:val="0"/>
          <w:sz w:val="24"/>
          <w:szCs w:val="24"/>
        </w:rPr>
        <w:t> ]。因此，我们的病例报告也支持在无严重器官功能障碍或疾病快速进展的情况下，经多学科会诊后，在危重临床情况下优先考虑使用 CDK4/6 抑制剂联合治疗。</w:t>
      </w:r>
    </w:p>
    <w:p w14:paraId="1C6707D9" w14:textId="77777777" w:rsidR="00A4497F" w:rsidRPr="0023503F" w:rsidRDefault="00A4497F" w:rsidP="0023503F">
      <w:pPr>
        <w:rPr>
          <w:rFonts w:ascii="微软雅黑" w:eastAsia="微软雅黑" w:hAnsi="微软雅黑"/>
        </w:rPr>
      </w:pPr>
    </w:p>
    <w:sectPr w:rsidR="00A4497F" w:rsidRPr="0023503F">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446FE6"/>
    <w:multiLevelType w:val="multilevel"/>
    <w:tmpl w:val="4456F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97F"/>
    <w:rsid w:val="0023503F"/>
    <w:rsid w:val="00A449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4CB67"/>
  <w15:chartTrackingRefBased/>
  <w15:docId w15:val="{5D59ED6E-F6FE-4691-86A1-8C7CC1253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23503F"/>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23503F"/>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23503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3503F"/>
    <w:rPr>
      <w:rFonts w:ascii="宋体" w:eastAsia="宋体" w:hAnsi="宋体" w:cs="宋体"/>
      <w:b/>
      <w:bCs/>
      <w:kern w:val="36"/>
      <w:sz w:val="48"/>
      <w:szCs w:val="48"/>
    </w:rPr>
  </w:style>
  <w:style w:type="character" w:customStyle="1" w:styleId="20">
    <w:name w:val="标题 2 字符"/>
    <w:basedOn w:val="a0"/>
    <w:link w:val="2"/>
    <w:uiPriority w:val="9"/>
    <w:rsid w:val="0023503F"/>
    <w:rPr>
      <w:rFonts w:ascii="宋体" w:eastAsia="宋体" w:hAnsi="宋体" w:cs="宋体"/>
      <w:b/>
      <w:bCs/>
      <w:kern w:val="0"/>
      <w:sz w:val="36"/>
      <w:szCs w:val="36"/>
    </w:rPr>
  </w:style>
  <w:style w:type="character" w:customStyle="1" w:styleId="30">
    <w:name w:val="标题 3 字符"/>
    <w:basedOn w:val="a0"/>
    <w:link w:val="3"/>
    <w:uiPriority w:val="9"/>
    <w:rsid w:val="0023503F"/>
    <w:rPr>
      <w:rFonts w:ascii="宋体" w:eastAsia="宋体" w:hAnsi="宋体" w:cs="宋体"/>
      <w:b/>
      <w:bCs/>
      <w:kern w:val="0"/>
      <w:sz w:val="27"/>
      <w:szCs w:val="27"/>
    </w:rPr>
  </w:style>
  <w:style w:type="character" w:styleId="a3">
    <w:name w:val="Hyperlink"/>
    <w:basedOn w:val="a0"/>
    <w:uiPriority w:val="99"/>
    <w:semiHidden/>
    <w:unhideWhenUsed/>
    <w:rsid w:val="0023503F"/>
    <w:rPr>
      <w:color w:val="0000FF"/>
      <w:u w:val="single"/>
    </w:rPr>
  </w:style>
  <w:style w:type="character" w:customStyle="1" w:styleId="name">
    <w:name w:val="name"/>
    <w:basedOn w:val="a0"/>
    <w:rsid w:val="0023503F"/>
  </w:style>
  <w:style w:type="paragraph" w:styleId="a4">
    <w:name w:val="Normal (Web)"/>
    <w:basedOn w:val="a"/>
    <w:uiPriority w:val="99"/>
    <w:semiHidden/>
    <w:unhideWhenUsed/>
    <w:rsid w:val="0023503F"/>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23503F"/>
    <w:rPr>
      <w:b/>
      <w:bCs/>
    </w:rPr>
  </w:style>
  <w:style w:type="paragraph" w:customStyle="1" w:styleId="img-box">
    <w:name w:val="img-box"/>
    <w:basedOn w:val="a"/>
    <w:rsid w:val="0023503F"/>
    <w:pPr>
      <w:widowControl/>
      <w:spacing w:before="100" w:beforeAutospacing="1" w:after="100" w:afterAutospacing="1"/>
      <w:jc w:val="left"/>
    </w:pPr>
    <w:rPr>
      <w:rFonts w:ascii="宋体" w:eastAsia="宋体" w:hAnsi="宋体" w:cs="宋体"/>
      <w:kern w:val="0"/>
      <w:sz w:val="24"/>
      <w:szCs w:val="24"/>
    </w:rPr>
  </w:style>
  <w:style w:type="character" w:styleId="a6">
    <w:name w:val="Emphasis"/>
    <w:basedOn w:val="a0"/>
    <w:uiPriority w:val="20"/>
    <w:qFormat/>
    <w:rsid w:val="0023503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4775003">
      <w:bodyDiv w:val="1"/>
      <w:marLeft w:val="0"/>
      <w:marRight w:val="0"/>
      <w:marTop w:val="0"/>
      <w:marBottom w:val="0"/>
      <w:divBdr>
        <w:top w:val="none" w:sz="0" w:space="0" w:color="auto"/>
        <w:left w:val="none" w:sz="0" w:space="0" w:color="auto"/>
        <w:bottom w:val="none" w:sz="0" w:space="0" w:color="auto"/>
        <w:right w:val="none" w:sz="0" w:space="0" w:color="auto"/>
      </w:divBdr>
      <w:divsChild>
        <w:div w:id="1079250750">
          <w:marLeft w:val="0"/>
          <w:marRight w:val="0"/>
          <w:marTop w:val="0"/>
          <w:marBottom w:val="0"/>
          <w:divBdr>
            <w:top w:val="none" w:sz="0" w:space="0" w:color="auto"/>
            <w:left w:val="none" w:sz="0" w:space="0" w:color="auto"/>
            <w:bottom w:val="none" w:sz="0" w:space="0" w:color="auto"/>
            <w:right w:val="none" w:sz="0" w:space="0" w:color="auto"/>
          </w:divBdr>
          <w:divsChild>
            <w:div w:id="1515000624">
              <w:marLeft w:val="0"/>
              <w:marRight w:val="0"/>
              <w:marTop w:val="225"/>
              <w:marBottom w:val="0"/>
              <w:divBdr>
                <w:top w:val="none" w:sz="0" w:space="0" w:color="auto"/>
                <w:left w:val="none" w:sz="0" w:space="0" w:color="auto"/>
                <w:bottom w:val="none" w:sz="0" w:space="0" w:color="auto"/>
                <w:right w:val="none" w:sz="0" w:space="0" w:color="auto"/>
              </w:divBdr>
            </w:div>
            <w:div w:id="697048531">
              <w:marLeft w:val="0"/>
              <w:marRight w:val="0"/>
              <w:marTop w:val="0"/>
              <w:marBottom w:val="0"/>
              <w:divBdr>
                <w:top w:val="none" w:sz="0" w:space="0" w:color="auto"/>
                <w:left w:val="none" w:sz="0" w:space="0" w:color="auto"/>
                <w:bottom w:val="none" w:sz="0" w:space="0" w:color="auto"/>
                <w:right w:val="none" w:sz="0" w:space="0" w:color="auto"/>
              </w:divBdr>
            </w:div>
          </w:divsChild>
        </w:div>
        <w:div w:id="1040593958">
          <w:marLeft w:val="0"/>
          <w:marRight w:val="0"/>
          <w:marTop w:val="450"/>
          <w:marBottom w:val="0"/>
          <w:divBdr>
            <w:top w:val="none" w:sz="0" w:space="0" w:color="auto"/>
            <w:left w:val="none" w:sz="0" w:space="0" w:color="auto"/>
            <w:bottom w:val="none" w:sz="0" w:space="0" w:color="auto"/>
            <w:right w:val="none" w:sz="0" w:space="0" w:color="auto"/>
          </w:divBdr>
        </w:div>
        <w:div w:id="534658023">
          <w:marLeft w:val="0"/>
          <w:marRight w:val="0"/>
          <w:marTop w:val="450"/>
          <w:marBottom w:val="0"/>
          <w:divBdr>
            <w:top w:val="none" w:sz="0" w:space="0" w:color="auto"/>
            <w:left w:val="none" w:sz="0" w:space="0" w:color="auto"/>
            <w:bottom w:val="none" w:sz="0" w:space="0" w:color="auto"/>
            <w:right w:val="none" w:sz="0" w:space="0" w:color="auto"/>
          </w:divBdr>
        </w:div>
        <w:div w:id="643240421">
          <w:marLeft w:val="0"/>
          <w:marRight w:val="0"/>
          <w:marTop w:val="450"/>
          <w:marBottom w:val="0"/>
          <w:divBdr>
            <w:top w:val="none" w:sz="0" w:space="0" w:color="auto"/>
            <w:left w:val="none" w:sz="0" w:space="0" w:color="auto"/>
            <w:bottom w:val="none" w:sz="0" w:space="0" w:color="auto"/>
            <w:right w:val="none" w:sz="0" w:space="0" w:color="auto"/>
          </w:divBdr>
        </w:div>
        <w:div w:id="309218442">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pmc.ncbi.nlm.nih.gov/articles/PMC9777243/" TargetMode="External"/><Relationship Id="rId21" Type="http://schemas.openxmlformats.org/officeDocument/2006/relationships/hyperlink" Target="https://pmc.ncbi.nlm.nih.gov/articles/PMC9777243/" TargetMode="External"/><Relationship Id="rId34" Type="http://schemas.openxmlformats.org/officeDocument/2006/relationships/image" Target="media/image5.jpeg"/><Relationship Id="rId42" Type="http://schemas.openxmlformats.org/officeDocument/2006/relationships/hyperlink" Target="https://pmc.ncbi.nlm.nih.gov/articles/PMC9777243/" TargetMode="External"/><Relationship Id="rId47" Type="http://schemas.openxmlformats.org/officeDocument/2006/relationships/hyperlink" Target="https://pmc.ncbi.nlm.nih.gov/articles/PMC9777243/" TargetMode="External"/><Relationship Id="rId50" Type="http://schemas.openxmlformats.org/officeDocument/2006/relationships/hyperlink" Target="https://pmc.ncbi.nlm.nih.gov/articles/PMC9777243/" TargetMode="External"/><Relationship Id="rId55" Type="http://schemas.openxmlformats.org/officeDocument/2006/relationships/hyperlink" Target="https://pmc.ncbi.nlm.nih.gov/articles/PMC9777243/" TargetMode="External"/><Relationship Id="rId63" Type="http://schemas.openxmlformats.org/officeDocument/2006/relationships/hyperlink" Target="https://pmc.ncbi.nlm.nih.gov/articles/PMC9777243/" TargetMode="External"/><Relationship Id="rId7" Type="http://schemas.openxmlformats.org/officeDocument/2006/relationships/hyperlink" Target="https://pmc.ncbi.nlm.nih.gov/articles/PMC9777243/" TargetMode="External"/><Relationship Id="rId2" Type="http://schemas.openxmlformats.org/officeDocument/2006/relationships/styles" Target="styles.xml"/><Relationship Id="rId16" Type="http://schemas.openxmlformats.org/officeDocument/2006/relationships/hyperlink" Target="https://pmc.ncbi.nlm.nih.gov/articles/PMC9777243/" TargetMode="External"/><Relationship Id="rId29" Type="http://schemas.openxmlformats.org/officeDocument/2006/relationships/hyperlink" Target="https://pmc.ncbi.nlm.nih.gov/articles/PMC9777243/" TargetMode="External"/><Relationship Id="rId11" Type="http://schemas.openxmlformats.org/officeDocument/2006/relationships/hyperlink" Target="https://pmc.ncbi.nlm.nih.gov/articles/PMC9777243/" TargetMode="External"/><Relationship Id="rId24" Type="http://schemas.openxmlformats.org/officeDocument/2006/relationships/image" Target="media/image2.jpeg"/><Relationship Id="rId32" Type="http://schemas.openxmlformats.org/officeDocument/2006/relationships/hyperlink" Target="https://pmc.ncbi.nlm.nih.gov/articles/PMC9777243/" TargetMode="External"/><Relationship Id="rId37" Type="http://schemas.openxmlformats.org/officeDocument/2006/relationships/hyperlink" Target="https://pmc.ncbi.nlm.nih.gov/articles/PMC9777243/" TargetMode="External"/><Relationship Id="rId40" Type="http://schemas.openxmlformats.org/officeDocument/2006/relationships/hyperlink" Target="https://pmc.ncbi.nlm.nih.gov/articles/PMC9777243/" TargetMode="External"/><Relationship Id="rId45" Type="http://schemas.openxmlformats.org/officeDocument/2006/relationships/hyperlink" Target="https://pmc.ncbi.nlm.nih.gov/articles/PMC9777243/" TargetMode="External"/><Relationship Id="rId53" Type="http://schemas.openxmlformats.org/officeDocument/2006/relationships/hyperlink" Target="https://pmc.ncbi.nlm.nih.gov/articles/PMC9777243/" TargetMode="External"/><Relationship Id="rId58" Type="http://schemas.openxmlformats.org/officeDocument/2006/relationships/hyperlink" Target="https://pmc.ncbi.nlm.nih.gov/articles/PMC9777243/" TargetMode="External"/><Relationship Id="rId66" Type="http://schemas.openxmlformats.org/officeDocument/2006/relationships/theme" Target="theme/theme1.xml"/><Relationship Id="rId5" Type="http://schemas.openxmlformats.org/officeDocument/2006/relationships/hyperlink" Target="https://pmc.ncbi.nlm.nih.gov/articles/PMC9777243/" TargetMode="External"/><Relationship Id="rId61" Type="http://schemas.openxmlformats.org/officeDocument/2006/relationships/hyperlink" Target="https://pmc.ncbi.nlm.nih.gov/articles/PMC9777243/" TargetMode="External"/><Relationship Id="rId19" Type="http://schemas.openxmlformats.org/officeDocument/2006/relationships/hyperlink" Target="https://pmc.ncbi.nlm.nih.gov/articles/PMC9777243/" TargetMode="External"/><Relationship Id="rId14" Type="http://schemas.openxmlformats.org/officeDocument/2006/relationships/hyperlink" Target="https://pmc.ncbi.nlm.nih.gov/articles/PMC9777243/" TargetMode="External"/><Relationship Id="rId22" Type="http://schemas.openxmlformats.org/officeDocument/2006/relationships/hyperlink" Target="https://www.ncbi.nlm.nih.gov/core/lw/2.0/html/tileshop_pmc/tileshop_pmc_inline.html?title=Click%20on%20image%20to%20zoom&amp;p=PMC3&amp;id=9777243_curroncol-29-00756-g001a.jpg" TargetMode="External"/><Relationship Id="rId27" Type="http://schemas.openxmlformats.org/officeDocument/2006/relationships/hyperlink" Target="https://www.ncbi.nlm.nih.gov/core/lw/2.0/html/tileshop_pmc/tileshop_pmc_inline.html?title=Click%20on%20image%20to%20zoom&amp;p=PMC3&amp;id=9777243_curroncol-29-00756-g002.jpg" TargetMode="External"/><Relationship Id="rId30" Type="http://schemas.openxmlformats.org/officeDocument/2006/relationships/hyperlink" Target="https://www.ncbi.nlm.nih.gov/core/lw/2.0/html/tileshop_pmc/tileshop_pmc_inline.html?title=Click%20on%20image%20to%20zoom&amp;p=PMC3&amp;id=9777243_curroncol-29-00756-g003.jpg" TargetMode="External"/><Relationship Id="rId35" Type="http://schemas.openxmlformats.org/officeDocument/2006/relationships/hyperlink" Target="https://pmc.ncbi.nlm.nih.gov/articles/PMC9777243/" TargetMode="External"/><Relationship Id="rId43" Type="http://schemas.openxmlformats.org/officeDocument/2006/relationships/hyperlink" Target="https://pmc.ncbi.nlm.nih.gov/articles/PMC9777243/" TargetMode="External"/><Relationship Id="rId48" Type="http://schemas.openxmlformats.org/officeDocument/2006/relationships/hyperlink" Target="https://pmc.ncbi.nlm.nih.gov/articles/PMC9777243/" TargetMode="External"/><Relationship Id="rId56" Type="http://schemas.openxmlformats.org/officeDocument/2006/relationships/hyperlink" Target="https://pmc.ncbi.nlm.nih.gov/articles/PMC9777243/" TargetMode="External"/><Relationship Id="rId64" Type="http://schemas.openxmlformats.org/officeDocument/2006/relationships/hyperlink" Target="https://pmc.ncbi.nlm.nih.gov/articles/PMC9777243/" TargetMode="External"/><Relationship Id="rId8" Type="http://schemas.openxmlformats.org/officeDocument/2006/relationships/hyperlink" Target="https://pmc.ncbi.nlm.nih.gov/articles/PMC9777243/" TargetMode="External"/><Relationship Id="rId51" Type="http://schemas.openxmlformats.org/officeDocument/2006/relationships/hyperlink" Target="https://pmc.ncbi.nlm.nih.gov/articles/PMC9777243/" TargetMode="External"/><Relationship Id="rId3" Type="http://schemas.openxmlformats.org/officeDocument/2006/relationships/settings" Target="settings.xml"/><Relationship Id="rId12" Type="http://schemas.openxmlformats.org/officeDocument/2006/relationships/hyperlink" Target="https://pmc.ncbi.nlm.nih.gov/articles/PMC9777243/" TargetMode="External"/><Relationship Id="rId17" Type="http://schemas.openxmlformats.org/officeDocument/2006/relationships/hyperlink" Target="https://pmc.ncbi.nlm.nih.gov/articles/PMC9777243/" TargetMode="External"/><Relationship Id="rId25" Type="http://schemas.openxmlformats.org/officeDocument/2006/relationships/hyperlink" Target="https://pmc.ncbi.nlm.nih.gov/articles/PMC9777243/" TargetMode="External"/><Relationship Id="rId33" Type="http://schemas.openxmlformats.org/officeDocument/2006/relationships/hyperlink" Target="https://www.ncbi.nlm.nih.gov/core/lw/2.0/html/tileshop_pmc/tileshop_pmc_inline.html?title=Click%20on%20image%20to%20zoom&amp;p=PMC3&amp;id=9777243_curroncol-29-00756-g004.jpg" TargetMode="External"/><Relationship Id="rId38" Type="http://schemas.openxmlformats.org/officeDocument/2006/relationships/hyperlink" Target="https://pmc.ncbi.nlm.nih.gov/articles/PMC9777243/" TargetMode="External"/><Relationship Id="rId46" Type="http://schemas.openxmlformats.org/officeDocument/2006/relationships/hyperlink" Target="https://pmc.ncbi.nlm.nih.gov/articles/PMC9777243/" TargetMode="External"/><Relationship Id="rId59" Type="http://schemas.openxmlformats.org/officeDocument/2006/relationships/hyperlink" Target="https://pmc.ncbi.nlm.nih.gov/articles/PMC9777243/" TargetMode="External"/><Relationship Id="rId20" Type="http://schemas.openxmlformats.org/officeDocument/2006/relationships/hyperlink" Target="https://pmc.ncbi.nlm.nih.gov/articles/PMC9777243/" TargetMode="External"/><Relationship Id="rId41" Type="http://schemas.openxmlformats.org/officeDocument/2006/relationships/hyperlink" Target="https://pmc.ncbi.nlm.nih.gov/articles/PMC9777243/" TargetMode="External"/><Relationship Id="rId54" Type="http://schemas.openxmlformats.org/officeDocument/2006/relationships/hyperlink" Target="https://pmc.ncbi.nlm.nih.gov/articles/PMC9777243/" TargetMode="External"/><Relationship Id="rId62" Type="http://schemas.openxmlformats.org/officeDocument/2006/relationships/hyperlink" Target="https://pmc.ncbi.nlm.nih.gov/articles/PMC9777243/" TargetMode="External"/><Relationship Id="rId1" Type="http://schemas.openxmlformats.org/officeDocument/2006/relationships/numbering" Target="numbering.xml"/><Relationship Id="rId6" Type="http://schemas.openxmlformats.org/officeDocument/2006/relationships/hyperlink" Target="https://pmc.ncbi.nlm.nih.gov/articles/PMC9777243/" TargetMode="External"/><Relationship Id="rId15" Type="http://schemas.openxmlformats.org/officeDocument/2006/relationships/hyperlink" Target="https://pmc.ncbi.nlm.nih.gov/articles/PMC9777243/" TargetMode="External"/><Relationship Id="rId23" Type="http://schemas.openxmlformats.org/officeDocument/2006/relationships/image" Target="media/image1.jpeg"/><Relationship Id="rId28" Type="http://schemas.openxmlformats.org/officeDocument/2006/relationships/image" Target="media/image3.jpeg"/><Relationship Id="rId36" Type="http://schemas.openxmlformats.org/officeDocument/2006/relationships/hyperlink" Target="https://pmc.ncbi.nlm.nih.gov/articles/PMC9777243/" TargetMode="External"/><Relationship Id="rId49" Type="http://schemas.openxmlformats.org/officeDocument/2006/relationships/hyperlink" Target="https://pmc.ncbi.nlm.nih.gov/articles/PMC9777243/" TargetMode="External"/><Relationship Id="rId57" Type="http://schemas.openxmlformats.org/officeDocument/2006/relationships/hyperlink" Target="https://pmc.ncbi.nlm.nih.gov/articles/PMC9777243/" TargetMode="External"/><Relationship Id="rId10" Type="http://schemas.openxmlformats.org/officeDocument/2006/relationships/hyperlink" Target="https://pmc.ncbi.nlm.nih.gov/articles/PMC9777243/" TargetMode="External"/><Relationship Id="rId31" Type="http://schemas.openxmlformats.org/officeDocument/2006/relationships/image" Target="media/image4.jpeg"/><Relationship Id="rId44" Type="http://schemas.openxmlformats.org/officeDocument/2006/relationships/hyperlink" Target="https://pmc.ncbi.nlm.nih.gov/articles/PMC9777243/" TargetMode="External"/><Relationship Id="rId52" Type="http://schemas.openxmlformats.org/officeDocument/2006/relationships/hyperlink" Target="https://pmc.ncbi.nlm.nih.gov/articles/PMC9777243/" TargetMode="External"/><Relationship Id="rId60" Type="http://schemas.openxmlformats.org/officeDocument/2006/relationships/hyperlink" Target="https://pmc.ncbi.nlm.nih.gov/articles/PMC9777243/"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mc.ncbi.nlm.nih.gov/articles/PMC9777243/" TargetMode="External"/><Relationship Id="rId13" Type="http://schemas.openxmlformats.org/officeDocument/2006/relationships/hyperlink" Target="https://pmc.ncbi.nlm.nih.gov/articles/PMC9777243/" TargetMode="External"/><Relationship Id="rId18" Type="http://schemas.openxmlformats.org/officeDocument/2006/relationships/hyperlink" Target="https://pmc.ncbi.nlm.nih.gov/articles/PMC9777243/" TargetMode="External"/><Relationship Id="rId39" Type="http://schemas.openxmlformats.org/officeDocument/2006/relationships/hyperlink" Target="https://pmc.ncbi.nlm.nih.gov/articles/PMC977724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1833</Words>
  <Characters>10454</Characters>
  <Application>Microsoft Office Word</Application>
  <DocSecurity>0</DocSecurity>
  <Lines>87</Lines>
  <Paragraphs>24</Paragraphs>
  <ScaleCrop>false</ScaleCrop>
  <Company/>
  <LinksUpToDate>false</LinksUpToDate>
  <CharactersWithSpaces>12263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2026-01-11T06:30:00Z</dcterms:created>
  <dcterms:modified xsi:type="dcterms:W3CDTF">2026-01-11T06:31:00Z</dcterms:modified>
</cp:coreProperties>
</file>