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A3BBA4" w14:textId="77777777" w:rsidR="00393E29" w:rsidRPr="00393E29" w:rsidRDefault="00393E29" w:rsidP="00393E29">
      <w:pPr>
        <w:widowControl/>
        <w:spacing w:line="450" w:lineRule="atLeast"/>
        <w:outlineLvl w:val="0"/>
        <w:rPr>
          <w:rFonts w:ascii="微软雅黑" w:eastAsia="微软雅黑" w:hAnsi="微软雅黑" w:cs="宋体"/>
          <w:b/>
          <w:bCs/>
          <w:kern w:val="36"/>
          <w:sz w:val="36"/>
          <w:szCs w:val="36"/>
        </w:rPr>
      </w:pPr>
      <w:r w:rsidRPr="00393E29">
        <w:rPr>
          <w:rFonts w:ascii="微软雅黑" w:eastAsia="微软雅黑" w:hAnsi="微软雅黑" w:cs="宋体"/>
          <w:b/>
          <w:bCs/>
          <w:kern w:val="36"/>
          <w:sz w:val="36"/>
          <w:szCs w:val="36"/>
        </w:rPr>
        <w:t>CDK4/6 和自噬抑制剂协同诱导 Rb 阳性细胞质细胞周期蛋白 E 阴性癌症细胞衰老</w:t>
      </w:r>
    </w:p>
    <w:p w14:paraId="30D5BABA" w14:textId="62655806" w:rsidR="00393E29" w:rsidRPr="00393E29" w:rsidRDefault="00393E29" w:rsidP="00393E29">
      <w:pPr>
        <w:widowControl/>
        <w:pBdr>
          <w:bottom w:val="single" w:sz="6" w:space="0" w:color="97B1C8"/>
        </w:pBdr>
        <w:spacing w:line="450" w:lineRule="atLeast"/>
        <w:outlineLvl w:val="1"/>
        <w:rPr>
          <w:rFonts w:ascii="微软雅黑" w:eastAsia="微软雅黑" w:hAnsi="微软雅黑" w:cs="宋体"/>
          <w:kern w:val="0"/>
          <w:sz w:val="34"/>
          <w:szCs w:val="34"/>
        </w:rPr>
      </w:pPr>
      <w:r w:rsidRPr="00393E29">
        <w:rPr>
          <w:rFonts w:ascii="微软雅黑" w:eastAsia="微软雅黑" w:hAnsi="微软雅黑" w:cs="宋体" w:hint="eastAsia"/>
          <w:kern w:val="0"/>
          <w:sz w:val="34"/>
          <w:szCs w:val="34"/>
        </w:rPr>
        <w:t>摘要</w:t>
      </w:r>
    </w:p>
    <w:p w14:paraId="12694B7D"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细胞周期机制失调是癌症的标志性特征之一。尽管 CDK4/6 抑制剂（帕博西尼）已获 FDA 批准用于治疗晚期雌激素受体阳性乳腺癌，但仍存在两大临床挑战：(</w:t>
      </w:r>
      <w:proofErr w:type="spellStart"/>
      <w:r w:rsidRPr="00393E29">
        <w:rPr>
          <w:rFonts w:ascii="微软雅黑" w:eastAsia="微软雅黑" w:hAnsi="微软雅黑" w:cs="宋体"/>
          <w:kern w:val="0"/>
          <w:sz w:val="24"/>
          <w:szCs w:val="24"/>
        </w:rPr>
        <w:t>i</w:t>
      </w:r>
      <w:proofErr w:type="spellEnd"/>
      <w:r w:rsidRPr="00393E29">
        <w:rPr>
          <w:rFonts w:ascii="微软雅黑" w:eastAsia="微软雅黑" w:hAnsi="微软雅黑" w:cs="宋体"/>
          <w:kern w:val="0"/>
          <w:sz w:val="24"/>
          <w:szCs w:val="24"/>
        </w:rPr>
        <w:t>) 不良反应导致治疗中断；(ii) 缺乏可靠的生物标志物。本研究发现，乳腺癌细胞在帕博西尼的作用下会激活自噬，并且自噬抑制剂与 CDK4/6 抑制剂联合使用可</w:t>
      </w:r>
      <w:r w:rsidRPr="00393E29">
        <w:rPr>
          <w:rFonts w:ascii="微软雅黑" w:eastAsia="微软雅黑" w:hAnsi="微软雅黑" w:cs="宋体"/>
          <w:i/>
          <w:iCs/>
          <w:kern w:val="0"/>
          <w:sz w:val="24"/>
          <w:szCs w:val="24"/>
        </w:rPr>
        <w:t>在体外诱导不可逆的生长抑制和衰老，并在体内</w:t>
      </w:r>
      <w:r w:rsidRPr="00393E29">
        <w:rPr>
          <w:rFonts w:ascii="微软雅黑" w:eastAsia="微软雅黑" w:hAnsi="微软雅黑" w:cs="宋体"/>
          <w:kern w:val="0"/>
          <w:sz w:val="24"/>
          <w:szCs w:val="24"/>
        </w:rPr>
        <w:t>抑制细胞系和患者来源的异种移植瘤的生长。此外，完整的 G1/S 期转换（Rb 阳性且细胞周期蛋白 E（胞质）低分子量亚型阴性）是雌激素受体阳性乳腺癌患者可靠的预后生物标志物，并可预测该药物组合的临床前敏感性。抑制 CDK4/6 和自噬在其他具有完整 G1/S 检查点的实体瘤中也具有协同作用，为治疗乳腺癌和其他实体瘤提供了一种新的、有前景的生物标志物驱动的联合治疗策略。</w:t>
      </w:r>
    </w:p>
    <w:p w14:paraId="6C81ACAF" w14:textId="77777777" w:rsidR="00393E29" w:rsidRPr="00393E29" w:rsidRDefault="00393E29" w:rsidP="00393E29">
      <w:pPr>
        <w:widowControl/>
        <w:rPr>
          <w:rFonts w:ascii="微软雅黑" w:eastAsia="微软雅黑" w:hAnsi="微软雅黑" w:cs="宋体"/>
          <w:kern w:val="0"/>
          <w:sz w:val="24"/>
          <w:szCs w:val="24"/>
        </w:rPr>
      </w:pPr>
      <w:r w:rsidRPr="00393E29">
        <w:rPr>
          <w:rFonts w:ascii="微软雅黑" w:eastAsia="微软雅黑" w:hAnsi="微软雅黑" w:cs="宋体"/>
          <w:kern w:val="0"/>
          <w:sz w:val="24"/>
          <w:szCs w:val="24"/>
        </w:rPr>
        <w:pict w14:anchorId="1496C46F">
          <v:rect id="_x0000_i1025" style="width:0;height:0" o:hralign="center" o:hrstd="t" o:hr="t" fillcolor="#a0a0a0" stroked="f"/>
        </w:pict>
      </w:r>
    </w:p>
    <w:p w14:paraId="45CAB135"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CDK4/6-细胞周期蛋白D通路在癌症中常发生异常调控；因此，人们开发了特异性抑制剂。本文作者发现，使用CDK4/6抑制剂治疗可激活乳腺癌细胞的自噬；因此，将此类抑制剂与自噬抑制剂联合使用可产生抑制肿瘤生长的协同效应。</w:t>
      </w:r>
    </w:p>
    <w:p w14:paraId="0BFD0D02"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pict w14:anchorId="76FA97CF">
          <v:rect id="_x0000_i1026" style="width:0;height:0" o:hralign="center" o:hrstd="t" o:hr="t" fillcolor="#a0a0a0" stroked="f"/>
        </w:pict>
      </w:r>
    </w:p>
    <w:p w14:paraId="05E8B589"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细胞周期检查点蛋白（例如细胞周期蛋白依赖性激酶 CDK4 和 CDK6）的失调是癌症的关键特征，会导致细胞增殖失控和肿瘤发生。选择性 CDK4/6 抑制剂，</w:t>
      </w:r>
      <w:r w:rsidRPr="00393E29">
        <w:rPr>
          <w:rFonts w:ascii="微软雅黑" w:eastAsia="微软雅黑" w:hAnsi="微软雅黑" w:cs="宋体"/>
          <w:kern w:val="0"/>
          <w:sz w:val="24"/>
          <w:szCs w:val="24"/>
        </w:rPr>
        <w:lastRenderedPageBreak/>
        <w:t>如帕博西尼、瑞博西尼和阿贝西利，在多种实体瘤中显示出良好的临床前和临床活性</w:t>
      </w:r>
      <w:r w:rsidRPr="00393E29">
        <w:rPr>
          <w:rFonts w:ascii="微软雅黑" w:eastAsia="微软雅黑" w:hAnsi="微软雅黑" w:cs="宋体"/>
          <w:kern w:val="0"/>
          <w:sz w:val="24"/>
          <w:szCs w:val="24"/>
          <w:u w:val="single"/>
          <w:vertAlign w:val="superscript"/>
        </w:rPr>
        <w:t>&lt;sup&gt; </w:t>
      </w:r>
      <w:hyperlink r:id="rId5" w:anchor="b1" w:history="1">
        <w:r w:rsidRPr="00393E29">
          <w:rPr>
            <w:rFonts w:ascii="微软雅黑" w:eastAsia="微软雅黑" w:hAnsi="微软雅黑" w:cs="宋体"/>
            <w:kern w:val="0"/>
            <w:sz w:val="24"/>
            <w:szCs w:val="24"/>
            <w:u w:val="single"/>
            <w:vertAlign w:val="superscript"/>
          </w:rPr>
          <w:t>1</w:t>
        </w:r>
      </w:hyperlink>
      <w:r w:rsidRPr="00393E29">
        <w:rPr>
          <w:rFonts w:ascii="微软雅黑" w:eastAsia="微软雅黑" w:hAnsi="微软雅黑" w:cs="宋体"/>
          <w:kern w:val="0"/>
          <w:sz w:val="24"/>
          <w:szCs w:val="24"/>
          <w:u w:val="single"/>
          <w:vertAlign w:val="superscript"/>
        </w:rPr>
        <w:t> &lt;/sup&gt;</w:t>
      </w:r>
      <w:r w:rsidRPr="00393E29">
        <w:rPr>
          <w:rFonts w:ascii="微软雅黑" w:eastAsia="微软雅黑" w:hAnsi="微软雅黑" w:cs="宋体"/>
          <w:kern w:val="0"/>
          <w:sz w:val="24"/>
          <w:szCs w:val="24"/>
        </w:rPr>
        <w:t xml:space="preserve">。特别是，帕博西尼（PD-0332991 或 </w:t>
      </w:r>
      <w:proofErr w:type="spellStart"/>
      <w:r w:rsidRPr="00393E29">
        <w:rPr>
          <w:rFonts w:ascii="微软雅黑" w:eastAsia="微软雅黑" w:hAnsi="微软雅黑" w:cs="宋体"/>
          <w:kern w:val="0"/>
          <w:sz w:val="24"/>
          <w:szCs w:val="24"/>
        </w:rPr>
        <w:t>Ibrance</w:t>
      </w:r>
      <w:proofErr w:type="spellEnd"/>
      <w:r w:rsidRPr="00393E29">
        <w:rPr>
          <w:rFonts w:ascii="微软雅黑" w:eastAsia="微软雅黑" w:hAnsi="微软雅黑" w:cs="宋体"/>
          <w:kern w:val="0"/>
          <w:sz w:val="24"/>
          <w:szCs w:val="24"/>
        </w:rPr>
        <w:t>）在晚期雌激素受体阳性 (ER+) 乳腺癌的 II 期 (PALOMA-1) 和 III 期 (PALOMA-2 和 -3) 临床试验中显示出显著疗效，与单独使用来曲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或</w:t>
      </w:r>
      <w:proofErr w:type="gramStart"/>
      <w:r w:rsidRPr="00393E29">
        <w:rPr>
          <w:rFonts w:ascii="微软雅黑" w:eastAsia="微软雅黑" w:hAnsi="微软雅黑" w:cs="宋体"/>
          <w:kern w:val="0"/>
          <w:sz w:val="24"/>
          <w:szCs w:val="24"/>
        </w:rPr>
        <w:t>氟维司</w:t>
      </w:r>
      <w:proofErr w:type="gramEnd"/>
      <w:r w:rsidRPr="00393E29">
        <w:rPr>
          <w:rFonts w:ascii="微软雅黑" w:eastAsia="微软雅黑" w:hAnsi="微软雅黑" w:cs="宋体"/>
          <w:kern w:val="0"/>
          <w:sz w:val="24"/>
          <w:szCs w:val="24"/>
        </w:rPr>
        <w:t>群相比，其无进展生存期 (PFS) 延长了一倍</w:t>
      </w:r>
      <w:r w:rsidRPr="00393E29">
        <w:rPr>
          <w:rFonts w:ascii="微软雅黑" w:eastAsia="微软雅黑" w:hAnsi="微软雅黑" w:cs="宋体"/>
          <w:kern w:val="0"/>
          <w:sz w:val="24"/>
          <w:szCs w:val="24"/>
          <w:u w:val="single"/>
          <w:vertAlign w:val="superscript"/>
        </w:rPr>
        <w:t>&lt;sup&gt; </w:t>
      </w:r>
      <w:hyperlink r:id="rId6" w:anchor="b2" w:history="1">
        <w:r w:rsidRPr="00393E29">
          <w:rPr>
            <w:rFonts w:ascii="微软雅黑" w:eastAsia="微软雅黑" w:hAnsi="微软雅黑" w:cs="宋体"/>
            <w:kern w:val="0"/>
            <w:sz w:val="24"/>
            <w:szCs w:val="24"/>
            <w:u w:val="single"/>
            <w:vertAlign w:val="superscript"/>
          </w:rPr>
          <w:t>2,3,4</w:t>
        </w:r>
      </w:hyperlink>
      <w:r w:rsidRPr="00393E29">
        <w:rPr>
          <w:rFonts w:ascii="微软雅黑" w:eastAsia="微软雅黑" w:hAnsi="微软雅黑" w:cs="宋体"/>
          <w:kern w:val="0"/>
          <w:sz w:val="24"/>
          <w:szCs w:val="24"/>
          <w:u w:val="single"/>
          <w:vertAlign w:val="superscript"/>
        </w:rPr>
        <w:t> &lt;/sup&gt;</w:t>
      </w:r>
      <w:r w:rsidRPr="00393E29">
        <w:rPr>
          <w:rFonts w:ascii="微软雅黑" w:eastAsia="微软雅黑" w:hAnsi="微软雅黑" w:cs="宋体"/>
          <w:kern w:val="0"/>
          <w:sz w:val="24"/>
          <w:szCs w:val="24"/>
        </w:rPr>
        <w:t> </w:t>
      </w:r>
      <w:hyperlink r:id="rId7" w:anchor="b3" w:history="1">
        <w:r w:rsidRPr="00393E29">
          <w:rPr>
            <w:rFonts w:ascii="微软雅黑" w:eastAsia="微软雅黑" w:hAnsi="微软雅黑" w:cs="宋体"/>
            <w:kern w:val="0"/>
            <w:sz w:val="24"/>
            <w:szCs w:val="24"/>
          </w:rPr>
          <w:t>。</w:t>
        </w:r>
      </w:hyperlink>
      <w:hyperlink r:id="rId8" w:anchor="b4" w:history="1">
        <w:r w:rsidRPr="00393E29">
          <w:rPr>
            <w:rFonts w:ascii="微软雅黑" w:eastAsia="微软雅黑" w:hAnsi="微软雅黑" w:cs="宋体"/>
            <w:kern w:val="0"/>
            <w:sz w:val="24"/>
            <w:szCs w:val="24"/>
          </w:rPr>
          <w:t>帕博西尼</w:t>
        </w:r>
      </w:hyperlink>
      <w:r w:rsidRPr="00393E29">
        <w:rPr>
          <w:rFonts w:ascii="微软雅黑" w:eastAsia="微软雅黑" w:hAnsi="微软雅黑" w:cs="宋体"/>
          <w:kern w:val="0"/>
          <w:sz w:val="24"/>
          <w:szCs w:val="24"/>
        </w:rPr>
        <w:t>最近已获得美国食品药品监督管理局 (FDA) 批准用于上述两种适应症，目前正在其他实体瘤中进行临床评估</w:t>
      </w:r>
      <w:r w:rsidRPr="00393E29">
        <w:rPr>
          <w:rFonts w:ascii="微软雅黑" w:eastAsia="微软雅黑" w:hAnsi="微软雅黑" w:cs="宋体"/>
          <w:kern w:val="0"/>
          <w:sz w:val="24"/>
          <w:szCs w:val="24"/>
          <w:u w:val="single"/>
          <w:vertAlign w:val="superscript"/>
        </w:rPr>
        <w:t>&lt;sup&gt; 5 </w:t>
      </w:r>
      <w:hyperlink r:id="rId9" w:anchor="b5" w:history="1">
        <w:r w:rsidRPr="00393E29">
          <w:rPr>
            <w:rFonts w:ascii="微软雅黑" w:eastAsia="微软雅黑" w:hAnsi="微软雅黑" w:cs="宋体"/>
            <w:kern w:val="0"/>
            <w:sz w:val="24"/>
            <w:szCs w:val="24"/>
            <w:u w:val="single"/>
            <w:vertAlign w:val="superscript"/>
          </w:rPr>
          <w:t>&lt;/sup&gt;</w:t>
        </w:r>
      </w:hyperlink>
      <w:r w:rsidRPr="00393E29">
        <w:rPr>
          <w:rFonts w:ascii="微软雅黑" w:eastAsia="微软雅黑" w:hAnsi="微软雅黑" w:cs="宋体"/>
          <w:kern w:val="0"/>
          <w:sz w:val="24"/>
          <w:szCs w:val="24"/>
        </w:rPr>
        <w:t xml:space="preserve">。此外，目前针对乳腺癌和其他实体瘤，正在进行多项 </w:t>
      </w:r>
      <w:proofErr w:type="spellStart"/>
      <w:r w:rsidRPr="00393E29">
        <w:rPr>
          <w:rFonts w:ascii="微软雅黑" w:eastAsia="微软雅黑" w:hAnsi="微软雅黑" w:cs="宋体"/>
          <w:kern w:val="0"/>
          <w:sz w:val="24"/>
          <w:szCs w:val="24"/>
        </w:rPr>
        <w:t>ribociclib</w:t>
      </w:r>
      <w:proofErr w:type="spellEnd"/>
      <w:r w:rsidRPr="00393E29">
        <w:rPr>
          <w:rFonts w:ascii="微软雅黑" w:eastAsia="微软雅黑" w:hAnsi="微软雅黑" w:cs="宋体"/>
          <w:kern w:val="0"/>
          <w:sz w:val="24"/>
          <w:szCs w:val="24"/>
        </w:rPr>
        <w:t xml:space="preserve"> (LEE011) 和 </w:t>
      </w:r>
      <w:proofErr w:type="spellStart"/>
      <w:r w:rsidRPr="00393E29">
        <w:rPr>
          <w:rFonts w:ascii="微软雅黑" w:eastAsia="微软雅黑" w:hAnsi="微软雅黑" w:cs="宋体"/>
          <w:kern w:val="0"/>
          <w:sz w:val="24"/>
          <w:szCs w:val="24"/>
        </w:rPr>
        <w:t>abemaciclib</w:t>
      </w:r>
      <w:proofErr w:type="spellEnd"/>
      <w:r w:rsidRPr="00393E29">
        <w:rPr>
          <w:rFonts w:ascii="微软雅黑" w:eastAsia="微软雅黑" w:hAnsi="微软雅黑" w:cs="宋体"/>
          <w:kern w:val="0"/>
          <w:sz w:val="24"/>
          <w:szCs w:val="24"/>
        </w:rPr>
        <w:t xml:space="preserve"> (LY2835219) 的 III 期临床试验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"b5"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5</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w:t>
      </w:r>
    </w:p>
    <w:p w14:paraId="4B88F7E6"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尽管 CDK4/6 抑制剂在临床治疗方面取得了令人鼓舞的进展，但该疗法仍存在三大局限性：(</w:t>
      </w:r>
      <w:proofErr w:type="spellStart"/>
      <w:r w:rsidRPr="00393E29">
        <w:rPr>
          <w:rFonts w:ascii="微软雅黑" w:eastAsia="微软雅黑" w:hAnsi="微软雅黑" w:cs="宋体"/>
          <w:kern w:val="0"/>
          <w:sz w:val="24"/>
          <w:szCs w:val="24"/>
        </w:rPr>
        <w:t>i</w:t>
      </w:r>
      <w:proofErr w:type="spellEnd"/>
      <w:r w:rsidRPr="00393E29">
        <w:rPr>
          <w:rFonts w:ascii="微软雅黑" w:eastAsia="微软雅黑" w:hAnsi="微软雅黑" w:cs="宋体"/>
          <w:kern w:val="0"/>
          <w:sz w:val="24"/>
          <w:szCs w:val="24"/>
        </w:rPr>
        <w:t>) 不良事件（3 级和 4 级中性粒细胞减少症 (56%) 和白细胞减少症 (25.2%)），导致治疗中断和/或终止，可能降低治疗效果</w:t>
      </w:r>
      <w:r w:rsidRPr="00393E29">
        <w:rPr>
          <w:rFonts w:ascii="微软雅黑" w:eastAsia="微软雅黑" w:hAnsi="微软雅黑" w:cs="宋体"/>
          <w:kern w:val="0"/>
          <w:sz w:val="24"/>
          <w:szCs w:val="24"/>
          <w:u w:val="single"/>
          <w:vertAlign w:val="superscript"/>
        </w:rPr>
        <w:t>&lt;sup&gt; </w:t>
      </w:r>
      <w:hyperlink r:id="rId10" w:anchor="b2" w:history="1">
        <w:r w:rsidRPr="00393E29">
          <w:rPr>
            <w:rFonts w:ascii="微软雅黑" w:eastAsia="微软雅黑" w:hAnsi="微软雅黑" w:cs="宋体"/>
            <w:kern w:val="0"/>
            <w:sz w:val="24"/>
            <w:szCs w:val="24"/>
            <w:u w:val="single"/>
            <w:vertAlign w:val="superscript"/>
          </w:rPr>
          <w:t>2</w:t>
        </w:r>
      </w:hyperlink>
      <w:r w:rsidRPr="00393E29">
        <w:rPr>
          <w:rFonts w:ascii="微软雅黑" w:eastAsia="微软雅黑" w:hAnsi="微软雅黑" w:cs="宋体"/>
          <w:kern w:val="0"/>
          <w:sz w:val="24"/>
          <w:szCs w:val="24"/>
          <w:u w:val="single"/>
          <w:vertAlign w:val="superscript"/>
        </w:rPr>
        <w:t> &lt;/sup&gt;</w:t>
      </w:r>
      <w:r w:rsidRPr="00393E29">
        <w:rPr>
          <w:rFonts w:ascii="微软雅黑" w:eastAsia="微软雅黑" w:hAnsi="微软雅黑" w:cs="宋体"/>
          <w:kern w:val="0"/>
          <w:sz w:val="24"/>
          <w:szCs w:val="24"/>
        </w:rPr>
        <w:t>；(ii) 约 16% (参考文献</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"b3"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3</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 xml:space="preserve"> ) 的 ER+ 乳腺癌患者对帕博西尼无反应或在 24 周内出现疾病进展，且半数患者在 25 </w:t>
      </w:r>
      <w:proofErr w:type="gramStart"/>
      <w:r w:rsidRPr="00393E29">
        <w:rPr>
          <w:rFonts w:ascii="微软雅黑" w:eastAsia="微软雅黑" w:hAnsi="微软雅黑" w:cs="宋体"/>
          <w:kern w:val="0"/>
          <w:sz w:val="24"/>
          <w:szCs w:val="24"/>
        </w:rPr>
        <w:t>个</w:t>
      </w:r>
      <w:proofErr w:type="gramEnd"/>
      <w:r w:rsidRPr="00393E29">
        <w:rPr>
          <w:rFonts w:ascii="微软雅黑" w:eastAsia="微软雅黑" w:hAnsi="微软雅黑" w:cs="宋体"/>
          <w:kern w:val="0"/>
          <w:sz w:val="24"/>
          <w:szCs w:val="24"/>
        </w:rPr>
        <w:t>月内出现临床耐药并进展，导致总体生存获益不明显；(iii) 缺乏可靠的生物标志物可作为晚期 ER+ 乳腺癌的预后指标。迄今为止，对预后生物标志物的临床研究未能显示其与接受帕博西尼治疗患者的无进展生存期 (PFS) 存在相关性</w:t>
      </w:r>
      <w:r w:rsidRPr="00393E29">
        <w:rPr>
          <w:rFonts w:ascii="微软雅黑" w:eastAsia="微软雅黑" w:hAnsi="微软雅黑" w:cs="宋体"/>
          <w:kern w:val="0"/>
          <w:sz w:val="24"/>
          <w:szCs w:val="24"/>
          <w:u w:val="single"/>
          <w:vertAlign w:val="superscript"/>
        </w:rPr>
        <w:t>&lt;sup&gt;</w:t>
      </w:r>
      <w:r w:rsidRPr="00393E29">
        <w:rPr>
          <w:rFonts w:ascii="微软雅黑" w:eastAsia="微软雅黑" w:hAnsi="微软雅黑" w:cs="宋体"/>
          <w:kern w:val="0"/>
          <w:sz w:val="24"/>
          <w:szCs w:val="24"/>
        </w:rPr>
        <w:t> </w:t>
      </w:r>
      <w:hyperlink r:id="rId11" w:anchor="b2" w:history="1">
        <w:r w:rsidRPr="00393E29">
          <w:rPr>
            <w:rFonts w:ascii="微软雅黑" w:eastAsia="微软雅黑" w:hAnsi="微软雅黑" w:cs="宋体"/>
            <w:kern w:val="0"/>
            <w:sz w:val="24"/>
            <w:szCs w:val="24"/>
            <w:u w:val="single"/>
            <w:vertAlign w:val="superscript"/>
          </w:rPr>
          <w:t>2,6 </w:t>
        </w:r>
      </w:hyperlink>
      <w:hyperlink r:id="rId12" w:anchor="b6" w:history="1">
        <w:r w:rsidRPr="00393E29">
          <w:rPr>
            <w:rFonts w:ascii="微软雅黑" w:eastAsia="微软雅黑" w:hAnsi="微软雅黑" w:cs="宋体"/>
            <w:kern w:val="0"/>
            <w:sz w:val="24"/>
            <w:szCs w:val="24"/>
            <w:u w:val="single"/>
            <w:vertAlign w:val="superscript"/>
          </w:rPr>
          <w:t>&lt;/sup&gt;</w:t>
        </w:r>
      </w:hyperlink>
      <w:r w:rsidRPr="00393E29">
        <w:rPr>
          <w:rFonts w:ascii="微软雅黑" w:eastAsia="微软雅黑" w:hAnsi="微软雅黑" w:cs="宋体"/>
          <w:kern w:val="0"/>
          <w:sz w:val="24"/>
          <w:szCs w:val="24"/>
        </w:rPr>
        <w:t>。</w:t>
      </w:r>
    </w:p>
    <w:p w14:paraId="609B160F"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从机制上讲，帕博西尼</w:t>
      </w:r>
      <w:r w:rsidRPr="00393E29">
        <w:rPr>
          <w:rFonts w:ascii="微软雅黑" w:eastAsia="微软雅黑" w:hAnsi="微软雅黑" w:cs="宋体"/>
          <w:i/>
          <w:iCs/>
          <w:kern w:val="0"/>
          <w:sz w:val="24"/>
          <w:szCs w:val="24"/>
        </w:rPr>
        <w:t>在体外可诱导G1期阻滞和细胞衰老，并在体内</w:t>
      </w:r>
      <w:r w:rsidRPr="00393E29">
        <w:rPr>
          <w:rFonts w:ascii="微软雅黑" w:eastAsia="微软雅黑" w:hAnsi="微软雅黑" w:cs="宋体"/>
          <w:kern w:val="0"/>
          <w:sz w:val="24"/>
          <w:szCs w:val="24"/>
        </w:rPr>
        <w:t>抑制肿瘤异种移植瘤的生长</w:t>
      </w:r>
      <w:r w:rsidRPr="00393E29">
        <w:rPr>
          <w:rFonts w:ascii="微软雅黑" w:eastAsia="微软雅黑" w:hAnsi="微软雅黑" w:cs="宋体"/>
          <w:kern w:val="0"/>
          <w:sz w:val="24"/>
          <w:szCs w:val="24"/>
          <w:u w:val="single"/>
          <w:vertAlign w:val="superscript"/>
        </w:rPr>
        <w:t>&lt;sup&gt; </w:t>
      </w:r>
      <w:hyperlink r:id="rId13" w:anchor="b7" w:history="1">
        <w:r w:rsidRPr="00393E29">
          <w:rPr>
            <w:rFonts w:ascii="微软雅黑" w:eastAsia="微软雅黑" w:hAnsi="微软雅黑" w:cs="宋体"/>
            <w:kern w:val="0"/>
            <w:sz w:val="24"/>
            <w:szCs w:val="24"/>
            <w:u w:val="single"/>
            <w:vertAlign w:val="superscript"/>
          </w:rPr>
          <w:t>7,8 </w:t>
        </w:r>
      </w:hyperlink>
      <w:hyperlink r:id="rId14" w:anchor="b8" w:history="1">
        <w:r w:rsidRPr="00393E29">
          <w:rPr>
            <w:rFonts w:ascii="微软雅黑" w:eastAsia="微软雅黑" w:hAnsi="微软雅黑" w:cs="宋体"/>
            <w:kern w:val="0"/>
            <w:sz w:val="24"/>
            <w:szCs w:val="24"/>
            <w:u w:val="single"/>
            <w:vertAlign w:val="superscript"/>
          </w:rPr>
          <w:t>&lt;/sup&gt;</w:t>
        </w:r>
      </w:hyperlink>
      <w:r w:rsidRPr="00393E29">
        <w:rPr>
          <w:rFonts w:ascii="微软雅黑" w:eastAsia="微软雅黑" w:hAnsi="微软雅黑" w:cs="宋体"/>
          <w:kern w:val="0"/>
          <w:sz w:val="24"/>
          <w:szCs w:val="24"/>
        </w:rPr>
        <w:t>。帕博西尼还能诱导成纤维细胞和白血病细胞发生自噬</w:t>
      </w:r>
      <w:r w:rsidRPr="00393E29">
        <w:rPr>
          <w:rFonts w:ascii="微软雅黑" w:eastAsia="微软雅黑" w:hAnsi="微软雅黑" w:cs="宋体"/>
          <w:kern w:val="0"/>
          <w:sz w:val="24"/>
          <w:szCs w:val="24"/>
          <w:u w:val="single"/>
          <w:vertAlign w:val="superscript"/>
        </w:rPr>
        <w:t>&lt;sup&gt; </w:t>
      </w:r>
      <w:hyperlink r:id="rId15" w:anchor="b9" w:history="1">
        <w:r w:rsidRPr="00393E29">
          <w:rPr>
            <w:rFonts w:ascii="微软雅黑" w:eastAsia="微软雅黑" w:hAnsi="微软雅黑" w:cs="宋体"/>
            <w:kern w:val="0"/>
            <w:sz w:val="24"/>
            <w:szCs w:val="24"/>
            <w:u w:val="single"/>
            <w:vertAlign w:val="superscript"/>
          </w:rPr>
          <w:t>9,10 </w:t>
        </w:r>
      </w:hyperlink>
      <w:hyperlink r:id="rId16" w:anchor="b10" w:history="1">
        <w:r w:rsidRPr="00393E29">
          <w:rPr>
            <w:rFonts w:ascii="微软雅黑" w:eastAsia="微软雅黑" w:hAnsi="微软雅黑" w:cs="宋体"/>
            <w:kern w:val="0"/>
            <w:sz w:val="24"/>
            <w:szCs w:val="24"/>
            <w:u w:val="single"/>
            <w:vertAlign w:val="superscript"/>
          </w:rPr>
          <w:t>&lt;/sup&gt;</w:t>
        </w:r>
      </w:hyperlink>
      <w:r w:rsidRPr="00393E29">
        <w:rPr>
          <w:rFonts w:ascii="微软雅黑" w:eastAsia="微软雅黑" w:hAnsi="微软雅黑" w:cs="宋体"/>
          <w:kern w:val="0"/>
          <w:sz w:val="24"/>
          <w:szCs w:val="24"/>
        </w:rPr>
        <w:t>。自噬是癌症中的一种应激耐受机制，它通过将细胞成分包裹在称为自噬体的双层膜囊泡中来回收利用这些成分，自噬体最终与溶酶体融合，从而促进细胞成分的降解并产生能量以维持生存</w:t>
      </w:r>
      <w:hyperlink r:id="rId17" w:anchor="b11" w:history="1">
        <w:r w:rsidRPr="00393E29">
          <w:rPr>
            <w:rFonts w:ascii="微软雅黑" w:eastAsia="微软雅黑" w:hAnsi="微软雅黑" w:cs="宋体"/>
            <w:kern w:val="0"/>
            <w:sz w:val="24"/>
            <w:szCs w:val="24"/>
            <w:u w:val="single"/>
            <w:vertAlign w:val="superscript"/>
          </w:rPr>
          <w:t>&lt;sup&gt;11&lt;/sup&gt;</w:t>
        </w:r>
      </w:hyperlink>
      <w:r w:rsidRPr="00393E29">
        <w:rPr>
          <w:rFonts w:ascii="微软雅黑" w:eastAsia="微软雅黑" w:hAnsi="微软雅黑" w:cs="宋体"/>
          <w:kern w:val="0"/>
          <w:sz w:val="24"/>
          <w:szCs w:val="24"/>
        </w:rPr>
        <w:t>。自噬</w:t>
      </w:r>
      <w:proofErr w:type="gramStart"/>
      <w:r w:rsidRPr="00393E29">
        <w:rPr>
          <w:rFonts w:ascii="微软雅黑" w:eastAsia="微软雅黑" w:hAnsi="微软雅黑" w:cs="宋体"/>
          <w:kern w:val="0"/>
          <w:sz w:val="24"/>
          <w:szCs w:val="24"/>
        </w:rPr>
        <w:t>介</w:t>
      </w:r>
      <w:proofErr w:type="gramEnd"/>
      <w:r w:rsidRPr="00393E29">
        <w:rPr>
          <w:rFonts w:ascii="微软雅黑" w:eastAsia="微软雅黑" w:hAnsi="微软雅黑" w:cs="宋体"/>
          <w:kern w:val="0"/>
          <w:sz w:val="24"/>
          <w:szCs w:val="24"/>
        </w:rPr>
        <w:t>导对多种</w:t>
      </w:r>
      <w:r w:rsidRPr="00393E29">
        <w:rPr>
          <w:rFonts w:ascii="微软雅黑" w:eastAsia="微软雅黑" w:hAnsi="微软雅黑" w:cs="宋体"/>
          <w:kern w:val="0"/>
          <w:sz w:val="24"/>
          <w:szCs w:val="24"/>
        </w:rPr>
        <w:lastRenderedPageBreak/>
        <w:t>癌症靶</w:t>
      </w:r>
      <w:proofErr w:type="gramStart"/>
      <w:r w:rsidRPr="00393E29">
        <w:rPr>
          <w:rFonts w:ascii="微软雅黑" w:eastAsia="微软雅黑" w:hAnsi="微软雅黑" w:cs="宋体"/>
          <w:kern w:val="0"/>
          <w:sz w:val="24"/>
          <w:szCs w:val="24"/>
        </w:rPr>
        <w:t>向药物</w:t>
      </w:r>
      <w:proofErr w:type="gramEnd"/>
      <w:r w:rsidRPr="00393E29">
        <w:rPr>
          <w:rFonts w:ascii="微软雅黑" w:eastAsia="微软雅黑" w:hAnsi="微软雅黑" w:cs="宋体"/>
          <w:kern w:val="0"/>
          <w:sz w:val="24"/>
          <w:szCs w:val="24"/>
        </w:rPr>
        <w:t>的耐药性</w:t>
      </w:r>
      <w:r w:rsidRPr="00393E29">
        <w:rPr>
          <w:rFonts w:ascii="微软雅黑" w:eastAsia="微软雅黑" w:hAnsi="微软雅黑" w:cs="宋体"/>
          <w:kern w:val="0"/>
          <w:sz w:val="24"/>
          <w:szCs w:val="24"/>
          <w:u w:val="single"/>
          <w:vertAlign w:val="superscript"/>
        </w:rPr>
        <w:t>&lt;sup&gt; </w:t>
      </w:r>
      <w:hyperlink r:id="rId18" w:anchor="b12" w:history="1">
        <w:r w:rsidRPr="00393E29">
          <w:rPr>
            <w:rFonts w:ascii="微软雅黑" w:eastAsia="微软雅黑" w:hAnsi="微软雅黑" w:cs="宋体"/>
            <w:kern w:val="0"/>
            <w:sz w:val="24"/>
            <w:szCs w:val="24"/>
            <w:u w:val="single"/>
            <w:vertAlign w:val="superscript"/>
          </w:rPr>
          <w:t>12,13 </w:t>
        </w:r>
      </w:hyperlink>
      <w:hyperlink r:id="rId19" w:anchor="b13" w:history="1">
        <w:r w:rsidRPr="00393E29">
          <w:rPr>
            <w:rFonts w:ascii="微软雅黑" w:eastAsia="微软雅黑" w:hAnsi="微软雅黑" w:cs="宋体"/>
            <w:kern w:val="0"/>
            <w:sz w:val="24"/>
            <w:szCs w:val="24"/>
            <w:u w:val="single"/>
            <w:vertAlign w:val="superscript"/>
          </w:rPr>
          <w:t>&lt;/sup&gt;</w:t>
        </w:r>
      </w:hyperlink>
      <w:r w:rsidRPr="00393E29">
        <w:rPr>
          <w:rFonts w:ascii="微软雅黑" w:eastAsia="微软雅黑" w:hAnsi="微软雅黑" w:cs="宋体"/>
          <w:kern w:val="0"/>
          <w:sz w:val="24"/>
          <w:szCs w:val="24"/>
        </w:rPr>
        <w:t>，使其成为一个有前景的联合靶点，并促成了近期针对自噬抑制剂氯喹（CQ）和</w:t>
      </w:r>
      <w:proofErr w:type="gramStart"/>
      <w:r w:rsidRPr="00393E29">
        <w:rPr>
          <w:rFonts w:ascii="微软雅黑" w:eastAsia="微软雅黑" w:hAnsi="微软雅黑" w:cs="宋体"/>
          <w:kern w:val="0"/>
          <w:sz w:val="24"/>
          <w:szCs w:val="24"/>
        </w:rPr>
        <w:t>羟氯喹</w:t>
      </w:r>
      <w:proofErr w:type="gramEnd"/>
      <w:r w:rsidRPr="00393E29">
        <w:rPr>
          <w:rFonts w:ascii="微软雅黑" w:eastAsia="微软雅黑" w:hAnsi="微软雅黑" w:cs="宋体"/>
          <w:kern w:val="0"/>
          <w:sz w:val="24"/>
          <w:szCs w:val="24"/>
        </w:rPr>
        <w:t>（HCQ）的多项临床试验的开展</w:t>
      </w:r>
      <w:r w:rsidRPr="00393E29">
        <w:rPr>
          <w:rFonts w:ascii="微软雅黑" w:eastAsia="微软雅黑" w:hAnsi="微软雅黑" w:cs="宋体"/>
          <w:kern w:val="0"/>
          <w:sz w:val="24"/>
          <w:szCs w:val="24"/>
          <w:u w:val="single"/>
          <w:vertAlign w:val="superscript"/>
        </w:rPr>
        <w:t>&lt;sup&gt; </w:t>
      </w:r>
      <w:hyperlink r:id="rId20" w:anchor="b14" w:history="1">
        <w:r w:rsidRPr="00393E29">
          <w:rPr>
            <w:rFonts w:ascii="微软雅黑" w:eastAsia="微软雅黑" w:hAnsi="微软雅黑" w:cs="宋体"/>
            <w:kern w:val="0"/>
            <w:sz w:val="24"/>
            <w:szCs w:val="24"/>
            <w:u w:val="single"/>
            <w:vertAlign w:val="superscript"/>
          </w:rPr>
          <w:t>14</w:t>
        </w:r>
      </w:hyperlink>
      <w:r w:rsidRPr="00393E29">
        <w:rPr>
          <w:rFonts w:ascii="微软雅黑" w:eastAsia="微软雅黑" w:hAnsi="微软雅黑" w:cs="宋体"/>
          <w:kern w:val="0"/>
          <w:sz w:val="24"/>
          <w:szCs w:val="24"/>
          <w:u w:val="single"/>
          <w:vertAlign w:val="superscript"/>
        </w:rPr>
        <w:t> &lt;/sup&gt;</w:t>
      </w:r>
      <w:r w:rsidRPr="00393E29">
        <w:rPr>
          <w:rFonts w:ascii="微软雅黑" w:eastAsia="微软雅黑" w:hAnsi="微软雅黑" w:cs="宋体"/>
          <w:kern w:val="0"/>
          <w:sz w:val="24"/>
          <w:szCs w:val="24"/>
        </w:rPr>
        <w:t xml:space="preserve"> 。</w:t>
      </w:r>
    </w:p>
    <w:p w14:paraId="38AA1FAE"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本研究旨在通过探究增强帕博西尼在乳腺癌中作用机制，来克服上述帕博西尼治疗的局限性。我们的研究表明，通过生物标志物驱动的联合治疗策略，靶向 CDK4/6 和自噬，可以提高帕博西尼在乳腺癌和其他实体瘤中的选择性和疗效。</w:t>
      </w:r>
    </w:p>
    <w:p w14:paraId="718E3511" w14:textId="77777777" w:rsidR="00393E29" w:rsidRPr="00393E29" w:rsidRDefault="00393E29" w:rsidP="00393E29">
      <w:pPr>
        <w:widowControl/>
        <w:pBdr>
          <w:bottom w:val="single" w:sz="6" w:space="0" w:color="97B1C8"/>
        </w:pBdr>
        <w:spacing w:line="450" w:lineRule="atLeast"/>
        <w:outlineLvl w:val="1"/>
        <w:rPr>
          <w:rFonts w:ascii="微软雅黑" w:eastAsia="微软雅黑" w:hAnsi="微软雅黑" w:cs="宋体"/>
          <w:kern w:val="0"/>
          <w:sz w:val="34"/>
          <w:szCs w:val="34"/>
        </w:rPr>
      </w:pPr>
      <w:r w:rsidRPr="00393E29">
        <w:rPr>
          <w:rFonts w:ascii="微软雅黑" w:eastAsia="微软雅黑" w:hAnsi="微软雅黑" w:cs="宋体"/>
          <w:kern w:val="0"/>
          <w:sz w:val="34"/>
          <w:szCs w:val="34"/>
        </w:rPr>
        <w:t>结果</w:t>
      </w:r>
    </w:p>
    <w:p w14:paraId="7796CBBA"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CDK4/6抑制诱导ROS</w:t>
      </w:r>
      <w:proofErr w:type="gramStart"/>
      <w:r w:rsidRPr="00393E29">
        <w:rPr>
          <w:rFonts w:ascii="微软雅黑" w:eastAsia="微软雅黑" w:hAnsi="微软雅黑" w:cs="宋体"/>
          <w:kern w:val="0"/>
          <w:sz w:val="32"/>
          <w:szCs w:val="32"/>
        </w:rPr>
        <w:t>介</w:t>
      </w:r>
      <w:proofErr w:type="gramEnd"/>
      <w:r w:rsidRPr="00393E29">
        <w:rPr>
          <w:rFonts w:ascii="微软雅黑" w:eastAsia="微软雅黑" w:hAnsi="微软雅黑" w:cs="宋体"/>
          <w:kern w:val="0"/>
          <w:sz w:val="32"/>
          <w:szCs w:val="32"/>
        </w:rPr>
        <w:t>导的衰老和自噬</w:t>
      </w:r>
    </w:p>
    <w:p w14:paraId="6F1296D4"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对癌症基因组图谱（TCGA）ER+乳腺癌肿瘤队列的分析显示，约35%的患者存在CDK4/CDK6/细胞周期蛋白D通路改变，这使得他们成为靶向CDK4和CDK6的理想人群（</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补充图1a</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）。为了探究下调这些蛋白的生物学效应，我们利用shRNA和siRNA在两种ER+乳腺癌细胞系MCF7和T47D</w:t>
      </w:r>
      <w:proofErr w:type="gramStart"/>
      <w:r w:rsidRPr="00393E29">
        <w:rPr>
          <w:rFonts w:ascii="微软雅黑" w:eastAsia="微软雅黑" w:hAnsi="微软雅黑" w:cs="宋体"/>
          <w:kern w:val="0"/>
          <w:sz w:val="24"/>
          <w:szCs w:val="24"/>
        </w:rPr>
        <w:t>中敲低</w:t>
      </w:r>
      <w:proofErr w:type="gramEnd"/>
      <w:r w:rsidRPr="00393E29">
        <w:rPr>
          <w:rFonts w:ascii="微软雅黑" w:eastAsia="微软雅黑" w:hAnsi="微软雅黑" w:cs="宋体"/>
          <w:kern w:val="0"/>
          <w:sz w:val="24"/>
          <w:szCs w:val="24"/>
        </w:rPr>
        <w:t>了CDK4和/或CDK6（</w:t>
      </w:r>
      <w:hyperlink r:id="rId21" w:anchor="S1" w:history="1">
        <w:r w:rsidRPr="00393E29">
          <w:rPr>
            <w:rFonts w:ascii="微软雅黑" w:eastAsia="微软雅黑" w:hAnsi="微软雅黑" w:cs="宋体"/>
            <w:kern w:val="0"/>
            <w:sz w:val="24"/>
            <w:szCs w:val="24"/>
            <w:u w:val="single"/>
          </w:rPr>
          <w:t>补充图1b、c和f</w:t>
        </w:r>
      </w:hyperlink>
      <w:r w:rsidRPr="00393E29">
        <w:rPr>
          <w:rFonts w:ascii="微软雅黑" w:eastAsia="微软雅黑" w:hAnsi="微软雅黑" w:cs="宋体"/>
          <w:kern w:val="0"/>
          <w:sz w:val="24"/>
          <w:szCs w:val="24"/>
        </w:rPr>
        <w:t>）。结果显示，只有</w:t>
      </w:r>
      <w:proofErr w:type="gramStart"/>
      <w:r w:rsidRPr="00393E29">
        <w:rPr>
          <w:rFonts w:ascii="微软雅黑" w:eastAsia="微软雅黑" w:hAnsi="微软雅黑" w:cs="宋体"/>
          <w:kern w:val="0"/>
          <w:sz w:val="24"/>
          <w:szCs w:val="24"/>
        </w:rPr>
        <w:t>同时敲低</w:t>
      </w:r>
      <w:proofErr w:type="gramEnd"/>
      <w:r w:rsidRPr="00393E29">
        <w:rPr>
          <w:rFonts w:ascii="微软雅黑" w:eastAsia="微软雅黑" w:hAnsi="微软雅黑" w:cs="宋体"/>
          <w:kern w:val="0"/>
          <w:sz w:val="24"/>
          <w:szCs w:val="24"/>
        </w:rPr>
        <w:t>CDK4和CDK6才能显著抑制细胞生长（</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补充图1d、e和g</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）。接下来，我们检测了 CDK4/6 抑制剂帕博西尼在 ER+ 细胞系（MCF7、T47D、ZR75-1）和</w:t>
      </w:r>
      <w:proofErr w:type="gramStart"/>
      <w:r w:rsidRPr="00393E29">
        <w:rPr>
          <w:rFonts w:ascii="微软雅黑" w:eastAsia="微软雅黑" w:hAnsi="微软雅黑" w:cs="宋体"/>
          <w:kern w:val="0"/>
          <w:sz w:val="24"/>
          <w:szCs w:val="24"/>
        </w:rPr>
        <w:t>永生化非转化</w:t>
      </w:r>
      <w:proofErr w:type="gramEnd"/>
      <w:r w:rsidRPr="00393E29">
        <w:rPr>
          <w:rFonts w:ascii="微软雅黑" w:eastAsia="微软雅黑" w:hAnsi="微软雅黑" w:cs="宋体"/>
          <w:kern w:val="0"/>
          <w:sz w:val="24"/>
          <w:szCs w:val="24"/>
        </w:rPr>
        <w:t>人乳腺上皮细胞系（MCF10A）中的生长抑制潜力。帕博西尼以时间和剂量依赖的方式抑制 ER+ 细胞的生长，而 MCF10A 细胞对该药物的耐药性更强（</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1a、b</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2a-c</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）。为了检测 MCF10A 细胞从帕博西尼</w:t>
      </w:r>
      <w:proofErr w:type="gramStart"/>
      <w:r w:rsidRPr="00393E29">
        <w:rPr>
          <w:rFonts w:ascii="微软雅黑" w:eastAsia="微软雅黑" w:hAnsi="微软雅黑" w:cs="宋体"/>
          <w:kern w:val="0"/>
          <w:sz w:val="24"/>
          <w:szCs w:val="24"/>
        </w:rPr>
        <w:t>介</w:t>
      </w:r>
      <w:proofErr w:type="gramEnd"/>
      <w:r w:rsidRPr="00393E29">
        <w:rPr>
          <w:rFonts w:ascii="微软雅黑" w:eastAsia="微软雅黑" w:hAnsi="微软雅黑" w:cs="宋体"/>
          <w:kern w:val="0"/>
          <w:sz w:val="24"/>
          <w:szCs w:val="24"/>
        </w:rPr>
        <w:t>导的生长抑制中恢复的能力，我们将细胞用帕博西尼处理 6 天，然后在无药物条件下培养 4 天（</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2d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 xml:space="preserve">）。浓度为 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或更低的帕博西尼治疗可导致可逆的 G1 期阻滞和生长抑制，而只有较高剂量（&gt;2.5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）才会导致 ER+ 细胞生长和细胞周</w:t>
      </w:r>
      <w:r w:rsidRPr="00393E29">
        <w:rPr>
          <w:rFonts w:ascii="微软雅黑" w:eastAsia="微软雅黑" w:hAnsi="微软雅黑" w:cs="宋体"/>
          <w:kern w:val="0"/>
          <w:sz w:val="24"/>
          <w:szCs w:val="24"/>
        </w:rPr>
        <w:lastRenderedPageBreak/>
        <w:t>期进程的不可逆抑制，但在 MCF10A 细胞中未观察到此现象（</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1c</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2e–h</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）。帕博西尼不诱导细胞凋亡（</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3a–d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），但以剂量依赖的方式显著增加衰老相关 β-半乳糖苷酶 (SA-β-gal) 的活性和细胞复杂性，这两种特征均是衰老细胞的特征（</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1d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3e,f</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）。此外，蛋白质印迹分析显示，已知的帕博西尼效应分子</w:t>
      </w:r>
      <w:proofErr w:type="spellStart"/>
      <w:r w:rsidRPr="00393E29">
        <w:rPr>
          <w:rFonts w:ascii="微软雅黑" w:eastAsia="微软雅黑" w:hAnsi="微软雅黑" w:cs="宋体"/>
          <w:kern w:val="0"/>
          <w:sz w:val="24"/>
          <w:szCs w:val="24"/>
        </w:rPr>
        <w:t>pRb</w:t>
      </w:r>
      <w:proofErr w:type="spellEnd"/>
      <w:r w:rsidRPr="00393E29">
        <w:rPr>
          <w:rFonts w:ascii="微软雅黑" w:eastAsia="微软雅黑" w:hAnsi="微软雅黑" w:cs="宋体"/>
          <w:kern w:val="0"/>
          <w:sz w:val="24"/>
          <w:szCs w:val="24"/>
        </w:rPr>
        <w:t>、FOXM1（参考文献</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"b8"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8</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）和总Rb水平呈剂量依赖性下降，这是G1期阻滞的结果，正如先前在乳腺癌中报道的那样&lt;sup&gt; </w:t>
      </w:r>
      <w:hyperlink r:id="rId22" w:anchor="b15" w:history="1">
        <w:r w:rsidRPr="00393E29">
          <w:rPr>
            <w:rFonts w:ascii="微软雅黑" w:eastAsia="微软雅黑" w:hAnsi="微软雅黑" w:cs="宋体"/>
            <w:kern w:val="0"/>
            <w:sz w:val="24"/>
            <w:szCs w:val="24"/>
            <w:u w:val="single"/>
            <w:vertAlign w:val="superscript"/>
          </w:rPr>
          <w:t>15,16 </w:t>
        </w:r>
      </w:hyperlink>
      <w:hyperlink r:id="rId23" w:anchor="b16" w:history="1">
        <w:r w:rsidRPr="00393E29">
          <w:rPr>
            <w:rFonts w:ascii="微软雅黑" w:eastAsia="微软雅黑" w:hAnsi="微软雅黑" w:cs="宋体"/>
            <w:kern w:val="0"/>
            <w:sz w:val="24"/>
            <w:szCs w:val="24"/>
            <w:u w:val="single"/>
            <w:vertAlign w:val="superscript"/>
          </w:rPr>
          <w:t>&lt;/sup&gt;</w:t>
        </w:r>
      </w:hyperlink>
      <w:r w:rsidRPr="00393E29">
        <w:rPr>
          <w:rFonts w:ascii="微软雅黑" w:eastAsia="微软雅黑" w:hAnsi="微软雅黑" w:cs="宋体"/>
          <w:kern w:val="0"/>
          <w:sz w:val="24"/>
          <w:szCs w:val="24"/>
        </w:rPr>
        <w:t>（</w:t>
      </w:r>
      <w:hyperlink r:id="rId24" w:anchor="S1" w:history="1">
        <w:r w:rsidRPr="00393E29">
          <w:rPr>
            <w:rFonts w:ascii="微软雅黑" w:eastAsia="微软雅黑" w:hAnsi="微软雅黑" w:cs="宋体"/>
            <w:kern w:val="0"/>
            <w:sz w:val="24"/>
            <w:szCs w:val="24"/>
            <w:u w:val="single"/>
          </w:rPr>
          <w:t>补充图3g</w:t>
        </w:r>
      </w:hyperlink>
      <w:r w:rsidRPr="00393E29">
        <w:rPr>
          <w:rFonts w:ascii="微软雅黑" w:eastAsia="微软雅黑" w:hAnsi="微软雅黑" w:cs="宋体"/>
          <w:kern w:val="0"/>
          <w:sz w:val="24"/>
          <w:szCs w:val="24"/>
        </w:rPr>
        <w:t>）。为了验证帕博西尼</w:t>
      </w:r>
      <w:proofErr w:type="gramStart"/>
      <w:r w:rsidRPr="00393E29">
        <w:rPr>
          <w:rFonts w:ascii="微软雅黑" w:eastAsia="微软雅黑" w:hAnsi="微软雅黑" w:cs="宋体"/>
          <w:kern w:val="0"/>
          <w:sz w:val="24"/>
          <w:szCs w:val="24"/>
        </w:rPr>
        <w:t>介</w:t>
      </w:r>
      <w:proofErr w:type="gramEnd"/>
      <w:r w:rsidRPr="00393E29">
        <w:rPr>
          <w:rFonts w:ascii="微软雅黑" w:eastAsia="微软雅黑" w:hAnsi="微软雅黑" w:cs="宋体"/>
          <w:kern w:val="0"/>
          <w:sz w:val="24"/>
          <w:szCs w:val="24"/>
        </w:rPr>
        <w:t>导的生长抑制的特异性并检测潜在的脱靶效应，我们用帕博西尼处理了经shRNA或siRNA</w:t>
      </w:r>
      <w:proofErr w:type="gramStart"/>
      <w:r w:rsidRPr="00393E29">
        <w:rPr>
          <w:rFonts w:ascii="微软雅黑" w:eastAsia="微软雅黑" w:hAnsi="微软雅黑" w:cs="宋体"/>
          <w:kern w:val="0"/>
          <w:sz w:val="24"/>
          <w:szCs w:val="24"/>
        </w:rPr>
        <w:t>介</w:t>
      </w:r>
      <w:proofErr w:type="gramEnd"/>
      <w:r w:rsidRPr="00393E29">
        <w:rPr>
          <w:rFonts w:ascii="微软雅黑" w:eastAsia="微软雅黑" w:hAnsi="微软雅黑" w:cs="宋体"/>
          <w:kern w:val="0"/>
          <w:sz w:val="24"/>
          <w:szCs w:val="24"/>
        </w:rPr>
        <w:t>导的CDK4和/或CDK6</w:t>
      </w:r>
      <w:proofErr w:type="gramStart"/>
      <w:r w:rsidRPr="00393E29">
        <w:rPr>
          <w:rFonts w:ascii="微软雅黑" w:eastAsia="微软雅黑" w:hAnsi="微软雅黑" w:cs="宋体"/>
          <w:kern w:val="0"/>
          <w:sz w:val="24"/>
          <w:szCs w:val="24"/>
        </w:rPr>
        <w:t>敲低的</w:t>
      </w:r>
      <w:proofErr w:type="gramEnd"/>
      <w:r w:rsidRPr="00393E29">
        <w:rPr>
          <w:rFonts w:ascii="微软雅黑" w:eastAsia="微软雅黑" w:hAnsi="微软雅黑" w:cs="宋体"/>
          <w:kern w:val="0"/>
          <w:sz w:val="24"/>
          <w:szCs w:val="24"/>
        </w:rPr>
        <w:t>MCF7和T47D细胞。CDK4和CDK6的联合</w:t>
      </w:r>
      <w:proofErr w:type="gramStart"/>
      <w:r w:rsidRPr="00393E29">
        <w:rPr>
          <w:rFonts w:ascii="微软雅黑" w:eastAsia="微软雅黑" w:hAnsi="微软雅黑" w:cs="宋体"/>
          <w:kern w:val="0"/>
          <w:sz w:val="24"/>
          <w:szCs w:val="24"/>
        </w:rPr>
        <w:t>敲低能够</w:t>
      </w:r>
      <w:proofErr w:type="gramEnd"/>
      <w:r w:rsidRPr="00393E29">
        <w:rPr>
          <w:rFonts w:ascii="微软雅黑" w:eastAsia="微软雅黑" w:hAnsi="微软雅黑" w:cs="宋体"/>
          <w:kern w:val="0"/>
          <w:sz w:val="24"/>
          <w:szCs w:val="24"/>
        </w:rPr>
        <w:t xml:space="preserve">在1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浓度下重现药物效应，但在5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浓度下则不能，这表明在5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浓度下观察到的不可逆生长抑制和高水平衰老可能是由于较高浓度帕博西尼的脱靶效应所致（</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图1e</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补充图3h</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w:t>
      </w:r>
    </w:p>
    <w:p w14:paraId="37313163" w14:textId="77777777" w:rsidR="00393E29" w:rsidRPr="00393E29" w:rsidRDefault="00393E29" w:rsidP="00393E29">
      <w:pPr>
        <w:widowControl/>
        <w:spacing w:line="450" w:lineRule="atLeast"/>
        <w:outlineLvl w:val="3"/>
        <w:rPr>
          <w:rFonts w:ascii="微软雅黑" w:eastAsia="微软雅黑" w:hAnsi="微软雅黑" w:cs="宋体"/>
          <w:kern w:val="0"/>
          <w:sz w:val="30"/>
          <w:szCs w:val="30"/>
        </w:rPr>
      </w:pPr>
      <w:r w:rsidRPr="00393E29">
        <w:rPr>
          <w:rFonts w:ascii="微软雅黑" w:eastAsia="微软雅黑" w:hAnsi="微软雅黑" w:cs="宋体"/>
          <w:kern w:val="0"/>
          <w:sz w:val="30"/>
          <w:szCs w:val="30"/>
        </w:rPr>
        <w:t xml:space="preserve">图 1. CDK4/6 抑制诱导 ROS </w:t>
      </w:r>
      <w:proofErr w:type="gramStart"/>
      <w:r w:rsidRPr="00393E29">
        <w:rPr>
          <w:rFonts w:ascii="微软雅黑" w:eastAsia="微软雅黑" w:hAnsi="微软雅黑" w:cs="宋体"/>
          <w:kern w:val="0"/>
          <w:sz w:val="30"/>
          <w:szCs w:val="30"/>
        </w:rPr>
        <w:t>介</w:t>
      </w:r>
      <w:proofErr w:type="gramEnd"/>
      <w:r w:rsidRPr="00393E29">
        <w:rPr>
          <w:rFonts w:ascii="微软雅黑" w:eastAsia="微软雅黑" w:hAnsi="微软雅黑" w:cs="宋体"/>
          <w:kern w:val="0"/>
          <w:sz w:val="30"/>
          <w:szCs w:val="30"/>
        </w:rPr>
        <w:t>导的衰老和自噬。</w:t>
      </w:r>
    </w:p>
    <w:p w14:paraId="75406BDE" w14:textId="317FC25F"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noProof/>
          <w:kern w:val="0"/>
          <w:sz w:val="24"/>
          <w:szCs w:val="24"/>
        </w:rPr>
        <w:lastRenderedPageBreak/>
        <w:drawing>
          <wp:inline distT="0" distB="0" distL="0" distR="0" wp14:anchorId="069ED6F7" wp14:editId="7D90A7BC">
            <wp:extent cx="5274310" cy="7196455"/>
            <wp:effectExtent l="0" t="0" r="2540" b="4445"/>
            <wp:docPr id="6" name="图片 6" descr="图 1">
              <a:hlinkClick xmlns:a="http://schemas.openxmlformats.org/drawingml/2006/main" r:id="rId2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图 1">
                      <a:hlinkClick r:id="rId25" tgtFrame="&quot;_blank&quot;"/>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4310" cy="7196455"/>
                    </a:xfrm>
                    <a:prstGeom prst="rect">
                      <a:avLst/>
                    </a:prstGeom>
                    <a:noFill/>
                    <a:ln>
                      <a:noFill/>
                    </a:ln>
                  </pic:spPr>
                </pic:pic>
              </a:graphicData>
            </a:graphic>
          </wp:inline>
        </w:drawing>
      </w:r>
    </w:p>
    <w:p w14:paraId="4B232553" w14:textId="77777777" w:rsidR="00393E29" w:rsidRPr="00393E29" w:rsidRDefault="00393E29" w:rsidP="00393E29">
      <w:pPr>
        <w:widowControl/>
        <w:rPr>
          <w:rFonts w:ascii="微软雅黑" w:eastAsia="微软雅黑" w:hAnsi="微软雅黑" w:cs="宋体"/>
          <w:kern w:val="0"/>
          <w:sz w:val="24"/>
          <w:szCs w:val="24"/>
        </w:rPr>
      </w:pPr>
      <w:r w:rsidRPr="00393E29">
        <w:rPr>
          <w:rFonts w:ascii="微软雅黑" w:eastAsia="微软雅黑" w:hAnsi="微软雅黑" w:cs="宋体"/>
          <w:kern w:val="0"/>
          <w:sz w:val="24"/>
          <w:szCs w:val="24"/>
        </w:rPr>
        <w:t>( </w:t>
      </w:r>
      <w:r w:rsidRPr="00393E29">
        <w:rPr>
          <w:rFonts w:ascii="微软雅黑" w:eastAsia="微软雅黑" w:hAnsi="微软雅黑" w:cs="宋体"/>
          <w:b/>
          <w:bCs/>
          <w:kern w:val="0"/>
          <w:sz w:val="24"/>
          <w:szCs w:val="24"/>
        </w:rPr>
        <w:t>a</w:t>
      </w:r>
      <w:r w:rsidRPr="00393E29">
        <w:rPr>
          <w:rFonts w:ascii="微软雅黑" w:eastAsia="微软雅黑" w:hAnsi="微软雅黑" w:cs="宋体"/>
          <w:kern w:val="0"/>
          <w:sz w:val="24"/>
          <w:szCs w:val="24"/>
        </w:rPr>
        <w:t xml:space="preserve"> )用浓度递增的帕博西尼（0.01–12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）处理ER+（MCF7、T47D、ZR75-1）和HMEC（MCF10A）细胞，测定帕博西尼的IC50值。MCF7、T47D和MCF10A细胞用DMSO（</w:t>
      </w:r>
      <w:proofErr w:type="spellStart"/>
      <w:r w:rsidRPr="00393E29">
        <w:rPr>
          <w:rFonts w:ascii="微软雅黑" w:eastAsia="微软雅黑" w:hAnsi="微软雅黑" w:cs="宋体"/>
          <w:kern w:val="0"/>
          <w:sz w:val="24"/>
          <w:szCs w:val="24"/>
        </w:rPr>
        <w:t>Cnt</w:t>
      </w:r>
      <w:proofErr w:type="spellEnd"/>
      <w:r w:rsidRPr="00393E29">
        <w:rPr>
          <w:rFonts w:ascii="微软雅黑" w:eastAsia="微软雅黑" w:hAnsi="微软雅黑" w:cs="宋体"/>
          <w:kern w:val="0"/>
          <w:sz w:val="24"/>
          <w:szCs w:val="24"/>
        </w:rPr>
        <w:t>）或帕博西尼处理6天，恢复后（</w:t>
      </w:r>
      <w:proofErr w:type="spellStart"/>
      <w:r w:rsidRPr="00393E29">
        <w:rPr>
          <w:rFonts w:ascii="微软雅黑" w:eastAsia="微软雅黑" w:hAnsi="微软雅黑" w:cs="宋体"/>
          <w:kern w:val="0"/>
          <w:sz w:val="24"/>
          <w:szCs w:val="24"/>
        </w:rPr>
        <w:t>rel</w:t>
      </w:r>
      <w:proofErr w:type="spellEnd"/>
      <w:r w:rsidRPr="00393E29">
        <w:rPr>
          <w:rFonts w:ascii="微软雅黑" w:eastAsia="微软雅黑" w:hAnsi="微软雅黑" w:cs="宋体"/>
          <w:kern w:val="0"/>
          <w:sz w:val="24"/>
          <w:szCs w:val="24"/>
        </w:rPr>
        <w:t>），进行( </w:t>
      </w:r>
      <w:r w:rsidRPr="00393E29">
        <w:rPr>
          <w:rFonts w:ascii="微软雅黑" w:eastAsia="微软雅黑" w:hAnsi="微软雅黑" w:cs="宋体"/>
          <w:kern w:val="0"/>
          <w:sz w:val="24"/>
          <w:szCs w:val="24"/>
          <w:vertAlign w:val="subscript"/>
        </w:rPr>
        <w:t>b </w:t>
      </w:r>
      <w:r w:rsidRPr="00393E29">
        <w:rPr>
          <w:rFonts w:ascii="微软雅黑" w:eastAsia="微软雅黑" w:hAnsi="微软雅黑" w:cs="宋体"/>
          <w:b/>
          <w:bCs/>
          <w:kern w:val="0"/>
          <w:sz w:val="24"/>
          <w:szCs w:val="24"/>
        </w:rPr>
        <w:t>)</w:t>
      </w:r>
      <w:r w:rsidRPr="00393E29">
        <w:rPr>
          <w:rFonts w:ascii="微软雅黑" w:eastAsia="微软雅黑" w:hAnsi="微软雅黑" w:cs="宋体"/>
          <w:kern w:val="0"/>
          <w:sz w:val="24"/>
          <w:szCs w:val="24"/>
        </w:rPr>
        <w:t>克隆形成实验、( </w:t>
      </w:r>
      <w:r w:rsidRPr="00393E29">
        <w:rPr>
          <w:rFonts w:ascii="微软雅黑" w:eastAsia="微软雅黑" w:hAnsi="微软雅黑" w:cs="宋体"/>
          <w:b/>
          <w:bCs/>
          <w:kern w:val="0"/>
          <w:sz w:val="24"/>
          <w:szCs w:val="24"/>
        </w:rPr>
        <w:t>c</w:t>
      </w:r>
      <w:r w:rsidRPr="00393E29">
        <w:rPr>
          <w:rFonts w:ascii="微软雅黑" w:eastAsia="微软雅黑" w:hAnsi="微软雅黑" w:cs="宋体"/>
          <w:kern w:val="0"/>
          <w:sz w:val="24"/>
          <w:szCs w:val="24"/>
        </w:rPr>
        <w:t> )细胞计数和( </w:t>
      </w:r>
      <w:r w:rsidRPr="00393E29">
        <w:rPr>
          <w:rFonts w:ascii="微软雅黑" w:eastAsia="微软雅黑" w:hAnsi="微软雅黑" w:cs="宋体"/>
          <w:b/>
          <w:bCs/>
          <w:kern w:val="0"/>
          <w:sz w:val="24"/>
          <w:szCs w:val="24"/>
        </w:rPr>
        <w:t>d</w:t>
      </w:r>
      <w:r w:rsidRPr="00393E29">
        <w:rPr>
          <w:rFonts w:ascii="微软雅黑" w:eastAsia="微软雅黑" w:hAnsi="微软雅黑" w:cs="宋体"/>
          <w:kern w:val="0"/>
          <w:sz w:val="24"/>
          <w:szCs w:val="24"/>
        </w:rPr>
        <w:t> )SA-β-半乳糖苷酶活性测定（附代表性图像）。</w:t>
      </w:r>
      <w:r w:rsidRPr="00393E29">
        <w:rPr>
          <w:rFonts w:ascii="微软雅黑" w:eastAsia="微软雅黑" w:hAnsi="微软雅黑" w:cs="宋体"/>
          <w:kern w:val="0"/>
          <w:sz w:val="24"/>
          <w:szCs w:val="24"/>
        </w:rPr>
        <w:lastRenderedPageBreak/>
        <w:t>( </w:t>
      </w:r>
      <w:r w:rsidRPr="00393E29">
        <w:rPr>
          <w:rFonts w:ascii="微软雅黑" w:eastAsia="微软雅黑" w:hAnsi="微软雅黑" w:cs="宋体"/>
          <w:b/>
          <w:bCs/>
          <w:kern w:val="0"/>
          <w:sz w:val="24"/>
          <w:szCs w:val="24"/>
        </w:rPr>
        <w:t>e</w:t>
      </w:r>
      <w:r w:rsidRPr="00393E29">
        <w:rPr>
          <w:rFonts w:ascii="微软雅黑" w:eastAsia="微软雅黑" w:hAnsi="微软雅黑" w:cs="宋体"/>
          <w:kern w:val="0"/>
          <w:sz w:val="24"/>
          <w:szCs w:val="24"/>
        </w:rPr>
        <w:t> ) CDK4和CDK6 siRNA</w:t>
      </w:r>
      <w:proofErr w:type="gramStart"/>
      <w:r w:rsidRPr="00393E29">
        <w:rPr>
          <w:rFonts w:ascii="微软雅黑" w:eastAsia="微软雅黑" w:hAnsi="微软雅黑" w:cs="宋体"/>
          <w:kern w:val="0"/>
          <w:sz w:val="24"/>
          <w:szCs w:val="24"/>
        </w:rPr>
        <w:t>联合敲低以及</w:t>
      </w:r>
      <w:proofErr w:type="gramEnd"/>
      <w:r w:rsidRPr="00393E29">
        <w:rPr>
          <w:rFonts w:ascii="微软雅黑" w:eastAsia="微软雅黑" w:hAnsi="微软雅黑" w:cs="宋体"/>
          <w:kern w:val="0"/>
          <w:sz w:val="24"/>
          <w:szCs w:val="24"/>
        </w:rPr>
        <w:t xml:space="preserve">DMSO、1或5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帕博西尼处理6天的影响。 ( </w:t>
      </w:r>
      <w:r w:rsidRPr="00393E29">
        <w:rPr>
          <w:rFonts w:ascii="微软雅黑" w:eastAsia="微软雅黑" w:hAnsi="微软雅黑" w:cs="宋体"/>
          <w:b/>
          <w:bCs/>
          <w:kern w:val="0"/>
          <w:sz w:val="24"/>
          <w:szCs w:val="24"/>
        </w:rPr>
        <w:t>f</w:t>
      </w:r>
      <w:r w:rsidRPr="00393E29">
        <w:rPr>
          <w:rFonts w:ascii="微软雅黑" w:eastAsia="微软雅黑" w:hAnsi="微软雅黑" w:cs="宋体"/>
          <w:kern w:val="0"/>
          <w:sz w:val="24"/>
          <w:szCs w:val="24"/>
        </w:rPr>
        <w:t> ) 通过流式细胞术检测经 CDK4/6 siRNA 处理的 MCF7 和 T47D 细胞中 MDC 阳性酸性囊泡（包括自噬体）的数量。( </w:t>
      </w:r>
      <w:r w:rsidRPr="00393E29">
        <w:rPr>
          <w:rFonts w:ascii="微软雅黑" w:eastAsia="微软雅黑" w:hAnsi="微软雅黑" w:cs="宋体"/>
          <w:b/>
          <w:bCs/>
          <w:kern w:val="0"/>
          <w:sz w:val="24"/>
          <w:szCs w:val="24"/>
        </w:rPr>
        <w:t>g</w:t>
      </w:r>
      <w:r w:rsidRPr="00393E29">
        <w:rPr>
          <w:rFonts w:ascii="微软雅黑" w:eastAsia="微软雅黑" w:hAnsi="微软雅黑" w:cs="宋体"/>
          <w:kern w:val="0"/>
          <w:sz w:val="24"/>
          <w:szCs w:val="24"/>
        </w:rPr>
        <w:t xml:space="preserve"> ) 用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处理 6 天后，对 LC3B I、II 和 p62 进行 Western blot 分析。( </w:t>
      </w:r>
      <w:r w:rsidRPr="00393E29">
        <w:rPr>
          <w:rFonts w:ascii="微软雅黑" w:eastAsia="微软雅黑" w:hAnsi="微软雅黑" w:cs="宋体"/>
          <w:b/>
          <w:bCs/>
          <w:kern w:val="0"/>
          <w:sz w:val="24"/>
          <w:szCs w:val="24"/>
        </w:rPr>
        <w:t>h</w:t>
      </w:r>
      <w:r w:rsidRPr="00393E29">
        <w:rPr>
          <w:rFonts w:ascii="微软雅黑" w:eastAsia="微软雅黑" w:hAnsi="微软雅黑" w:cs="宋体"/>
          <w:kern w:val="0"/>
          <w:sz w:val="24"/>
          <w:szCs w:val="24"/>
        </w:rPr>
        <w:t> ) 用 DMSO (</w:t>
      </w:r>
      <w:proofErr w:type="spellStart"/>
      <w:r w:rsidRPr="00393E29">
        <w:rPr>
          <w:rFonts w:ascii="微软雅黑" w:eastAsia="微软雅黑" w:hAnsi="微软雅黑" w:cs="宋体"/>
          <w:kern w:val="0"/>
          <w:sz w:val="24"/>
          <w:szCs w:val="24"/>
        </w:rPr>
        <w:t>Cnt</w:t>
      </w:r>
      <w:proofErr w:type="spellEnd"/>
      <w:r w:rsidRPr="00393E29">
        <w:rPr>
          <w:rFonts w:ascii="微软雅黑" w:eastAsia="微软雅黑" w:hAnsi="微软雅黑" w:cs="宋体"/>
          <w:kern w:val="0"/>
          <w:sz w:val="24"/>
          <w:szCs w:val="24"/>
        </w:rPr>
        <w:t xml:space="preserve">) 或 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处理 6 天的细胞的代表性透射电镜照片。红色箭头指示双层膜自噬体。比例尺，500 nm。( </w:t>
      </w:r>
      <w:proofErr w:type="spellStart"/>
      <w:r w:rsidRPr="00393E29">
        <w:rPr>
          <w:rFonts w:ascii="微软雅黑" w:eastAsia="微软雅黑" w:hAnsi="微软雅黑" w:cs="宋体"/>
          <w:b/>
          <w:bCs/>
          <w:kern w:val="0"/>
          <w:sz w:val="24"/>
          <w:szCs w:val="24"/>
        </w:rPr>
        <w:t>i</w:t>
      </w:r>
      <w:proofErr w:type="spellEnd"/>
      <w:r w:rsidRPr="00393E29">
        <w:rPr>
          <w:rFonts w:ascii="微软雅黑" w:eastAsia="微软雅黑" w:hAnsi="微软雅黑" w:cs="宋体"/>
          <w:kern w:val="0"/>
          <w:sz w:val="24"/>
          <w:szCs w:val="24"/>
        </w:rPr>
        <w:t xml:space="preserve"> ) 用 25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C</w:t>
      </w:r>
      <w:r w:rsidRPr="00393E29">
        <w:rPr>
          <w:rFonts w:ascii="MS Gothic" w:eastAsia="MS Gothic" w:hAnsi="MS Gothic" w:cs="MS Gothic" w:hint="eastAsia"/>
          <w:kern w:val="0"/>
          <w:sz w:val="24"/>
          <w:szCs w:val="24"/>
        </w:rPr>
        <w:t>​​</w:t>
      </w:r>
      <w:r w:rsidRPr="00393E29">
        <w:rPr>
          <w:rFonts w:ascii="微软雅黑" w:eastAsia="微软雅黑" w:hAnsi="微软雅黑" w:cs="宋体"/>
          <w:kern w:val="0"/>
          <w:sz w:val="24"/>
          <w:szCs w:val="24"/>
        </w:rPr>
        <w:t xml:space="preserve">Q 处理 1 小时，再用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处理 6 天的 MCF7 和 T47D 细胞，对 LC3B 和 p62 进行 Western blot 分析。 ( </w:t>
      </w:r>
      <w:r w:rsidRPr="00393E29">
        <w:rPr>
          <w:rFonts w:ascii="微软雅黑" w:eastAsia="微软雅黑" w:hAnsi="微软雅黑" w:cs="宋体"/>
          <w:b/>
          <w:bCs/>
          <w:kern w:val="0"/>
          <w:sz w:val="24"/>
          <w:szCs w:val="24"/>
        </w:rPr>
        <w:t>j</w:t>
      </w:r>
      <w:r w:rsidRPr="00393E29">
        <w:rPr>
          <w:rFonts w:ascii="微软雅黑" w:eastAsia="微软雅黑" w:hAnsi="微软雅黑" w:cs="宋体"/>
          <w:kern w:val="0"/>
          <w:sz w:val="24"/>
          <w:szCs w:val="24"/>
        </w:rPr>
        <w:t> , </w:t>
      </w:r>
      <w:r w:rsidRPr="00393E29">
        <w:rPr>
          <w:rFonts w:ascii="微软雅黑" w:eastAsia="微软雅黑" w:hAnsi="微软雅黑" w:cs="宋体"/>
          <w:b/>
          <w:bCs/>
          <w:kern w:val="0"/>
          <w:sz w:val="24"/>
          <w:szCs w:val="24"/>
        </w:rPr>
        <w:t>k</w:t>
      </w:r>
      <w:r w:rsidRPr="00393E29">
        <w:rPr>
          <w:rFonts w:ascii="微软雅黑" w:eastAsia="微软雅黑" w:hAnsi="微软雅黑" w:cs="宋体"/>
          <w:kern w:val="0"/>
          <w:sz w:val="24"/>
          <w:szCs w:val="24"/>
        </w:rPr>
        <w:t xml:space="preserve"> )用 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和/或 25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C</w:t>
      </w:r>
      <w:r w:rsidRPr="00393E29">
        <w:rPr>
          <w:rFonts w:ascii="MS Gothic" w:eastAsia="MS Gothic" w:hAnsi="MS Gothic" w:cs="MS Gothic" w:hint="eastAsia"/>
          <w:kern w:val="0"/>
          <w:sz w:val="24"/>
          <w:szCs w:val="24"/>
        </w:rPr>
        <w:t>​​</w:t>
      </w:r>
      <w:r w:rsidRPr="00393E29">
        <w:rPr>
          <w:rFonts w:ascii="微软雅黑" w:eastAsia="微软雅黑" w:hAnsi="微软雅黑" w:cs="宋体"/>
          <w:kern w:val="0"/>
          <w:sz w:val="24"/>
          <w:szCs w:val="24"/>
        </w:rPr>
        <w:t>Q 处理 48 小时后，对 MCF7 细胞中GFP-LC3 斑点 ( </w:t>
      </w:r>
      <w:r w:rsidRPr="00393E29">
        <w:rPr>
          <w:rFonts w:ascii="微软雅黑" w:eastAsia="微软雅黑" w:hAnsi="微软雅黑" w:cs="宋体"/>
          <w:b/>
          <w:bCs/>
          <w:kern w:val="0"/>
          <w:sz w:val="24"/>
          <w:szCs w:val="24"/>
        </w:rPr>
        <w:t>j</w:t>
      </w:r>
      <w:r w:rsidRPr="00393E29">
        <w:rPr>
          <w:rFonts w:ascii="微软雅黑" w:eastAsia="微软雅黑" w:hAnsi="微软雅黑" w:cs="宋体"/>
          <w:kern w:val="0"/>
          <w:sz w:val="24"/>
          <w:szCs w:val="24"/>
        </w:rPr>
        <w:t> ) 和 RFP-GFP-LC3 斑点 ( </w:t>
      </w:r>
      <w:r w:rsidRPr="00393E29">
        <w:rPr>
          <w:rFonts w:ascii="微软雅黑" w:eastAsia="微软雅黑" w:hAnsi="微软雅黑" w:cs="宋体"/>
          <w:b/>
          <w:bCs/>
          <w:kern w:val="0"/>
          <w:sz w:val="24"/>
          <w:szCs w:val="24"/>
        </w:rPr>
        <w:t>k ) 进行定量分析，并展示代表性图像。( l</w:t>
      </w:r>
      <w:r w:rsidRPr="00393E29">
        <w:rPr>
          <w:rFonts w:ascii="微软雅黑" w:eastAsia="微软雅黑" w:hAnsi="微软雅黑" w:cs="宋体"/>
          <w:kern w:val="0"/>
          <w:sz w:val="24"/>
          <w:szCs w:val="24"/>
        </w:rPr>
        <w:t> , </w:t>
      </w:r>
      <w:r w:rsidRPr="00393E29">
        <w:rPr>
          <w:rFonts w:ascii="微软雅黑" w:eastAsia="微软雅黑" w:hAnsi="微软雅黑" w:cs="宋体"/>
          <w:b/>
          <w:bCs/>
          <w:kern w:val="0"/>
          <w:sz w:val="24"/>
          <w:szCs w:val="24"/>
        </w:rPr>
        <w:t>m</w:t>
      </w:r>
      <w:r w:rsidRPr="00393E29">
        <w:rPr>
          <w:rFonts w:ascii="微软雅黑" w:eastAsia="微软雅黑" w:hAnsi="微软雅黑" w:cs="宋体"/>
          <w:kern w:val="0"/>
          <w:sz w:val="24"/>
          <w:szCs w:val="24"/>
        </w:rPr>
        <w:t> ) 用针对 CDK4 和 CDK6 的 siRNA 转染 ( </w:t>
      </w:r>
      <w:r w:rsidRPr="00393E29">
        <w:rPr>
          <w:rFonts w:ascii="微软雅黑" w:eastAsia="微软雅黑" w:hAnsi="微软雅黑" w:cs="宋体"/>
          <w:b/>
          <w:bCs/>
          <w:kern w:val="0"/>
          <w:sz w:val="24"/>
          <w:szCs w:val="24"/>
        </w:rPr>
        <w:t>l</w:t>
      </w:r>
      <w:r w:rsidRPr="00393E29">
        <w:rPr>
          <w:rFonts w:ascii="微软雅黑" w:eastAsia="微软雅黑" w:hAnsi="微软雅黑" w:cs="宋体"/>
          <w:kern w:val="0"/>
          <w:sz w:val="24"/>
          <w:szCs w:val="24"/>
        </w:rPr>
        <w:t xml:space="preserve"> ) 或用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处理 6 天 ( </w:t>
      </w:r>
      <w:r w:rsidRPr="00393E29">
        <w:rPr>
          <w:rFonts w:ascii="微软雅黑" w:eastAsia="微软雅黑" w:hAnsi="微软雅黑" w:cs="宋体"/>
          <w:b/>
          <w:bCs/>
          <w:kern w:val="0"/>
          <w:sz w:val="24"/>
          <w:szCs w:val="24"/>
        </w:rPr>
        <w:t>m</w:t>
      </w:r>
      <w:r w:rsidRPr="00393E29">
        <w:rPr>
          <w:rFonts w:ascii="微软雅黑" w:eastAsia="微软雅黑" w:hAnsi="微软雅黑" w:cs="宋体"/>
          <w:kern w:val="0"/>
          <w:sz w:val="24"/>
          <w:szCs w:val="24"/>
        </w:rPr>
        <w:t> ) 后，对 MCF7 和 T47D 细胞中的 ROS 水平进行测量和定量 (MFI)。( </w:t>
      </w:r>
      <w:r w:rsidRPr="00393E29">
        <w:rPr>
          <w:rFonts w:ascii="微软雅黑" w:eastAsia="微软雅黑" w:hAnsi="微软雅黑" w:cs="宋体"/>
          <w:b/>
          <w:bCs/>
          <w:kern w:val="0"/>
          <w:sz w:val="24"/>
          <w:szCs w:val="24"/>
        </w:rPr>
        <w:t>n</w:t>
      </w:r>
      <w:r w:rsidRPr="00393E29">
        <w:rPr>
          <w:rFonts w:ascii="微软雅黑" w:eastAsia="微软雅黑" w:hAnsi="微软雅黑" w:cs="宋体"/>
          <w:kern w:val="0"/>
          <w:sz w:val="24"/>
          <w:szCs w:val="24"/>
        </w:rPr>
        <w:t> , </w:t>
      </w:r>
      <w:r w:rsidRPr="00393E29">
        <w:rPr>
          <w:rFonts w:ascii="微软雅黑" w:eastAsia="微软雅黑" w:hAnsi="微软雅黑" w:cs="宋体"/>
          <w:b/>
          <w:bCs/>
          <w:kern w:val="0"/>
          <w:sz w:val="24"/>
          <w:szCs w:val="24"/>
        </w:rPr>
        <w:t>o</w:t>
      </w:r>
      <w:r w:rsidRPr="00393E29">
        <w:rPr>
          <w:rFonts w:ascii="微软雅黑" w:eastAsia="微软雅黑" w:hAnsi="微软雅黑" w:cs="宋体"/>
          <w:kern w:val="0"/>
          <w:sz w:val="24"/>
          <w:szCs w:val="24"/>
        </w:rPr>
        <w:t xml:space="preserve"> ) 用 10 mM NAC 或 0.1 mM Trolox 和 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联合处理 6 天后，检测 LC3B 和 p62 蛋白水平 ( </w:t>
      </w:r>
      <w:r w:rsidRPr="00393E29">
        <w:rPr>
          <w:rFonts w:ascii="微软雅黑" w:eastAsia="微软雅黑" w:hAnsi="微软雅黑" w:cs="宋体"/>
          <w:b/>
          <w:bCs/>
          <w:kern w:val="0"/>
          <w:sz w:val="24"/>
          <w:szCs w:val="24"/>
        </w:rPr>
        <w:t>n</w:t>
      </w:r>
      <w:r w:rsidRPr="00393E29">
        <w:rPr>
          <w:rFonts w:ascii="微软雅黑" w:eastAsia="微软雅黑" w:hAnsi="微软雅黑" w:cs="宋体"/>
          <w:kern w:val="0"/>
          <w:sz w:val="24"/>
          <w:szCs w:val="24"/>
        </w:rPr>
        <w:t> ) 以及 MDC 阳性细胞 ( </w:t>
      </w:r>
      <w:r w:rsidRPr="00393E29">
        <w:rPr>
          <w:rFonts w:ascii="微软雅黑" w:eastAsia="微软雅黑" w:hAnsi="微软雅黑" w:cs="宋体"/>
          <w:b/>
          <w:bCs/>
          <w:kern w:val="0"/>
          <w:sz w:val="24"/>
          <w:szCs w:val="24"/>
        </w:rPr>
        <w:t>o</w:t>
      </w:r>
      <w:r w:rsidRPr="00393E29">
        <w:rPr>
          <w:rFonts w:ascii="微软雅黑" w:eastAsia="微软雅黑" w:hAnsi="微软雅黑" w:cs="宋体"/>
          <w:kern w:val="0"/>
          <w:sz w:val="24"/>
          <w:szCs w:val="24"/>
        </w:rPr>
        <w:t> )。所有数据均代表三次独立实验的平均值±标准差；除非另有说明，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值均与用 DMSO 处理的细胞（对照组）进行比较计算。 NS：</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&gt;0.05； *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&lt;0.05； **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&lt;0.01; ***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&lt;0.001; ****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&lt;0.0001。</w:t>
      </w:r>
    </w:p>
    <w:p w14:paraId="1E5BCDCD"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细胞周期阻滞</w:t>
      </w:r>
      <w:proofErr w:type="gramStart"/>
      <w:r w:rsidRPr="00393E29">
        <w:rPr>
          <w:rFonts w:ascii="微软雅黑" w:eastAsia="微软雅黑" w:hAnsi="微软雅黑" w:cs="宋体"/>
          <w:kern w:val="0"/>
          <w:sz w:val="24"/>
          <w:szCs w:val="24"/>
        </w:rPr>
        <w:t>介</w:t>
      </w:r>
      <w:proofErr w:type="gramEnd"/>
      <w:r w:rsidRPr="00393E29">
        <w:rPr>
          <w:rFonts w:ascii="微软雅黑" w:eastAsia="微软雅黑" w:hAnsi="微软雅黑" w:cs="宋体"/>
          <w:kern w:val="0"/>
          <w:sz w:val="24"/>
          <w:szCs w:val="24"/>
        </w:rPr>
        <w:t>导的应激反应信号是自噬，这是一种分解代谢过程，可以降解 ROS 并</w:t>
      </w:r>
      <w:proofErr w:type="gramStart"/>
      <w:r w:rsidRPr="00393E29">
        <w:rPr>
          <w:rFonts w:ascii="微软雅黑" w:eastAsia="微软雅黑" w:hAnsi="微软雅黑" w:cs="宋体"/>
          <w:kern w:val="0"/>
          <w:sz w:val="24"/>
          <w:szCs w:val="24"/>
        </w:rPr>
        <w:t>介</w:t>
      </w:r>
      <w:proofErr w:type="gramEnd"/>
      <w:r w:rsidRPr="00393E29">
        <w:rPr>
          <w:rFonts w:ascii="微软雅黑" w:eastAsia="微软雅黑" w:hAnsi="微软雅黑" w:cs="宋体"/>
          <w:kern w:val="0"/>
          <w:sz w:val="24"/>
          <w:szCs w:val="24"/>
        </w:rPr>
        <w:t>导 G1 期阻滞和衰老的逆转</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"b12"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12</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 , </w:t>
      </w:r>
      <w:hyperlink r:id="rId27" w:anchor="b14" w:history="1">
        <w:r w:rsidRPr="00393E29">
          <w:rPr>
            <w:rFonts w:ascii="微软雅黑" w:eastAsia="微软雅黑" w:hAnsi="微软雅黑" w:cs="宋体"/>
            <w:kern w:val="0"/>
            <w:sz w:val="24"/>
            <w:szCs w:val="24"/>
            <w:u w:val="single"/>
            <w:vertAlign w:val="superscript"/>
          </w:rPr>
          <w:t>14</w:t>
        </w:r>
      </w:hyperlink>
      <w:r w:rsidRPr="00393E29">
        <w:rPr>
          <w:rFonts w:ascii="微软雅黑" w:eastAsia="微软雅黑" w:hAnsi="微软雅黑" w:cs="宋体"/>
          <w:kern w:val="0"/>
          <w:sz w:val="24"/>
          <w:szCs w:val="24"/>
        </w:rPr>
        <w:t> , </w:t>
      </w:r>
      <w:hyperlink r:id="rId28" w:anchor="b17" w:history="1">
        <w:r w:rsidRPr="00393E29">
          <w:rPr>
            <w:rFonts w:ascii="微软雅黑" w:eastAsia="微软雅黑" w:hAnsi="微软雅黑" w:cs="宋体"/>
            <w:kern w:val="0"/>
            <w:sz w:val="24"/>
            <w:szCs w:val="24"/>
            <w:u w:val="single"/>
            <w:vertAlign w:val="superscript"/>
          </w:rPr>
          <w:t>17</w:t>
        </w:r>
      </w:hyperlink>
      <w:r w:rsidRPr="00393E29">
        <w:rPr>
          <w:rFonts w:ascii="微软雅黑" w:eastAsia="微软雅黑" w:hAnsi="微软雅黑" w:cs="宋体"/>
          <w:kern w:val="0"/>
          <w:sz w:val="24"/>
          <w:szCs w:val="24"/>
        </w:rPr>
        <w:t>。因此，我们假设 CDK4/6 抑制</w:t>
      </w:r>
      <w:proofErr w:type="gramStart"/>
      <w:r w:rsidRPr="00393E29">
        <w:rPr>
          <w:rFonts w:ascii="微软雅黑" w:eastAsia="微软雅黑" w:hAnsi="微软雅黑" w:cs="宋体"/>
          <w:kern w:val="0"/>
          <w:sz w:val="24"/>
          <w:szCs w:val="24"/>
        </w:rPr>
        <w:t>介</w:t>
      </w:r>
      <w:proofErr w:type="gramEnd"/>
      <w:r w:rsidRPr="00393E29">
        <w:rPr>
          <w:rFonts w:ascii="微软雅黑" w:eastAsia="微软雅黑" w:hAnsi="微软雅黑" w:cs="宋体"/>
          <w:kern w:val="0"/>
          <w:sz w:val="24"/>
          <w:szCs w:val="24"/>
        </w:rPr>
        <w:t xml:space="preserve">导的细胞周期阻滞（1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帕博西尼的靶向效应）会触发自噬作为一种应激反应，从而阻止这些剂量下衰老的诱导。为了验证这一假设，我们通过以下方法评估了自噬：(</w:t>
      </w:r>
      <w:proofErr w:type="spellStart"/>
      <w:r w:rsidRPr="00393E29">
        <w:rPr>
          <w:rFonts w:ascii="微软雅黑" w:eastAsia="微软雅黑" w:hAnsi="微软雅黑" w:cs="宋体"/>
          <w:kern w:val="0"/>
          <w:sz w:val="24"/>
          <w:szCs w:val="24"/>
        </w:rPr>
        <w:t>i</w:t>
      </w:r>
      <w:proofErr w:type="spellEnd"/>
      <w:r w:rsidRPr="00393E29">
        <w:rPr>
          <w:rFonts w:ascii="微软雅黑" w:eastAsia="微软雅黑" w:hAnsi="微软雅黑" w:cs="宋体"/>
          <w:kern w:val="0"/>
          <w:sz w:val="24"/>
          <w:szCs w:val="24"/>
        </w:rPr>
        <w:t>) 单丹酰尸胺 (MDC) 染色</w:t>
      </w:r>
      <w:r w:rsidRPr="00393E29">
        <w:rPr>
          <w:rFonts w:ascii="微软雅黑" w:eastAsia="微软雅黑" w:hAnsi="微软雅黑" w:cs="宋体"/>
          <w:kern w:val="0"/>
          <w:sz w:val="24"/>
          <w:szCs w:val="24"/>
          <w:u w:val="single"/>
          <w:vertAlign w:val="superscript"/>
        </w:rPr>
        <w:t>&lt;sup&gt; </w:t>
      </w:r>
      <w:hyperlink r:id="rId29" w:anchor="b18" w:history="1">
        <w:r w:rsidRPr="00393E29">
          <w:rPr>
            <w:rFonts w:ascii="微软雅黑" w:eastAsia="微软雅黑" w:hAnsi="微软雅黑" w:cs="宋体"/>
            <w:kern w:val="0"/>
            <w:sz w:val="24"/>
            <w:szCs w:val="24"/>
            <w:u w:val="single"/>
            <w:vertAlign w:val="superscript"/>
          </w:rPr>
          <w:t>18&lt;/sup&gt;</w:t>
        </w:r>
      </w:hyperlink>
      <w:r w:rsidRPr="00393E29">
        <w:rPr>
          <w:rFonts w:ascii="微软雅黑" w:eastAsia="微软雅黑" w:hAnsi="微软雅黑" w:cs="宋体"/>
          <w:kern w:val="0"/>
          <w:sz w:val="24"/>
          <w:szCs w:val="24"/>
        </w:rPr>
        <w:t xml:space="preserve">，(ii) 透射电镜 </w:t>
      </w:r>
      <w:r w:rsidRPr="00393E29">
        <w:rPr>
          <w:rFonts w:ascii="微软雅黑" w:eastAsia="微软雅黑" w:hAnsi="微软雅黑" w:cs="宋体"/>
          <w:kern w:val="0"/>
          <w:sz w:val="24"/>
          <w:szCs w:val="24"/>
        </w:rPr>
        <w:lastRenderedPageBreak/>
        <w:t>(TEM) </w:t>
      </w:r>
      <w:hyperlink r:id="rId30" w:anchor="b19" w:history="1">
        <w:r w:rsidRPr="00393E29">
          <w:rPr>
            <w:rFonts w:ascii="微软雅黑" w:eastAsia="微软雅黑" w:hAnsi="微软雅黑" w:cs="宋体"/>
            <w:kern w:val="0"/>
            <w:sz w:val="24"/>
            <w:szCs w:val="24"/>
            <w:u w:val="single"/>
            <w:vertAlign w:val="superscript"/>
          </w:rPr>
          <w:t>&lt;sup&gt;19</w:t>
        </w:r>
      </w:hyperlink>
      <w:r w:rsidRPr="00393E29">
        <w:rPr>
          <w:rFonts w:ascii="微软雅黑" w:eastAsia="微软雅黑" w:hAnsi="微软雅黑" w:cs="宋体"/>
          <w:kern w:val="0"/>
          <w:sz w:val="24"/>
          <w:szCs w:val="24"/>
          <w:u w:val="single"/>
          <w:vertAlign w:val="superscript"/>
        </w:rPr>
        <w:t> &lt;/sup&gt;</w:t>
      </w:r>
      <w:r w:rsidRPr="00393E29">
        <w:rPr>
          <w:rFonts w:ascii="微软雅黑" w:eastAsia="微软雅黑" w:hAnsi="微软雅黑" w:cs="宋体"/>
          <w:kern w:val="0"/>
          <w:sz w:val="24"/>
          <w:szCs w:val="24"/>
        </w:rPr>
        <w:t>，(iii) GFP-LC3 斑点，(iv) LC3B-II（自噬体表面蛋白</w:t>
      </w:r>
      <w:r w:rsidRPr="00393E29">
        <w:rPr>
          <w:rFonts w:ascii="微软雅黑" w:eastAsia="微软雅黑" w:hAnsi="微软雅黑" w:cs="宋体"/>
          <w:kern w:val="0"/>
          <w:sz w:val="24"/>
          <w:szCs w:val="24"/>
          <w:u w:val="single"/>
          <w:vertAlign w:val="superscript"/>
        </w:rPr>
        <w:t>&lt;sup&gt; </w:t>
      </w:r>
      <w:hyperlink r:id="rId31" w:anchor="b20" w:history="1">
        <w:r w:rsidRPr="00393E29">
          <w:rPr>
            <w:rFonts w:ascii="微软雅黑" w:eastAsia="微软雅黑" w:hAnsi="微软雅黑" w:cs="宋体"/>
            <w:kern w:val="0"/>
            <w:sz w:val="24"/>
            <w:szCs w:val="24"/>
            <w:u w:val="single"/>
            <w:vertAlign w:val="superscript"/>
          </w:rPr>
          <w:t>20</w:t>
        </w:r>
      </w:hyperlink>
      <w:r w:rsidRPr="00393E29">
        <w:rPr>
          <w:rFonts w:ascii="微软雅黑" w:eastAsia="微软雅黑" w:hAnsi="微软雅黑" w:cs="宋体"/>
          <w:kern w:val="0"/>
          <w:sz w:val="24"/>
          <w:szCs w:val="24"/>
          <w:u w:val="single"/>
          <w:vertAlign w:val="superscript"/>
        </w:rPr>
        <w:t> &lt;/sup&gt;</w:t>
      </w:r>
      <w:r w:rsidRPr="00393E29">
        <w:rPr>
          <w:rFonts w:ascii="微软雅黑" w:eastAsia="微软雅黑" w:hAnsi="微软雅黑" w:cs="宋体"/>
          <w:kern w:val="0"/>
          <w:sz w:val="24"/>
          <w:szCs w:val="24"/>
        </w:rPr>
        <w:t xml:space="preserve"> ）和 p62（SQSTM1，一种自噬底物</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"b21"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&lt;sup&gt;21&lt;/sup&gt;</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）的蛋白质印迹分析，以及 (v) 关键自噬蛋白的反相蛋白芯片 (RPPA) 分析。用针对 CDK4/6 的 siRNA 或低剂量帕博西尼处理 MCF7 和 T47D 细胞后，MDC、LC3B-II 和其他关键自噬蛋白（Atg-7、Beclin-1、BNIP3）的水平显著升高，而低剂量下 Bcl2（一种已知的自噬抑制剂</w:t>
      </w:r>
      <w:r w:rsidRPr="00393E29">
        <w:rPr>
          <w:rFonts w:ascii="微软雅黑" w:eastAsia="微软雅黑" w:hAnsi="微软雅黑" w:cs="宋体"/>
          <w:kern w:val="0"/>
          <w:sz w:val="24"/>
          <w:szCs w:val="24"/>
          <w:u w:val="single"/>
          <w:vertAlign w:val="superscript"/>
        </w:rPr>
        <w:t>&lt;sup&gt; </w:t>
      </w:r>
      <w:hyperlink r:id="rId32" w:anchor="b22" w:history="1">
        <w:r w:rsidRPr="00393E29">
          <w:rPr>
            <w:rFonts w:ascii="微软雅黑" w:eastAsia="微软雅黑" w:hAnsi="微软雅黑" w:cs="宋体"/>
            <w:kern w:val="0"/>
            <w:sz w:val="24"/>
            <w:szCs w:val="24"/>
            <w:u w:val="single"/>
            <w:vertAlign w:val="superscript"/>
          </w:rPr>
          <w:t>22</w:t>
        </w:r>
      </w:hyperlink>
      <w:r w:rsidRPr="00393E29">
        <w:rPr>
          <w:rFonts w:ascii="微软雅黑" w:eastAsia="微软雅黑" w:hAnsi="微软雅黑" w:cs="宋体"/>
          <w:kern w:val="0"/>
          <w:sz w:val="24"/>
          <w:szCs w:val="24"/>
          <w:u w:val="single"/>
          <w:vertAlign w:val="superscript"/>
        </w:rPr>
        <w:t xml:space="preserve"> &lt;/sup&gt; </w:t>
      </w:r>
      <w:r w:rsidRPr="00393E29">
        <w:rPr>
          <w:rFonts w:ascii="微软雅黑" w:eastAsia="微软雅黑" w:hAnsi="微软雅黑" w:cs="宋体"/>
          <w:kern w:val="0"/>
          <w:sz w:val="24"/>
          <w:szCs w:val="24"/>
        </w:rPr>
        <w:t>）和 p62 的水平则降低（</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1f、g</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4a-d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 xml:space="preserve">）。此外，TEM 和 GFP-LC3 检测分别显示，在 Palbociclib (1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处理的细胞中，双层膜电子致密自噬体和 GFP-LC3 斑点显著积累（</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1h、j</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4e、5d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）。接下来，我们通过以下方法检测了 Palbociclib 处理后自噬通量是否完整：(</w:t>
      </w:r>
      <w:proofErr w:type="spellStart"/>
      <w:r w:rsidRPr="00393E29">
        <w:rPr>
          <w:rFonts w:ascii="微软雅黑" w:eastAsia="微软雅黑" w:hAnsi="微软雅黑" w:cs="宋体"/>
          <w:kern w:val="0"/>
          <w:sz w:val="24"/>
          <w:szCs w:val="24"/>
        </w:rPr>
        <w:t>i</w:t>
      </w:r>
      <w:proofErr w:type="spellEnd"/>
      <w:r w:rsidRPr="00393E29">
        <w:rPr>
          <w:rFonts w:ascii="微软雅黑" w:eastAsia="微软雅黑" w:hAnsi="微软雅黑" w:cs="宋体"/>
          <w:kern w:val="0"/>
          <w:sz w:val="24"/>
          <w:szCs w:val="24"/>
        </w:rPr>
        <w:t>) 通量比值（LC3B-II 与 LC3B-I 和 LC3B-II 与 p62 的比值），(ii) 溶酶体阻断剂 CQ 处理</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"b23"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rPr>
        <w:t>，</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 xml:space="preserve"> (iii) CQ 处理后 GFP-LC3 斑点的形成，以及 (iv) RFP-GFP-LC3 </w:t>
      </w:r>
      <w:proofErr w:type="gramStart"/>
      <w:r w:rsidRPr="00393E29">
        <w:rPr>
          <w:rFonts w:ascii="微软雅黑" w:eastAsia="微软雅黑" w:hAnsi="微软雅黑" w:cs="宋体"/>
          <w:kern w:val="0"/>
          <w:sz w:val="24"/>
          <w:szCs w:val="24"/>
        </w:rPr>
        <w:t>双报告</w:t>
      </w:r>
      <w:proofErr w:type="gramEnd"/>
      <w:r w:rsidRPr="00393E29">
        <w:rPr>
          <w:rFonts w:ascii="微软雅黑" w:eastAsia="微软雅黑" w:hAnsi="微软雅黑" w:cs="宋体"/>
          <w:kern w:val="0"/>
          <w:sz w:val="24"/>
          <w:szCs w:val="24"/>
        </w:rPr>
        <w:t>基因</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"b24"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rPr>
        <w:t>检测</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 xml:space="preserve">。低剂量（1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）帕博西尼治疗后，表现出更高的通量比率（</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5a</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），CQ 治疗后 MDC 和 LC3B-II 水平升高（</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1i</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5b,c</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），CQ 治疗后 GFP-LC3 斑点显著增加（</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1j</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5d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），RFP+GFP+ 斑点（自噬体）和 RFP+ 斑点（自噬溶酶体）显著增加（</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1k</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5e</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），所有这些都表明自噬通量完整。</w:t>
      </w:r>
    </w:p>
    <w:p w14:paraId="42F2F37C"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与细胞周期阻滞、自噬和衰老相关的另一种应激反应信号是活性氧（ROS）诱导的氧化应激，ROS也参与</w:t>
      </w:r>
      <w:proofErr w:type="gramStart"/>
      <w:r w:rsidRPr="00393E29">
        <w:rPr>
          <w:rFonts w:ascii="微软雅黑" w:eastAsia="微软雅黑" w:hAnsi="微软雅黑" w:cs="宋体"/>
          <w:kern w:val="0"/>
          <w:sz w:val="24"/>
          <w:szCs w:val="24"/>
        </w:rPr>
        <w:t>介</w:t>
      </w:r>
      <w:proofErr w:type="gramEnd"/>
      <w:r w:rsidRPr="00393E29">
        <w:rPr>
          <w:rFonts w:ascii="微软雅黑" w:eastAsia="微软雅黑" w:hAnsi="微软雅黑" w:cs="宋体"/>
          <w:kern w:val="0"/>
          <w:sz w:val="24"/>
          <w:szCs w:val="24"/>
        </w:rPr>
        <w:t>导细胞衰老</w:t>
      </w:r>
      <w:r w:rsidRPr="00393E29">
        <w:rPr>
          <w:rFonts w:ascii="微软雅黑" w:eastAsia="微软雅黑" w:hAnsi="微软雅黑" w:cs="宋体"/>
          <w:kern w:val="0"/>
          <w:sz w:val="24"/>
          <w:szCs w:val="24"/>
          <w:u w:val="single"/>
          <w:vertAlign w:val="superscript"/>
        </w:rPr>
        <w:t>&lt;sup&gt; </w:t>
      </w:r>
      <w:hyperlink r:id="rId33" w:anchor="b25" w:history="1">
        <w:r w:rsidRPr="00393E29">
          <w:rPr>
            <w:rFonts w:ascii="微软雅黑" w:eastAsia="微软雅黑" w:hAnsi="微软雅黑" w:cs="宋体"/>
            <w:kern w:val="0"/>
            <w:sz w:val="24"/>
            <w:szCs w:val="24"/>
            <w:u w:val="single"/>
            <w:vertAlign w:val="superscript"/>
          </w:rPr>
          <w:t>25,26 </w:t>
        </w:r>
      </w:hyperlink>
      <w:hyperlink r:id="rId34" w:anchor="b26" w:history="1">
        <w:r w:rsidRPr="00393E29">
          <w:rPr>
            <w:rFonts w:ascii="微软雅黑" w:eastAsia="微软雅黑" w:hAnsi="微软雅黑" w:cs="宋体"/>
            <w:kern w:val="0"/>
            <w:sz w:val="24"/>
            <w:szCs w:val="24"/>
            <w:u w:val="single"/>
            <w:vertAlign w:val="superscript"/>
          </w:rPr>
          <w:t>&lt;/sup&gt;</w:t>
        </w:r>
      </w:hyperlink>
      <w:r w:rsidRPr="00393E29">
        <w:rPr>
          <w:rFonts w:ascii="微软雅黑" w:eastAsia="微软雅黑" w:hAnsi="微软雅黑" w:cs="宋体"/>
          <w:kern w:val="0"/>
          <w:sz w:val="24"/>
          <w:szCs w:val="24"/>
        </w:rPr>
        <w:t xml:space="preserve">。由此我们假设，帕博西尼（1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）的靶向作用</w:t>
      </w:r>
      <w:proofErr w:type="gramStart"/>
      <w:r w:rsidRPr="00393E29">
        <w:rPr>
          <w:rFonts w:ascii="微软雅黑" w:eastAsia="微软雅黑" w:hAnsi="微软雅黑" w:cs="宋体"/>
          <w:kern w:val="0"/>
          <w:sz w:val="24"/>
          <w:szCs w:val="24"/>
        </w:rPr>
        <w:t>介</w:t>
      </w:r>
      <w:proofErr w:type="gramEnd"/>
      <w:r w:rsidRPr="00393E29">
        <w:rPr>
          <w:rFonts w:ascii="微软雅黑" w:eastAsia="微软雅黑" w:hAnsi="微软雅黑" w:cs="宋体"/>
          <w:kern w:val="0"/>
          <w:sz w:val="24"/>
          <w:szCs w:val="24"/>
        </w:rPr>
        <w:t>导的CDK4/6抑制可能诱导ROS的产生，进而触发自噬。与</w:t>
      </w:r>
      <w:proofErr w:type="gramStart"/>
      <w:r w:rsidRPr="00393E29">
        <w:rPr>
          <w:rFonts w:ascii="微软雅黑" w:eastAsia="微软雅黑" w:hAnsi="微软雅黑" w:cs="宋体"/>
          <w:kern w:val="0"/>
          <w:sz w:val="24"/>
          <w:szCs w:val="24"/>
        </w:rPr>
        <w:t>此一致</w:t>
      </w:r>
      <w:proofErr w:type="gramEnd"/>
      <w:r w:rsidRPr="00393E29">
        <w:rPr>
          <w:rFonts w:ascii="微软雅黑" w:eastAsia="微软雅黑" w:hAnsi="微软雅黑" w:cs="宋体"/>
          <w:kern w:val="0"/>
          <w:sz w:val="24"/>
          <w:szCs w:val="24"/>
        </w:rPr>
        <w:t>的是，在ER&lt;sup&gt;+&lt;/sup&gt;细胞中，CDK4/6的siRNA</w:t>
      </w:r>
      <w:proofErr w:type="gramStart"/>
      <w:r w:rsidRPr="00393E29">
        <w:rPr>
          <w:rFonts w:ascii="微软雅黑" w:eastAsia="微软雅黑" w:hAnsi="微软雅黑" w:cs="宋体"/>
          <w:kern w:val="0"/>
          <w:sz w:val="24"/>
          <w:szCs w:val="24"/>
        </w:rPr>
        <w:t>敲低或</w:t>
      </w:r>
      <w:proofErr w:type="gramEnd"/>
      <w:r w:rsidRPr="00393E29">
        <w:rPr>
          <w:rFonts w:ascii="微软雅黑" w:eastAsia="微软雅黑" w:hAnsi="微软雅黑" w:cs="宋体"/>
          <w:kern w:val="0"/>
          <w:sz w:val="24"/>
          <w:szCs w:val="24"/>
        </w:rPr>
        <w:t>帕博西尼处理均以剂量依赖的方式增加细胞ROS水平，但在MCF10A细胞</w:t>
      </w:r>
      <w:r w:rsidRPr="00393E29">
        <w:rPr>
          <w:rFonts w:ascii="微软雅黑" w:eastAsia="微软雅黑" w:hAnsi="微软雅黑" w:cs="宋体"/>
          <w:kern w:val="0"/>
          <w:sz w:val="24"/>
          <w:szCs w:val="24"/>
        </w:rPr>
        <w:lastRenderedPageBreak/>
        <w:t>中未观察到此现象，这通过</w:t>
      </w:r>
      <w:proofErr w:type="spellStart"/>
      <w:r w:rsidRPr="00393E29">
        <w:rPr>
          <w:rFonts w:ascii="微软雅黑" w:eastAsia="微软雅黑" w:hAnsi="微软雅黑" w:cs="宋体"/>
          <w:kern w:val="0"/>
          <w:sz w:val="24"/>
          <w:szCs w:val="24"/>
        </w:rPr>
        <w:t>CellROX</w:t>
      </w:r>
      <w:proofErr w:type="spellEnd"/>
      <w:r w:rsidRPr="00393E29">
        <w:rPr>
          <w:rFonts w:ascii="微软雅黑" w:eastAsia="微软雅黑" w:hAnsi="微软雅黑" w:cs="宋体"/>
          <w:kern w:val="0"/>
          <w:sz w:val="24"/>
          <w:szCs w:val="24"/>
        </w:rPr>
        <w:t>检测和RPPA分析得到证实（</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图1l、m</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补充图6a-c</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 xml:space="preserve">）。为了检验自噬对 ROS 的依赖性，我们用 N-乙酰-L-半胱氨酸 (NAC) 或 </w:t>
      </w:r>
      <w:proofErr w:type="spellStart"/>
      <w:r w:rsidRPr="00393E29">
        <w:rPr>
          <w:rFonts w:ascii="微软雅黑" w:eastAsia="微软雅黑" w:hAnsi="微软雅黑" w:cs="宋体"/>
          <w:kern w:val="0"/>
          <w:sz w:val="24"/>
          <w:szCs w:val="24"/>
        </w:rPr>
        <w:t>trolox</w:t>
      </w:r>
      <w:proofErr w:type="spellEnd"/>
      <w:r w:rsidRPr="00393E29">
        <w:rPr>
          <w:rFonts w:ascii="微软雅黑" w:eastAsia="微软雅黑" w:hAnsi="微软雅黑" w:cs="宋体"/>
          <w:kern w:val="0"/>
          <w:sz w:val="24"/>
          <w:szCs w:val="24"/>
        </w:rPr>
        <w:t> </w:t>
      </w:r>
      <w:hyperlink r:id="rId35" w:anchor="b27" w:history="1">
        <w:r w:rsidRPr="00393E29">
          <w:rPr>
            <w:rFonts w:ascii="微软雅黑" w:eastAsia="微软雅黑" w:hAnsi="微软雅黑" w:cs="宋体"/>
            <w:kern w:val="0"/>
            <w:sz w:val="24"/>
            <w:szCs w:val="24"/>
            <w:u w:val="single"/>
            <w:vertAlign w:val="superscript"/>
          </w:rPr>
          <w:t>27</w:t>
        </w:r>
      </w:hyperlink>
      <w:r w:rsidRPr="00393E29">
        <w:rPr>
          <w:rFonts w:ascii="微软雅黑" w:eastAsia="微软雅黑" w:hAnsi="微软雅黑" w:cs="宋体"/>
          <w:kern w:val="0"/>
          <w:sz w:val="24"/>
          <w:szCs w:val="24"/>
        </w:rPr>
        <w:t> , </w:t>
      </w:r>
      <w:hyperlink r:id="rId36" w:anchor="b28" w:history="1">
        <w:r w:rsidRPr="00393E29">
          <w:rPr>
            <w:rFonts w:ascii="微软雅黑" w:eastAsia="微软雅黑" w:hAnsi="微软雅黑" w:cs="宋体"/>
            <w:kern w:val="0"/>
            <w:sz w:val="24"/>
            <w:szCs w:val="24"/>
            <w:u w:val="single"/>
            <w:vertAlign w:val="superscript"/>
          </w:rPr>
          <w:t>28</w:t>
        </w:r>
      </w:hyperlink>
      <w:r w:rsidRPr="00393E29">
        <w:rPr>
          <w:rFonts w:ascii="微软雅黑" w:eastAsia="微软雅黑" w:hAnsi="微软雅黑" w:cs="宋体"/>
          <w:kern w:val="0"/>
          <w:sz w:val="24"/>
          <w:szCs w:val="24"/>
        </w:rPr>
        <w:t xml:space="preserve">处理帕博西尼处理的细胞，以消除 ROS ，并观察到 </w:t>
      </w:r>
      <w:r w:rsidRPr="00393E29">
        <w:rPr>
          <w:rFonts w:ascii="MS Gothic" w:eastAsia="MS Gothic" w:hAnsi="MS Gothic" w:cs="MS Gothic" w:hint="eastAsia"/>
          <w:kern w:val="0"/>
          <w:sz w:val="24"/>
          <w:szCs w:val="24"/>
        </w:rPr>
        <w:t>​​</w:t>
      </w:r>
      <w:r w:rsidRPr="00393E29">
        <w:rPr>
          <w:rFonts w:ascii="微软雅黑" w:eastAsia="微软雅黑" w:hAnsi="微软雅黑" w:cs="宋体"/>
          <w:kern w:val="0"/>
          <w:sz w:val="24"/>
          <w:szCs w:val="24"/>
        </w:rPr>
        <w:t>MDC 和 LC3B-II 表达显著降低（</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1n,o</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6d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），表明帕博西尼诱导的自噬依赖于 ROS 的产生。</w:t>
      </w:r>
    </w:p>
    <w:p w14:paraId="7D73B6DB"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 xml:space="preserve">总的来说，这些结果表明，帕博西尼可诱导 ROS，从而在低浓度（≤1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；靶向效应）下导致完整的自噬和可逆的 G1 停滞和生长抑制（</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6e</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w:t>
      </w:r>
    </w:p>
    <w:p w14:paraId="5B3AF574"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自噬抑制可增强乳腺癌对 CDK4/6 抑制剂的敏感性</w:t>
      </w:r>
    </w:p>
    <w:p w14:paraId="7FE753C1"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为了验证我们关于自噬能够保护ER+乳腺癌细胞免受低剂量帕博西尼诱导衰老的假设，我们首先下调了两个关键的自噬基因Beclin-1和Atg-5（参考文献</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"b29"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29、30</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w:t>
      </w:r>
      <w:hyperlink r:id="rId37" w:anchor="f2" w:history="1">
        <w:r w:rsidRPr="00393E29">
          <w:rPr>
            <w:rFonts w:ascii="微软雅黑" w:eastAsia="微软雅黑" w:hAnsi="微软雅黑" w:cs="宋体"/>
            <w:kern w:val="0"/>
            <w:sz w:val="24"/>
            <w:szCs w:val="24"/>
          </w:rPr>
          <w:t>图2a</w:t>
        </w:r>
      </w:hyperlink>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rPr>
        <w:t>补充图7a </w:t>
      </w:r>
      <w:r w:rsidRPr="00393E29">
        <w:rPr>
          <w:rFonts w:ascii="微软雅黑" w:eastAsia="微软雅黑" w:hAnsi="微软雅黑" w:cs="宋体"/>
          <w:kern w:val="0"/>
          <w:sz w:val="24"/>
          <w:szCs w:val="24"/>
        </w:rPr>
        <w:fldChar w:fldCharType="end"/>
      </w:r>
      <w:hyperlink r:id="rId38" w:anchor="b30" w:history="1">
        <w:r w:rsidRPr="00393E29">
          <w:rPr>
            <w:rFonts w:ascii="微软雅黑" w:eastAsia="微软雅黑" w:hAnsi="微软雅黑" w:cs="宋体"/>
            <w:kern w:val="0"/>
            <w:sz w:val="24"/>
            <w:szCs w:val="24"/>
            <w:u w:val="single"/>
            <w:vertAlign w:val="superscript"/>
          </w:rPr>
          <w:t>）</w:t>
        </w:r>
      </w:hyperlink>
      <w:r w:rsidRPr="00393E29">
        <w:rPr>
          <w:rFonts w:ascii="微软雅黑" w:eastAsia="微软雅黑" w:hAnsi="微软雅黑" w:cs="宋体"/>
          <w:kern w:val="0"/>
          <w:sz w:val="24"/>
          <w:szCs w:val="24"/>
        </w:rPr>
        <w:t>。单独下调基因表达对细胞活力没有影响，</w:t>
      </w:r>
      <w:proofErr w:type="gramStart"/>
      <w:r w:rsidRPr="00393E29">
        <w:rPr>
          <w:rFonts w:ascii="微软雅黑" w:eastAsia="微软雅黑" w:hAnsi="微软雅黑" w:cs="宋体"/>
          <w:kern w:val="0"/>
          <w:sz w:val="24"/>
          <w:szCs w:val="24"/>
        </w:rPr>
        <w:t>但显著</w:t>
      </w:r>
      <w:proofErr w:type="gramEnd"/>
      <w:r w:rsidRPr="00393E29">
        <w:rPr>
          <w:rFonts w:ascii="微软雅黑" w:eastAsia="微软雅黑" w:hAnsi="微软雅黑" w:cs="宋体"/>
          <w:kern w:val="0"/>
          <w:sz w:val="24"/>
          <w:szCs w:val="24"/>
        </w:rPr>
        <w:t>提高了MCF7和T47D细胞对帕博西尼的敏感性（</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"f2"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图2b</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补充图7b、c</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）。具体而言，即使在低浓度帕博西尼处理的细胞中，Beclin-1或Atg-5</w:t>
      </w:r>
      <w:proofErr w:type="gramStart"/>
      <w:r w:rsidRPr="00393E29">
        <w:rPr>
          <w:rFonts w:ascii="微软雅黑" w:eastAsia="微软雅黑" w:hAnsi="微软雅黑" w:cs="宋体"/>
          <w:kern w:val="0"/>
          <w:sz w:val="24"/>
          <w:szCs w:val="24"/>
        </w:rPr>
        <w:t>的敲低也会</w:t>
      </w:r>
      <w:proofErr w:type="gramEnd"/>
      <w:r w:rsidRPr="00393E29">
        <w:rPr>
          <w:rFonts w:ascii="微软雅黑" w:eastAsia="微软雅黑" w:hAnsi="微软雅黑" w:cs="宋体"/>
          <w:kern w:val="0"/>
          <w:sz w:val="24"/>
          <w:szCs w:val="24"/>
        </w:rPr>
        <w:t>导致不可逆的生长抑制、不可逆的G1期阻滞和衰老增加（</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"f2"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图2c</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补充图7d-f</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），这表明自噬的缺失显著增强了该药物诱导细胞衰老的能力。</w:t>
      </w:r>
    </w:p>
    <w:p w14:paraId="6885138A" w14:textId="77777777" w:rsidR="00393E29" w:rsidRPr="00393E29" w:rsidRDefault="00393E29" w:rsidP="00393E29">
      <w:pPr>
        <w:widowControl/>
        <w:spacing w:line="450" w:lineRule="atLeast"/>
        <w:outlineLvl w:val="3"/>
        <w:rPr>
          <w:rFonts w:ascii="微软雅黑" w:eastAsia="微软雅黑" w:hAnsi="微软雅黑" w:cs="宋体"/>
          <w:kern w:val="0"/>
          <w:sz w:val="30"/>
          <w:szCs w:val="30"/>
        </w:rPr>
      </w:pPr>
      <w:r w:rsidRPr="00393E29">
        <w:rPr>
          <w:rFonts w:ascii="微软雅黑" w:eastAsia="微软雅黑" w:hAnsi="微软雅黑" w:cs="宋体"/>
          <w:kern w:val="0"/>
          <w:sz w:val="30"/>
          <w:szCs w:val="30"/>
        </w:rPr>
        <w:t>图 2. 自噬抑制使细胞对 CDK4/6 抑制剂敏感。</w:t>
      </w:r>
    </w:p>
    <w:p w14:paraId="544B7BDC" w14:textId="6926140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noProof/>
          <w:kern w:val="0"/>
          <w:sz w:val="24"/>
          <w:szCs w:val="24"/>
        </w:rPr>
        <w:lastRenderedPageBreak/>
        <w:drawing>
          <wp:inline distT="0" distB="0" distL="0" distR="0" wp14:anchorId="16A97176" wp14:editId="4CA17584">
            <wp:extent cx="5274310" cy="6163310"/>
            <wp:effectExtent l="0" t="0" r="2540" b="8890"/>
            <wp:docPr id="5" name="图片 5" descr="图 2">
              <a:hlinkClick xmlns:a="http://schemas.openxmlformats.org/drawingml/2006/main" r:id="rId3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图 2">
                      <a:hlinkClick r:id="rId39" tgtFrame="&quot;_blank&quot;"/>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274310" cy="6163310"/>
                    </a:xfrm>
                    <a:prstGeom prst="rect">
                      <a:avLst/>
                    </a:prstGeom>
                    <a:noFill/>
                    <a:ln>
                      <a:noFill/>
                    </a:ln>
                  </pic:spPr>
                </pic:pic>
              </a:graphicData>
            </a:graphic>
          </wp:inline>
        </w:drawing>
      </w:r>
    </w:p>
    <w:p w14:paraId="7612A892" w14:textId="77777777" w:rsidR="00393E29" w:rsidRPr="00393E29" w:rsidRDefault="00393E29" w:rsidP="00393E29">
      <w:pPr>
        <w:widowControl/>
        <w:rPr>
          <w:rFonts w:ascii="微软雅黑" w:eastAsia="微软雅黑" w:hAnsi="微软雅黑" w:cs="宋体"/>
          <w:kern w:val="0"/>
          <w:sz w:val="24"/>
          <w:szCs w:val="24"/>
        </w:rPr>
      </w:pPr>
      <w:r w:rsidRPr="00393E29">
        <w:rPr>
          <w:rFonts w:ascii="微软雅黑" w:eastAsia="微软雅黑" w:hAnsi="微软雅黑" w:cs="宋体"/>
          <w:kern w:val="0"/>
          <w:sz w:val="24"/>
          <w:szCs w:val="24"/>
        </w:rPr>
        <w:t>( </w:t>
      </w:r>
      <w:r w:rsidRPr="00393E29">
        <w:rPr>
          <w:rFonts w:ascii="微软雅黑" w:eastAsia="微软雅黑" w:hAnsi="微软雅黑" w:cs="宋体"/>
          <w:b/>
          <w:bCs/>
          <w:kern w:val="0"/>
          <w:sz w:val="24"/>
          <w:szCs w:val="24"/>
        </w:rPr>
        <w:t>a</w:t>
      </w:r>
      <w:r w:rsidRPr="00393E29">
        <w:rPr>
          <w:rFonts w:ascii="微软雅黑" w:eastAsia="微软雅黑" w:hAnsi="微软雅黑" w:cs="宋体"/>
          <w:kern w:val="0"/>
          <w:sz w:val="24"/>
          <w:szCs w:val="24"/>
        </w:rPr>
        <w:t> ) 用Scrambled (</w:t>
      </w:r>
      <w:proofErr w:type="spellStart"/>
      <w:r w:rsidRPr="00393E29">
        <w:rPr>
          <w:rFonts w:ascii="微软雅黑" w:eastAsia="微软雅黑" w:hAnsi="微软雅黑" w:cs="宋体"/>
          <w:kern w:val="0"/>
          <w:sz w:val="24"/>
          <w:szCs w:val="24"/>
        </w:rPr>
        <w:t>Scr</w:t>
      </w:r>
      <w:proofErr w:type="spellEnd"/>
      <w:r w:rsidRPr="00393E29">
        <w:rPr>
          <w:rFonts w:ascii="微软雅黑" w:eastAsia="微软雅黑" w:hAnsi="微软雅黑" w:cs="宋体"/>
          <w:kern w:val="0"/>
          <w:sz w:val="24"/>
          <w:szCs w:val="24"/>
        </w:rPr>
        <w:t>)、Beclin-1或Atg5 shRNA转染MCF7和T47D细胞后，进行Beclin-1和Atg-5的Western blot分析。将Beclin-1或Atg5</w:t>
      </w:r>
      <w:proofErr w:type="gramStart"/>
      <w:r w:rsidRPr="00393E29">
        <w:rPr>
          <w:rFonts w:ascii="微软雅黑" w:eastAsia="微软雅黑" w:hAnsi="微软雅黑" w:cs="宋体"/>
          <w:kern w:val="0"/>
          <w:sz w:val="24"/>
          <w:szCs w:val="24"/>
        </w:rPr>
        <w:t>敲低的</w:t>
      </w:r>
      <w:proofErr w:type="gramEnd"/>
      <w:r w:rsidRPr="00393E29">
        <w:rPr>
          <w:rFonts w:ascii="微软雅黑" w:eastAsia="微软雅黑" w:hAnsi="微软雅黑" w:cs="宋体"/>
          <w:kern w:val="0"/>
          <w:sz w:val="24"/>
          <w:szCs w:val="24"/>
        </w:rPr>
        <w:t>MCF7和T47D细胞用帕博西尼处理6天，然后进行( </w:t>
      </w:r>
      <w:r w:rsidRPr="00393E29">
        <w:rPr>
          <w:rFonts w:ascii="微软雅黑" w:eastAsia="微软雅黑" w:hAnsi="微软雅黑" w:cs="宋体"/>
          <w:b/>
          <w:bCs/>
          <w:kern w:val="0"/>
          <w:sz w:val="24"/>
          <w:szCs w:val="24"/>
        </w:rPr>
        <w:t>b</w:t>
      </w:r>
      <w:r w:rsidRPr="00393E29">
        <w:rPr>
          <w:rFonts w:ascii="微软雅黑" w:eastAsia="微软雅黑" w:hAnsi="微软雅黑" w:cs="宋体"/>
          <w:kern w:val="0"/>
          <w:sz w:val="24"/>
          <w:szCs w:val="24"/>
        </w:rPr>
        <w:t> ) 6天恢复期后的剂量反应实验和( </w:t>
      </w:r>
      <w:r w:rsidRPr="00393E29">
        <w:rPr>
          <w:rFonts w:ascii="微软雅黑" w:eastAsia="微软雅黑" w:hAnsi="微软雅黑" w:cs="宋体"/>
          <w:b/>
          <w:bCs/>
          <w:kern w:val="0"/>
          <w:sz w:val="24"/>
          <w:szCs w:val="24"/>
        </w:rPr>
        <w:t>c</w:t>
      </w:r>
      <w:r w:rsidRPr="00393E29">
        <w:rPr>
          <w:rFonts w:ascii="微软雅黑" w:eastAsia="微软雅黑" w:hAnsi="微软雅黑" w:cs="宋体"/>
          <w:kern w:val="0"/>
          <w:sz w:val="24"/>
          <w:szCs w:val="24"/>
        </w:rPr>
        <w:t xml:space="preserve"> ) SA-β-半乳糖苷酶活性测定。P值与SCR-1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帕博西尼组进行比较计算。将MCF7和T47D细胞用帕博西尼和15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HCQ联合处理6天。将细胞在无药培养基</w:t>
      </w:r>
      <w:r w:rsidRPr="00393E29">
        <w:rPr>
          <w:rFonts w:ascii="微软雅黑" w:eastAsia="微软雅黑" w:hAnsi="微软雅黑" w:cs="宋体"/>
          <w:i/>
          <w:iCs/>
          <w:kern w:val="0"/>
          <w:sz w:val="24"/>
          <w:szCs w:val="24"/>
        </w:rPr>
        <w:t>中</w:t>
      </w:r>
      <w:r w:rsidRPr="00393E29">
        <w:rPr>
          <w:rFonts w:ascii="微软雅黑" w:eastAsia="微软雅黑" w:hAnsi="微软雅黑" w:cs="宋体"/>
          <w:kern w:val="0"/>
          <w:sz w:val="24"/>
          <w:szCs w:val="24"/>
        </w:rPr>
        <w:t>恢复4或6天，然后进行( </w:t>
      </w:r>
      <w:r w:rsidRPr="00393E29">
        <w:rPr>
          <w:rFonts w:ascii="微软雅黑" w:eastAsia="微软雅黑" w:hAnsi="微软雅黑" w:cs="宋体"/>
          <w:b/>
          <w:bCs/>
          <w:kern w:val="0"/>
          <w:sz w:val="24"/>
          <w:szCs w:val="24"/>
        </w:rPr>
        <w:t>d</w:t>
      </w:r>
      <w:r w:rsidRPr="00393E29">
        <w:rPr>
          <w:rFonts w:ascii="微软雅黑" w:eastAsia="微软雅黑" w:hAnsi="微软雅黑" w:cs="宋体"/>
          <w:kern w:val="0"/>
          <w:sz w:val="24"/>
          <w:szCs w:val="24"/>
        </w:rPr>
        <w:t> ) 细胞计数、( </w:t>
      </w:r>
      <w:r w:rsidRPr="00393E29">
        <w:rPr>
          <w:rFonts w:ascii="微软雅黑" w:eastAsia="微软雅黑" w:hAnsi="微软雅黑" w:cs="宋体"/>
          <w:b/>
          <w:bCs/>
          <w:kern w:val="0"/>
          <w:sz w:val="24"/>
          <w:szCs w:val="24"/>
        </w:rPr>
        <w:t>e</w:t>
      </w:r>
      <w:r w:rsidRPr="00393E29">
        <w:rPr>
          <w:rFonts w:ascii="微软雅黑" w:eastAsia="微软雅黑" w:hAnsi="微软雅黑" w:cs="宋体"/>
          <w:kern w:val="0"/>
          <w:sz w:val="24"/>
          <w:szCs w:val="24"/>
        </w:rPr>
        <w:t> ) 克隆形成</w:t>
      </w:r>
      <w:r w:rsidRPr="00393E29">
        <w:rPr>
          <w:rFonts w:ascii="微软雅黑" w:eastAsia="微软雅黑" w:hAnsi="微软雅黑" w:cs="宋体"/>
          <w:kern w:val="0"/>
          <w:sz w:val="24"/>
          <w:szCs w:val="24"/>
        </w:rPr>
        <w:lastRenderedPageBreak/>
        <w:t>实验、( </w:t>
      </w:r>
      <w:r w:rsidRPr="00393E29">
        <w:rPr>
          <w:rFonts w:ascii="微软雅黑" w:eastAsia="微软雅黑" w:hAnsi="微软雅黑" w:cs="宋体"/>
          <w:b/>
          <w:bCs/>
          <w:kern w:val="0"/>
          <w:sz w:val="24"/>
          <w:szCs w:val="24"/>
        </w:rPr>
        <w:t>f</w:t>
      </w:r>
      <w:r w:rsidRPr="00393E29">
        <w:rPr>
          <w:rFonts w:ascii="微软雅黑" w:eastAsia="微软雅黑" w:hAnsi="微软雅黑" w:cs="宋体"/>
          <w:kern w:val="0"/>
          <w:sz w:val="24"/>
          <w:szCs w:val="24"/>
        </w:rPr>
        <w:t> ) 细胞ROS活性测定和( </w:t>
      </w:r>
      <w:r w:rsidRPr="00393E29">
        <w:rPr>
          <w:rFonts w:ascii="微软雅黑" w:eastAsia="微软雅黑" w:hAnsi="微软雅黑" w:cs="宋体"/>
          <w:b/>
          <w:bCs/>
          <w:kern w:val="0"/>
          <w:sz w:val="24"/>
          <w:szCs w:val="24"/>
        </w:rPr>
        <w:t>g</w:t>
      </w:r>
      <w:r w:rsidRPr="00393E29">
        <w:rPr>
          <w:rFonts w:ascii="微软雅黑" w:eastAsia="微软雅黑" w:hAnsi="微软雅黑" w:cs="宋体"/>
          <w:kern w:val="0"/>
          <w:sz w:val="24"/>
          <w:szCs w:val="24"/>
        </w:rPr>
        <w:t> ) SA-β-半乳糖苷酶活性测定。 （</w:t>
      </w:r>
      <w:r w:rsidRPr="00393E29">
        <w:rPr>
          <w:rFonts w:ascii="微软雅黑" w:eastAsia="微软雅黑" w:hAnsi="微软雅黑" w:cs="宋体"/>
          <w:b/>
          <w:bCs/>
          <w:kern w:val="0"/>
          <w:sz w:val="24"/>
          <w:szCs w:val="24"/>
        </w:rPr>
        <w:t>h</w:t>
      </w:r>
      <w:r w:rsidRPr="00393E29">
        <w:rPr>
          <w:rFonts w:ascii="微软雅黑" w:eastAsia="微软雅黑" w:hAnsi="微软雅黑" w:cs="宋体"/>
          <w:kern w:val="0"/>
          <w:sz w:val="24"/>
          <w:szCs w:val="24"/>
        </w:rPr>
        <w:t xml:space="preserve">）克隆形成实验，用于评估联合使用抗 CDK4/6 siRNA 和 15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HCQ 处理 6 天的影响。MCF7 和 T47D 细胞用 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w:t>
      </w:r>
      <w:proofErr w:type="spellStart"/>
      <w:r w:rsidRPr="00393E29">
        <w:rPr>
          <w:rFonts w:ascii="微软雅黑" w:eastAsia="微软雅黑" w:hAnsi="微软雅黑" w:cs="宋体"/>
          <w:kern w:val="0"/>
          <w:sz w:val="24"/>
          <w:szCs w:val="24"/>
        </w:rPr>
        <w:t>abemaciclib</w:t>
      </w:r>
      <w:proofErr w:type="spellEnd"/>
      <w:r w:rsidRPr="00393E29">
        <w:rPr>
          <w:rFonts w:ascii="微软雅黑" w:eastAsia="微软雅黑" w:hAnsi="微软雅黑" w:cs="宋体"/>
          <w:kern w:val="0"/>
          <w:sz w:val="24"/>
          <w:szCs w:val="24"/>
        </w:rPr>
        <w:t xml:space="preserve"> 联合 15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HCQ 处理 6 天，然后恢复 4 或 6 天，并进行（</w:t>
      </w:r>
      <w:proofErr w:type="spellStart"/>
      <w:r w:rsidRPr="00393E29">
        <w:rPr>
          <w:rFonts w:ascii="微软雅黑" w:eastAsia="微软雅黑" w:hAnsi="微软雅黑" w:cs="宋体"/>
          <w:b/>
          <w:bCs/>
          <w:kern w:val="0"/>
          <w:sz w:val="24"/>
          <w:szCs w:val="24"/>
        </w:rPr>
        <w:t>i</w:t>
      </w:r>
      <w:proofErr w:type="spellEnd"/>
      <w:r w:rsidRPr="00393E29">
        <w:rPr>
          <w:rFonts w:ascii="微软雅黑" w:eastAsia="微软雅黑" w:hAnsi="微软雅黑" w:cs="宋体"/>
          <w:kern w:val="0"/>
          <w:sz w:val="24"/>
          <w:szCs w:val="24"/>
        </w:rPr>
        <w:t>）细胞计数；（</w:t>
      </w:r>
      <w:r w:rsidRPr="00393E29">
        <w:rPr>
          <w:rFonts w:ascii="微软雅黑" w:eastAsia="微软雅黑" w:hAnsi="微软雅黑" w:cs="宋体"/>
          <w:b/>
          <w:bCs/>
          <w:kern w:val="0"/>
          <w:sz w:val="24"/>
          <w:szCs w:val="24"/>
        </w:rPr>
        <w:t>j</w:t>
      </w:r>
      <w:r w:rsidRPr="00393E29">
        <w:rPr>
          <w:rFonts w:ascii="微软雅黑" w:eastAsia="微软雅黑" w:hAnsi="微软雅黑" w:cs="宋体"/>
          <w:kern w:val="0"/>
          <w:sz w:val="24"/>
          <w:szCs w:val="24"/>
        </w:rPr>
        <w:t>）总凋亡细胞计数（早期凋亡：Annexin V+/碘化丙</w:t>
      </w:r>
      <w:proofErr w:type="gramStart"/>
      <w:r w:rsidRPr="00393E29">
        <w:rPr>
          <w:rFonts w:ascii="微软雅黑" w:eastAsia="微软雅黑" w:hAnsi="微软雅黑" w:cs="宋体"/>
          <w:kern w:val="0"/>
          <w:sz w:val="24"/>
          <w:szCs w:val="24"/>
        </w:rPr>
        <w:t>啶</w:t>
      </w:r>
      <w:proofErr w:type="gramEnd"/>
      <w:r w:rsidRPr="00393E29">
        <w:rPr>
          <w:rFonts w:ascii="微软雅黑" w:eastAsia="微软雅黑" w:hAnsi="微软雅黑" w:cs="宋体"/>
          <w:kern w:val="0"/>
          <w:sz w:val="24"/>
          <w:szCs w:val="24"/>
        </w:rPr>
        <w:t>-；晚期凋亡：Annexin V+/碘化丙</w:t>
      </w:r>
      <w:proofErr w:type="gramStart"/>
      <w:r w:rsidRPr="00393E29">
        <w:rPr>
          <w:rFonts w:ascii="微软雅黑" w:eastAsia="微软雅黑" w:hAnsi="微软雅黑" w:cs="宋体"/>
          <w:kern w:val="0"/>
          <w:sz w:val="24"/>
          <w:szCs w:val="24"/>
        </w:rPr>
        <w:t>啶</w:t>
      </w:r>
      <w:proofErr w:type="gramEnd"/>
      <w:r w:rsidRPr="00393E29">
        <w:rPr>
          <w:rFonts w:ascii="微软雅黑" w:eastAsia="微软雅黑" w:hAnsi="微软雅黑" w:cs="宋体"/>
          <w:kern w:val="0"/>
          <w:sz w:val="24"/>
          <w:szCs w:val="24"/>
        </w:rPr>
        <w:t>+）；（</w:t>
      </w:r>
      <w:r w:rsidRPr="00393E29">
        <w:rPr>
          <w:rFonts w:ascii="微软雅黑" w:eastAsia="微软雅黑" w:hAnsi="微软雅黑" w:cs="宋体"/>
          <w:b/>
          <w:bCs/>
          <w:kern w:val="0"/>
          <w:sz w:val="24"/>
          <w:szCs w:val="24"/>
        </w:rPr>
        <w:t>k</w:t>
      </w:r>
      <w:r w:rsidRPr="00393E29">
        <w:rPr>
          <w:rFonts w:ascii="微软雅黑" w:eastAsia="微软雅黑" w:hAnsi="微软雅黑" w:cs="宋体"/>
          <w:kern w:val="0"/>
          <w:sz w:val="24"/>
          <w:szCs w:val="24"/>
        </w:rPr>
        <w:t>）克隆形成实验。（</w:t>
      </w:r>
      <w:r w:rsidRPr="00393E29">
        <w:rPr>
          <w:rFonts w:ascii="微软雅黑" w:eastAsia="微软雅黑" w:hAnsi="微软雅黑" w:cs="宋体"/>
          <w:b/>
          <w:bCs/>
          <w:kern w:val="0"/>
          <w:sz w:val="24"/>
          <w:szCs w:val="24"/>
        </w:rPr>
        <w:t>l</w:t>
      </w:r>
      <w:r w:rsidRPr="00393E29">
        <w:rPr>
          <w:rFonts w:ascii="微软雅黑" w:eastAsia="微软雅黑" w:hAnsi="微软雅黑" w:cs="宋体"/>
          <w:kern w:val="0"/>
          <w:sz w:val="24"/>
          <w:szCs w:val="24"/>
        </w:rPr>
        <w:t xml:space="preserve">）MCF7 和 T47D 细胞用 10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spautin-1 或 1 </w:t>
      </w:r>
      <w:proofErr w:type="spellStart"/>
      <w:r w:rsidRPr="00393E29">
        <w:rPr>
          <w:rFonts w:ascii="微软雅黑" w:eastAsia="微软雅黑" w:hAnsi="微软雅黑" w:cs="宋体"/>
          <w:kern w:val="0"/>
          <w:sz w:val="24"/>
          <w:szCs w:val="24"/>
        </w:rPr>
        <w:t>nM</w:t>
      </w:r>
      <w:proofErr w:type="spellEnd"/>
      <w:r w:rsidRPr="00393E29">
        <w:rPr>
          <w:rFonts w:ascii="微软雅黑" w:eastAsia="微软雅黑" w:hAnsi="微软雅黑" w:cs="宋体"/>
          <w:kern w:val="0"/>
          <w:sz w:val="24"/>
          <w:szCs w:val="24"/>
        </w:rPr>
        <w:t xml:space="preserve"> bafilomycin A1 (Baf-A1) 联合 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处理 6 天，然后恢复 6 天，进行克隆形成实验。 （</w:t>
      </w:r>
      <w:r w:rsidRPr="00393E29">
        <w:rPr>
          <w:rFonts w:ascii="微软雅黑" w:eastAsia="微软雅黑" w:hAnsi="微软雅黑" w:cs="宋体"/>
          <w:b/>
          <w:bCs/>
          <w:kern w:val="0"/>
          <w:sz w:val="24"/>
          <w:szCs w:val="24"/>
        </w:rPr>
        <w:t>m</w:t>
      </w:r>
      <w:r w:rsidRPr="00393E29">
        <w:rPr>
          <w:rFonts w:ascii="微软雅黑" w:eastAsia="微软雅黑" w:hAnsi="微软雅黑" w:cs="宋体"/>
          <w:kern w:val="0"/>
          <w:sz w:val="24"/>
          <w:szCs w:val="24"/>
        </w:rPr>
        <w:t>，</w:t>
      </w:r>
      <w:r w:rsidRPr="00393E29">
        <w:rPr>
          <w:rFonts w:ascii="微软雅黑" w:eastAsia="微软雅黑" w:hAnsi="微软雅黑" w:cs="宋体"/>
          <w:b/>
          <w:bCs/>
          <w:kern w:val="0"/>
          <w:sz w:val="24"/>
          <w:szCs w:val="24"/>
        </w:rPr>
        <w:t>n</w:t>
      </w:r>
      <w:r w:rsidRPr="00393E29">
        <w:rPr>
          <w:rFonts w:ascii="微软雅黑" w:eastAsia="微软雅黑" w:hAnsi="微软雅黑" w:cs="宋体"/>
          <w:kern w:val="0"/>
          <w:sz w:val="24"/>
          <w:szCs w:val="24"/>
        </w:rPr>
        <w:t xml:space="preserve">）通过细胞计数评估用 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和 7.5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Lys-05 ( </w:t>
      </w:r>
      <w:r w:rsidRPr="00393E29">
        <w:rPr>
          <w:rFonts w:ascii="微软雅黑" w:eastAsia="微软雅黑" w:hAnsi="微软雅黑" w:cs="宋体"/>
          <w:b/>
          <w:bCs/>
          <w:kern w:val="0"/>
          <w:sz w:val="24"/>
          <w:szCs w:val="24"/>
        </w:rPr>
        <w:t>m</w:t>
      </w:r>
      <w:r w:rsidRPr="00393E29">
        <w:rPr>
          <w:rFonts w:ascii="微软雅黑" w:eastAsia="微软雅黑" w:hAnsi="微软雅黑" w:cs="宋体"/>
          <w:kern w:val="0"/>
          <w:sz w:val="24"/>
          <w:szCs w:val="24"/>
        </w:rPr>
        <w:t xml:space="preserve"> ) 或 10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Spautin-1 ( </w:t>
      </w:r>
      <w:r w:rsidRPr="00393E29">
        <w:rPr>
          <w:rFonts w:ascii="微软雅黑" w:eastAsia="微软雅黑" w:hAnsi="微软雅黑" w:cs="宋体"/>
          <w:b/>
          <w:bCs/>
          <w:kern w:val="0"/>
          <w:sz w:val="24"/>
          <w:szCs w:val="24"/>
        </w:rPr>
        <w:t>n</w:t>
      </w:r>
      <w:r w:rsidRPr="00393E29">
        <w:rPr>
          <w:rFonts w:ascii="微软雅黑" w:eastAsia="微软雅黑" w:hAnsi="微软雅黑" w:cs="宋体"/>
          <w:kern w:val="0"/>
          <w:sz w:val="24"/>
          <w:szCs w:val="24"/>
        </w:rPr>
        <w:t> ) 处理 6 天以及恢复 4 天的细胞的生长情况。所有数据均代表三次独立实验的平均值±标准差；NS：</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&gt;0.05；*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&lt;0.05；**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&lt;0.01；***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&lt;0.001；****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&lt;0.0001。</w:t>
      </w:r>
    </w:p>
    <w:p w14:paraId="44D9D16A"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接下来，我们探究了自噬的药理学抑制是否能与帕博西尼协同诱导细胞衰老。与单独使用帕博西尼相比，自噬抑制剂</w:t>
      </w:r>
      <w:proofErr w:type="gramStart"/>
      <w:r w:rsidRPr="00393E29">
        <w:rPr>
          <w:rFonts w:ascii="微软雅黑" w:eastAsia="微软雅黑" w:hAnsi="微软雅黑" w:cs="宋体"/>
          <w:kern w:val="0"/>
          <w:sz w:val="24"/>
          <w:szCs w:val="24"/>
        </w:rPr>
        <w:t>羟</w:t>
      </w:r>
      <w:proofErr w:type="gramEnd"/>
      <w:r w:rsidRPr="00393E29">
        <w:rPr>
          <w:rFonts w:ascii="微软雅黑" w:eastAsia="微软雅黑" w:hAnsi="微软雅黑" w:cs="宋体"/>
          <w:kern w:val="0"/>
          <w:sz w:val="24"/>
          <w:szCs w:val="24"/>
        </w:rPr>
        <w:t>氯喹（HCQ）联合低剂量帕博西尼治疗可诱导长期持续的生长抑制、不可逆的G1期阻滞、活性氧（ROS）水平显著升高以及细胞衰老，但不会诱导细胞凋亡（</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"f2"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图2d-g</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补充图8a-g</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）。这表明自噬能够降解ROS，从而在低浓度下阻止细胞衰老的诱导（</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补充图8j</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）。此外，在通过siRNA和shRNA</w:t>
      </w:r>
      <w:proofErr w:type="gramStart"/>
      <w:r w:rsidRPr="00393E29">
        <w:rPr>
          <w:rFonts w:ascii="微软雅黑" w:eastAsia="微软雅黑" w:hAnsi="微软雅黑" w:cs="宋体"/>
          <w:kern w:val="0"/>
          <w:sz w:val="24"/>
          <w:szCs w:val="24"/>
        </w:rPr>
        <w:t>敲低</w:t>
      </w:r>
      <w:proofErr w:type="gramEnd"/>
      <w:r w:rsidRPr="00393E29">
        <w:rPr>
          <w:rFonts w:ascii="微软雅黑" w:eastAsia="微软雅黑" w:hAnsi="微软雅黑" w:cs="宋体"/>
          <w:kern w:val="0"/>
          <w:sz w:val="24"/>
          <w:szCs w:val="24"/>
        </w:rPr>
        <w:t>CDK4和CDK6的MCF7和T47D细胞中，与</w:t>
      </w:r>
      <w:proofErr w:type="gramStart"/>
      <w:r w:rsidRPr="00393E29">
        <w:rPr>
          <w:rFonts w:ascii="微软雅黑" w:eastAsia="微软雅黑" w:hAnsi="微软雅黑" w:cs="宋体"/>
          <w:kern w:val="0"/>
          <w:sz w:val="24"/>
          <w:szCs w:val="24"/>
        </w:rPr>
        <w:t>单独敲低</w:t>
      </w:r>
      <w:proofErr w:type="gramEnd"/>
      <w:r w:rsidRPr="00393E29">
        <w:rPr>
          <w:rFonts w:ascii="微软雅黑" w:eastAsia="微软雅黑" w:hAnsi="微软雅黑" w:cs="宋体"/>
          <w:kern w:val="0"/>
          <w:sz w:val="24"/>
          <w:szCs w:val="24"/>
        </w:rPr>
        <w:t>CDK4/6相比，HCQ治疗显著增强了生长抑制，验证了CDK4/6与自噬抑制之间的协同作用（</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"f2"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图2h</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补充图8h,i</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w:t>
      </w:r>
    </w:p>
    <w:p w14:paraId="7343AA65"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接下来，我们研究了其他临床可用的 CDK4/6 抑制剂阿贝西利和瑞博西利（</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9a、b</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）是否也能与自噬抑制剂产生协同作用。结果显示，瑞博西利或阿贝</w:t>
      </w:r>
      <w:r w:rsidRPr="00393E29">
        <w:rPr>
          <w:rFonts w:ascii="微软雅黑" w:eastAsia="微软雅黑" w:hAnsi="微软雅黑" w:cs="宋体"/>
          <w:kern w:val="0"/>
          <w:sz w:val="24"/>
          <w:szCs w:val="24"/>
        </w:rPr>
        <w:lastRenderedPageBreak/>
        <w:t>西利与羟氯喹联合治疗可显著且持续地抑制细胞生长（</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"f2"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2i、k</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9c、d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）。与帕博西尼不同，阿贝西利与羟氯喹联合治疗与单独使用阿贝西利相比，还能显著诱导细胞凋亡（</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"f2"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2j</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9e</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）。最后，另外四种自噬抑制药物 Lys05（参考文献</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"b31"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31</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）、CQ、bafilomycin A1（参考文献</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"b32"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32</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 spautin-1（参考文献</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"b33"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33</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w:t>
      </w:r>
      <w:hyperlink r:id="rId41" w:anchor="S1" w:history="1">
        <w:r w:rsidRPr="00393E29">
          <w:rPr>
            <w:rFonts w:ascii="微软雅黑" w:eastAsia="微软雅黑" w:hAnsi="微软雅黑" w:cs="宋体"/>
            <w:kern w:val="0"/>
            <w:sz w:val="24"/>
            <w:szCs w:val="24"/>
            <w:u w:val="single"/>
          </w:rPr>
          <w:t>补充图 9f</w:t>
        </w:r>
      </w:hyperlink>
      <w:r w:rsidRPr="00393E29">
        <w:rPr>
          <w:rFonts w:ascii="微软雅黑" w:eastAsia="微软雅黑" w:hAnsi="微软雅黑" w:cs="宋体"/>
          <w:kern w:val="0"/>
          <w:sz w:val="24"/>
          <w:szCs w:val="24"/>
        </w:rPr>
        <w:t xml:space="preserve">）均与低剂量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产生协同作用，导致不可逆的生长抑制（</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"f2"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2l–n</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9g–k</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w:t>
      </w:r>
    </w:p>
    <w:p w14:paraId="05ECCB32"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 xml:space="preserve">综上所述，这些结果表明，通过基因消融或药物抑制自噬与 CDK4/6 抑制剂联合使用可产生协同反应，从而导致持续的生长抑制和衰老（或在 </w:t>
      </w:r>
      <w:proofErr w:type="spellStart"/>
      <w:r w:rsidRPr="00393E29">
        <w:rPr>
          <w:rFonts w:ascii="微软雅黑" w:eastAsia="微软雅黑" w:hAnsi="微软雅黑" w:cs="宋体"/>
          <w:kern w:val="0"/>
          <w:sz w:val="24"/>
          <w:szCs w:val="24"/>
        </w:rPr>
        <w:t>abemaciclib</w:t>
      </w:r>
      <w:proofErr w:type="spellEnd"/>
      <w:r w:rsidRPr="00393E29">
        <w:rPr>
          <w:rFonts w:ascii="微软雅黑" w:eastAsia="微软雅黑" w:hAnsi="微软雅黑" w:cs="宋体"/>
          <w:kern w:val="0"/>
          <w:sz w:val="24"/>
          <w:szCs w:val="24"/>
        </w:rPr>
        <w:t xml:space="preserve"> 的情况下导致细胞凋亡）。</w:t>
      </w:r>
    </w:p>
    <w:p w14:paraId="683C0338"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i/>
          <w:iCs/>
          <w:kern w:val="0"/>
          <w:sz w:val="32"/>
          <w:szCs w:val="32"/>
        </w:rPr>
        <w:t>帕博西尼在体内</w:t>
      </w:r>
      <w:r w:rsidRPr="00393E29">
        <w:rPr>
          <w:rFonts w:ascii="微软雅黑" w:eastAsia="微软雅黑" w:hAnsi="微软雅黑" w:cs="宋体"/>
          <w:kern w:val="0"/>
          <w:sz w:val="32"/>
          <w:szCs w:val="32"/>
        </w:rPr>
        <w:t>与自噬抑制剂具有协同作用。</w:t>
      </w:r>
    </w:p>
    <w:p w14:paraId="6154752D"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为了探究帕博西尼是否</w:t>
      </w:r>
      <w:r w:rsidRPr="00393E29">
        <w:rPr>
          <w:rFonts w:ascii="微软雅黑" w:eastAsia="微软雅黑" w:hAnsi="微软雅黑" w:cs="宋体"/>
          <w:i/>
          <w:iCs/>
          <w:kern w:val="0"/>
          <w:sz w:val="24"/>
          <w:szCs w:val="24"/>
        </w:rPr>
        <w:t>在体内</w:t>
      </w:r>
      <w:r w:rsidRPr="00393E29">
        <w:rPr>
          <w:rFonts w:ascii="微软雅黑" w:eastAsia="微软雅黑" w:hAnsi="微软雅黑" w:cs="宋体"/>
          <w:kern w:val="0"/>
          <w:sz w:val="24"/>
          <w:szCs w:val="24"/>
        </w:rPr>
        <w:t>诱导自噬，我们用浓度递增（25–150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rPr>
        <w:t>/天）的帕博西尼（补充图10g）治疗小鼠原位异种移植的MCF7-T细胞系（经小鼠传代培养的MCF7细胞，经证实其行为与MCF7细胞相似</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肿瘤，</w:t>
      </w:r>
      <w:hyperlink r:id="rId42" w:anchor="S1" w:history="1">
        <w:r w:rsidRPr="00393E29">
          <w:rPr>
            <w:rFonts w:ascii="微软雅黑" w:eastAsia="微软雅黑" w:hAnsi="微软雅黑" w:cs="宋体"/>
            <w:kern w:val="0"/>
            <w:sz w:val="24"/>
            <w:szCs w:val="24"/>
            <w:u w:val="single"/>
          </w:rPr>
          <w:t>持续</w:t>
        </w:r>
      </w:hyperlink>
      <w:r w:rsidRPr="00393E29">
        <w:rPr>
          <w:rFonts w:ascii="微软雅黑" w:eastAsia="微软雅黑" w:hAnsi="微软雅黑" w:cs="宋体"/>
          <w:kern w:val="0"/>
          <w:sz w:val="24"/>
          <w:szCs w:val="24"/>
        </w:rPr>
        <w:t>7天（</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补充图10g</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）。帕博西尼治疗显著降低了肿瘤体积（</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"f3"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图3a、b</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补充图10h</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），同时以剂量依赖的方式增加了活性氧（ROS，通过8-羟基脱氧鸟苷</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"b34"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34</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和4-羟基壬烯</w:t>
      </w:r>
      <w:proofErr w:type="gramStart"/>
      <w:r w:rsidRPr="00393E29">
        <w:rPr>
          <w:rFonts w:ascii="微软雅黑" w:eastAsia="微软雅黑" w:hAnsi="微软雅黑" w:cs="宋体"/>
          <w:kern w:val="0"/>
          <w:sz w:val="24"/>
          <w:szCs w:val="24"/>
        </w:rPr>
        <w:t>醛</w:t>
      </w:r>
      <w:proofErr w:type="gramEnd"/>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"b35"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35</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测定）和SA-β-半乳糖苷酶活性，并降低了溴-2′-脱氧尿苷（</w:t>
      </w:r>
      <w:proofErr w:type="spellStart"/>
      <w:r w:rsidRPr="00393E29">
        <w:rPr>
          <w:rFonts w:ascii="微软雅黑" w:eastAsia="微软雅黑" w:hAnsi="微软雅黑" w:cs="宋体"/>
          <w:kern w:val="0"/>
          <w:sz w:val="24"/>
          <w:szCs w:val="24"/>
        </w:rPr>
        <w:t>BrdU</w:t>
      </w:r>
      <w:proofErr w:type="spellEnd"/>
      <w:r w:rsidRPr="00393E29">
        <w:rPr>
          <w:rFonts w:ascii="微软雅黑" w:eastAsia="微软雅黑" w:hAnsi="微软雅黑" w:cs="宋体"/>
          <w:kern w:val="0"/>
          <w:sz w:val="24"/>
          <w:szCs w:val="24"/>
        </w:rPr>
        <w:t>）、</w:t>
      </w:r>
      <w:proofErr w:type="spellStart"/>
      <w:r w:rsidRPr="00393E29">
        <w:rPr>
          <w:rFonts w:ascii="微软雅黑" w:eastAsia="微软雅黑" w:hAnsi="微软雅黑" w:cs="宋体"/>
          <w:kern w:val="0"/>
          <w:sz w:val="24"/>
          <w:szCs w:val="24"/>
        </w:rPr>
        <w:t>pRb</w:t>
      </w:r>
      <w:proofErr w:type="spellEnd"/>
      <w:r w:rsidRPr="00393E29">
        <w:rPr>
          <w:rFonts w:ascii="微软雅黑" w:eastAsia="微软雅黑" w:hAnsi="微软雅黑" w:cs="宋体"/>
          <w:kern w:val="0"/>
          <w:sz w:val="24"/>
          <w:szCs w:val="24"/>
        </w:rPr>
        <w:t>和FOXM1的表达（</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"f3"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图3c、e</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补充图10i</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 RPPA分析结果始终显示，异种移植瘤中细胞周期蛋白呈剂量依赖性下调，衰老蛋白呈剂量依赖性上调（</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补充图10l-n</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）。虽然25和50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rPr>
        <w:t>剂量的帕博西尼治疗</w:t>
      </w:r>
      <w:r w:rsidRPr="00393E29">
        <w:rPr>
          <w:rFonts w:ascii="微软雅黑" w:eastAsia="微软雅黑" w:hAnsi="微软雅黑" w:cs="宋体"/>
          <w:kern w:val="0"/>
          <w:sz w:val="24"/>
          <w:szCs w:val="24"/>
          <w:vertAlign w:val="superscript"/>
        </w:rPr>
        <w:t>耐受</w:t>
      </w:r>
      <w:r w:rsidRPr="00393E29">
        <w:rPr>
          <w:rFonts w:ascii="微软雅黑" w:eastAsia="微软雅黑" w:hAnsi="微软雅黑" w:cs="宋体"/>
          <w:kern w:val="0"/>
          <w:sz w:val="24"/>
          <w:szCs w:val="24"/>
        </w:rPr>
        <w:t>性良好，但75或150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rPr>
        <w:t>剂量的帕博西尼治疗小鼠体重显著下降，提示这些浓度可能具有毒性，并强调需要优化较低剂量的疗效（</w:t>
      </w:r>
      <w:hyperlink r:id="rId43" w:anchor="S1" w:history="1">
        <w:r w:rsidRPr="00393E29">
          <w:rPr>
            <w:rFonts w:ascii="微软雅黑" w:eastAsia="微软雅黑" w:hAnsi="微软雅黑" w:cs="宋体"/>
            <w:kern w:val="0"/>
            <w:sz w:val="24"/>
            <w:szCs w:val="24"/>
            <w:u w:val="single"/>
          </w:rPr>
          <w:t>补充图10j,k</w:t>
        </w:r>
      </w:hyperlink>
      <w:r w:rsidRPr="00393E29">
        <w:rPr>
          <w:rFonts w:ascii="微软雅黑" w:eastAsia="微软雅黑" w:hAnsi="微软雅黑" w:cs="宋体"/>
          <w:kern w:val="0"/>
          <w:sz w:val="24"/>
          <w:szCs w:val="24"/>
        </w:rPr>
        <w:t>）。值得注意的是，对接受</w:t>
      </w:r>
      <w:r w:rsidRPr="00393E29">
        <w:rPr>
          <w:rFonts w:ascii="微软雅黑" w:eastAsia="微软雅黑" w:hAnsi="微软雅黑" w:cs="宋体"/>
          <w:kern w:val="0"/>
          <w:sz w:val="24"/>
          <w:szCs w:val="24"/>
        </w:rPr>
        <w:lastRenderedPageBreak/>
        <w:t>最低剂量（25 mg kg </w:t>
      </w:r>
      <w:r w:rsidRPr="00393E29">
        <w:rPr>
          <w:rFonts w:ascii="微软雅黑" w:eastAsia="微软雅黑" w:hAnsi="微软雅黑" w:cs="微软雅黑" w:hint="eastAsia"/>
          <w:kern w:val="0"/>
          <w:sz w:val="24"/>
          <w:szCs w:val="24"/>
          <w:vertAlign w:val="superscript"/>
        </w:rPr>
        <w:t>−</w:t>
      </w:r>
      <w:r w:rsidRPr="00393E29">
        <w:rPr>
          <w:rFonts w:ascii="微软雅黑" w:eastAsia="微软雅黑" w:hAnsi="微软雅黑" w:cs="宋体"/>
          <w:kern w:val="0"/>
          <w:sz w:val="24"/>
          <w:szCs w:val="24"/>
          <w:vertAlign w:val="superscript"/>
        </w:rPr>
        <w:t>1</w:t>
      </w:r>
      <w:r w:rsidRPr="00393E29">
        <w:rPr>
          <w:rFonts w:ascii="微软雅黑" w:eastAsia="微软雅黑" w:hAnsi="微软雅黑" w:cs="宋体"/>
          <w:kern w:val="0"/>
          <w:sz w:val="24"/>
          <w:szCs w:val="24"/>
        </w:rPr>
        <w:t>每天）帕博西尼治疗的肿瘤进行蛋白质印迹、RPPA 和 TEM 分析显示，LC3B-II、Atg-7 水平较高，p62 水平较低，并且存在双层膜电子致密自噬体（</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"f3"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3c、d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10l、o–q</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），表明完整的自噬被诱导。</w:t>
      </w:r>
    </w:p>
    <w:p w14:paraId="00202687" w14:textId="77777777" w:rsidR="00393E29" w:rsidRPr="00393E29" w:rsidRDefault="00393E29" w:rsidP="00393E29">
      <w:pPr>
        <w:widowControl/>
        <w:spacing w:line="450" w:lineRule="atLeast"/>
        <w:outlineLvl w:val="3"/>
        <w:rPr>
          <w:rFonts w:ascii="微软雅黑" w:eastAsia="微软雅黑" w:hAnsi="微软雅黑" w:cs="宋体"/>
          <w:kern w:val="0"/>
          <w:sz w:val="30"/>
          <w:szCs w:val="30"/>
        </w:rPr>
      </w:pPr>
      <w:r w:rsidRPr="00393E29">
        <w:rPr>
          <w:rFonts w:ascii="微软雅黑" w:eastAsia="微软雅黑" w:hAnsi="微软雅黑" w:cs="宋体"/>
          <w:kern w:val="0"/>
          <w:sz w:val="30"/>
          <w:szCs w:val="30"/>
        </w:rPr>
        <w:t>图 3. Palbociclib 与</w:t>
      </w:r>
      <w:r w:rsidRPr="00393E29">
        <w:rPr>
          <w:rFonts w:ascii="微软雅黑" w:eastAsia="微软雅黑" w:hAnsi="微软雅黑" w:cs="宋体"/>
          <w:i/>
          <w:iCs/>
          <w:kern w:val="0"/>
          <w:sz w:val="30"/>
          <w:szCs w:val="30"/>
        </w:rPr>
        <w:t>体内</w:t>
      </w:r>
      <w:r w:rsidRPr="00393E29">
        <w:rPr>
          <w:rFonts w:ascii="微软雅黑" w:eastAsia="微软雅黑" w:hAnsi="微软雅黑" w:cs="宋体"/>
          <w:kern w:val="0"/>
          <w:sz w:val="30"/>
          <w:szCs w:val="30"/>
        </w:rPr>
        <w:t>自噬抑制剂具有协同作用。</w:t>
      </w:r>
    </w:p>
    <w:p w14:paraId="6C72C116" w14:textId="13797B1A"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noProof/>
          <w:kern w:val="0"/>
          <w:sz w:val="24"/>
          <w:szCs w:val="24"/>
        </w:rPr>
        <w:lastRenderedPageBreak/>
        <w:drawing>
          <wp:inline distT="0" distB="0" distL="0" distR="0" wp14:anchorId="7D728A63" wp14:editId="0B9CA52E">
            <wp:extent cx="5274310" cy="7591425"/>
            <wp:effectExtent l="0" t="0" r="2540" b="9525"/>
            <wp:docPr id="4" name="图片 4" descr="图 3">
              <a:hlinkClick xmlns:a="http://schemas.openxmlformats.org/drawingml/2006/main" r:id="rId4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图 3">
                      <a:hlinkClick r:id="rId44" tgtFrame="&quot;_blank&quot;"/>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274310" cy="7591425"/>
                    </a:xfrm>
                    <a:prstGeom prst="rect">
                      <a:avLst/>
                    </a:prstGeom>
                    <a:noFill/>
                    <a:ln>
                      <a:noFill/>
                    </a:ln>
                  </pic:spPr>
                </pic:pic>
              </a:graphicData>
            </a:graphic>
          </wp:inline>
        </w:drawing>
      </w:r>
    </w:p>
    <w:p w14:paraId="381B0C18" w14:textId="77777777" w:rsidR="00393E29" w:rsidRPr="00393E29" w:rsidRDefault="00393E29" w:rsidP="00393E29">
      <w:pPr>
        <w:widowControl/>
        <w:rPr>
          <w:rFonts w:ascii="微软雅黑" w:eastAsia="微软雅黑" w:hAnsi="微软雅黑" w:cs="宋体"/>
          <w:kern w:val="0"/>
          <w:sz w:val="24"/>
          <w:szCs w:val="24"/>
        </w:rPr>
      </w:pPr>
      <w:r w:rsidRPr="00393E29">
        <w:rPr>
          <w:rFonts w:ascii="微软雅黑" w:eastAsia="微软雅黑" w:hAnsi="微软雅黑" w:cs="宋体"/>
          <w:kern w:val="0"/>
          <w:sz w:val="24"/>
          <w:szCs w:val="24"/>
        </w:rPr>
        <w:t>（</w:t>
      </w:r>
      <w:r w:rsidRPr="00393E29">
        <w:rPr>
          <w:rFonts w:ascii="微软雅黑" w:eastAsia="微软雅黑" w:hAnsi="微软雅黑" w:cs="宋体"/>
          <w:b/>
          <w:bCs/>
          <w:kern w:val="0"/>
          <w:sz w:val="24"/>
          <w:szCs w:val="24"/>
        </w:rPr>
        <w:t>a</w:t>
      </w:r>
      <w:r w:rsidRPr="00393E29">
        <w:rPr>
          <w:rFonts w:ascii="微软雅黑" w:eastAsia="微软雅黑" w:hAnsi="微软雅黑" w:cs="宋体"/>
          <w:kern w:val="0"/>
          <w:sz w:val="24"/>
          <w:szCs w:val="24"/>
        </w:rPr>
        <w:t>）用载体或帕博西尼治疗7天后，肿瘤体积的百分比变化（以第0天为基准进行标准化）（每组n≥4个肿瘤）。然后收集肿瘤进行（</w:t>
      </w:r>
      <w:r w:rsidRPr="00393E29">
        <w:rPr>
          <w:rFonts w:ascii="微软雅黑" w:eastAsia="微软雅黑" w:hAnsi="微软雅黑" w:cs="宋体"/>
          <w:i/>
          <w:iCs/>
          <w:kern w:val="0"/>
          <w:sz w:val="24"/>
          <w:szCs w:val="24"/>
        </w:rPr>
        <w:t>b </w:t>
      </w:r>
      <w:r w:rsidRPr="00393E29">
        <w:rPr>
          <w:rFonts w:ascii="微软雅黑" w:eastAsia="微软雅黑" w:hAnsi="微软雅黑" w:cs="宋体"/>
          <w:b/>
          <w:bCs/>
          <w:kern w:val="0"/>
          <w:sz w:val="24"/>
          <w:szCs w:val="24"/>
        </w:rPr>
        <w:t>）</w:t>
      </w:r>
      <w:r w:rsidRPr="00393E29">
        <w:rPr>
          <w:rFonts w:ascii="微软雅黑" w:eastAsia="微软雅黑" w:hAnsi="微软雅黑" w:cs="宋体"/>
          <w:kern w:val="0"/>
          <w:sz w:val="24"/>
          <w:szCs w:val="24"/>
        </w:rPr>
        <w:t>肿瘤重量测量，（</w:t>
      </w:r>
      <w:r w:rsidRPr="00393E29">
        <w:rPr>
          <w:rFonts w:ascii="微软雅黑" w:eastAsia="微软雅黑" w:hAnsi="微软雅黑" w:cs="宋体"/>
          <w:b/>
          <w:bCs/>
          <w:kern w:val="0"/>
          <w:sz w:val="24"/>
          <w:szCs w:val="24"/>
        </w:rPr>
        <w:t>c</w:t>
      </w:r>
      <w:r w:rsidRPr="00393E29">
        <w:rPr>
          <w:rFonts w:ascii="微软雅黑" w:eastAsia="微软雅黑" w:hAnsi="微软雅黑" w:cs="宋体"/>
          <w:kern w:val="0"/>
          <w:sz w:val="24"/>
          <w:szCs w:val="24"/>
        </w:rPr>
        <w:t>）细胞周期（磷酸化Rb、Rb、FOXM1）和自噬（LC3B、p62）蛋白的蛋白</w:t>
      </w:r>
      <w:r w:rsidRPr="00393E29">
        <w:rPr>
          <w:rFonts w:ascii="微软雅黑" w:eastAsia="微软雅黑" w:hAnsi="微软雅黑" w:cs="宋体"/>
          <w:kern w:val="0"/>
          <w:sz w:val="24"/>
          <w:szCs w:val="24"/>
        </w:rPr>
        <w:lastRenderedPageBreak/>
        <w:t>质印迹分析，（</w:t>
      </w:r>
      <w:r w:rsidRPr="00393E29">
        <w:rPr>
          <w:rFonts w:ascii="微软雅黑" w:eastAsia="微软雅黑" w:hAnsi="微软雅黑" w:cs="宋体"/>
          <w:b/>
          <w:bCs/>
          <w:kern w:val="0"/>
          <w:sz w:val="24"/>
          <w:szCs w:val="24"/>
        </w:rPr>
        <w:t>d</w:t>
      </w:r>
      <w:r w:rsidRPr="00393E29">
        <w:rPr>
          <w:rFonts w:ascii="微软雅黑" w:eastAsia="微软雅黑" w:hAnsi="微软雅黑" w:cs="宋体"/>
          <w:kern w:val="0"/>
          <w:sz w:val="24"/>
          <w:szCs w:val="24"/>
        </w:rPr>
        <w:t>）透射电镜分析（红色箭头指示双层膜自噬体；标尺，500 nm），以及（</w:t>
      </w:r>
      <w:r w:rsidRPr="00393E29">
        <w:rPr>
          <w:rFonts w:ascii="微软雅黑" w:eastAsia="微软雅黑" w:hAnsi="微软雅黑" w:cs="宋体"/>
          <w:b/>
          <w:bCs/>
          <w:kern w:val="0"/>
          <w:sz w:val="24"/>
          <w:szCs w:val="24"/>
        </w:rPr>
        <w:t>e</w:t>
      </w:r>
      <w:r w:rsidRPr="00393E29">
        <w:rPr>
          <w:rFonts w:ascii="微软雅黑" w:eastAsia="微软雅黑" w:hAnsi="微软雅黑" w:cs="宋体"/>
          <w:kern w:val="0"/>
          <w:sz w:val="24"/>
          <w:szCs w:val="24"/>
        </w:rPr>
        <w:t>）</w:t>
      </w:r>
      <w:proofErr w:type="spellStart"/>
      <w:r w:rsidRPr="00393E29">
        <w:rPr>
          <w:rFonts w:ascii="微软雅黑" w:eastAsia="微软雅黑" w:hAnsi="微软雅黑" w:cs="宋体"/>
          <w:kern w:val="0"/>
          <w:sz w:val="24"/>
          <w:szCs w:val="24"/>
        </w:rPr>
        <w:t>BrdU</w:t>
      </w:r>
      <w:proofErr w:type="spellEnd"/>
      <w:r w:rsidRPr="00393E29">
        <w:rPr>
          <w:rFonts w:ascii="微软雅黑" w:eastAsia="微软雅黑" w:hAnsi="微软雅黑" w:cs="宋体"/>
          <w:kern w:val="0"/>
          <w:sz w:val="24"/>
          <w:szCs w:val="24"/>
        </w:rPr>
        <w:t xml:space="preserve">、8-OHdG和SA-β-半乳糖苷酶染色（标尺，50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w:t>
      </w:r>
      <w:r w:rsidRPr="00393E29">
        <w:rPr>
          <w:rFonts w:ascii="微软雅黑" w:eastAsia="微软雅黑" w:hAnsi="微软雅黑" w:cs="宋体"/>
          <w:b/>
          <w:bCs/>
          <w:kern w:val="0"/>
          <w:sz w:val="24"/>
          <w:szCs w:val="24"/>
        </w:rPr>
        <w:t>f</w:t>
      </w:r>
      <w:r w:rsidRPr="00393E29">
        <w:rPr>
          <w:rFonts w:ascii="微软雅黑" w:eastAsia="微软雅黑" w:hAnsi="微软雅黑" w:cs="宋体"/>
          <w:kern w:val="0"/>
          <w:sz w:val="24"/>
          <w:szCs w:val="24"/>
        </w:rPr>
        <w:t>，</w:t>
      </w:r>
      <w:r w:rsidRPr="00393E29">
        <w:rPr>
          <w:rFonts w:ascii="微软雅黑" w:eastAsia="微软雅黑" w:hAnsi="微软雅黑" w:cs="宋体"/>
          <w:b/>
          <w:bCs/>
          <w:kern w:val="0"/>
          <w:sz w:val="24"/>
          <w:szCs w:val="24"/>
        </w:rPr>
        <w:t>g ）</w:t>
      </w:r>
      <w:r w:rsidRPr="00393E29">
        <w:rPr>
          <w:rFonts w:ascii="微软雅黑" w:eastAsia="微软雅黑" w:hAnsi="微软雅黑" w:cs="宋体"/>
          <w:kern w:val="0"/>
          <w:sz w:val="24"/>
          <w:szCs w:val="24"/>
        </w:rPr>
        <w:t>用载体、25 mg kg </w:t>
      </w:r>
      <w:r w:rsidRPr="00393E29">
        <w:rPr>
          <w:rFonts w:ascii="微软雅黑" w:eastAsia="微软雅黑" w:hAnsi="微软雅黑" w:cs="微软雅黑" w:hint="eastAsia"/>
          <w:kern w:val="0"/>
          <w:sz w:val="24"/>
          <w:szCs w:val="24"/>
          <w:vertAlign w:val="superscript"/>
        </w:rPr>
        <w:t>−</w:t>
      </w:r>
      <w:r w:rsidRPr="00393E29">
        <w:rPr>
          <w:rFonts w:ascii="微软雅黑" w:eastAsia="微软雅黑" w:hAnsi="微软雅黑" w:cs="宋体"/>
          <w:kern w:val="0"/>
          <w:sz w:val="24"/>
          <w:szCs w:val="24"/>
          <w:vertAlign w:val="superscript"/>
        </w:rPr>
        <w:t>1</w:t>
      </w:r>
      <w:r w:rsidRPr="00393E29">
        <w:rPr>
          <w:rFonts w:ascii="微软雅黑" w:eastAsia="微软雅黑" w:hAnsi="微软雅黑" w:cs="宋体"/>
          <w:kern w:val="0"/>
          <w:sz w:val="24"/>
          <w:szCs w:val="24"/>
        </w:rPr>
        <w:t>帕博西尼、60 mg kg </w:t>
      </w:r>
      <w:r w:rsidRPr="00393E29">
        <w:rPr>
          <w:rFonts w:ascii="微软雅黑" w:eastAsia="微软雅黑" w:hAnsi="微软雅黑" w:cs="微软雅黑" w:hint="eastAsia"/>
          <w:kern w:val="0"/>
          <w:sz w:val="24"/>
          <w:szCs w:val="24"/>
          <w:vertAlign w:val="superscript"/>
        </w:rPr>
        <w:t>−</w:t>
      </w:r>
      <w:r w:rsidRPr="00393E29">
        <w:rPr>
          <w:rFonts w:ascii="微软雅黑" w:eastAsia="微软雅黑" w:hAnsi="微软雅黑" w:cs="宋体"/>
          <w:kern w:val="0"/>
          <w:sz w:val="24"/>
          <w:szCs w:val="24"/>
          <w:vertAlign w:val="superscript"/>
        </w:rPr>
        <w:t>1</w:t>
      </w:r>
      <w:r w:rsidRPr="00393E29">
        <w:rPr>
          <w:rFonts w:ascii="微软雅黑" w:eastAsia="微软雅黑" w:hAnsi="微软雅黑" w:cs="宋体"/>
          <w:kern w:val="0"/>
          <w:sz w:val="24"/>
          <w:szCs w:val="24"/>
        </w:rPr>
        <w:t> HCQ 或帕博西尼（25 mg kg </w:t>
      </w:r>
      <w:r w:rsidRPr="00393E29">
        <w:rPr>
          <w:rFonts w:ascii="微软雅黑" w:eastAsia="微软雅黑" w:hAnsi="微软雅黑" w:cs="微软雅黑" w:hint="eastAsia"/>
          <w:kern w:val="0"/>
          <w:sz w:val="24"/>
          <w:szCs w:val="24"/>
          <w:vertAlign w:val="superscript"/>
        </w:rPr>
        <w:t>−</w:t>
      </w:r>
      <w:r w:rsidRPr="00393E29">
        <w:rPr>
          <w:rFonts w:ascii="微软雅黑" w:eastAsia="微软雅黑" w:hAnsi="微软雅黑" w:cs="宋体"/>
          <w:kern w:val="0"/>
          <w:sz w:val="24"/>
          <w:szCs w:val="24"/>
          <w:vertAlign w:val="superscript"/>
        </w:rPr>
        <w:t>1</w:t>
      </w:r>
      <w:r w:rsidRPr="00393E29">
        <w:rPr>
          <w:rFonts w:ascii="微软雅黑" w:eastAsia="微软雅黑" w:hAnsi="微软雅黑" w:cs="宋体"/>
          <w:kern w:val="0"/>
          <w:sz w:val="24"/>
          <w:szCs w:val="24"/>
        </w:rPr>
        <w:t> ）和 HCQ 联合治疗 21 天（治疗期）和 21 天（恢复期）后，平均（</w:t>
      </w:r>
      <w:r w:rsidRPr="00393E29">
        <w:rPr>
          <w:rFonts w:ascii="微软雅黑" w:eastAsia="微软雅黑" w:hAnsi="微软雅黑" w:cs="宋体"/>
          <w:b/>
          <w:bCs/>
          <w:kern w:val="0"/>
          <w:sz w:val="24"/>
          <w:szCs w:val="24"/>
        </w:rPr>
        <w:t>f</w:t>
      </w:r>
      <w:r w:rsidRPr="00393E29">
        <w:rPr>
          <w:rFonts w:ascii="微软雅黑" w:eastAsia="微软雅黑" w:hAnsi="微软雅黑" w:cs="宋体"/>
          <w:kern w:val="0"/>
          <w:sz w:val="24"/>
          <w:szCs w:val="24"/>
        </w:rPr>
        <w:t>）或单个（g）肿瘤体积（以第 0 天为基准）的百分比变化（每组</w:t>
      </w:r>
      <w:r w:rsidRPr="00393E29">
        <w:rPr>
          <w:rFonts w:ascii="微软雅黑" w:eastAsia="微软雅黑" w:hAnsi="微软雅黑" w:cs="宋体"/>
          <w:i/>
          <w:iCs/>
          <w:kern w:val="0"/>
          <w:sz w:val="24"/>
          <w:szCs w:val="24"/>
        </w:rPr>
        <w:t>n</w:t>
      </w:r>
      <w:r w:rsidRPr="00393E29">
        <w:rPr>
          <w:rFonts w:ascii="微软雅黑" w:eastAsia="微软雅黑" w:hAnsi="微软雅黑" w:cs="宋体"/>
          <w:kern w:val="0"/>
          <w:sz w:val="24"/>
          <w:szCs w:val="24"/>
        </w:rPr>
        <w:t xml:space="preserve"> ≥8 </w:t>
      </w:r>
      <w:proofErr w:type="gramStart"/>
      <w:r w:rsidRPr="00393E29">
        <w:rPr>
          <w:rFonts w:ascii="微软雅黑" w:eastAsia="微软雅黑" w:hAnsi="微软雅黑" w:cs="宋体"/>
          <w:kern w:val="0"/>
          <w:sz w:val="24"/>
          <w:szCs w:val="24"/>
        </w:rPr>
        <w:t>个</w:t>
      </w:r>
      <w:proofErr w:type="gramEnd"/>
      <w:r w:rsidRPr="00393E29">
        <w:rPr>
          <w:rFonts w:ascii="微软雅黑" w:eastAsia="微软雅黑" w:hAnsi="微软雅黑" w:cs="宋体"/>
          <w:kern w:val="0"/>
          <w:sz w:val="24"/>
          <w:szCs w:val="24"/>
        </w:rPr>
        <w:t>肿瘤）。数据以均值±标准误表示。收集肿瘤用于：（</w:t>
      </w:r>
      <w:r w:rsidRPr="00393E29">
        <w:rPr>
          <w:rFonts w:ascii="微软雅黑" w:eastAsia="微软雅黑" w:hAnsi="微软雅黑" w:cs="宋体"/>
          <w:b/>
          <w:bCs/>
          <w:kern w:val="0"/>
          <w:sz w:val="24"/>
          <w:szCs w:val="24"/>
        </w:rPr>
        <w:t>h</w:t>
      </w:r>
      <w:r w:rsidRPr="00393E29">
        <w:rPr>
          <w:rFonts w:ascii="微软雅黑" w:eastAsia="微软雅黑" w:hAnsi="微软雅黑" w:cs="宋体"/>
          <w:kern w:val="0"/>
          <w:sz w:val="24"/>
          <w:szCs w:val="24"/>
        </w:rPr>
        <w:t>）治疗+恢复期结束时测量肿瘤重量（每组</w:t>
      </w:r>
      <w:r w:rsidRPr="00393E29">
        <w:rPr>
          <w:rFonts w:ascii="微软雅黑" w:eastAsia="微软雅黑" w:hAnsi="微软雅黑" w:cs="宋体"/>
          <w:i/>
          <w:iCs/>
          <w:kern w:val="0"/>
          <w:sz w:val="24"/>
          <w:szCs w:val="24"/>
        </w:rPr>
        <w:t>n ≥6）；（ </w:t>
      </w:r>
      <w:proofErr w:type="spellStart"/>
      <w:r w:rsidRPr="00393E29">
        <w:rPr>
          <w:rFonts w:ascii="微软雅黑" w:eastAsia="微软雅黑" w:hAnsi="微软雅黑" w:cs="宋体"/>
          <w:b/>
          <w:bCs/>
          <w:kern w:val="0"/>
          <w:sz w:val="24"/>
          <w:szCs w:val="24"/>
        </w:rPr>
        <w:t>i</w:t>
      </w:r>
      <w:proofErr w:type="spellEnd"/>
      <w:r w:rsidRPr="00393E29">
        <w:rPr>
          <w:rFonts w:ascii="微软雅黑" w:eastAsia="微软雅黑" w:hAnsi="微软雅黑" w:cs="宋体"/>
          <w:kern w:val="0"/>
          <w:sz w:val="24"/>
          <w:szCs w:val="24"/>
        </w:rPr>
        <w:t>）细胞周期（磷酸化 Rb、Rb）和自噬（LC3B、p62）蛋白的蛋白质印迹分析；（</w:t>
      </w:r>
      <w:r w:rsidRPr="00393E29">
        <w:rPr>
          <w:rFonts w:ascii="微软雅黑" w:eastAsia="微软雅黑" w:hAnsi="微软雅黑" w:cs="宋体"/>
          <w:b/>
          <w:bCs/>
          <w:kern w:val="0"/>
          <w:sz w:val="24"/>
          <w:szCs w:val="24"/>
        </w:rPr>
        <w:t>j</w:t>
      </w:r>
      <w:r w:rsidRPr="00393E29">
        <w:rPr>
          <w:rFonts w:ascii="微软雅黑" w:eastAsia="微软雅黑" w:hAnsi="微软雅黑" w:cs="宋体"/>
          <w:kern w:val="0"/>
          <w:sz w:val="24"/>
          <w:szCs w:val="24"/>
        </w:rPr>
        <w:t>）细胞周期（</w:t>
      </w:r>
      <w:r w:rsidRPr="00393E29">
        <w:rPr>
          <w:rFonts w:ascii="微软雅黑" w:eastAsia="微软雅黑" w:hAnsi="微软雅黑" w:cs="宋体"/>
          <w:i/>
          <w:iCs/>
          <w:kern w:val="0"/>
          <w:sz w:val="24"/>
          <w:szCs w:val="24"/>
        </w:rPr>
        <w:t>n</w:t>
      </w:r>
      <w:r w:rsidRPr="00393E29">
        <w:rPr>
          <w:rFonts w:ascii="微软雅黑" w:eastAsia="微软雅黑" w:hAnsi="微软雅黑" w:cs="宋体"/>
          <w:kern w:val="0"/>
          <w:sz w:val="24"/>
          <w:szCs w:val="24"/>
        </w:rPr>
        <w:t> = 10）和衰老（</w:t>
      </w:r>
      <w:r w:rsidRPr="00393E29">
        <w:rPr>
          <w:rFonts w:ascii="微软雅黑" w:eastAsia="微软雅黑" w:hAnsi="微软雅黑" w:cs="宋体"/>
          <w:i/>
          <w:iCs/>
          <w:kern w:val="0"/>
          <w:sz w:val="24"/>
          <w:szCs w:val="24"/>
        </w:rPr>
        <w:t>n</w:t>
      </w:r>
      <w:r w:rsidRPr="00393E29">
        <w:rPr>
          <w:rFonts w:ascii="微软雅黑" w:eastAsia="微软雅黑" w:hAnsi="微软雅黑" w:cs="宋体"/>
          <w:kern w:val="0"/>
          <w:sz w:val="24"/>
          <w:szCs w:val="24"/>
        </w:rPr>
        <w:t> = 13）通路中蛋白质的 RPPA 分析和通路评分（误差线代表最大值和最小值）；（</w:t>
      </w:r>
      <w:r w:rsidRPr="00393E29">
        <w:rPr>
          <w:rFonts w:ascii="微软雅黑" w:eastAsia="微软雅黑" w:hAnsi="微软雅黑" w:cs="宋体"/>
          <w:b/>
          <w:bCs/>
          <w:kern w:val="0"/>
          <w:sz w:val="24"/>
          <w:szCs w:val="24"/>
        </w:rPr>
        <w:t>k</w:t>
      </w:r>
      <w:r w:rsidRPr="00393E29">
        <w:rPr>
          <w:rFonts w:ascii="微软雅黑" w:eastAsia="微软雅黑" w:hAnsi="微软雅黑" w:cs="宋体"/>
          <w:kern w:val="0"/>
          <w:sz w:val="24"/>
          <w:szCs w:val="24"/>
        </w:rPr>
        <w:t xml:space="preserve">）恢复期结束时 </w:t>
      </w:r>
      <w:proofErr w:type="spellStart"/>
      <w:r w:rsidRPr="00393E29">
        <w:rPr>
          <w:rFonts w:ascii="微软雅黑" w:eastAsia="微软雅黑" w:hAnsi="微软雅黑" w:cs="宋体"/>
          <w:kern w:val="0"/>
          <w:sz w:val="24"/>
          <w:szCs w:val="24"/>
        </w:rPr>
        <w:t>BrdU</w:t>
      </w:r>
      <w:proofErr w:type="spellEnd"/>
      <w:r w:rsidRPr="00393E29">
        <w:rPr>
          <w:rFonts w:ascii="微软雅黑" w:eastAsia="微软雅黑" w:hAnsi="微软雅黑" w:cs="宋体"/>
          <w:kern w:val="0"/>
          <w:sz w:val="24"/>
          <w:szCs w:val="24"/>
        </w:rPr>
        <w:t xml:space="preserve">、8-OHdG 和 SA-β-半乳糖苷酶染色及代表性图像和定量分析（比例尺，50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w:t>
      </w:r>
      <w:r w:rsidRPr="00393E29">
        <w:rPr>
          <w:rFonts w:ascii="微软雅黑" w:eastAsia="微软雅黑" w:hAnsi="微软雅黑" w:cs="宋体"/>
          <w:b/>
          <w:bCs/>
          <w:kern w:val="0"/>
          <w:sz w:val="24"/>
          <w:szCs w:val="24"/>
        </w:rPr>
        <w:t>l</w:t>
      </w:r>
      <w:r w:rsidRPr="00393E29">
        <w:rPr>
          <w:rFonts w:ascii="微软雅黑" w:eastAsia="微软雅黑" w:hAnsi="微软雅黑" w:cs="宋体"/>
          <w:kern w:val="0"/>
          <w:sz w:val="24"/>
          <w:szCs w:val="24"/>
        </w:rPr>
        <w:t>，</w:t>
      </w:r>
      <w:r w:rsidRPr="00393E29">
        <w:rPr>
          <w:rFonts w:ascii="微软雅黑" w:eastAsia="微软雅黑" w:hAnsi="微软雅黑" w:cs="宋体"/>
          <w:b/>
          <w:bCs/>
          <w:kern w:val="0"/>
          <w:sz w:val="24"/>
          <w:szCs w:val="24"/>
        </w:rPr>
        <w:t>m</w:t>
      </w:r>
      <w:r w:rsidRPr="00393E29">
        <w:rPr>
          <w:rFonts w:ascii="微软雅黑" w:eastAsia="微软雅黑" w:hAnsi="微软雅黑" w:cs="宋体"/>
          <w:kern w:val="0"/>
          <w:sz w:val="24"/>
          <w:szCs w:val="24"/>
        </w:rPr>
        <w:t>）分别用载体、5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rPr>
        <w:t xml:space="preserve">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、10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rPr>
        <w:t xml:space="preserve"> Lys-05 或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联合 Lys-05 每日一次治疗 21 天（治疗期）和 14 天恢复期后，平均（l）或单个（m）</w:t>
      </w:r>
      <w:r w:rsidRPr="00393E29">
        <w:rPr>
          <w:rFonts w:ascii="微软雅黑" w:eastAsia="微软雅黑" w:hAnsi="微软雅黑" w:cs="宋体"/>
          <w:kern w:val="0"/>
          <w:sz w:val="24"/>
          <w:szCs w:val="24"/>
          <w:vertAlign w:val="superscript"/>
        </w:rPr>
        <w:t>肿瘤</w:t>
      </w:r>
      <w:r w:rsidRPr="00393E29">
        <w:rPr>
          <w:rFonts w:ascii="微软雅黑" w:eastAsia="微软雅黑" w:hAnsi="微软雅黑" w:cs="宋体"/>
          <w:kern w:val="0"/>
          <w:sz w:val="24"/>
          <w:szCs w:val="24"/>
        </w:rPr>
        <w:t>体积</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以第 0 天为基准）的百分比变化。数据以均值±标准误表示，</w:t>
      </w:r>
      <w:r w:rsidRPr="00393E29">
        <w:rPr>
          <w:rFonts w:ascii="微软雅黑" w:eastAsia="微软雅黑" w:hAnsi="微软雅黑" w:cs="宋体"/>
          <w:b/>
          <w:bCs/>
          <w:kern w:val="0"/>
          <w:sz w:val="24"/>
          <w:szCs w:val="24"/>
        </w:rPr>
        <w:t>每组</w:t>
      </w:r>
      <w:r w:rsidRPr="00393E29">
        <w:rPr>
          <w:rFonts w:ascii="微软雅黑" w:eastAsia="微软雅黑" w:hAnsi="微软雅黑" w:cs="宋体"/>
          <w:kern w:val="0"/>
          <w:sz w:val="24"/>
          <w:szCs w:val="24"/>
        </w:rPr>
        <w:t>n≥5 </w:t>
      </w:r>
      <w:r w:rsidRPr="00393E29">
        <w:rPr>
          <w:rFonts w:ascii="微软雅黑" w:eastAsia="微软雅黑" w:hAnsi="微软雅黑" w:cs="宋体"/>
          <w:b/>
          <w:bCs/>
          <w:kern w:val="0"/>
          <w:sz w:val="24"/>
          <w:szCs w:val="24"/>
        </w:rPr>
        <w:t>。</w:t>
      </w:r>
      <w:r w:rsidRPr="00393E29">
        <w:rPr>
          <w:rFonts w:ascii="微软雅黑" w:eastAsia="微软雅黑" w:hAnsi="微软雅黑" w:cs="宋体"/>
          <w:kern w:val="0"/>
          <w:sz w:val="24"/>
          <w:szCs w:val="24"/>
        </w:rPr>
        <w:t>（</w:t>
      </w:r>
      <w:r w:rsidRPr="00393E29">
        <w:rPr>
          <w:rFonts w:ascii="微软雅黑" w:eastAsia="微软雅黑" w:hAnsi="微软雅黑" w:cs="宋体"/>
          <w:i/>
          <w:iCs/>
          <w:kern w:val="0"/>
          <w:sz w:val="24"/>
          <w:szCs w:val="24"/>
        </w:rPr>
        <w:t>n </w:t>
      </w:r>
      <w:r w:rsidRPr="00393E29">
        <w:rPr>
          <w:rFonts w:ascii="微软雅黑" w:eastAsia="微软雅黑" w:hAnsi="微软雅黑" w:cs="宋体"/>
          <w:b/>
          <w:bCs/>
          <w:kern w:val="0"/>
          <w:sz w:val="24"/>
          <w:szCs w:val="24"/>
        </w:rPr>
        <w:t>）</w:t>
      </w:r>
      <w:r w:rsidRPr="00393E29">
        <w:rPr>
          <w:rFonts w:ascii="微软雅黑" w:eastAsia="微软雅黑" w:hAnsi="微软雅黑" w:cs="宋体"/>
          <w:kern w:val="0"/>
          <w:sz w:val="24"/>
          <w:szCs w:val="24"/>
        </w:rPr>
        <w:t> Kaplan-Meier 生存曲线，以死亡和肿瘤体积超过 1000 mm³</w:t>
      </w:r>
      <w:r w:rsidRPr="00393E29">
        <w:rPr>
          <w:rFonts w:ascii="微软雅黑" w:eastAsia="微软雅黑" w:hAnsi="微软雅黑" w:cs="宋体"/>
          <w:kern w:val="0"/>
          <w:sz w:val="24"/>
          <w:szCs w:val="24"/>
          <w:vertAlign w:val="superscript"/>
        </w:rPr>
        <w:t>为</w:t>
      </w:r>
      <w:r w:rsidRPr="00393E29">
        <w:rPr>
          <w:rFonts w:ascii="微软雅黑" w:eastAsia="微软雅黑" w:hAnsi="微软雅黑" w:cs="宋体"/>
          <w:kern w:val="0"/>
          <w:sz w:val="24"/>
          <w:szCs w:val="24"/>
        </w:rPr>
        <w:t>终点，治疗方式同（</w:t>
      </w:r>
      <w:r w:rsidRPr="00393E29">
        <w:rPr>
          <w:rFonts w:ascii="微软雅黑" w:eastAsia="微软雅黑" w:hAnsi="微软雅黑" w:cs="宋体"/>
          <w:b/>
          <w:bCs/>
          <w:kern w:val="0"/>
          <w:sz w:val="24"/>
          <w:szCs w:val="24"/>
        </w:rPr>
        <w:t>l</w:t>
      </w:r>
      <w:r w:rsidRPr="00393E29">
        <w:rPr>
          <w:rFonts w:ascii="微软雅黑" w:eastAsia="微软雅黑" w:hAnsi="微软雅黑" w:cs="宋体"/>
          <w:kern w:val="0"/>
          <w:sz w:val="24"/>
          <w:szCs w:val="24"/>
        </w:rPr>
        <w:t>）。每组 n≥5。所有数据均以均值±标准差表示，</w:t>
      </w:r>
      <w:r w:rsidRPr="00393E29">
        <w:rPr>
          <w:rFonts w:ascii="微软雅黑" w:eastAsia="微软雅黑" w:hAnsi="微软雅黑" w:cs="宋体"/>
          <w:i/>
          <w:iCs/>
          <w:kern w:val="0"/>
          <w:sz w:val="24"/>
          <w:szCs w:val="24"/>
        </w:rPr>
        <w:t>除非另有说明， P</w:t>
      </w:r>
      <w:r w:rsidRPr="00393E29">
        <w:rPr>
          <w:rFonts w:ascii="微软雅黑" w:eastAsia="微软雅黑" w:hAnsi="微软雅黑" w:cs="宋体"/>
          <w:kern w:val="0"/>
          <w:sz w:val="24"/>
          <w:szCs w:val="24"/>
        </w:rPr>
        <w:t>值均与载体组小鼠进行比较。NS：</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&gt;0.05；*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&lt;0.05；**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&lt;0.01；***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&lt;0.001；****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&lt;0.0001。</w:t>
      </w:r>
    </w:p>
    <w:p w14:paraId="00ABB59C"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接下来，我们通过对携带异种移植瘤的小鼠进行治疗，研究了自噬抑制剂与低剂量帕博西尼之间的协同作用。治疗方案包括：(</w:t>
      </w:r>
      <w:proofErr w:type="spellStart"/>
      <w:r w:rsidRPr="00393E29">
        <w:rPr>
          <w:rFonts w:ascii="微软雅黑" w:eastAsia="微软雅黑" w:hAnsi="微软雅黑" w:cs="宋体"/>
          <w:kern w:val="0"/>
          <w:sz w:val="24"/>
          <w:szCs w:val="24"/>
        </w:rPr>
        <w:t>i</w:t>
      </w:r>
      <w:proofErr w:type="spellEnd"/>
      <w:r w:rsidRPr="00393E29">
        <w:rPr>
          <w:rFonts w:ascii="微软雅黑" w:eastAsia="微软雅黑" w:hAnsi="微软雅黑" w:cs="宋体"/>
          <w:kern w:val="0"/>
          <w:sz w:val="24"/>
          <w:szCs w:val="24"/>
        </w:rPr>
        <w:t>) 载体；(ii) 羟氯喹（HCQ，60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 </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天）；(iii) 低剂量帕博西尼（25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 </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天）；(iv) 帕博西尼+HCQ，治疗21天（治疗期），之后进行21天的恢复期（恢复期；</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补充图11a</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）。结果</w:t>
      </w:r>
      <w:r w:rsidRPr="00393E29">
        <w:rPr>
          <w:rFonts w:ascii="微软雅黑" w:eastAsia="微软雅黑" w:hAnsi="微软雅黑" w:cs="宋体"/>
          <w:kern w:val="0"/>
          <w:sz w:val="24"/>
          <w:szCs w:val="24"/>
        </w:rPr>
        <w:lastRenderedPageBreak/>
        <w:t>显示，帕博西尼+HCQ联合治疗组的小鼠肿瘤体积显著缩小，且停药后仍保持较小体积；而其他各组小鼠的肿瘤体积在治疗期和恢复期均增大（</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"f3"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图3f-h</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补充图11b-d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）。这表明，即使帕博西尼的剂量仅为大多数研究</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"b36"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&lt;sup&gt;</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 </w:t>
      </w:r>
      <w:r w:rsidRPr="00393E29">
        <w:rPr>
          <w:rFonts w:ascii="微软雅黑" w:eastAsia="微软雅黑" w:hAnsi="微软雅黑" w:cs="宋体"/>
          <w:kern w:val="0"/>
          <w:sz w:val="24"/>
          <w:szCs w:val="24"/>
          <w:u w:val="single"/>
          <w:vertAlign w:val="superscript"/>
        </w:rPr>
        <w:t>36,37,38 </w:t>
      </w:r>
      <w:hyperlink r:id="rId46" w:anchor="b37" w:history="1">
        <w:r w:rsidRPr="00393E29">
          <w:rPr>
            <w:rFonts w:ascii="微软雅黑" w:eastAsia="微软雅黑" w:hAnsi="微软雅黑" w:cs="宋体"/>
            <w:kern w:val="0"/>
            <w:sz w:val="24"/>
            <w:szCs w:val="24"/>
            <w:u w:val="single"/>
            <w:vertAlign w:val="superscript"/>
          </w:rPr>
          <w:t>&lt;/sup&gt;</w:t>
        </w:r>
      </w:hyperlink>
      <w:r w:rsidRPr="00393E29">
        <w:rPr>
          <w:rFonts w:ascii="微软雅黑" w:eastAsia="微软雅黑" w:hAnsi="微软雅黑" w:cs="宋体"/>
          <w:kern w:val="0"/>
          <w:sz w:val="24"/>
          <w:szCs w:val="24"/>
        </w:rPr>
        <w:t xml:space="preserve">中所用剂量（150 mg kg </w:t>
      </w:r>
      <w:r w:rsidRPr="00393E29">
        <w:rPr>
          <w:rFonts w:ascii="微软雅黑" w:eastAsia="微软雅黑" w:hAnsi="微软雅黑" w:cs="宋体"/>
          <w:kern w:val="0"/>
          <w:sz w:val="24"/>
          <w:szCs w:val="24"/>
          <w:u w:val="single"/>
          <w:vertAlign w:val="superscript"/>
        </w:rPr>
        <w:t>&lt;sup&gt; -1 </w:t>
      </w:r>
      <w:hyperlink r:id="rId47" w:anchor="b38" w:history="1">
        <w:r w:rsidRPr="00393E29">
          <w:rPr>
            <w:rFonts w:ascii="微软雅黑" w:eastAsia="微软雅黑" w:hAnsi="微软雅黑" w:cs="宋体"/>
            <w:kern w:val="0"/>
            <w:sz w:val="24"/>
            <w:szCs w:val="24"/>
            <w:u w:val="single"/>
            <w:vertAlign w:val="superscript"/>
          </w:rPr>
          <w:t>&lt;/sup&gt;</w:t>
        </w:r>
      </w:hyperlink>
      <w:r w:rsidRPr="00393E29">
        <w:rPr>
          <w:rFonts w:ascii="微软雅黑" w:eastAsia="微软雅黑" w:hAnsi="微软雅黑" w:cs="宋体"/>
          <w:kern w:val="0"/>
          <w:sz w:val="24"/>
          <w:szCs w:val="24"/>
        </w:rPr>
        <w:t> ）的五分之一，与羟氯喹（HCQ）联合治疗也能诱导持续的肿瘤生长抑制。此外，帕博西尼+HCQ</w:t>
      </w:r>
      <w:r w:rsidRPr="00393E29">
        <w:rPr>
          <w:rFonts w:ascii="微软雅黑" w:eastAsia="微软雅黑" w:hAnsi="微软雅黑" w:cs="宋体"/>
          <w:i/>
          <w:iCs/>
          <w:kern w:val="0"/>
          <w:sz w:val="24"/>
          <w:szCs w:val="24"/>
        </w:rPr>
        <w:t>体内</w:t>
      </w:r>
      <w:r w:rsidRPr="00393E29">
        <w:rPr>
          <w:rFonts w:ascii="微软雅黑" w:eastAsia="微软雅黑" w:hAnsi="微软雅黑" w:cs="宋体"/>
          <w:kern w:val="0"/>
          <w:sz w:val="24"/>
          <w:szCs w:val="24"/>
        </w:rPr>
        <w:t>治疗在治疗期和恢复期结束时均显著提高了活性氧（ROS，包括8-OHdG和4-HNE）和SA-β-半乳糖苷酶活性，并降低了</w:t>
      </w:r>
      <w:proofErr w:type="spellStart"/>
      <w:r w:rsidRPr="00393E29">
        <w:rPr>
          <w:rFonts w:ascii="微软雅黑" w:eastAsia="微软雅黑" w:hAnsi="微软雅黑" w:cs="宋体"/>
          <w:kern w:val="0"/>
          <w:sz w:val="24"/>
          <w:szCs w:val="24"/>
        </w:rPr>
        <w:t>BrdU</w:t>
      </w:r>
      <w:proofErr w:type="spellEnd"/>
      <w:r w:rsidRPr="00393E29">
        <w:rPr>
          <w:rFonts w:ascii="微软雅黑" w:eastAsia="微软雅黑" w:hAnsi="微软雅黑" w:cs="宋体"/>
          <w:kern w:val="0"/>
          <w:sz w:val="24"/>
          <w:szCs w:val="24"/>
        </w:rPr>
        <w:t>和</w:t>
      </w:r>
      <w:proofErr w:type="spellStart"/>
      <w:r w:rsidRPr="00393E29">
        <w:rPr>
          <w:rFonts w:ascii="微软雅黑" w:eastAsia="微软雅黑" w:hAnsi="微软雅黑" w:cs="宋体"/>
          <w:kern w:val="0"/>
          <w:sz w:val="24"/>
          <w:szCs w:val="24"/>
        </w:rPr>
        <w:t>pRb</w:t>
      </w:r>
      <w:proofErr w:type="spellEnd"/>
      <w:r w:rsidRPr="00393E29">
        <w:rPr>
          <w:rFonts w:ascii="微软雅黑" w:eastAsia="微软雅黑" w:hAnsi="微软雅黑" w:cs="宋体"/>
          <w:kern w:val="0"/>
          <w:sz w:val="24"/>
          <w:szCs w:val="24"/>
        </w:rPr>
        <w:t>的表达；而帕博西尼单药治疗仅在治疗期结束时观察到这些变化（</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"f3"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图3i、k</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补充图11f、g</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）。肿瘤的RPPA分析显示，与未接受治疗或仅接受帕博西尼治疗的小鼠相比，接受联合治疗的小鼠肿瘤中细胞周期显著减少，衰老蛋白显著增加（</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"f3"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图3j</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补充图11e</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）。此外，与单独使用帕博西尼相比，联合用药可提高LC3B-II水平，而p62水平未降低，证实了羟氯喹对自噬通量的抑制作用（</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"f3"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图3i</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）。最后，接受帕博西尼+羟氯喹治疗的小鼠体重和血细胞计数均无显著变化，表明该联合用药方案耐受性良好（</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补充图11h-k</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w:t>
      </w:r>
    </w:p>
    <w:p w14:paraId="5662E0AF"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i/>
          <w:iCs/>
          <w:kern w:val="0"/>
          <w:sz w:val="24"/>
          <w:szCs w:val="24"/>
        </w:rPr>
        <w:t>为了进一步验证体内</w:t>
      </w:r>
      <w:r w:rsidRPr="00393E29">
        <w:rPr>
          <w:rFonts w:ascii="微软雅黑" w:eastAsia="微软雅黑" w:hAnsi="微软雅黑" w:cs="宋体"/>
          <w:kern w:val="0"/>
          <w:sz w:val="24"/>
          <w:szCs w:val="24"/>
        </w:rPr>
        <w:t>协同作用，我们使用了另一种自噬抑制剂 Lys05（参考文献</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"b31"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31</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）（与 HCQ 相比，Lys05 是一种更有效的自噬抑制剂），该抑制剂作为单一药物未显示出明显的毒性（</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12a–d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）。荷瘤小鼠分别接受载体、10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rPr>
        <w:t>/天 Lys05、25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rPr>
        <w:t xml:space="preserve">/天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或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与 Lys05 联合治疗，</w:t>
      </w:r>
      <w:r w:rsidRPr="00393E29">
        <w:rPr>
          <w:rFonts w:ascii="微软雅黑" w:eastAsia="微软雅黑" w:hAnsi="微软雅黑" w:cs="宋体"/>
          <w:kern w:val="0"/>
          <w:sz w:val="24"/>
          <w:szCs w:val="24"/>
          <w:vertAlign w:val="superscript"/>
        </w:rPr>
        <w:t>治疗</w:t>
      </w:r>
      <w:r w:rsidRPr="00393E29">
        <w:rPr>
          <w:rFonts w:ascii="微软雅黑" w:eastAsia="微软雅黑" w:hAnsi="微软雅黑" w:cs="宋体"/>
          <w:kern w:val="0"/>
          <w:sz w:val="24"/>
          <w:szCs w:val="24"/>
        </w:rPr>
        <w:t>期</w:t>
      </w:r>
      <w:r w:rsidRPr="00393E29">
        <w:rPr>
          <w:rFonts w:ascii="微软雅黑" w:eastAsia="微软雅黑" w:hAnsi="微软雅黑" w:cs="宋体"/>
          <w:kern w:val="0"/>
          <w:sz w:val="24"/>
          <w:szCs w:val="24"/>
          <w:vertAlign w:val="superscript"/>
        </w:rPr>
        <w:t>为</w:t>
      </w:r>
      <w:r w:rsidRPr="00393E29">
        <w:rPr>
          <w:rFonts w:ascii="微软雅黑" w:eastAsia="微软雅黑" w:hAnsi="微软雅黑" w:cs="宋体"/>
          <w:kern w:val="0"/>
          <w:sz w:val="24"/>
          <w:szCs w:val="24"/>
        </w:rPr>
        <w:t>21 天，恢复期为 14 天。与载体或单一治疗对照组相比，palbociclib+Lys05 联合治疗在治疗期和恢复期均显著降低了肿瘤体积，导致肿瘤体积显著缩小，生存期延长（</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"f3"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3l–n</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12e–g</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w:t>
      </w:r>
    </w:p>
    <w:p w14:paraId="2A529090"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lastRenderedPageBreak/>
        <w:t>总的来说，这些结果表明，自噬抑制与低剂量帕博西尼具有协同作用，可</w:t>
      </w:r>
      <w:r w:rsidRPr="00393E29">
        <w:rPr>
          <w:rFonts w:ascii="微软雅黑" w:eastAsia="微软雅黑" w:hAnsi="微软雅黑" w:cs="宋体"/>
          <w:i/>
          <w:iCs/>
          <w:kern w:val="0"/>
          <w:sz w:val="24"/>
          <w:szCs w:val="24"/>
        </w:rPr>
        <w:t>在体内</w:t>
      </w:r>
      <w:r w:rsidRPr="00393E29">
        <w:rPr>
          <w:rFonts w:ascii="微软雅黑" w:eastAsia="微软雅黑" w:hAnsi="微软雅黑" w:cs="宋体"/>
          <w:kern w:val="0"/>
          <w:sz w:val="24"/>
          <w:szCs w:val="24"/>
        </w:rPr>
        <w:t>诱导不可逆的肿瘤生长抑制。</w:t>
      </w:r>
    </w:p>
    <w:p w14:paraId="3C80B456"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G1/S 检查点预测对帕博西尼和</w:t>
      </w:r>
      <w:proofErr w:type="gramStart"/>
      <w:r w:rsidRPr="00393E29">
        <w:rPr>
          <w:rFonts w:ascii="微软雅黑" w:eastAsia="微软雅黑" w:hAnsi="微软雅黑" w:cs="宋体"/>
          <w:kern w:val="0"/>
          <w:sz w:val="32"/>
          <w:szCs w:val="32"/>
        </w:rPr>
        <w:t>羟氯喹</w:t>
      </w:r>
      <w:proofErr w:type="gramEnd"/>
      <w:r w:rsidRPr="00393E29">
        <w:rPr>
          <w:rFonts w:ascii="微软雅黑" w:eastAsia="微软雅黑" w:hAnsi="微软雅黑" w:cs="宋体"/>
          <w:kern w:val="0"/>
          <w:sz w:val="32"/>
          <w:szCs w:val="32"/>
        </w:rPr>
        <w:t>的反应</w:t>
      </w:r>
    </w:p>
    <w:p w14:paraId="309320C8"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为了鉴定帕博西尼及其联合</w:t>
      </w:r>
      <w:proofErr w:type="gramStart"/>
      <w:r w:rsidRPr="00393E29">
        <w:rPr>
          <w:rFonts w:ascii="微软雅黑" w:eastAsia="微软雅黑" w:hAnsi="微软雅黑" w:cs="宋体"/>
          <w:kern w:val="0"/>
          <w:sz w:val="24"/>
          <w:szCs w:val="24"/>
        </w:rPr>
        <w:t>羟</w:t>
      </w:r>
      <w:proofErr w:type="gramEnd"/>
      <w:r w:rsidRPr="00393E29">
        <w:rPr>
          <w:rFonts w:ascii="微软雅黑" w:eastAsia="微软雅黑" w:hAnsi="微软雅黑" w:cs="宋体"/>
          <w:kern w:val="0"/>
          <w:sz w:val="24"/>
          <w:szCs w:val="24"/>
        </w:rPr>
        <w:t>氯喹治疗的疗效生物标志物，我们检测了已知对帕博西尼敏感或耐药的细胞系的基因表达</w:t>
      </w:r>
      <w:hyperlink r:id="rId48" w:anchor="b7" w:history="1">
        <w:r w:rsidRPr="00393E29">
          <w:rPr>
            <w:rFonts w:ascii="微软雅黑" w:eastAsia="微软雅黑" w:hAnsi="微软雅黑" w:cs="宋体"/>
            <w:kern w:val="0"/>
            <w:sz w:val="24"/>
            <w:szCs w:val="24"/>
          </w:rPr>
          <w:t>（</w:t>
        </w:r>
      </w:hyperlink>
      <w:r w:rsidRPr="00393E29">
        <w:rPr>
          <w:rFonts w:ascii="微软雅黑" w:eastAsia="微软雅黑" w:hAnsi="微软雅黑" w:cs="宋体"/>
          <w:kern w:val="0"/>
          <w:sz w:val="24"/>
          <w:szCs w:val="24"/>
        </w:rPr>
        <w:t>补充</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rPr>
        <w:t>图13a、b</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）。结果在</w:t>
      </w:r>
      <w:proofErr w:type="spellStart"/>
      <w:r w:rsidRPr="00393E29">
        <w:rPr>
          <w:rFonts w:ascii="微软雅黑" w:eastAsia="微软雅黑" w:hAnsi="微软雅黑" w:cs="宋体"/>
          <w:kern w:val="0"/>
          <w:sz w:val="24"/>
          <w:szCs w:val="24"/>
        </w:rPr>
        <w:t>Biocarta_Cell_Cycle</w:t>
      </w:r>
      <w:proofErr w:type="spellEnd"/>
      <w:r w:rsidRPr="00393E29">
        <w:rPr>
          <w:rFonts w:ascii="微软雅黑" w:eastAsia="微软雅黑" w:hAnsi="微软雅黑" w:cs="宋体"/>
          <w:kern w:val="0"/>
          <w:sz w:val="24"/>
          <w:szCs w:val="24"/>
        </w:rPr>
        <w:t>通路基因集中发现了一个独特的特征，帕博西尼的敏感性与Rb和细胞周期蛋白E的表达之间存在显著相关性（</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"f4"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图4a</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）。由此我们推测，这些蛋白可能是预测帕博西尼及其联合CDK4/6抑制剂和自噬抑制剂疗效的有效生物标志物。</w:t>
      </w:r>
    </w:p>
    <w:p w14:paraId="175D74D2" w14:textId="77777777" w:rsidR="00393E29" w:rsidRPr="00393E29" w:rsidRDefault="00393E29" w:rsidP="00393E29">
      <w:pPr>
        <w:widowControl/>
        <w:spacing w:line="450" w:lineRule="atLeast"/>
        <w:outlineLvl w:val="3"/>
        <w:rPr>
          <w:rFonts w:ascii="微软雅黑" w:eastAsia="微软雅黑" w:hAnsi="微软雅黑" w:cs="宋体"/>
          <w:kern w:val="0"/>
          <w:sz w:val="30"/>
          <w:szCs w:val="30"/>
        </w:rPr>
      </w:pPr>
      <w:r w:rsidRPr="00393E29">
        <w:rPr>
          <w:rFonts w:ascii="微软雅黑" w:eastAsia="微软雅黑" w:hAnsi="微软雅黑" w:cs="宋体"/>
          <w:kern w:val="0"/>
          <w:sz w:val="30"/>
          <w:szCs w:val="30"/>
        </w:rPr>
        <w:t xml:space="preserve">图 4. G1/S 检查点预测对 </w:t>
      </w:r>
      <w:proofErr w:type="spellStart"/>
      <w:r w:rsidRPr="00393E29">
        <w:rPr>
          <w:rFonts w:ascii="微软雅黑" w:eastAsia="微软雅黑" w:hAnsi="微软雅黑" w:cs="宋体"/>
          <w:kern w:val="0"/>
          <w:sz w:val="30"/>
          <w:szCs w:val="30"/>
        </w:rPr>
        <w:t>palbociclib</w:t>
      </w:r>
      <w:proofErr w:type="spellEnd"/>
      <w:r w:rsidRPr="00393E29">
        <w:rPr>
          <w:rFonts w:ascii="微软雅黑" w:eastAsia="微软雅黑" w:hAnsi="微软雅黑" w:cs="宋体"/>
          <w:kern w:val="0"/>
          <w:sz w:val="30"/>
          <w:szCs w:val="30"/>
        </w:rPr>
        <w:t xml:space="preserve"> 和自噬抑制联合治疗的反应。</w:t>
      </w:r>
    </w:p>
    <w:p w14:paraId="77575FCC" w14:textId="2421A261"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noProof/>
          <w:kern w:val="0"/>
          <w:sz w:val="24"/>
          <w:szCs w:val="24"/>
        </w:rPr>
        <w:lastRenderedPageBreak/>
        <w:drawing>
          <wp:inline distT="0" distB="0" distL="0" distR="0" wp14:anchorId="2E3405F5" wp14:editId="7FF2E3FF">
            <wp:extent cx="5274310" cy="6511925"/>
            <wp:effectExtent l="0" t="0" r="2540" b="3175"/>
            <wp:docPr id="3" name="图片 3" descr="图 4">
              <a:hlinkClick xmlns:a="http://schemas.openxmlformats.org/drawingml/2006/main" r:id="rId4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图 4">
                      <a:hlinkClick r:id="rId49" tgtFrame="&quot;_blank&quot;"/>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274310" cy="6511925"/>
                    </a:xfrm>
                    <a:prstGeom prst="rect">
                      <a:avLst/>
                    </a:prstGeom>
                    <a:noFill/>
                    <a:ln>
                      <a:noFill/>
                    </a:ln>
                  </pic:spPr>
                </pic:pic>
              </a:graphicData>
            </a:graphic>
          </wp:inline>
        </w:drawing>
      </w:r>
    </w:p>
    <w:p w14:paraId="055E665F" w14:textId="77777777" w:rsidR="00393E29" w:rsidRPr="00393E29" w:rsidRDefault="00393E29" w:rsidP="00393E29">
      <w:pPr>
        <w:widowControl/>
        <w:rPr>
          <w:rFonts w:ascii="微软雅黑" w:eastAsia="微软雅黑" w:hAnsi="微软雅黑" w:cs="宋体"/>
          <w:kern w:val="0"/>
          <w:sz w:val="24"/>
          <w:szCs w:val="24"/>
        </w:rPr>
      </w:pPr>
      <w:r w:rsidRPr="00393E29">
        <w:rPr>
          <w:rFonts w:ascii="微软雅黑" w:eastAsia="微软雅黑" w:hAnsi="微软雅黑" w:cs="宋体"/>
          <w:kern w:val="0"/>
          <w:sz w:val="24"/>
          <w:szCs w:val="24"/>
        </w:rPr>
        <w:t>（</w:t>
      </w:r>
      <w:r w:rsidRPr="00393E29">
        <w:rPr>
          <w:rFonts w:ascii="微软雅黑" w:eastAsia="微软雅黑" w:hAnsi="微软雅黑" w:cs="宋体"/>
          <w:b/>
          <w:bCs/>
          <w:kern w:val="0"/>
          <w:sz w:val="24"/>
          <w:szCs w:val="24"/>
        </w:rPr>
        <w:t>a</w:t>
      </w:r>
      <w:r w:rsidRPr="00393E29">
        <w:rPr>
          <w:rFonts w:ascii="微软雅黑" w:eastAsia="微软雅黑" w:hAnsi="微软雅黑" w:cs="宋体"/>
          <w:kern w:val="0"/>
          <w:sz w:val="24"/>
          <w:szCs w:val="24"/>
        </w:rPr>
        <w:t xml:space="preserve">）使用基因集富集分析程序构建的热图，表示来自 </w:t>
      </w:r>
      <w:proofErr w:type="spellStart"/>
      <w:r w:rsidRPr="00393E29">
        <w:rPr>
          <w:rFonts w:ascii="微软雅黑" w:eastAsia="微软雅黑" w:hAnsi="微软雅黑" w:cs="宋体"/>
          <w:kern w:val="0"/>
          <w:sz w:val="24"/>
          <w:szCs w:val="24"/>
        </w:rPr>
        <w:t>Biocarta_Cell_Cycle</w:t>
      </w:r>
      <w:proofErr w:type="spellEnd"/>
      <w:r w:rsidRPr="00393E29">
        <w:rPr>
          <w:rFonts w:ascii="微软雅黑" w:eastAsia="微软雅黑" w:hAnsi="微软雅黑" w:cs="宋体"/>
          <w:kern w:val="0"/>
          <w:sz w:val="24"/>
          <w:szCs w:val="24"/>
        </w:rPr>
        <w:t xml:space="preserve"> 基因集的基因表达。（</w:t>
      </w:r>
      <w:r w:rsidRPr="00393E29">
        <w:rPr>
          <w:rFonts w:ascii="微软雅黑" w:eastAsia="微软雅黑" w:hAnsi="微软雅黑" w:cs="宋体"/>
          <w:b/>
          <w:bCs/>
          <w:kern w:val="0"/>
          <w:sz w:val="24"/>
          <w:szCs w:val="24"/>
        </w:rPr>
        <w:t>b</w:t>
      </w:r>
      <w:r w:rsidRPr="00393E29">
        <w:rPr>
          <w:rFonts w:ascii="微软雅黑" w:eastAsia="微软雅黑" w:hAnsi="微软雅黑" w:cs="宋体"/>
          <w:kern w:val="0"/>
          <w:sz w:val="24"/>
          <w:szCs w:val="24"/>
        </w:rPr>
        <w:t xml:space="preserve">）亲代（Par）细胞和 Rb </w:t>
      </w:r>
      <w:proofErr w:type="gramStart"/>
      <w:r w:rsidRPr="00393E29">
        <w:rPr>
          <w:rFonts w:ascii="微软雅黑" w:eastAsia="微软雅黑" w:hAnsi="微软雅黑" w:cs="宋体"/>
          <w:kern w:val="0"/>
          <w:sz w:val="24"/>
          <w:szCs w:val="24"/>
        </w:rPr>
        <w:t>敲低</w:t>
      </w:r>
      <w:proofErr w:type="gramEnd"/>
      <w:r w:rsidRPr="00393E29">
        <w:rPr>
          <w:rFonts w:ascii="微软雅黑" w:eastAsia="微软雅黑" w:hAnsi="微软雅黑" w:cs="宋体"/>
          <w:kern w:val="0"/>
          <w:sz w:val="24"/>
          <w:szCs w:val="24"/>
        </w:rPr>
        <w:t xml:space="preserve"> MCF7 和 T47D 细胞经 DMSO 或 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帕博西尼处理 6 天后的代表性透射电镜显微照片。比例尺，500 nm。Rb </w:t>
      </w:r>
      <w:proofErr w:type="gramStart"/>
      <w:r w:rsidRPr="00393E29">
        <w:rPr>
          <w:rFonts w:ascii="微软雅黑" w:eastAsia="微软雅黑" w:hAnsi="微软雅黑" w:cs="宋体"/>
          <w:kern w:val="0"/>
          <w:sz w:val="24"/>
          <w:szCs w:val="24"/>
        </w:rPr>
        <w:t>敲低</w:t>
      </w:r>
      <w:proofErr w:type="gramEnd"/>
      <w:r w:rsidRPr="00393E29">
        <w:rPr>
          <w:rFonts w:ascii="微软雅黑" w:eastAsia="微软雅黑" w:hAnsi="微软雅黑" w:cs="宋体"/>
          <w:kern w:val="0"/>
          <w:sz w:val="24"/>
          <w:szCs w:val="24"/>
        </w:rPr>
        <w:t xml:space="preserve"> MCF7 和 T47D 细胞用 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帕博西尼和 15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HCQ 联合处理 6 天，恢复 6 天或 4 天后，进行（</w:t>
      </w:r>
      <w:r w:rsidRPr="00393E29">
        <w:rPr>
          <w:rFonts w:ascii="微软雅黑" w:eastAsia="微软雅黑" w:hAnsi="微软雅黑" w:cs="宋体"/>
          <w:b/>
          <w:bCs/>
          <w:kern w:val="0"/>
          <w:sz w:val="24"/>
          <w:szCs w:val="24"/>
        </w:rPr>
        <w:t>c</w:t>
      </w:r>
      <w:r w:rsidRPr="00393E29">
        <w:rPr>
          <w:rFonts w:ascii="微软雅黑" w:eastAsia="微软雅黑" w:hAnsi="微软雅黑" w:cs="宋体"/>
          <w:kern w:val="0"/>
          <w:sz w:val="24"/>
          <w:szCs w:val="24"/>
        </w:rPr>
        <w:t>）克隆形成实验和（</w:t>
      </w:r>
      <w:r w:rsidRPr="00393E29">
        <w:rPr>
          <w:rFonts w:ascii="微软雅黑" w:eastAsia="微软雅黑" w:hAnsi="微软雅黑" w:cs="宋体"/>
          <w:b/>
          <w:bCs/>
          <w:kern w:val="0"/>
          <w:sz w:val="24"/>
          <w:szCs w:val="24"/>
        </w:rPr>
        <w:t>d</w:t>
      </w:r>
      <w:r w:rsidRPr="00393E29">
        <w:rPr>
          <w:rFonts w:ascii="微软雅黑" w:eastAsia="微软雅黑" w:hAnsi="微软雅黑" w:cs="宋体"/>
          <w:kern w:val="0"/>
          <w:sz w:val="24"/>
          <w:szCs w:val="24"/>
        </w:rPr>
        <w:t>）细胞计数。将过表达载体（</w:t>
      </w:r>
      <w:proofErr w:type="spellStart"/>
      <w:r w:rsidRPr="00393E29">
        <w:rPr>
          <w:rFonts w:ascii="微软雅黑" w:eastAsia="微软雅黑" w:hAnsi="微软雅黑" w:cs="宋体"/>
          <w:kern w:val="0"/>
          <w:sz w:val="24"/>
          <w:szCs w:val="24"/>
        </w:rPr>
        <w:t>Vec</w:t>
      </w:r>
      <w:proofErr w:type="spellEnd"/>
      <w:r w:rsidRPr="00393E29">
        <w:rPr>
          <w:rFonts w:ascii="微软雅黑" w:eastAsia="微软雅黑" w:hAnsi="微软雅黑" w:cs="宋体"/>
          <w:kern w:val="0"/>
          <w:sz w:val="24"/>
          <w:szCs w:val="24"/>
        </w:rPr>
        <w:t>）、全长细胞周期蛋白E（EL）或LMWE的MCF7和</w:t>
      </w:r>
      <w:r w:rsidRPr="00393E29">
        <w:rPr>
          <w:rFonts w:ascii="微软雅黑" w:eastAsia="微软雅黑" w:hAnsi="微软雅黑" w:cs="宋体"/>
          <w:kern w:val="0"/>
          <w:sz w:val="24"/>
          <w:szCs w:val="24"/>
        </w:rPr>
        <w:lastRenderedPageBreak/>
        <w:t>T47D细胞用帕博西尼处理6天，并进行以下实验：（</w:t>
      </w:r>
      <w:r w:rsidRPr="00393E29">
        <w:rPr>
          <w:rFonts w:ascii="微软雅黑" w:eastAsia="微软雅黑" w:hAnsi="微软雅黑" w:cs="宋体"/>
          <w:b/>
          <w:bCs/>
          <w:kern w:val="0"/>
          <w:sz w:val="24"/>
          <w:szCs w:val="24"/>
        </w:rPr>
        <w:t>e</w:t>
      </w:r>
      <w:r w:rsidRPr="00393E29">
        <w:rPr>
          <w:rFonts w:ascii="微软雅黑" w:eastAsia="微软雅黑" w:hAnsi="微软雅黑" w:cs="宋体"/>
          <w:kern w:val="0"/>
          <w:sz w:val="24"/>
          <w:szCs w:val="24"/>
        </w:rPr>
        <w:t>）剂量反应研究，以测定帕博西尼的IC50</w:t>
      </w:r>
      <w:r w:rsidRPr="00393E29">
        <w:rPr>
          <w:rFonts w:ascii="微软雅黑" w:eastAsia="微软雅黑" w:hAnsi="微软雅黑" w:cs="宋体"/>
          <w:kern w:val="0"/>
          <w:sz w:val="24"/>
          <w:szCs w:val="24"/>
          <w:vertAlign w:val="subscript"/>
        </w:rPr>
        <w:t>值</w:t>
      </w:r>
      <w:r w:rsidRPr="00393E29">
        <w:rPr>
          <w:rFonts w:ascii="微软雅黑" w:eastAsia="微软雅黑" w:hAnsi="微软雅黑" w:cs="宋体"/>
          <w:kern w:val="0"/>
          <w:sz w:val="24"/>
          <w:szCs w:val="24"/>
        </w:rPr>
        <w:t>；（</w:t>
      </w:r>
      <w:r w:rsidRPr="00393E29">
        <w:rPr>
          <w:rFonts w:ascii="微软雅黑" w:eastAsia="微软雅黑" w:hAnsi="微软雅黑" w:cs="宋体"/>
          <w:b/>
          <w:bCs/>
          <w:kern w:val="0"/>
          <w:sz w:val="24"/>
          <w:szCs w:val="24"/>
        </w:rPr>
        <w:t>f</w:t>
      </w:r>
      <w:r w:rsidRPr="00393E29">
        <w:rPr>
          <w:rFonts w:ascii="微软雅黑" w:eastAsia="微软雅黑" w:hAnsi="微软雅黑" w:cs="宋体"/>
          <w:kern w:val="0"/>
          <w:sz w:val="24"/>
          <w:szCs w:val="24"/>
        </w:rPr>
        <w:t xml:space="preserve">）与15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HCQ联合用药进行细胞计数；（</w:t>
      </w:r>
      <w:r w:rsidRPr="00393E29">
        <w:rPr>
          <w:rFonts w:ascii="微软雅黑" w:eastAsia="微软雅黑" w:hAnsi="微软雅黑" w:cs="宋体"/>
          <w:b/>
          <w:bCs/>
          <w:kern w:val="0"/>
          <w:sz w:val="24"/>
          <w:szCs w:val="24"/>
        </w:rPr>
        <w:t>g</w:t>
      </w:r>
      <w:r w:rsidRPr="00393E29">
        <w:rPr>
          <w:rFonts w:ascii="微软雅黑" w:eastAsia="微软雅黑" w:hAnsi="微软雅黑" w:cs="宋体"/>
          <w:kern w:val="0"/>
          <w:sz w:val="24"/>
          <w:szCs w:val="24"/>
        </w:rPr>
        <w:t>，</w:t>
      </w:r>
      <w:r w:rsidRPr="00393E29">
        <w:rPr>
          <w:rFonts w:ascii="微软雅黑" w:eastAsia="微软雅黑" w:hAnsi="微软雅黑" w:cs="宋体"/>
          <w:b/>
          <w:bCs/>
          <w:kern w:val="0"/>
          <w:sz w:val="24"/>
          <w:szCs w:val="24"/>
        </w:rPr>
        <w:t>h</w:t>
      </w:r>
      <w:r w:rsidRPr="00393E29">
        <w:rPr>
          <w:rFonts w:ascii="微软雅黑" w:eastAsia="微软雅黑" w:hAnsi="微软雅黑" w:cs="宋体"/>
          <w:kern w:val="0"/>
          <w:sz w:val="24"/>
          <w:szCs w:val="24"/>
        </w:rPr>
        <w:t>）测定Rb敲低（</w:t>
      </w:r>
      <w:r w:rsidRPr="00393E29">
        <w:rPr>
          <w:rFonts w:ascii="微软雅黑" w:eastAsia="微软雅黑" w:hAnsi="微软雅黑" w:cs="宋体"/>
          <w:b/>
          <w:bCs/>
          <w:kern w:val="0"/>
          <w:sz w:val="24"/>
          <w:szCs w:val="24"/>
        </w:rPr>
        <w:t>g</w:t>
      </w:r>
      <w:r w:rsidRPr="00393E29">
        <w:rPr>
          <w:rFonts w:ascii="微软雅黑" w:eastAsia="微软雅黑" w:hAnsi="微软雅黑" w:cs="宋体"/>
          <w:kern w:val="0"/>
          <w:sz w:val="24"/>
          <w:szCs w:val="24"/>
        </w:rPr>
        <w:t>）LMWE过表达（</w:t>
      </w:r>
      <w:r w:rsidRPr="00393E29">
        <w:rPr>
          <w:rFonts w:ascii="微软雅黑" w:eastAsia="微软雅黑" w:hAnsi="微软雅黑" w:cs="宋体"/>
          <w:b/>
          <w:bCs/>
          <w:kern w:val="0"/>
          <w:sz w:val="24"/>
          <w:szCs w:val="24"/>
        </w:rPr>
        <w:t>h</w:t>
      </w:r>
      <w:r w:rsidRPr="00393E29">
        <w:rPr>
          <w:rFonts w:ascii="微软雅黑" w:eastAsia="微软雅黑" w:hAnsi="微软雅黑" w:cs="宋体"/>
          <w:kern w:val="0"/>
          <w:sz w:val="24"/>
          <w:szCs w:val="24"/>
        </w:rPr>
        <w:t>）MCF7和T47D细胞经帕博西尼处理6天后，细胞ROS水平及其定量（MFI；图中数字）；（</w:t>
      </w:r>
      <w:proofErr w:type="spellStart"/>
      <w:r w:rsidRPr="00393E29">
        <w:rPr>
          <w:rFonts w:ascii="微软雅黑" w:eastAsia="微软雅黑" w:hAnsi="微软雅黑" w:cs="宋体"/>
          <w:b/>
          <w:bCs/>
          <w:kern w:val="0"/>
          <w:sz w:val="24"/>
          <w:szCs w:val="24"/>
        </w:rPr>
        <w:t>i</w:t>
      </w:r>
      <w:proofErr w:type="spellEnd"/>
      <w:r w:rsidRPr="00393E29">
        <w:rPr>
          <w:rFonts w:ascii="微软雅黑" w:eastAsia="微软雅黑" w:hAnsi="微软雅黑" w:cs="宋体"/>
          <w:kern w:val="0"/>
          <w:sz w:val="24"/>
          <w:szCs w:val="24"/>
        </w:rPr>
        <w:t>，</w:t>
      </w:r>
      <w:r w:rsidRPr="00393E29">
        <w:rPr>
          <w:rFonts w:ascii="微软雅黑" w:eastAsia="微软雅黑" w:hAnsi="微软雅黑" w:cs="宋体"/>
          <w:b/>
          <w:bCs/>
          <w:kern w:val="0"/>
          <w:sz w:val="24"/>
          <w:szCs w:val="24"/>
        </w:rPr>
        <w:t>j</w:t>
      </w:r>
      <w:r w:rsidRPr="00393E29">
        <w:rPr>
          <w:rFonts w:ascii="微软雅黑" w:eastAsia="微软雅黑" w:hAnsi="微软雅黑" w:cs="宋体"/>
          <w:kern w:val="0"/>
          <w:sz w:val="24"/>
          <w:szCs w:val="24"/>
        </w:rPr>
        <w:t>）细胞计数（</w:t>
      </w:r>
      <w:proofErr w:type="spellStart"/>
      <w:r w:rsidRPr="00393E29">
        <w:rPr>
          <w:rFonts w:ascii="微软雅黑" w:eastAsia="微软雅黑" w:hAnsi="微软雅黑" w:cs="宋体"/>
          <w:b/>
          <w:bCs/>
          <w:kern w:val="0"/>
          <w:sz w:val="24"/>
          <w:szCs w:val="24"/>
        </w:rPr>
        <w:t>i</w:t>
      </w:r>
      <w:proofErr w:type="spellEnd"/>
      <w:r w:rsidRPr="00393E29">
        <w:rPr>
          <w:rFonts w:ascii="微软雅黑" w:eastAsia="微软雅黑" w:hAnsi="微软雅黑" w:cs="宋体"/>
          <w:kern w:val="0"/>
          <w:sz w:val="24"/>
          <w:szCs w:val="24"/>
        </w:rPr>
        <w:t>）和克隆形成实验（</w:t>
      </w:r>
      <w:r w:rsidRPr="00393E29">
        <w:rPr>
          <w:rFonts w:ascii="微软雅黑" w:eastAsia="微软雅黑" w:hAnsi="微软雅黑" w:cs="宋体"/>
          <w:b/>
          <w:bCs/>
          <w:kern w:val="0"/>
          <w:sz w:val="24"/>
          <w:szCs w:val="24"/>
        </w:rPr>
        <w:t>k</w:t>
      </w:r>
      <w:r w:rsidRPr="00393E29">
        <w:rPr>
          <w:rFonts w:ascii="微软雅黑" w:eastAsia="微软雅黑" w:hAnsi="微软雅黑" w:cs="宋体"/>
          <w:kern w:val="0"/>
          <w:sz w:val="24"/>
          <w:szCs w:val="24"/>
        </w:rPr>
        <w:t xml:space="preserve">），以评估在指定组合下用1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帕博西尼、1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 xml:space="preserve">和15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HCQ处理后的细胞增殖情况。 ( </w:t>
      </w:r>
      <w:r w:rsidRPr="00393E29">
        <w:rPr>
          <w:rFonts w:ascii="微软雅黑" w:eastAsia="微软雅黑" w:hAnsi="微软雅黑" w:cs="宋体"/>
          <w:b/>
          <w:bCs/>
          <w:kern w:val="0"/>
          <w:sz w:val="24"/>
          <w:szCs w:val="24"/>
        </w:rPr>
        <w:t>k</w:t>
      </w:r>
      <w:r w:rsidRPr="00393E29">
        <w:rPr>
          <w:rFonts w:ascii="微软雅黑" w:eastAsia="微软雅黑" w:hAnsi="微软雅黑" w:cs="宋体"/>
          <w:kern w:val="0"/>
          <w:sz w:val="24"/>
          <w:szCs w:val="24"/>
        </w:rPr>
        <w:t> , </w:t>
      </w:r>
      <w:r w:rsidRPr="00393E29">
        <w:rPr>
          <w:rFonts w:ascii="微软雅黑" w:eastAsia="微软雅黑" w:hAnsi="微软雅黑" w:cs="宋体"/>
          <w:b/>
          <w:bCs/>
          <w:kern w:val="0"/>
          <w:sz w:val="24"/>
          <w:szCs w:val="24"/>
        </w:rPr>
        <w:t>l</w:t>
      </w:r>
      <w:r w:rsidRPr="00393E29">
        <w:rPr>
          <w:rFonts w:ascii="微软雅黑" w:eastAsia="微软雅黑" w:hAnsi="微软雅黑" w:cs="宋体"/>
          <w:kern w:val="0"/>
          <w:sz w:val="24"/>
          <w:szCs w:val="24"/>
        </w:rPr>
        <w:t> ) 在MCF7芳香化</w:t>
      </w:r>
      <w:proofErr w:type="gramStart"/>
      <w:r w:rsidRPr="00393E29">
        <w:rPr>
          <w:rFonts w:ascii="微软雅黑" w:eastAsia="微软雅黑" w:hAnsi="微软雅黑" w:cs="宋体"/>
          <w:kern w:val="0"/>
          <w:sz w:val="24"/>
          <w:szCs w:val="24"/>
        </w:rPr>
        <w:t>酶表达</w:t>
      </w:r>
      <w:proofErr w:type="gramEnd"/>
      <w:r w:rsidRPr="00393E29">
        <w:rPr>
          <w:rFonts w:ascii="微软雅黑" w:eastAsia="微软雅黑" w:hAnsi="微软雅黑" w:cs="宋体"/>
          <w:kern w:val="0"/>
          <w:sz w:val="24"/>
          <w:szCs w:val="24"/>
        </w:rPr>
        <w:t>细胞中过表达LMWE的影响，通过细胞计数( </w:t>
      </w:r>
      <w:r w:rsidRPr="00393E29">
        <w:rPr>
          <w:rFonts w:ascii="微软雅黑" w:eastAsia="微软雅黑" w:hAnsi="微软雅黑" w:cs="宋体"/>
          <w:b/>
          <w:bCs/>
          <w:kern w:val="0"/>
          <w:sz w:val="24"/>
          <w:szCs w:val="24"/>
        </w:rPr>
        <w:t>k</w:t>
      </w:r>
      <w:r w:rsidRPr="00393E29">
        <w:rPr>
          <w:rFonts w:ascii="微软雅黑" w:eastAsia="微软雅黑" w:hAnsi="微软雅黑" w:cs="宋体"/>
          <w:kern w:val="0"/>
          <w:sz w:val="24"/>
          <w:szCs w:val="24"/>
        </w:rPr>
        <w:t> )和克隆形成实验( </w:t>
      </w:r>
      <w:r w:rsidRPr="00393E29">
        <w:rPr>
          <w:rFonts w:ascii="微软雅黑" w:eastAsia="微软雅黑" w:hAnsi="微软雅黑" w:cs="宋体"/>
          <w:b/>
          <w:bCs/>
          <w:kern w:val="0"/>
          <w:sz w:val="24"/>
          <w:szCs w:val="24"/>
        </w:rPr>
        <w:t>l</w:t>
      </w:r>
      <w:r w:rsidRPr="00393E29">
        <w:rPr>
          <w:rFonts w:ascii="微软雅黑" w:eastAsia="微软雅黑" w:hAnsi="微软雅黑" w:cs="宋体"/>
          <w:kern w:val="0"/>
          <w:sz w:val="24"/>
          <w:szCs w:val="24"/>
        </w:rPr>
        <w:t xml:space="preserve"> )测定，细胞经1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帕博西尼、1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 xml:space="preserve">和15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羟氯喹以指定组合处理后。( </w:t>
      </w:r>
      <w:r w:rsidRPr="00393E29">
        <w:rPr>
          <w:rFonts w:ascii="微软雅黑" w:eastAsia="微软雅黑" w:hAnsi="微软雅黑" w:cs="宋体"/>
          <w:b/>
          <w:bCs/>
          <w:kern w:val="0"/>
          <w:sz w:val="24"/>
          <w:szCs w:val="24"/>
        </w:rPr>
        <w:t>m</w:t>
      </w:r>
      <w:r w:rsidRPr="00393E29">
        <w:rPr>
          <w:rFonts w:ascii="微软雅黑" w:eastAsia="微软雅黑" w:hAnsi="微软雅黑" w:cs="宋体"/>
          <w:kern w:val="0"/>
          <w:sz w:val="24"/>
          <w:szCs w:val="24"/>
        </w:rPr>
        <w:t> ) 亲代细胞与来曲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或阿那曲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耐药细胞中来曲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和阿那曲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的IC50</w:t>
      </w:r>
      <w:r w:rsidRPr="00393E29">
        <w:rPr>
          <w:rFonts w:ascii="微软雅黑" w:eastAsia="微软雅黑" w:hAnsi="微软雅黑" w:cs="宋体"/>
          <w:kern w:val="0"/>
          <w:sz w:val="24"/>
          <w:szCs w:val="24"/>
          <w:vertAlign w:val="subscript"/>
        </w:rPr>
        <w:t>值</w:t>
      </w:r>
      <w:r w:rsidRPr="00393E29">
        <w:rPr>
          <w:rFonts w:ascii="微软雅黑" w:eastAsia="微软雅黑" w:hAnsi="微软雅黑" w:cs="宋体"/>
          <w:kern w:val="0"/>
          <w:sz w:val="24"/>
          <w:szCs w:val="24"/>
        </w:rPr>
        <w:t>。MCF7亲代细胞、来曲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耐药细胞和阿那曲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耐药细胞用帕博西尼处理6天，并进行( </w:t>
      </w:r>
      <w:r w:rsidRPr="00393E29">
        <w:rPr>
          <w:rFonts w:ascii="微软雅黑" w:eastAsia="微软雅黑" w:hAnsi="微软雅黑" w:cs="宋体"/>
          <w:b/>
          <w:bCs/>
          <w:kern w:val="0"/>
          <w:sz w:val="24"/>
          <w:szCs w:val="24"/>
        </w:rPr>
        <w:t>n</w:t>
      </w:r>
      <w:r w:rsidRPr="00393E29">
        <w:rPr>
          <w:rFonts w:ascii="微软雅黑" w:eastAsia="微软雅黑" w:hAnsi="微软雅黑" w:cs="宋体"/>
          <w:kern w:val="0"/>
          <w:sz w:val="24"/>
          <w:szCs w:val="24"/>
        </w:rPr>
        <w:t> )剂量反应研究以测定帕博西尼的IC50</w:t>
      </w:r>
      <w:r w:rsidRPr="00393E29">
        <w:rPr>
          <w:rFonts w:ascii="微软雅黑" w:eastAsia="微软雅黑" w:hAnsi="微软雅黑" w:cs="宋体"/>
          <w:kern w:val="0"/>
          <w:sz w:val="24"/>
          <w:szCs w:val="24"/>
          <w:vertAlign w:val="subscript"/>
        </w:rPr>
        <w:t>值</w:t>
      </w:r>
      <w:r w:rsidRPr="00393E29">
        <w:rPr>
          <w:rFonts w:ascii="微软雅黑" w:eastAsia="微软雅黑" w:hAnsi="微软雅黑" w:cs="宋体"/>
          <w:kern w:val="0"/>
          <w:sz w:val="24"/>
          <w:szCs w:val="24"/>
        </w:rPr>
        <w:t>，以及( </w:t>
      </w:r>
      <w:r w:rsidRPr="00393E29">
        <w:rPr>
          <w:rFonts w:ascii="微软雅黑" w:eastAsia="微软雅黑" w:hAnsi="微软雅黑" w:cs="宋体"/>
          <w:b/>
          <w:bCs/>
          <w:kern w:val="0"/>
          <w:sz w:val="24"/>
          <w:szCs w:val="24"/>
        </w:rPr>
        <w:t>o</w:t>
      </w:r>
      <w:r w:rsidRPr="00393E29">
        <w:rPr>
          <w:rFonts w:ascii="微软雅黑" w:eastAsia="微软雅黑" w:hAnsi="微软雅黑" w:cs="宋体"/>
          <w:kern w:val="0"/>
          <w:sz w:val="24"/>
          <w:szCs w:val="24"/>
        </w:rPr>
        <w:t xml:space="preserve"> )与15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羟氯喹联合使用时的细胞计数。所有数据均代表三次独立实验的平均值±标准差；除非另有说明，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值均与DMSO处理组（对照）或亲代细胞组进行比较计算。NS：</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&gt; 0.05； *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&lt;0.05；**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&lt;0.01；***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&lt;0.001；****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&lt;0.0001。</w:t>
      </w:r>
    </w:p>
    <w:p w14:paraId="1189F5E6"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在MCF7和T47D细胞中敲除Rb蛋白（</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补充图13c,d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）降低了细胞对帕博西尼的敏感性，导致细胞对生长抑制、G1期阻滞和衰老产生耐药性（</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补充图13e-l</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）。此外，</w:t>
      </w:r>
      <w:proofErr w:type="gramStart"/>
      <w:r w:rsidRPr="00393E29">
        <w:rPr>
          <w:rFonts w:ascii="微软雅黑" w:eastAsia="微软雅黑" w:hAnsi="微软雅黑" w:cs="宋体"/>
          <w:kern w:val="0"/>
          <w:sz w:val="24"/>
          <w:szCs w:val="24"/>
        </w:rPr>
        <w:t>敲低</w:t>
      </w:r>
      <w:proofErr w:type="gramEnd"/>
      <w:r w:rsidRPr="00393E29">
        <w:rPr>
          <w:rFonts w:ascii="微软雅黑" w:eastAsia="微软雅黑" w:hAnsi="微软雅黑" w:cs="宋体"/>
          <w:kern w:val="0"/>
          <w:sz w:val="24"/>
          <w:szCs w:val="24"/>
        </w:rPr>
        <w:t>Rb蛋白并未导致帕博西尼处理后MDC染色或自噬小体的显著增加，也未观察到羟氯喹（HCQ）处理后的生长抑制作用（</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"f4"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图4b-d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补充图13m,n</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 xml:space="preserve">），表明Rb蛋白在帕博西尼诱导的自噬中发挥作用。由于 Rb 丢失在 ER+ 乳腺癌中并不常见，因此可能不足以预测患者对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的反应</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"b39"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39</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，我们也研究了细胞周期蛋白 E 的作用。我们之前已证明，全长细胞周期蛋白 E 的翻译后修饰</w:t>
      </w:r>
      <w:r w:rsidRPr="00393E29">
        <w:rPr>
          <w:rFonts w:ascii="微软雅黑" w:eastAsia="微软雅黑" w:hAnsi="微软雅黑" w:cs="宋体"/>
          <w:kern w:val="0"/>
          <w:sz w:val="24"/>
          <w:szCs w:val="24"/>
        </w:rPr>
        <w:lastRenderedPageBreak/>
        <w:t>（切割）会产生一种致癌形式，称为细胞周期蛋白 E 的低分子量亚型 (LMWE) </w:t>
      </w:r>
      <w:hyperlink r:id="rId51" w:anchor="b40" w:history="1">
        <w:r w:rsidRPr="00393E29">
          <w:rPr>
            <w:rFonts w:ascii="微软雅黑" w:eastAsia="微软雅黑" w:hAnsi="微软雅黑" w:cs="宋体"/>
            <w:kern w:val="0"/>
            <w:sz w:val="24"/>
            <w:szCs w:val="24"/>
            <w:u w:val="single"/>
            <w:vertAlign w:val="superscript"/>
          </w:rPr>
          <w:t>40</w:t>
        </w:r>
      </w:hyperlink>
      <w:r w:rsidRPr="00393E29">
        <w:rPr>
          <w:rFonts w:ascii="微软雅黑" w:eastAsia="微软雅黑" w:hAnsi="微软雅黑" w:cs="宋体"/>
          <w:kern w:val="0"/>
          <w:sz w:val="24"/>
          <w:szCs w:val="24"/>
        </w:rPr>
        <w:t>，该亚型在肿瘤中特异性表达，可使 Rb 过度磷酸化，</w:t>
      </w:r>
      <w:proofErr w:type="gramStart"/>
      <w:r w:rsidRPr="00393E29">
        <w:rPr>
          <w:rFonts w:ascii="微软雅黑" w:eastAsia="微软雅黑" w:hAnsi="微软雅黑" w:cs="宋体"/>
          <w:kern w:val="0"/>
          <w:sz w:val="24"/>
          <w:szCs w:val="24"/>
        </w:rPr>
        <w:t>介</w:t>
      </w:r>
      <w:proofErr w:type="gramEnd"/>
      <w:r w:rsidRPr="00393E29">
        <w:rPr>
          <w:rFonts w:ascii="微软雅黑" w:eastAsia="微软雅黑" w:hAnsi="微软雅黑" w:cs="宋体"/>
          <w:kern w:val="0"/>
          <w:sz w:val="24"/>
          <w:szCs w:val="24"/>
        </w:rPr>
        <w:t>导对来曲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的耐药性，并且是乳腺癌的强预后指标</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"b41"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41</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 , </w:t>
      </w:r>
      <w:hyperlink r:id="rId52" w:anchor="b42" w:history="1">
        <w:r w:rsidRPr="00393E29">
          <w:rPr>
            <w:rFonts w:ascii="微软雅黑" w:eastAsia="微软雅黑" w:hAnsi="微软雅黑" w:cs="宋体"/>
            <w:kern w:val="0"/>
            <w:sz w:val="24"/>
            <w:szCs w:val="24"/>
            <w:u w:val="single"/>
            <w:vertAlign w:val="superscript"/>
          </w:rPr>
          <w:t>42</w:t>
        </w:r>
      </w:hyperlink>
      <w:r w:rsidRPr="00393E29">
        <w:rPr>
          <w:rFonts w:ascii="微软雅黑" w:eastAsia="微软雅黑" w:hAnsi="微软雅黑" w:cs="宋体"/>
          <w:kern w:val="0"/>
          <w:sz w:val="24"/>
          <w:szCs w:val="24"/>
        </w:rPr>
        <w:t> , </w:t>
      </w:r>
      <w:hyperlink r:id="rId53" w:anchor="b43" w:history="1">
        <w:r w:rsidRPr="00393E29">
          <w:rPr>
            <w:rFonts w:ascii="微软雅黑" w:eastAsia="微软雅黑" w:hAnsi="微软雅黑" w:cs="宋体"/>
            <w:kern w:val="0"/>
            <w:sz w:val="24"/>
            <w:szCs w:val="24"/>
            <w:u w:val="single"/>
            <w:vertAlign w:val="superscript"/>
          </w:rPr>
          <w:t>43</w:t>
        </w:r>
      </w:hyperlink>
      <w:r w:rsidRPr="00393E29">
        <w:rPr>
          <w:rFonts w:ascii="微软雅黑" w:eastAsia="微软雅黑" w:hAnsi="微软雅黑" w:cs="宋体"/>
          <w:kern w:val="0"/>
          <w:sz w:val="24"/>
          <w:szCs w:val="24"/>
        </w:rPr>
        <w:t> , </w:t>
      </w:r>
      <w:hyperlink r:id="rId54" w:anchor="b44" w:history="1">
        <w:r w:rsidRPr="00393E29">
          <w:rPr>
            <w:rFonts w:ascii="微软雅黑" w:eastAsia="微软雅黑" w:hAnsi="微软雅黑" w:cs="宋体"/>
            <w:kern w:val="0"/>
            <w:sz w:val="24"/>
            <w:szCs w:val="24"/>
            <w:u w:val="single"/>
            <w:vertAlign w:val="superscript"/>
          </w:rPr>
          <w:t>44</w:t>
        </w:r>
      </w:hyperlink>
      <w:r w:rsidRPr="00393E29">
        <w:rPr>
          <w:rFonts w:ascii="微软雅黑" w:eastAsia="微软雅黑" w:hAnsi="微软雅黑" w:cs="宋体"/>
          <w:kern w:val="0"/>
          <w:sz w:val="24"/>
          <w:szCs w:val="24"/>
        </w:rPr>
        <w:t>。 LMWE 的过表达（而非空载体或全长细胞周期蛋白 E 的过表达，见</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14a</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）显著降低了细胞对帕博西尼的敏感性，并</w:t>
      </w:r>
      <w:proofErr w:type="gramStart"/>
      <w:r w:rsidRPr="00393E29">
        <w:rPr>
          <w:rFonts w:ascii="微软雅黑" w:eastAsia="微软雅黑" w:hAnsi="微软雅黑" w:cs="宋体"/>
          <w:kern w:val="0"/>
          <w:sz w:val="24"/>
          <w:szCs w:val="24"/>
        </w:rPr>
        <w:t>介</w:t>
      </w:r>
      <w:proofErr w:type="gramEnd"/>
      <w:r w:rsidRPr="00393E29">
        <w:rPr>
          <w:rFonts w:ascii="微软雅黑" w:eastAsia="微软雅黑" w:hAnsi="微软雅黑" w:cs="宋体"/>
          <w:kern w:val="0"/>
          <w:sz w:val="24"/>
          <w:szCs w:val="24"/>
        </w:rPr>
        <w:t>导了对帕博西尼诱导的生长抑制、G1 期阻滞和衰老的耐药性（</w:t>
      </w:r>
      <w:hyperlink r:id="rId55" w:anchor="f4" w:history="1">
        <w:r w:rsidRPr="00393E29">
          <w:rPr>
            <w:rFonts w:ascii="微软雅黑" w:eastAsia="微软雅黑" w:hAnsi="微软雅黑" w:cs="宋体"/>
            <w:kern w:val="0"/>
            <w:sz w:val="24"/>
            <w:szCs w:val="24"/>
            <w:u w:val="single"/>
          </w:rPr>
          <w:t>图 4e</w:t>
        </w:r>
      </w:hyperlink>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14b-h</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）。此外，羟氯喹 (HCQ) 处理对帕博西尼处理的 LMWE 过表达细胞的生长没有影响（</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"f4"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4f</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14i</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）。最后，</w:t>
      </w:r>
      <w:proofErr w:type="gramStart"/>
      <w:r w:rsidRPr="00393E29">
        <w:rPr>
          <w:rFonts w:ascii="微软雅黑" w:eastAsia="微软雅黑" w:hAnsi="微软雅黑" w:cs="宋体"/>
          <w:kern w:val="0"/>
          <w:sz w:val="24"/>
          <w:szCs w:val="24"/>
        </w:rPr>
        <w:t>敲低</w:t>
      </w:r>
      <w:proofErr w:type="gramEnd"/>
      <w:r w:rsidRPr="00393E29">
        <w:rPr>
          <w:rFonts w:ascii="微软雅黑" w:eastAsia="微软雅黑" w:hAnsi="微软雅黑" w:cs="宋体"/>
          <w:kern w:val="0"/>
          <w:sz w:val="24"/>
          <w:szCs w:val="24"/>
        </w:rPr>
        <w:t xml:space="preserve"> Rb 或诱导 LMWE 可消除低剂量 (1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帕博西尼诱导细胞内 ROS 水平升高的能力（</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"f4"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4g、h</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14j-l</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）。这表明完整的 Rb 和细胞周期蛋白 E 是帕博西尼诱导衰老、自噬和 ROS 生成所必需的（</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13o、14m</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w:t>
      </w:r>
    </w:p>
    <w:p w14:paraId="74AB328C"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由于帕博西尼目前在临床上与来曲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联合使用，我们接下来研究了其与我们提出的帕博西尼+羟氯喹联合用药方案的比较。与单独使用帕博西尼或来曲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或二者联合使用相比，帕博西尼+羟氯喹治疗表达芳香化酶的MCF7细胞的生长抑制效果显著更高（</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"f4"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图4i,j</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）。此外，帕博西尼+来曲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治疗还能诱导自噬（</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补充图15a</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），使得帕博西尼、来曲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和</w:t>
      </w:r>
      <w:proofErr w:type="gramStart"/>
      <w:r w:rsidRPr="00393E29">
        <w:rPr>
          <w:rFonts w:ascii="微软雅黑" w:eastAsia="微软雅黑" w:hAnsi="微软雅黑" w:cs="宋体"/>
          <w:kern w:val="0"/>
          <w:sz w:val="24"/>
          <w:szCs w:val="24"/>
        </w:rPr>
        <w:t>羟氯喹</w:t>
      </w:r>
      <w:proofErr w:type="gramEnd"/>
      <w:r w:rsidRPr="00393E29">
        <w:rPr>
          <w:rFonts w:ascii="微软雅黑" w:eastAsia="微软雅黑" w:hAnsi="微软雅黑" w:cs="宋体"/>
          <w:kern w:val="0"/>
          <w:sz w:val="24"/>
          <w:szCs w:val="24"/>
        </w:rPr>
        <w:t>的三联疗法比帕博西尼+来曲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更有效（</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"f4"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图4i,j</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）。此外，LMWE的过表达（而非空载体）</w:t>
      </w:r>
      <w:proofErr w:type="gramStart"/>
      <w:r w:rsidRPr="00393E29">
        <w:rPr>
          <w:rFonts w:ascii="微软雅黑" w:eastAsia="微软雅黑" w:hAnsi="微软雅黑" w:cs="宋体"/>
          <w:kern w:val="0"/>
          <w:sz w:val="24"/>
          <w:szCs w:val="24"/>
        </w:rPr>
        <w:t>介</w:t>
      </w:r>
      <w:proofErr w:type="gramEnd"/>
      <w:r w:rsidRPr="00393E29">
        <w:rPr>
          <w:rFonts w:ascii="微软雅黑" w:eastAsia="微软雅黑" w:hAnsi="微软雅黑" w:cs="宋体"/>
          <w:kern w:val="0"/>
          <w:sz w:val="24"/>
          <w:szCs w:val="24"/>
        </w:rPr>
        <w:t>导了对帕博西尼+来曲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联合疗法和三联疗法的耐药性（</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"f4"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图4k,l</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补充图15b-d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w:t>
      </w:r>
    </w:p>
    <w:p w14:paraId="66BF1553"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最后，我们研究了帕博西尼联合自噬抑制剂对芳香化酶抑制剂来曲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和阿那曲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耐药细胞的影响。对来曲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和阿那曲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耐药性提高十倍的细胞（</w:t>
      </w:r>
      <w:hyperlink r:id="rId56" w:anchor="f4" w:history="1">
        <w:r w:rsidRPr="00393E29">
          <w:rPr>
            <w:rFonts w:ascii="微软雅黑" w:eastAsia="微软雅黑" w:hAnsi="微软雅黑" w:cs="宋体"/>
            <w:kern w:val="0"/>
            <w:sz w:val="24"/>
            <w:szCs w:val="24"/>
            <w:u w:val="single"/>
          </w:rPr>
          <w:t>图4m</w:t>
        </w:r>
      </w:hyperlink>
      <w:r w:rsidRPr="00393E29">
        <w:rPr>
          <w:rFonts w:ascii="微软雅黑" w:eastAsia="微软雅黑" w:hAnsi="微软雅黑" w:cs="宋体"/>
          <w:kern w:val="0"/>
          <w:sz w:val="24"/>
          <w:szCs w:val="24"/>
        </w:rPr>
        <w:t>）仍对帕博西尼单药治疗敏感（</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"f4"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图4n</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补充图15e、f</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），帕博西尼可诱导自噬，且帕博</w:t>
      </w:r>
      <w:r w:rsidRPr="00393E29">
        <w:rPr>
          <w:rFonts w:ascii="微软雅黑" w:eastAsia="微软雅黑" w:hAnsi="微软雅黑" w:cs="宋体"/>
          <w:kern w:val="0"/>
          <w:sz w:val="24"/>
          <w:szCs w:val="24"/>
        </w:rPr>
        <w:lastRenderedPageBreak/>
        <w:t>西尼联合自噬抑制剂治疗也有效（</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"f4"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图4o</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补充图15g、h</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），这凸显了该药物组合在芳香化酶抑制剂耐药情况下的临床应用价值。</w:t>
      </w:r>
    </w:p>
    <w:p w14:paraId="4BA203B8"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 xml:space="preserve">综上所述，这些结果揭示了完整的 G1/S 转换对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反应的重要性，并为将 Rb 与 LMWE 结合用作 ER+ 乳腺癌中 CDK4/6、芳香化酶和自噬抑制剂联合治疗反应的生物标志物提供了理论依据。</w:t>
      </w:r>
    </w:p>
    <w:p w14:paraId="21757945"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帕博西尼与自噬抑制剂在实体瘤中具有协同作用</w:t>
      </w:r>
    </w:p>
    <w:p w14:paraId="32BA1439"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接下来，我们探究了自噬抑制是否与帕博西尼在ER阴性乳腺癌和其他实体瘤中具有协同作用，以及LMWE和Rb是否能预测药物反应。为此，我们首先检测了7种三阴性乳腺癌（TNBC）细胞系中Rb和LMWE的表达（</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"f5"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图5a</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）。Rb+且LMWE-的细胞系（HCC38、MDA-MB-231、SUM-159）对帕博西尼的敏感性显著高于Rb-或LMWE+的细胞系（</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"f5"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图5b</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补充图16a-c</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），帕博西尼可</w:t>
      </w:r>
      <w:proofErr w:type="gramStart"/>
      <w:r w:rsidRPr="00393E29">
        <w:rPr>
          <w:rFonts w:ascii="微软雅黑" w:eastAsia="微软雅黑" w:hAnsi="微软雅黑" w:cs="宋体"/>
          <w:kern w:val="0"/>
          <w:sz w:val="24"/>
          <w:szCs w:val="24"/>
        </w:rPr>
        <w:t>介</w:t>
      </w:r>
      <w:proofErr w:type="gramEnd"/>
      <w:r w:rsidRPr="00393E29">
        <w:rPr>
          <w:rFonts w:ascii="微软雅黑" w:eastAsia="微软雅黑" w:hAnsi="微软雅黑" w:cs="宋体"/>
          <w:kern w:val="0"/>
          <w:sz w:val="24"/>
          <w:szCs w:val="24"/>
        </w:rPr>
        <w:t>导剂量依赖性的持续生长抑制、G1期阻滞和衰老（</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补充图16d-h</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）。此外，帕博西尼治疗可诱导Rb+/LMWE-的TNBC细胞发生活跃的自噬通量（</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"f5"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图5c</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补充图17a,b</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）。使用自噬抑制剂</w:t>
      </w:r>
      <w:proofErr w:type="gramStart"/>
      <w:r w:rsidRPr="00393E29">
        <w:rPr>
          <w:rFonts w:ascii="微软雅黑" w:eastAsia="微软雅黑" w:hAnsi="微软雅黑" w:cs="宋体"/>
          <w:kern w:val="0"/>
          <w:sz w:val="24"/>
          <w:szCs w:val="24"/>
        </w:rPr>
        <w:t>羟</w:t>
      </w:r>
      <w:proofErr w:type="gramEnd"/>
      <w:r w:rsidRPr="00393E29">
        <w:rPr>
          <w:rFonts w:ascii="微软雅黑" w:eastAsia="微软雅黑" w:hAnsi="微软雅黑" w:cs="宋体"/>
          <w:kern w:val="0"/>
          <w:sz w:val="24"/>
          <w:szCs w:val="24"/>
        </w:rPr>
        <w:t>氯喹（HCQ）处理后，Rb+/LMWE</w:t>
      </w:r>
      <w:r w:rsidRPr="00393E29">
        <w:rPr>
          <w:rFonts w:ascii="微软雅黑" w:eastAsia="微软雅黑" w:hAnsi="微软雅黑" w:cs="微软雅黑" w:hint="eastAsia"/>
          <w:kern w:val="0"/>
          <w:sz w:val="24"/>
          <w:szCs w:val="24"/>
        </w:rPr>
        <w:t>−</w:t>
      </w:r>
      <w:r w:rsidRPr="00393E29">
        <w:rPr>
          <w:rFonts w:ascii="微软雅黑" w:eastAsia="微软雅黑" w:hAnsi="微软雅黑" w:cs="宋体"/>
          <w:kern w:val="0"/>
          <w:sz w:val="24"/>
          <w:szCs w:val="24"/>
        </w:rPr>
        <w:t>细胞对帕博西尼（</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）的敏感性进一步增强，即使在低剂量下也能诱导不可逆的生长抑制和衰老加剧（</w:t>
      </w:r>
      <w:hyperlink r:id="rId57" w:anchor="f5" w:history="1">
        <w:r w:rsidRPr="00393E29">
          <w:rPr>
            <w:rFonts w:ascii="微软雅黑" w:eastAsia="微软雅黑" w:hAnsi="微软雅黑" w:cs="宋体"/>
            <w:kern w:val="0"/>
            <w:sz w:val="24"/>
            <w:szCs w:val="24"/>
            <w:u w:val="single"/>
          </w:rPr>
          <w:t>图5d、e</w:t>
        </w:r>
      </w:hyperlink>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补充图17d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）。相反，G1/S期检查点失调的细胞系对帕博西尼</w:t>
      </w:r>
      <w:proofErr w:type="gramStart"/>
      <w:r w:rsidRPr="00393E29">
        <w:rPr>
          <w:rFonts w:ascii="微软雅黑" w:eastAsia="微软雅黑" w:hAnsi="微软雅黑" w:cs="宋体"/>
          <w:kern w:val="0"/>
          <w:sz w:val="24"/>
          <w:szCs w:val="24"/>
        </w:rPr>
        <w:t>介</w:t>
      </w:r>
      <w:proofErr w:type="gramEnd"/>
      <w:r w:rsidRPr="00393E29">
        <w:rPr>
          <w:rFonts w:ascii="微软雅黑" w:eastAsia="微软雅黑" w:hAnsi="微软雅黑" w:cs="宋体"/>
          <w:kern w:val="0"/>
          <w:sz w:val="24"/>
          <w:szCs w:val="24"/>
        </w:rPr>
        <w:t>导的衰老和自噬以及帕博西尼与羟氯喹的联合用药均表现出耐药性（</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"f5"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图5a、b、d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补充图16、17a-d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w:t>
      </w:r>
    </w:p>
    <w:p w14:paraId="27A6A57A" w14:textId="77777777" w:rsidR="00393E29" w:rsidRPr="00393E29" w:rsidRDefault="00393E29" w:rsidP="00393E29">
      <w:pPr>
        <w:widowControl/>
        <w:spacing w:line="450" w:lineRule="atLeast"/>
        <w:outlineLvl w:val="3"/>
        <w:rPr>
          <w:rFonts w:ascii="微软雅黑" w:eastAsia="微软雅黑" w:hAnsi="微软雅黑" w:cs="宋体"/>
          <w:kern w:val="0"/>
          <w:sz w:val="30"/>
          <w:szCs w:val="30"/>
        </w:rPr>
      </w:pPr>
      <w:r w:rsidRPr="00393E29">
        <w:rPr>
          <w:rFonts w:ascii="微软雅黑" w:eastAsia="微软雅黑" w:hAnsi="微软雅黑" w:cs="宋体"/>
          <w:kern w:val="0"/>
          <w:sz w:val="30"/>
          <w:szCs w:val="30"/>
        </w:rPr>
        <w:t>图 5. 帕博西尼与自噬抑制在其他实体瘤中的协同作用。</w:t>
      </w:r>
    </w:p>
    <w:p w14:paraId="3F26F9D5" w14:textId="178F25D1"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noProof/>
          <w:kern w:val="0"/>
          <w:sz w:val="24"/>
          <w:szCs w:val="24"/>
        </w:rPr>
        <w:lastRenderedPageBreak/>
        <w:drawing>
          <wp:inline distT="0" distB="0" distL="0" distR="0" wp14:anchorId="1CD54393" wp14:editId="0A5FC82D">
            <wp:extent cx="5274310" cy="6538595"/>
            <wp:effectExtent l="0" t="0" r="2540" b="0"/>
            <wp:docPr id="2" name="图片 2" descr="图 5">
              <a:hlinkClick xmlns:a="http://schemas.openxmlformats.org/drawingml/2006/main" r:id="rId5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图 5">
                      <a:hlinkClick r:id="rId58" tgtFrame="&quot;_blank&quot;"/>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274310" cy="6538595"/>
                    </a:xfrm>
                    <a:prstGeom prst="rect">
                      <a:avLst/>
                    </a:prstGeom>
                    <a:noFill/>
                    <a:ln>
                      <a:noFill/>
                    </a:ln>
                  </pic:spPr>
                </pic:pic>
              </a:graphicData>
            </a:graphic>
          </wp:inline>
        </w:drawing>
      </w:r>
    </w:p>
    <w:p w14:paraId="44470E05" w14:textId="77777777" w:rsidR="00393E29" w:rsidRPr="00393E29" w:rsidRDefault="00393E29" w:rsidP="00393E29">
      <w:pPr>
        <w:widowControl/>
        <w:rPr>
          <w:rFonts w:ascii="微软雅黑" w:eastAsia="微软雅黑" w:hAnsi="微软雅黑" w:cs="宋体"/>
          <w:kern w:val="0"/>
          <w:sz w:val="24"/>
          <w:szCs w:val="24"/>
        </w:rPr>
      </w:pPr>
      <w:r w:rsidRPr="00393E29">
        <w:rPr>
          <w:rFonts w:ascii="微软雅黑" w:eastAsia="微软雅黑" w:hAnsi="微软雅黑" w:cs="宋体"/>
          <w:kern w:val="0"/>
          <w:sz w:val="24"/>
          <w:szCs w:val="24"/>
        </w:rPr>
        <w:t>( </w:t>
      </w:r>
      <w:r w:rsidRPr="00393E29">
        <w:rPr>
          <w:rFonts w:ascii="微软雅黑" w:eastAsia="微软雅黑" w:hAnsi="微软雅黑" w:cs="宋体"/>
          <w:b/>
          <w:bCs/>
          <w:kern w:val="0"/>
          <w:sz w:val="24"/>
          <w:szCs w:val="24"/>
        </w:rPr>
        <w:t>a</w:t>
      </w:r>
      <w:r w:rsidRPr="00393E29">
        <w:rPr>
          <w:rFonts w:ascii="微软雅黑" w:eastAsia="微软雅黑" w:hAnsi="微软雅黑" w:cs="宋体"/>
          <w:kern w:val="0"/>
          <w:sz w:val="24"/>
          <w:szCs w:val="24"/>
        </w:rPr>
        <w:t> ) TNBC 细胞系中 Rb 和 Cyclin E 的蛋白质印迹分析。( </w:t>
      </w:r>
      <w:r w:rsidRPr="00393E29">
        <w:rPr>
          <w:rFonts w:ascii="微软雅黑" w:eastAsia="微软雅黑" w:hAnsi="微软雅黑" w:cs="宋体"/>
          <w:b/>
          <w:bCs/>
          <w:kern w:val="0"/>
          <w:sz w:val="24"/>
          <w:szCs w:val="24"/>
        </w:rPr>
        <w:t>b</w:t>
      </w:r>
      <w:r w:rsidRPr="00393E29">
        <w:rPr>
          <w:rFonts w:ascii="微软雅黑" w:eastAsia="微软雅黑" w:hAnsi="微软雅黑" w:cs="宋体"/>
          <w:kern w:val="0"/>
          <w:sz w:val="24"/>
          <w:szCs w:val="24"/>
        </w:rPr>
        <w:t xml:space="preserve"> ) TNBC 细胞系经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处理 6 天后，药物反应实验的 IC50 值。( </w:t>
      </w:r>
      <w:r w:rsidRPr="00393E29">
        <w:rPr>
          <w:rFonts w:ascii="微软雅黑" w:eastAsia="微软雅黑" w:hAnsi="微软雅黑" w:cs="宋体"/>
          <w:kern w:val="0"/>
          <w:sz w:val="24"/>
          <w:szCs w:val="24"/>
          <w:vertAlign w:val="subscript"/>
        </w:rPr>
        <w:t>c </w:t>
      </w:r>
      <w:r w:rsidRPr="00393E29">
        <w:rPr>
          <w:rFonts w:ascii="微软雅黑" w:eastAsia="微软雅黑" w:hAnsi="微软雅黑" w:cs="宋体"/>
          <w:b/>
          <w:bCs/>
          <w:kern w:val="0"/>
          <w:sz w:val="24"/>
          <w:szCs w:val="24"/>
        </w:rPr>
        <w:t>)</w:t>
      </w:r>
      <w:r w:rsidRPr="00393E29">
        <w:rPr>
          <w:rFonts w:ascii="微软雅黑" w:eastAsia="微软雅黑" w:hAnsi="微软雅黑" w:cs="宋体"/>
          <w:kern w:val="0"/>
          <w:sz w:val="24"/>
          <w:szCs w:val="24"/>
        </w:rPr>
        <w:t xml:space="preserve"> MDA-MB-231 细胞经 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和/或 25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C</w:t>
      </w:r>
      <w:r w:rsidRPr="00393E29">
        <w:rPr>
          <w:rFonts w:ascii="MS Gothic" w:eastAsia="MS Gothic" w:hAnsi="MS Gothic" w:cs="MS Gothic" w:hint="eastAsia"/>
          <w:kern w:val="0"/>
          <w:sz w:val="24"/>
          <w:szCs w:val="24"/>
        </w:rPr>
        <w:t>​​</w:t>
      </w:r>
      <w:r w:rsidRPr="00393E29">
        <w:rPr>
          <w:rFonts w:ascii="微软雅黑" w:eastAsia="微软雅黑" w:hAnsi="微软雅黑" w:cs="宋体"/>
          <w:kern w:val="0"/>
          <w:sz w:val="24"/>
          <w:szCs w:val="24"/>
        </w:rPr>
        <w:t xml:space="preserve">Q 处理 48 小时后，GFP-LC3 斑点的定量分析及代表性图像。TNBC 细胞系经 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和 15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HCQ 联合处理 6 天后，进行 ( </w:t>
      </w:r>
      <w:r w:rsidRPr="00393E29">
        <w:rPr>
          <w:rFonts w:ascii="微软雅黑" w:eastAsia="微软雅黑" w:hAnsi="微软雅黑" w:cs="宋体"/>
          <w:b/>
          <w:bCs/>
          <w:kern w:val="0"/>
          <w:sz w:val="24"/>
          <w:szCs w:val="24"/>
        </w:rPr>
        <w:t>d</w:t>
      </w:r>
      <w:r w:rsidRPr="00393E29">
        <w:rPr>
          <w:rFonts w:ascii="微软雅黑" w:eastAsia="微软雅黑" w:hAnsi="微软雅黑" w:cs="宋体"/>
          <w:kern w:val="0"/>
          <w:sz w:val="24"/>
          <w:szCs w:val="24"/>
        </w:rPr>
        <w:t> ) 克隆形成实验和 ( </w:t>
      </w:r>
      <w:r w:rsidRPr="00393E29">
        <w:rPr>
          <w:rFonts w:ascii="微软雅黑" w:eastAsia="微软雅黑" w:hAnsi="微软雅黑" w:cs="宋体"/>
          <w:b/>
          <w:bCs/>
          <w:kern w:val="0"/>
          <w:sz w:val="24"/>
          <w:szCs w:val="24"/>
        </w:rPr>
        <w:t>e</w:t>
      </w:r>
      <w:r w:rsidRPr="00393E29">
        <w:rPr>
          <w:rFonts w:ascii="微软雅黑" w:eastAsia="微软雅黑" w:hAnsi="微软雅黑" w:cs="宋体"/>
          <w:kern w:val="0"/>
          <w:sz w:val="24"/>
          <w:szCs w:val="24"/>
        </w:rPr>
        <w:t xml:space="preserve"> ) SA-β 半乳糖苷酶活性测定。 </w:t>
      </w:r>
      <w:r w:rsidRPr="00393E29">
        <w:rPr>
          <w:rFonts w:ascii="微软雅黑" w:eastAsia="微软雅黑" w:hAnsi="微软雅黑" w:cs="宋体"/>
          <w:kern w:val="0"/>
          <w:sz w:val="24"/>
          <w:szCs w:val="24"/>
        </w:rPr>
        <w:lastRenderedPageBreak/>
        <w:t>( </w:t>
      </w:r>
      <w:r w:rsidRPr="00393E29">
        <w:rPr>
          <w:rFonts w:ascii="微软雅黑" w:eastAsia="微软雅黑" w:hAnsi="微软雅黑" w:cs="宋体"/>
          <w:b/>
          <w:bCs/>
          <w:kern w:val="0"/>
          <w:sz w:val="24"/>
          <w:szCs w:val="24"/>
        </w:rPr>
        <w:t>f</w:t>
      </w:r>
      <w:r w:rsidRPr="00393E29">
        <w:rPr>
          <w:rFonts w:ascii="微软雅黑" w:eastAsia="微软雅黑" w:hAnsi="微软雅黑" w:cs="宋体"/>
          <w:kern w:val="0"/>
          <w:sz w:val="24"/>
          <w:szCs w:val="24"/>
        </w:rPr>
        <w:t> ) PDX 肿瘤在接受载体、25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rPr>
        <w:t xml:space="preserve"> 帕博西尼、60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rPr>
        <w:t xml:space="preserve"> 羟氯喹</w:t>
      </w:r>
      <w:proofErr w:type="gramStart"/>
      <w:r w:rsidRPr="00393E29">
        <w:rPr>
          <w:rFonts w:ascii="微软雅黑" w:eastAsia="微软雅黑" w:hAnsi="微软雅黑" w:cs="宋体"/>
          <w:kern w:val="0"/>
          <w:sz w:val="24"/>
          <w:szCs w:val="24"/>
        </w:rPr>
        <w:t>或帕博</w:t>
      </w:r>
      <w:proofErr w:type="gramEnd"/>
      <w:r w:rsidRPr="00393E29">
        <w:rPr>
          <w:rFonts w:ascii="MS Gothic" w:eastAsia="MS Gothic" w:hAnsi="MS Gothic" w:cs="MS Gothic" w:hint="eastAsia"/>
          <w:kern w:val="0"/>
          <w:sz w:val="24"/>
          <w:szCs w:val="24"/>
        </w:rPr>
        <w:t>​​</w:t>
      </w:r>
      <w:r w:rsidRPr="00393E29">
        <w:rPr>
          <w:rFonts w:ascii="微软雅黑" w:eastAsia="微软雅黑" w:hAnsi="微软雅黑" w:cs="宋体"/>
          <w:kern w:val="0"/>
          <w:sz w:val="24"/>
          <w:szCs w:val="24"/>
        </w:rPr>
        <w:t>西尼 (25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rPr>
        <w:t>) 联合</w:t>
      </w:r>
      <w:proofErr w:type="gramStart"/>
      <w:r w:rsidRPr="00393E29">
        <w:rPr>
          <w:rFonts w:ascii="微软雅黑" w:eastAsia="微软雅黑" w:hAnsi="微软雅黑" w:cs="宋体"/>
          <w:kern w:val="0"/>
          <w:sz w:val="24"/>
          <w:szCs w:val="24"/>
        </w:rPr>
        <w:t>羟</w:t>
      </w:r>
      <w:proofErr w:type="gramEnd"/>
      <w:r w:rsidRPr="00393E29">
        <w:rPr>
          <w:rFonts w:ascii="微软雅黑" w:eastAsia="微软雅黑" w:hAnsi="微软雅黑" w:cs="宋体"/>
          <w:kern w:val="0"/>
          <w:sz w:val="24"/>
          <w:szCs w:val="24"/>
        </w:rPr>
        <w:t>氯喹每日一次治疗 21 天后，体积变化百分比（以第 0 天为基准）</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数据</w:t>
      </w:r>
      <w:r w:rsidRPr="00393E29">
        <w:rPr>
          <w:rFonts w:ascii="微软雅黑" w:eastAsia="微软雅黑" w:hAnsi="微软雅黑" w:cs="宋体"/>
          <w:kern w:val="0"/>
          <w:sz w:val="24"/>
          <w:szCs w:val="24"/>
          <w:vertAlign w:val="superscript"/>
        </w:rPr>
        <w:t>以</w:t>
      </w:r>
      <w:r w:rsidRPr="00393E29">
        <w:rPr>
          <w:rFonts w:ascii="微软雅黑" w:eastAsia="微软雅黑" w:hAnsi="微软雅黑" w:cs="宋体"/>
          <w:kern w:val="0"/>
          <w:sz w:val="24"/>
          <w:szCs w:val="24"/>
        </w:rPr>
        <w:t>均值</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标准误表示，每组</w:t>
      </w:r>
      <w:r w:rsidRPr="00393E29">
        <w:rPr>
          <w:rFonts w:ascii="微软雅黑" w:eastAsia="微软雅黑" w:hAnsi="微软雅黑" w:cs="宋体"/>
          <w:i/>
          <w:iCs/>
          <w:kern w:val="0"/>
          <w:sz w:val="24"/>
          <w:szCs w:val="24"/>
        </w:rPr>
        <w:t>n = 4。( </w:t>
      </w:r>
      <w:r w:rsidRPr="00393E29">
        <w:rPr>
          <w:rFonts w:ascii="微软雅黑" w:eastAsia="微软雅黑" w:hAnsi="微软雅黑" w:cs="宋体"/>
          <w:b/>
          <w:bCs/>
          <w:kern w:val="0"/>
          <w:sz w:val="24"/>
          <w:szCs w:val="24"/>
        </w:rPr>
        <w:t>g</w:t>
      </w:r>
      <w:r w:rsidRPr="00393E29">
        <w:rPr>
          <w:rFonts w:ascii="微软雅黑" w:eastAsia="微软雅黑" w:hAnsi="微软雅黑" w:cs="宋体"/>
          <w:kern w:val="0"/>
          <w:sz w:val="24"/>
          <w:szCs w:val="24"/>
        </w:rPr>
        <w:t> , </w:t>
      </w:r>
      <w:r w:rsidRPr="00393E29">
        <w:rPr>
          <w:rFonts w:ascii="微软雅黑" w:eastAsia="微软雅黑" w:hAnsi="微软雅黑" w:cs="宋体"/>
          <w:b/>
          <w:bCs/>
          <w:kern w:val="0"/>
          <w:sz w:val="24"/>
          <w:szCs w:val="24"/>
        </w:rPr>
        <w:t>h</w:t>
      </w:r>
      <w:r w:rsidRPr="00393E29">
        <w:rPr>
          <w:rFonts w:ascii="微软雅黑" w:eastAsia="微软雅黑" w:hAnsi="微软雅黑" w:cs="宋体"/>
          <w:kern w:val="0"/>
          <w:sz w:val="24"/>
          <w:szCs w:val="24"/>
        </w:rPr>
        <w:t> ) 以死亡和肿瘤体积超过 1,000 mm³ 为终点的 Kaplan-Meier 生存曲线</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 g </w:t>
      </w:r>
      <w:r w:rsidRPr="00393E29">
        <w:rPr>
          <w:rFonts w:ascii="微软雅黑" w:eastAsia="微软雅黑" w:hAnsi="微软雅黑" w:cs="宋体"/>
          <w:b/>
          <w:bCs/>
          <w:kern w:val="0"/>
          <w:sz w:val="24"/>
          <w:szCs w:val="24"/>
        </w:rPr>
        <w:t>)</w:t>
      </w:r>
      <w:r w:rsidRPr="00393E29">
        <w:rPr>
          <w:rFonts w:ascii="微软雅黑" w:eastAsia="微软雅黑" w:hAnsi="微软雅黑" w:cs="宋体"/>
          <w:kern w:val="0"/>
          <w:sz w:val="24"/>
          <w:szCs w:val="24"/>
        </w:rPr>
        <w:t>和 PDX 肿瘤的重量 ( </w:t>
      </w:r>
      <w:r w:rsidRPr="00393E29">
        <w:rPr>
          <w:rFonts w:ascii="微软雅黑" w:eastAsia="微软雅黑" w:hAnsi="微软雅黑" w:cs="宋体"/>
          <w:b/>
          <w:bCs/>
          <w:kern w:val="0"/>
          <w:sz w:val="24"/>
          <w:szCs w:val="24"/>
        </w:rPr>
        <w:t>h</w:t>
      </w:r>
      <w:r w:rsidRPr="00393E29">
        <w:rPr>
          <w:rFonts w:ascii="微软雅黑" w:eastAsia="微软雅黑" w:hAnsi="微软雅黑" w:cs="宋体"/>
          <w:kern w:val="0"/>
          <w:sz w:val="24"/>
          <w:szCs w:val="24"/>
        </w:rPr>
        <w:t> )，治疗方案同 ( </w:t>
      </w:r>
      <w:r w:rsidRPr="00393E29">
        <w:rPr>
          <w:rFonts w:ascii="微软雅黑" w:eastAsia="微软雅黑" w:hAnsi="微软雅黑" w:cs="宋体"/>
          <w:b/>
          <w:bCs/>
          <w:kern w:val="0"/>
          <w:sz w:val="24"/>
          <w:szCs w:val="24"/>
        </w:rPr>
        <w:t>f</w:t>
      </w:r>
      <w:r w:rsidRPr="00393E29">
        <w:rPr>
          <w:rFonts w:ascii="微软雅黑" w:eastAsia="微软雅黑" w:hAnsi="微软雅黑" w:cs="宋体"/>
          <w:kern w:val="0"/>
          <w:sz w:val="24"/>
          <w:szCs w:val="24"/>
        </w:rPr>
        <w:t> )。每组</w:t>
      </w:r>
      <w:r w:rsidRPr="00393E29">
        <w:rPr>
          <w:rFonts w:ascii="微软雅黑" w:eastAsia="微软雅黑" w:hAnsi="微软雅黑" w:cs="宋体"/>
          <w:i/>
          <w:iCs/>
          <w:kern w:val="0"/>
          <w:sz w:val="24"/>
          <w:szCs w:val="24"/>
        </w:rPr>
        <w:t>n = 4。( </w:t>
      </w:r>
      <w:proofErr w:type="spellStart"/>
      <w:r w:rsidRPr="00393E29">
        <w:rPr>
          <w:rFonts w:ascii="微软雅黑" w:eastAsia="微软雅黑" w:hAnsi="微软雅黑" w:cs="宋体"/>
          <w:b/>
          <w:bCs/>
          <w:kern w:val="0"/>
          <w:sz w:val="24"/>
          <w:szCs w:val="24"/>
        </w:rPr>
        <w:t>i</w:t>
      </w:r>
      <w:proofErr w:type="spellEnd"/>
      <w:r w:rsidRPr="00393E29">
        <w:rPr>
          <w:rFonts w:ascii="微软雅黑" w:eastAsia="微软雅黑" w:hAnsi="微软雅黑" w:cs="宋体"/>
          <w:kern w:val="0"/>
          <w:sz w:val="24"/>
          <w:szCs w:val="24"/>
        </w:rPr>
        <w:t> ) 卵巢癌、胰腺癌 (PDAC)、肺癌、结肠癌和前列腺癌细胞系中 Rb 和细胞周期蛋白 E 的蛋白质印迹分析。 ( </w:t>
      </w:r>
      <w:r w:rsidRPr="00393E29">
        <w:rPr>
          <w:rFonts w:ascii="微软雅黑" w:eastAsia="微软雅黑" w:hAnsi="微软雅黑" w:cs="宋体"/>
          <w:b/>
          <w:bCs/>
          <w:kern w:val="0"/>
          <w:sz w:val="24"/>
          <w:szCs w:val="24"/>
        </w:rPr>
        <w:t>j</w:t>
      </w:r>
      <w:r w:rsidRPr="00393E29">
        <w:rPr>
          <w:rFonts w:ascii="微软雅黑" w:eastAsia="微软雅黑" w:hAnsi="微软雅黑" w:cs="宋体"/>
          <w:kern w:val="0"/>
          <w:sz w:val="24"/>
          <w:szCs w:val="24"/>
        </w:rPr>
        <w:t> , </w:t>
      </w:r>
      <w:r w:rsidRPr="00393E29">
        <w:rPr>
          <w:rFonts w:ascii="微软雅黑" w:eastAsia="微软雅黑" w:hAnsi="微软雅黑" w:cs="宋体"/>
          <w:b/>
          <w:bCs/>
          <w:kern w:val="0"/>
          <w:sz w:val="24"/>
          <w:szCs w:val="24"/>
        </w:rPr>
        <w:t>k</w:t>
      </w:r>
      <w:r w:rsidRPr="00393E29">
        <w:rPr>
          <w:rFonts w:ascii="微软雅黑" w:eastAsia="微软雅黑" w:hAnsi="微软雅黑" w:cs="宋体"/>
          <w:kern w:val="0"/>
          <w:sz w:val="24"/>
          <w:szCs w:val="24"/>
        </w:rPr>
        <w:t> )用帕博西尼处理上述癌细胞系 6 天，并恢复 6 天后，通过药物反应实验 ( </w:t>
      </w:r>
      <w:r w:rsidRPr="00393E29">
        <w:rPr>
          <w:rFonts w:ascii="微软雅黑" w:eastAsia="微软雅黑" w:hAnsi="微软雅黑" w:cs="宋体"/>
          <w:b/>
          <w:bCs/>
          <w:kern w:val="0"/>
          <w:sz w:val="24"/>
          <w:szCs w:val="24"/>
        </w:rPr>
        <w:t>j</w:t>
      </w:r>
      <w:r w:rsidRPr="00393E29">
        <w:rPr>
          <w:rFonts w:ascii="微软雅黑" w:eastAsia="微软雅黑" w:hAnsi="微软雅黑" w:cs="宋体"/>
          <w:kern w:val="0"/>
          <w:sz w:val="24"/>
          <w:szCs w:val="24"/>
        </w:rPr>
        <w:t> ) 和克隆形成实验 ( </w:t>
      </w:r>
      <w:r w:rsidRPr="00393E29">
        <w:rPr>
          <w:rFonts w:ascii="微软雅黑" w:eastAsia="微软雅黑" w:hAnsi="微软雅黑" w:cs="宋体"/>
          <w:b/>
          <w:bCs/>
          <w:kern w:val="0"/>
          <w:sz w:val="24"/>
          <w:szCs w:val="24"/>
        </w:rPr>
        <w:t>k ) 获得</w:t>
      </w:r>
      <w:r w:rsidRPr="00393E29">
        <w:rPr>
          <w:rFonts w:ascii="微软雅黑" w:eastAsia="微软雅黑" w:hAnsi="微软雅黑" w:cs="宋体"/>
          <w:kern w:val="0"/>
          <w:sz w:val="24"/>
          <w:szCs w:val="24"/>
        </w:rPr>
        <w:t>的IC50值。( l , </w:t>
      </w:r>
      <w:r w:rsidRPr="00393E29">
        <w:rPr>
          <w:rFonts w:ascii="微软雅黑" w:eastAsia="微软雅黑" w:hAnsi="微软雅黑" w:cs="宋体"/>
          <w:b/>
          <w:bCs/>
          <w:kern w:val="0"/>
          <w:sz w:val="24"/>
          <w:szCs w:val="24"/>
        </w:rPr>
        <w:t>m</w:t>
      </w:r>
      <w:r w:rsidRPr="00393E29">
        <w:rPr>
          <w:rFonts w:ascii="微软雅黑" w:eastAsia="微软雅黑" w:hAnsi="微软雅黑" w:cs="宋体"/>
          <w:kern w:val="0"/>
          <w:sz w:val="24"/>
          <w:szCs w:val="24"/>
        </w:rPr>
        <w:t xml:space="preserve"> )用 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帕博西尼和 15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羟氯喹分别处理癌细胞系 6 天，并恢复 4 天或 6 天后，进行细胞计数 ( </w:t>
      </w:r>
      <w:r w:rsidRPr="00393E29">
        <w:rPr>
          <w:rFonts w:ascii="微软雅黑" w:eastAsia="微软雅黑" w:hAnsi="微软雅黑" w:cs="宋体"/>
          <w:b/>
          <w:bCs/>
          <w:kern w:val="0"/>
          <w:sz w:val="24"/>
          <w:szCs w:val="24"/>
        </w:rPr>
        <w:t>l</w:t>
      </w:r>
      <w:r w:rsidRPr="00393E29">
        <w:rPr>
          <w:rFonts w:ascii="微软雅黑" w:eastAsia="微软雅黑" w:hAnsi="微软雅黑" w:cs="宋体"/>
          <w:kern w:val="0"/>
          <w:sz w:val="24"/>
          <w:szCs w:val="24"/>
        </w:rPr>
        <w:t> ) 和克隆形成实验 ( </w:t>
      </w:r>
      <w:r w:rsidRPr="00393E29">
        <w:rPr>
          <w:rFonts w:ascii="微软雅黑" w:eastAsia="微软雅黑" w:hAnsi="微软雅黑" w:cs="宋体"/>
          <w:i/>
          <w:iCs/>
          <w:kern w:val="0"/>
          <w:sz w:val="24"/>
          <w:szCs w:val="24"/>
        </w:rPr>
        <w:t>m </w:t>
      </w:r>
      <w:r w:rsidRPr="00393E29">
        <w:rPr>
          <w:rFonts w:ascii="微软雅黑" w:eastAsia="微软雅黑" w:hAnsi="微软雅黑" w:cs="宋体"/>
          <w:b/>
          <w:bCs/>
          <w:kern w:val="0"/>
          <w:sz w:val="24"/>
          <w:szCs w:val="24"/>
        </w:rPr>
        <w:t>)</w:t>
      </w:r>
      <w:r w:rsidRPr="00393E29">
        <w:rPr>
          <w:rFonts w:ascii="微软雅黑" w:eastAsia="微软雅黑" w:hAnsi="微软雅黑" w:cs="宋体"/>
          <w:kern w:val="0"/>
          <w:sz w:val="24"/>
          <w:szCs w:val="24"/>
        </w:rPr>
        <w:t xml:space="preserve">。P 值是与 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帕博西尼组比较计算的。( </w:t>
      </w:r>
      <w:r w:rsidRPr="00393E29">
        <w:rPr>
          <w:rFonts w:ascii="微软雅黑" w:eastAsia="微软雅黑" w:hAnsi="微软雅黑" w:cs="宋体"/>
          <w:b/>
          <w:bCs/>
          <w:kern w:val="0"/>
          <w:sz w:val="24"/>
          <w:szCs w:val="24"/>
        </w:rPr>
        <w:t>n</w:t>
      </w:r>
      <w:r w:rsidRPr="00393E29">
        <w:rPr>
          <w:rFonts w:ascii="微软雅黑" w:eastAsia="微软雅黑" w:hAnsi="微软雅黑" w:cs="宋体"/>
          <w:kern w:val="0"/>
          <w:sz w:val="24"/>
          <w:szCs w:val="24"/>
        </w:rPr>
        <w:t> ) 帕博西尼 IC50 值（来自所有癌症的剂量反应研究）与 Rb 和细胞周期蛋白 E 蛋白水平之间的相关性</w:t>
      </w:r>
      <w:r w:rsidRPr="00393E29">
        <w:rPr>
          <w:rFonts w:ascii="微软雅黑" w:eastAsia="微软雅黑" w:hAnsi="微软雅黑" w:cs="宋体"/>
          <w:kern w:val="0"/>
          <w:sz w:val="24"/>
          <w:szCs w:val="24"/>
          <w:vertAlign w:val="subscript"/>
        </w:rPr>
        <w:t>，</w:t>
      </w:r>
      <w:r w:rsidRPr="00393E29">
        <w:rPr>
          <w:rFonts w:ascii="微软雅黑" w:eastAsia="微软雅黑" w:hAnsi="微软雅黑" w:cs="宋体"/>
          <w:kern w:val="0"/>
          <w:sz w:val="24"/>
          <w:szCs w:val="24"/>
        </w:rPr>
        <w:t xml:space="preserve">无论是否抑制自噬（Beclin-1/Atg5 </w:t>
      </w:r>
      <w:proofErr w:type="gramStart"/>
      <w:r w:rsidRPr="00393E29">
        <w:rPr>
          <w:rFonts w:ascii="微软雅黑" w:eastAsia="微软雅黑" w:hAnsi="微软雅黑" w:cs="宋体"/>
          <w:kern w:val="0"/>
          <w:sz w:val="24"/>
          <w:szCs w:val="24"/>
        </w:rPr>
        <w:t>敲低或</w:t>
      </w:r>
      <w:proofErr w:type="gramEnd"/>
      <w:r w:rsidRPr="00393E29">
        <w:rPr>
          <w:rFonts w:ascii="微软雅黑" w:eastAsia="微软雅黑" w:hAnsi="微软雅黑" w:cs="宋体"/>
          <w:kern w:val="0"/>
          <w:sz w:val="24"/>
          <w:szCs w:val="24"/>
        </w:rPr>
        <w:t>羟氯喹处理）。 （</w:t>
      </w:r>
      <w:r w:rsidRPr="00393E29">
        <w:rPr>
          <w:rFonts w:ascii="微软雅黑" w:eastAsia="微软雅黑" w:hAnsi="微软雅黑" w:cs="宋体"/>
          <w:b/>
          <w:bCs/>
          <w:kern w:val="0"/>
          <w:sz w:val="24"/>
          <w:szCs w:val="24"/>
        </w:rPr>
        <w:t>o</w:t>
      </w:r>
      <w:r w:rsidRPr="00393E29">
        <w:rPr>
          <w:rFonts w:ascii="微软雅黑" w:eastAsia="微软雅黑" w:hAnsi="微软雅黑" w:cs="宋体"/>
          <w:kern w:val="0"/>
          <w:sz w:val="24"/>
          <w:szCs w:val="24"/>
        </w:rPr>
        <w:t>）示意图展示了帕博西尼通过调节活性氧、自噬和衰老抑制Rb+/LMWE</w:t>
      </w:r>
      <w:r w:rsidRPr="00393E29">
        <w:rPr>
          <w:rFonts w:ascii="微软雅黑" w:eastAsia="微软雅黑" w:hAnsi="微软雅黑" w:cs="微软雅黑" w:hint="eastAsia"/>
          <w:kern w:val="0"/>
          <w:sz w:val="24"/>
          <w:szCs w:val="24"/>
        </w:rPr>
        <w:t>−</w:t>
      </w:r>
      <w:r w:rsidRPr="00393E29">
        <w:rPr>
          <w:rFonts w:ascii="微软雅黑" w:eastAsia="微软雅黑" w:hAnsi="微软雅黑" w:cs="宋体"/>
          <w:kern w:val="0"/>
          <w:sz w:val="24"/>
          <w:szCs w:val="24"/>
        </w:rPr>
        <w:t>乳腺癌细胞生长的机制。所有数据均代表三次独立实验的平均值±标准差；NS：</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&gt;0.05；*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&lt;0.05；**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&lt;0.01；***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&lt;0.001；****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&lt;0.0001。</w:t>
      </w:r>
    </w:p>
    <w:p w14:paraId="74F1BEDD"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i/>
          <w:iCs/>
          <w:kern w:val="0"/>
          <w:sz w:val="24"/>
          <w:szCs w:val="24"/>
        </w:rPr>
        <w:t>为了研究帕博西尼与自噬抑制在体内的</w:t>
      </w:r>
      <w:r w:rsidRPr="00393E29">
        <w:rPr>
          <w:rFonts w:ascii="微软雅黑" w:eastAsia="微软雅黑" w:hAnsi="微软雅黑" w:cs="宋体"/>
          <w:kern w:val="0"/>
          <w:sz w:val="24"/>
          <w:szCs w:val="24"/>
        </w:rPr>
        <w:t>协同作用，我们用载体、羟氯喹、帕博西尼（25 mg </w:t>
      </w:r>
      <w:r w:rsidRPr="00393E29">
        <w:rPr>
          <w:rFonts w:ascii="微软雅黑" w:eastAsia="微软雅黑" w:hAnsi="微软雅黑" w:cs="宋体"/>
          <w:kern w:val="0"/>
          <w:sz w:val="24"/>
          <w:szCs w:val="24"/>
          <w:vertAlign w:val="superscript"/>
        </w:rPr>
        <w:t>kg</w:t>
      </w:r>
      <w:r w:rsidRPr="00393E29">
        <w:rPr>
          <w:rFonts w:ascii="MS Gothic" w:eastAsia="MS Gothic" w:hAnsi="MS Gothic" w:cs="MS Gothic" w:hint="eastAsia"/>
          <w:kern w:val="0"/>
          <w:sz w:val="24"/>
          <w:szCs w:val="24"/>
          <w:vertAlign w:val="superscript"/>
        </w:rPr>
        <w:t>⁻</w:t>
      </w:r>
      <w:r w:rsidRPr="00393E29">
        <w:rPr>
          <w:rFonts w:ascii="微软雅黑" w:eastAsia="微软雅黑" w:hAnsi="微软雅黑" w:cs="宋体" w:hint="eastAsia"/>
          <w:kern w:val="0"/>
          <w:sz w:val="24"/>
          <w:szCs w:val="24"/>
          <w:vertAlign w:val="superscript"/>
        </w:rPr>
        <w:t>¹</w:t>
      </w:r>
      <w:r w:rsidRPr="00393E29">
        <w:rPr>
          <w:rFonts w:ascii="微软雅黑" w:eastAsia="微软雅黑" w:hAnsi="微软雅黑" w:cs="宋体"/>
          <w:kern w:val="0"/>
          <w:sz w:val="24"/>
          <w:szCs w:val="24"/>
        </w:rPr>
        <w:t>）或帕博西尼+羟氯喹治疗Rb</w:t>
      </w:r>
      <w:r w:rsidRPr="00393E29">
        <w:rPr>
          <w:rFonts w:ascii="MS Gothic" w:eastAsia="MS Gothic" w:hAnsi="MS Gothic" w:cs="MS Gothic" w:hint="eastAsia"/>
          <w:kern w:val="0"/>
          <w:sz w:val="24"/>
          <w:szCs w:val="24"/>
        </w:rPr>
        <w:t>⁺</w:t>
      </w:r>
      <w:r w:rsidRPr="00393E29">
        <w:rPr>
          <w:rFonts w:ascii="微软雅黑" w:eastAsia="微软雅黑" w:hAnsi="微软雅黑" w:cs="宋体"/>
          <w:kern w:val="0"/>
          <w:sz w:val="24"/>
          <w:szCs w:val="24"/>
        </w:rPr>
        <w:t xml:space="preserve"> LMWE</w:t>
      </w:r>
      <w:r w:rsidRPr="00393E29">
        <w:rPr>
          <w:rFonts w:ascii="MS Gothic" w:eastAsia="MS Gothic" w:hAnsi="MS Gothic" w:cs="MS Gothic" w:hint="eastAsia"/>
          <w:kern w:val="0"/>
          <w:sz w:val="24"/>
          <w:szCs w:val="24"/>
        </w:rPr>
        <w:t>⁻</w:t>
      </w:r>
      <w:r w:rsidRPr="00393E29">
        <w:rPr>
          <w:rFonts w:ascii="微软雅黑" w:eastAsia="微软雅黑" w:hAnsi="微软雅黑" w:cs="宋体"/>
          <w:kern w:val="0"/>
          <w:sz w:val="24"/>
          <w:szCs w:val="24"/>
        </w:rPr>
        <w:t xml:space="preserve"> TNBC患者来源的异种移植（PDX）肿瘤（</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补充图17e</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）。与载体或单独使用任</w:t>
      </w:r>
      <w:proofErr w:type="gramStart"/>
      <w:r w:rsidRPr="00393E29">
        <w:rPr>
          <w:rFonts w:ascii="微软雅黑" w:eastAsia="微软雅黑" w:hAnsi="微软雅黑" w:cs="宋体"/>
          <w:kern w:val="0"/>
          <w:sz w:val="24"/>
          <w:szCs w:val="24"/>
        </w:rPr>
        <w:t>一</w:t>
      </w:r>
      <w:proofErr w:type="gramEnd"/>
      <w:r w:rsidRPr="00393E29">
        <w:rPr>
          <w:rFonts w:ascii="微软雅黑" w:eastAsia="微软雅黑" w:hAnsi="微软雅黑" w:cs="宋体"/>
          <w:kern w:val="0"/>
          <w:sz w:val="24"/>
          <w:szCs w:val="24"/>
        </w:rPr>
        <w:t>药物相比，联合用药显著抑制了肿瘤生长并延长了生存期（</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"f5"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图5f-h</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补充图17f-h</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w:t>
      </w:r>
    </w:p>
    <w:p w14:paraId="79341772"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虽然帕博西尼目前仅获</w:t>
      </w:r>
      <w:proofErr w:type="gramStart"/>
      <w:r w:rsidRPr="00393E29">
        <w:rPr>
          <w:rFonts w:ascii="微软雅黑" w:eastAsia="微软雅黑" w:hAnsi="微软雅黑" w:cs="宋体"/>
          <w:kern w:val="0"/>
          <w:sz w:val="24"/>
          <w:szCs w:val="24"/>
        </w:rPr>
        <w:t>批用于</w:t>
      </w:r>
      <w:proofErr w:type="gramEnd"/>
      <w:r w:rsidRPr="00393E29">
        <w:rPr>
          <w:rFonts w:ascii="微软雅黑" w:eastAsia="微软雅黑" w:hAnsi="微软雅黑" w:cs="宋体"/>
          <w:kern w:val="0"/>
          <w:sz w:val="24"/>
          <w:szCs w:val="24"/>
        </w:rPr>
        <w:t>治疗ER+/Her2</w:t>
      </w:r>
      <w:r w:rsidRPr="00393E29">
        <w:rPr>
          <w:rFonts w:ascii="微软雅黑" w:eastAsia="微软雅黑" w:hAnsi="微软雅黑" w:cs="微软雅黑" w:hint="eastAsia"/>
          <w:kern w:val="0"/>
          <w:sz w:val="24"/>
          <w:szCs w:val="24"/>
        </w:rPr>
        <w:t>−</w:t>
      </w:r>
      <w:r w:rsidRPr="00393E29">
        <w:rPr>
          <w:rFonts w:ascii="微软雅黑" w:eastAsia="微软雅黑" w:hAnsi="微软雅黑" w:cs="宋体"/>
          <w:kern w:val="0"/>
          <w:sz w:val="24"/>
          <w:szCs w:val="24"/>
        </w:rPr>
        <w:t>乳腺癌，但大量研究表明CDK4/6抑制剂对其他癌症也具有活性&lt;sup&gt; </w:t>
      </w:r>
      <w:hyperlink r:id="rId60" w:anchor="b5" w:history="1">
        <w:r w:rsidRPr="00393E29">
          <w:rPr>
            <w:rFonts w:ascii="微软雅黑" w:eastAsia="微软雅黑" w:hAnsi="微软雅黑" w:cs="宋体"/>
            <w:kern w:val="0"/>
            <w:sz w:val="24"/>
            <w:szCs w:val="24"/>
            <w:u w:val="single"/>
            <w:vertAlign w:val="superscript"/>
          </w:rPr>
          <w:t>5</w:t>
        </w:r>
      </w:hyperlink>
      <w:r w:rsidRPr="00393E29">
        <w:rPr>
          <w:rFonts w:ascii="微软雅黑" w:eastAsia="微软雅黑" w:hAnsi="微软雅黑" w:cs="宋体"/>
          <w:kern w:val="0"/>
          <w:sz w:val="24"/>
          <w:szCs w:val="24"/>
        </w:rPr>
        <w:t> , </w:t>
      </w:r>
      <w:hyperlink r:id="rId61" w:anchor="b37" w:history="1">
        <w:r w:rsidRPr="00393E29">
          <w:rPr>
            <w:rFonts w:ascii="微软雅黑" w:eastAsia="微软雅黑" w:hAnsi="微软雅黑" w:cs="宋体"/>
            <w:kern w:val="0"/>
            <w:sz w:val="24"/>
            <w:szCs w:val="24"/>
            <w:u w:val="single"/>
            <w:vertAlign w:val="superscript"/>
          </w:rPr>
          <w:t>37</w:t>
        </w:r>
      </w:hyperlink>
      <w:r w:rsidRPr="00393E29">
        <w:rPr>
          <w:rFonts w:ascii="微软雅黑" w:eastAsia="微软雅黑" w:hAnsi="微软雅黑" w:cs="宋体"/>
          <w:kern w:val="0"/>
          <w:sz w:val="24"/>
          <w:szCs w:val="24"/>
        </w:rPr>
        <w:t> , </w:t>
      </w:r>
      <w:hyperlink r:id="rId62" w:anchor="b38" w:history="1">
        <w:r w:rsidRPr="00393E29">
          <w:rPr>
            <w:rFonts w:ascii="微软雅黑" w:eastAsia="微软雅黑" w:hAnsi="微软雅黑" w:cs="宋体"/>
            <w:kern w:val="0"/>
            <w:sz w:val="24"/>
            <w:szCs w:val="24"/>
            <w:u w:val="single"/>
            <w:vertAlign w:val="superscript"/>
          </w:rPr>
          <w:t>38&lt;/sup&gt;</w:t>
        </w:r>
      </w:hyperlink>
      <w:r w:rsidRPr="00393E29">
        <w:rPr>
          <w:rFonts w:ascii="微软雅黑" w:eastAsia="微软雅黑" w:hAnsi="微软雅黑" w:cs="宋体"/>
          <w:kern w:val="0"/>
          <w:sz w:val="24"/>
          <w:szCs w:val="24"/>
        </w:rPr>
        <w:t>。为了检验帕博西</w:t>
      </w:r>
      <w:r w:rsidRPr="00393E29">
        <w:rPr>
          <w:rFonts w:ascii="微软雅黑" w:eastAsia="微软雅黑" w:hAnsi="微软雅黑" w:cs="宋体"/>
          <w:kern w:val="0"/>
          <w:sz w:val="24"/>
          <w:szCs w:val="24"/>
        </w:rPr>
        <w:lastRenderedPageBreak/>
        <w:t>尼联合自噬抑制剂是否对其他实体瘤有效，我们检测了多种卵巢癌、胰腺癌、肺癌、结直肠癌和前列腺癌细胞系，这些细胞系中Rb和细胞周期蛋白E的表达水平各不相同（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"f5"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图5i</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）。结果显示，只有Rb表达完整且无LMWE的细胞系（HeyA8、59M、Panc-1、BxPc-3、Calu-1、H358、Colo-205、SW-620和PC3）对帕博西尼表现出显著的剂量依赖性生长抑制（</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"f5"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图5j、k</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补充图18a、b</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）。此外，用自噬抑制剂治疗进一步增强了 Rb+/LMWE</w:t>
      </w:r>
      <w:r w:rsidRPr="00393E29">
        <w:rPr>
          <w:rFonts w:ascii="微软雅黑" w:eastAsia="微软雅黑" w:hAnsi="微软雅黑" w:cs="微软雅黑" w:hint="eastAsia"/>
          <w:kern w:val="0"/>
          <w:sz w:val="24"/>
          <w:szCs w:val="24"/>
        </w:rPr>
        <w:t>−</w:t>
      </w:r>
      <w:r w:rsidRPr="00393E29">
        <w:rPr>
          <w:rFonts w:ascii="微软雅黑" w:eastAsia="微软雅黑" w:hAnsi="微软雅黑" w:cs="宋体"/>
          <w:kern w:val="0"/>
          <w:sz w:val="24"/>
          <w:szCs w:val="24"/>
        </w:rPr>
        <w:t xml:space="preserve"> 细胞系对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(1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的敏感性，并诱导了不可逆的生长抑制（</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"f5"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5l,m</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18c,d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w:t>
      </w:r>
    </w:p>
    <w:p w14:paraId="5E7477A8"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在所有癌细胞系中，帕博西尼半数抑制浓度 (IC50) 与 Rb 和 LMWE 表达之间的相关性分析表明，G1/S 期转换完整的细胞系 (Rb+/LMWE</w:t>
      </w:r>
      <w:r w:rsidRPr="00393E29">
        <w:rPr>
          <w:rFonts w:ascii="微软雅黑" w:eastAsia="微软雅黑" w:hAnsi="微软雅黑" w:cs="宋体" w:hint="eastAsia"/>
          <w:kern w:val="0"/>
          <w:sz w:val="24"/>
          <w:szCs w:val="24"/>
        </w:rPr>
        <w:t>−</w:t>
      </w:r>
      <w:r w:rsidRPr="00393E29">
        <w:rPr>
          <w:rFonts w:ascii="微软雅黑" w:eastAsia="微软雅黑" w:hAnsi="微软雅黑" w:cs="宋体"/>
          <w:kern w:val="0"/>
          <w:sz w:val="24"/>
          <w:szCs w:val="24"/>
        </w:rPr>
        <w:t>) 对 CDK4/6 抑制剂更为敏感，且自噬抑制可进一步增强这种敏感性（</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"f5"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rPr>
        <w:t>图 5n</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rPr>
        <w:t>补充图 18e</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）。综上所述，这些结果表明，CDK4/6 抑制剂与自噬抑制剂联合应用可有效治疗实体瘤，Rb 和细胞周期蛋白 E 可作为疗效的生物标志物（</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"f5"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5o</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w:t>
      </w:r>
    </w:p>
    <w:p w14:paraId="351F62FD"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Rb 和细胞质细胞周期蛋白 E：帕博西尼治疗乳腺癌的预后指标</w:t>
      </w:r>
    </w:p>
    <w:p w14:paraId="10256086"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TCGA分析显示，乳腺癌、卵巢癌、胰腺癌、肺癌、结直肠癌和前列腺癌中分别有85%、81%、89%、86%、93%和96%的样本Rb呈阳性，且细胞周期蛋白E表达低或无表达（</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"f6"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图6a</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补充图19a</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）。然而，这些分析基于RNA水平，无法区分全长细胞周期蛋白E（核定位）和LMWE（胞质定位），也无法准确预测Rb蛋白的表达（</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补充图19b ）。在本研究中，我们评估了细胞周期蛋白E的亚细胞定位，并将样本分为胞质阴性或阳性。LMWE阳性指细胞周期蛋白E的胞质染色。因此，我们检测了来自NCI癌症诊断项目</w:t>
      </w:r>
      <w:r w:rsidRPr="00393E29">
        <w:rPr>
          <w:rFonts w:ascii="微软雅黑" w:eastAsia="微软雅黑" w:hAnsi="微软雅黑" w:cs="宋体"/>
          <w:kern w:val="0"/>
          <w:sz w:val="24"/>
          <w:szCs w:val="24"/>
        </w:rPr>
        <w:fldChar w:fldCharType="end"/>
      </w:r>
      <w:hyperlink r:id="rId63" w:anchor="b41" w:history="1">
        <w:r w:rsidRPr="00393E29">
          <w:rPr>
            <w:rFonts w:ascii="微软雅黑" w:eastAsia="微软雅黑" w:hAnsi="微软雅黑" w:cs="宋体"/>
            <w:kern w:val="0"/>
            <w:sz w:val="24"/>
            <w:szCs w:val="24"/>
            <w:u w:val="single"/>
            <w:vertAlign w:val="superscript"/>
          </w:rPr>
          <w:t>&lt;sup&gt;</w:t>
        </w:r>
      </w:hyperlink>
      <w:r w:rsidRPr="00393E29">
        <w:rPr>
          <w:rFonts w:ascii="微软雅黑" w:eastAsia="微软雅黑" w:hAnsi="微软雅黑" w:cs="宋体"/>
          <w:kern w:val="0"/>
          <w:sz w:val="24"/>
          <w:szCs w:val="24"/>
          <w:u w:val="single"/>
          <w:vertAlign w:val="superscript"/>
        </w:rPr>
        <w:t> 41,44 </w:t>
      </w:r>
      <w:hyperlink r:id="rId64" w:anchor="b44" w:history="1">
        <w:r w:rsidRPr="00393E29">
          <w:rPr>
            <w:rFonts w:ascii="微软雅黑" w:eastAsia="微软雅黑" w:hAnsi="微软雅黑" w:cs="宋体"/>
            <w:kern w:val="0"/>
            <w:sz w:val="24"/>
            <w:szCs w:val="24"/>
            <w:u w:val="single"/>
            <w:vertAlign w:val="superscript"/>
          </w:rPr>
          <w:t>&lt;/sup&gt;</w:t>
        </w:r>
      </w:hyperlink>
      <w:r w:rsidRPr="00393E29">
        <w:rPr>
          <w:rFonts w:ascii="微软雅黑" w:eastAsia="微软雅黑" w:hAnsi="微软雅黑" w:cs="宋体"/>
          <w:kern w:val="0"/>
          <w:sz w:val="24"/>
          <w:szCs w:val="24"/>
        </w:rPr>
        <w:t>的879例早</w:t>
      </w:r>
      <w:r w:rsidRPr="00393E29">
        <w:rPr>
          <w:rFonts w:ascii="微软雅黑" w:eastAsia="微软雅黑" w:hAnsi="微软雅黑" w:cs="宋体"/>
          <w:kern w:val="0"/>
          <w:sz w:val="24"/>
          <w:szCs w:val="24"/>
        </w:rPr>
        <w:lastRenderedPageBreak/>
        <w:t>期乳腺癌患者队列的组织芯片样本中LMWE和Rb蛋白的表达。对该队列中福尔马林固定石蜡包埋切片的LMWE和Rb染色显示，33%的肿瘤样本为Rb阳性且LMWE阴性，而40%的ER</w:t>
      </w:r>
      <w:proofErr w:type="gramStart"/>
      <w:r w:rsidRPr="00393E29">
        <w:rPr>
          <w:rFonts w:ascii="微软雅黑" w:eastAsia="微软雅黑" w:hAnsi="微软雅黑" w:cs="宋体"/>
          <w:kern w:val="0"/>
          <w:sz w:val="24"/>
          <w:szCs w:val="24"/>
        </w:rPr>
        <w:t>阳性亚</w:t>
      </w:r>
      <w:proofErr w:type="gramEnd"/>
      <w:r w:rsidRPr="00393E29">
        <w:rPr>
          <w:rFonts w:ascii="微软雅黑" w:eastAsia="微软雅黑" w:hAnsi="微软雅黑" w:cs="宋体"/>
          <w:kern w:val="0"/>
          <w:sz w:val="24"/>
          <w:szCs w:val="24"/>
        </w:rPr>
        <w:t>型为Rb阳性/LMWE阴性（</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"f6"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图6b</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补充图19c</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）。此外，Kaplan-Meier生存曲线显示，细胞周期蛋白E失调（LMWE阳性）的患者</w:t>
      </w:r>
      <w:proofErr w:type="gramStart"/>
      <w:r w:rsidRPr="00393E29">
        <w:rPr>
          <w:rFonts w:ascii="微软雅黑" w:eastAsia="微软雅黑" w:hAnsi="微软雅黑" w:cs="宋体"/>
          <w:kern w:val="0"/>
          <w:sz w:val="24"/>
          <w:szCs w:val="24"/>
        </w:rPr>
        <w:t>组总体</w:t>
      </w:r>
      <w:proofErr w:type="gramEnd"/>
      <w:r w:rsidRPr="00393E29">
        <w:rPr>
          <w:rFonts w:ascii="微软雅黑" w:eastAsia="微软雅黑" w:hAnsi="微软雅黑" w:cs="宋体"/>
          <w:kern w:val="0"/>
          <w:sz w:val="24"/>
          <w:szCs w:val="24"/>
        </w:rPr>
        <w:t>预后较差，强调了LMWE在乳腺癌预后中的作用（</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补充图19d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）。这些结果表明，超过35%的乳腺癌患者（无论ER状态如何）可能受益于帕博西尼联合</w:t>
      </w:r>
      <w:proofErr w:type="gramStart"/>
      <w:r w:rsidRPr="00393E29">
        <w:rPr>
          <w:rFonts w:ascii="微软雅黑" w:eastAsia="微软雅黑" w:hAnsi="微软雅黑" w:cs="宋体"/>
          <w:kern w:val="0"/>
          <w:sz w:val="24"/>
          <w:szCs w:val="24"/>
        </w:rPr>
        <w:t>羟</w:t>
      </w:r>
      <w:proofErr w:type="gramEnd"/>
      <w:r w:rsidRPr="00393E29">
        <w:rPr>
          <w:rFonts w:ascii="微软雅黑" w:eastAsia="微软雅黑" w:hAnsi="微软雅黑" w:cs="宋体"/>
          <w:kern w:val="0"/>
          <w:sz w:val="24"/>
          <w:szCs w:val="24"/>
        </w:rPr>
        <w:t>氯喹治疗，凸显了该方案的临床应用价值。</w:t>
      </w:r>
    </w:p>
    <w:p w14:paraId="04F4BBA4" w14:textId="77777777" w:rsidR="00393E29" w:rsidRPr="00393E29" w:rsidRDefault="00393E29" w:rsidP="00393E29">
      <w:pPr>
        <w:widowControl/>
        <w:spacing w:line="450" w:lineRule="atLeast"/>
        <w:outlineLvl w:val="3"/>
        <w:rPr>
          <w:rFonts w:ascii="微软雅黑" w:eastAsia="微软雅黑" w:hAnsi="微软雅黑" w:cs="宋体"/>
          <w:kern w:val="0"/>
          <w:sz w:val="30"/>
          <w:szCs w:val="30"/>
        </w:rPr>
      </w:pPr>
      <w:r w:rsidRPr="00393E29">
        <w:rPr>
          <w:rFonts w:ascii="微软雅黑" w:eastAsia="微软雅黑" w:hAnsi="微软雅黑" w:cs="宋体"/>
          <w:kern w:val="0"/>
          <w:sz w:val="30"/>
          <w:szCs w:val="30"/>
        </w:rPr>
        <w:t>图 6. Rb 和 LMWE 是帕博西尼治疗乳腺癌患者的预后标志物。</w:t>
      </w:r>
    </w:p>
    <w:p w14:paraId="3BCF3694" w14:textId="0C3B455F"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noProof/>
          <w:kern w:val="0"/>
          <w:sz w:val="24"/>
          <w:szCs w:val="24"/>
        </w:rPr>
        <w:lastRenderedPageBreak/>
        <w:drawing>
          <wp:inline distT="0" distB="0" distL="0" distR="0" wp14:anchorId="3C8E2164" wp14:editId="6E27E9A5">
            <wp:extent cx="5274310" cy="8475345"/>
            <wp:effectExtent l="0" t="0" r="2540" b="1905"/>
            <wp:docPr id="1" name="图片 1" descr="图 6">
              <a:hlinkClick xmlns:a="http://schemas.openxmlformats.org/drawingml/2006/main" r:id="rId6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图 6">
                      <a:hlinkClick r:id="rId65" tgtFrame="&quot;_blank&quot;"/>
                    </pic:cNvPr>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274310" cy="8475345"/>
                    </a:xfrm>
                    <a:prstGeom prst="rect">
                      <a:avLst/>
                    </a:prstGeom>
                    <a:noFill/>
                    <a:ln>
                      <a:noFill/>
                    </a:ln>
                  </pic:spPr>
                </pic:pic>
              </a:graphicData>
            </a:graphic>
          </wp:inline>
        </w:drawing>
      </w:r>
    </w:p>
    <w:p w14:paraId="64CD3919" w14:textId="77777777" w:rsidR="00393E29" w:rsidRPr="00393E29" w:rsidRDefault="00393E29" w:rsidP="00393E29">
      <w:pPr>
        <w:widowControl/>
        <w:rPr>
          <w:rFonts w:ascii="微软雅黑" w:eastAsia="微软雅黑" w:hAnsi="微软雅黑" w:cs="宋体"/>
          <w:kern w:val="0"/>
          <w:sz w:val="24"/>
          <w:szCs w:val="24"/>
        </w:rPr>
      </w:pPr>
      <w:r w:rsidRPr="00393E29">
        <w:rPr>
          <w:rFonts w:ascii="微软雅黑" w:eastAsia="微软雅黑" w:hAnsi="微软雅黑" w:cs="宋体"/>
          <w:kern w:val="0"/>
          <w:sz w:val="24"/>
          <w:szCs w:val="24"/>
        </w:rPr>
        <w:lastRenderedPageBreak/>
        <w:t>( </w:t>
      </w:r>
      <w:r w:rsidRPr="00393E29">
        <w:rPr>
          <w:rFonts w:ascii="微软雅黑" w:eastAsia="微软雅黑" w:hAnsi="微软雅黑" w:cs="宋体"/>
          <w:b/>
          <w:bCs/>
          <w:kern w:val="0"/>
          <w:sz w:val="24"/>
          <w:szCs w:val="24"/>
        </w:rPr>
        <w:t>a</w:t>
      </w:r>
      <w:r w:rsidRPr="00393E29">
        <w:rPr>
          <w:rFonts w:ascii="微软雅黑" w:eastAsia="微软雅黑" w:hAnsi="微软雅黑" w:cs="宋体"/>
          <w:kern w:val="0"/>
          <w:sz w:val="24"/>
          <w:szCs w:val="24"/>
        </w:rPr>
        <w:t> ) 从TCGA数据库中提取的乳腺癌（</w:t>
      </w:r>
      <w:r w:rsidRPr="00393E29">
        <w:rPr>
          <w:rFonts w:ascii="微软雅黑" w:eastAsia="微软雅黑" w:hAnsi="微软雅黑" w:cs="宋体"/>
          <w:i/>
          <w:iCs/>
          <w:kern w:val="0"/>
          <w:sz w:val="24"/>
          <w:szCs w:val="24"/>
        </w:rPr>
        <w:t>n</w:t>
      </w:r>
      <w:r w:rsidRPr="00393E29">
        <w:rPr>
          <w:rFonts w:ascii="微软雅黑" w:eastAsia="微软雅黑" w:hAnsi="微软雅黑" w:cs="宋体"/>
          <w:kern w:val="0"/>
          <w:sz w:val="24"/>
          <w:szCs w:val="24"/>
        </w:rPr>
        <w:t> =817）、卵巢癌（</w:t>
      </w:r>
      <w:r w:rsidRPr="00393E29">
        <w:rPr>
          <w:rFonts w:ascii="微软雅黑" w:eastAsia="微软雅黑" w:hAnsi="微软雅黑" w:cs="宋体"/>
          <w:i/>
          <w:iCs/>
          <w:kern w:val="0"/>
          <w:sz w:val="24"/>
          <w:szCs w:val="24"/>
        </w:rPr>
        <w:t>n</w:t>
      </w:r>
      <w:r w:rsidRPr="00393E29">
        <w:rPr>
          <w:rFonts w:ascii="微软雅黑" w:eastAsia="微软雅黑" w:hAnsi="微软雅黑" w:cs="宋体"/>
          <w:kern w:val="0"/>
          <w:sz w:val="24"/>
          <w:szCs w:val="24"/>
        </w:rPr>
        <w:t> =557）、肺癌（ </w:t>
      </w:r>
      <w:r w:rsidRPr="00393E29">
        <w:rPr>
          <w:rFonts w:ascii="微软雅黑" w:eastAsia="微软雅黑" w:hAnsi="微软雅黑" w:cs="宋体"/>
          <w:i/>
          <w:iCs/>
          <w:kern w:val="0"/>
          <w:sz w:val="24"/>
          <w:szCs w:val="24"/>
        </w:rPr>
        <w:t>n</w:t>
      </w:r>
      <w:r w:rsidRPr="00393E29">
        <w:rPr>
          <w:rFonts w:ascii="微软雅黑" w:eastAsia="微软雅黑" w:hAnsi="微软雅黑" w:cs="宋体"/>
          <w:kern w:val="0"/>
          <w:sz w:val="24"/>
          <w:szCs w:val="24"/>
        </w:rPr>
        <w:t> = 230）、胰腺癌（</w:t>
      </w:r>
      <w:r w:rsidRPr="00393E29">
        <w:rPr>
          <w:rFonts w:ascii="微软雅黑" w:eastAsia="微软雅黑" w:hAnsi="微软雅黑" w:cs="宋体"/>
          <w:i/>
          <w:iCs/>
          <w:kern w:val="0"/>
          <w:sz w:val="24"/>
          <w:szCs w:val="24"/>
        </w:rPr>
        <w:t>n</w:t>
      </w:r>
      <w:r w:rsidRPr="00393E29">
        <w:rPr>
          <w:rFonts w:ascii="微软雅黑" w:eastAsia="微软雅黑" w:hAnsi="微软雅黑" w:cs="宋体"/>
          <w:kern w:val="0"/>
          <w:sz w:val="24"/>
          <w:szCs w:val="24"/>
        </w:rPr>
        <w:t> =178）、结肠癌（</w:t>
      </w:r>
      <w:r w:rsidRPr="00393E29">
        <w:rPr>
          <w:rFonts w:ascii="微软雅黑" w:eastAsia="微软雅黑" w:hAnsi="微软雅黑" w:cs="宋体"/>
          <w:i/>
          <w:iCs/>
          <w:kern w:val="0"/>
          <w:sz w:val="24"/>
          <w:szCs w:val="24"/>
        </w:rPr>
        <w:t>n</w:t>
      </w:r>
      <w:r w:rsidRPr="00393E29">
        <w:rPr>
          <w:rFonts w:ascii="微软雅黑" w:eastAsia="微软雅黑" w:hAnsi="微软雅黑" w:cs="宋体"/>
          <w:kern w:val="0"/>
          <w:sz w:val="24"/>
          <w:szCs w:val="24"/>
        </w:rPr>
        <w:t> =379）或前列腺癌（</w:t>
      </w:r>
      <w:r w:rsidRPr="00393E29">
        <w:rPr>
          <w:rFonts w:ascii="微软雅黑" w:eastAsia="微软雅黑" w:hAnsi="微软雅黑" w:cs="宋体"/>
          <w:i/>
          <w:iCs/>
          <w:kern w:val="0"/>
          <w:sz w:val="24"/>
          <w:szCs w:val="24"/>
        </w:rPr>
        <w:t>n</w:t>
      </w:r>
      <w:r w:rsidRPr="00393E29">
        <w:rPr>
          <w:rFonts w:ascii="微软雅黑" w:eastAsia="微软雅黑" w:hAnsi="微软雅黑" w:cs="宋体"/>
          <w:kern w:val="0"/>
          <w:sz w:val="24"/>
          <w:szCs w:val="24"/>
        </w:rPr>
        <w:t> =333）患者肿瘤中Rb和细胞周期蛋白E RNA水平的变化。( </w:t>
      </w:r>
      <w:r w:rsidRPr="00393E29">
        <w:rPr>
          <w:rFonts w:ascii="微软雅黑" w:eastAsia="微软雅黑" w:hAnsi="微软雅黑" w:cs="宋体"/>
          <w:b/>
          <w:bCs/>
          <w:kern w:val="0"/>
          <w:sz w:val="24"/>
          <w:szCs w:val="24"/>
        </w:rPr>
        <w:t>b ) 通过对NCI患者队列（ </w:t>
      </w:r>
      <w:r w:rsidRPr="00393E29">
        <w:rPr>
          <w:rFonts w:ascii="微软雅黑" w:eastAsia="微软雅黑" w:hAnsi="微软雅黑" w:cs="宋体"/>
          <w:i/>
          <w:iCs/>
          <w:kern w:val="0"/>
          <w:sz w:val="24"/>
          <w:szCs w:val="24"/>
        </w:rPr>
        <w:t>n</w:t>
      </w:r>
      <w:r w:rsidRPr="00393E29">
        <w:rPr>
          <w:rFonts w:ascii="微软雅黑" w:eastAsia="微软雅黑" w:hAnsi="微软雅黑" w:cs="宋体"/>
          <w:kern w:val="0"/>
          <w:sz w:val="24"/>
          <w:szCs w:val="24"/>
        </w:rPr>
        <w:t> =879）肿瘤样本进行免疫组织化学染色，确定乳腺癌患者中Rb和LMWE发生改变的百分比。( </w:t>
      </w:r>
      <w:r w:rsidRPr="00393E29">
        <w:rPr>
          <w:rFonts w:ascii="微软雅黑" w:eastAsia="微软雅黑" w:hAnsi="微软雅黑" w:cs="宋体"/>
          <w:b/>
          <w:bCs/>
          <w:kern w:val="0"/>
          <w:sz w:val="24"/>
          <w:szCs w:val="24"/>
        </w:rPr>
        <w:t>c</w:t>
      </w:r>
      <w:r w:rsidRPr="00393E29">
        <w:rPr>
          <w:rFonts w:ascii="微软雅黑" w:eastAsia="微软雅黑" w:hAnsi="微软雅黑" w:cs="宋体"/>
          <w:kern w:val="0"/>
          <w:sz w:val="24"/>
          <w:szCs w:val="24"/>
        </w:rPr>
        <w:t> ) 接受帕博西尼治疗的109例乳腺癌患者中，Rb+/LMW</w:t>
      </w:r>
      <w:r w:rsidRPr="00393E29">
        <w:rPr>
          <w:rFonts w:ascii="微软雅黑" w:eastAsia="微软雅黑" w:hAnsi="微软雅黑" w:cs="微软雅黑" w:hint="eastAsia"/>
          <w:kern w:val="0"/>
          <w:sz w:val="24"/>
          <w:szCs w:val="24"/>
        </w:rPr>
        <w:t>−</w:t>
      </w:r>
      <w:r w:rsidRPr="00393E29">
        <w:rPr>
          <w:rFonts w:ascii="微软雅黑" w:eastAsia="微软雅黑" w:hAnsi="微软雅黑" w:cs="宋体"/>
          <w:kern w:val="0"/>
          <w:sz w:val="24"/>
          <w:szCs w:val="24"/>
        </w:rPr>
        <w:t>、Rb+/LMWE+或Rb</w:t>
      </w:r>
      <w:r w:rsidRPr="00393E29">
        <w:rPr>
          <w:rFonts w:ascii="微软雅黑" w:eastAsia="微软雅黑" w:hAnsi="微软雅黑" w:cs="微软雅黑" w:hint="eastAsia"/>
          <w:kern w:val="0"/>
          <w:sz w:val="24"/>
          <w:szCs w:val="24"/>
        </w:rPr>
        <w:t>−</w:t>
      </w:r>
      <w:r w:rsidRPr="00393E29">
        <w:rPr>
          <w:rFonts w:ascii="微软雅黑" w:eastAsia="微软雅黑" w:hAnsi="微软雅黑" w:cs="宋体"/>
          <w:kern w:val="0"/>
          <w:sz w:val="24"/>
          <w:szCs w:val="24"/>
        </w:rPr>
        <w:t>/LMWE+状态的比例及其疾病进展（对帕博西尼的反应）。 （</w:t>
      </w:r>
      <w:r w:rsidRPr="00393E29">
        <w:rPr>
          <w:rFonts w:ascii="微软雅黑" w:eastAsia="微软雅黑" w:hAnsi="微软雅黑" w:cs="宋体"/>
          <w:b/>
          <w:bCs/>
          <w:kern w:val="0"/>
          <w:sz w:val="24"/>
          <w:szCs w:val="24"/>
        </w:rPr>
        <w:t>d</w:t>
      </w:r>
      <w:r w:rsidRPr="00393E29">
        <w:rPr>
          <w:rFonts w:ascii="微软雅黑" w:eastAsia="微软雅黑" w:hAnsi="微软雅黑" w:cs="宋体"/>
          <w:kern w:val="0"/>
          <w:sz w:val="24"/>
          <w:szCs w:val="24"/>
        </w:rPr>
        <w:t>，</w:t>
      </w:r>
      <w:r w:rsidRPr="00393E29">
        <w:rPr>
          <w:rFonts w:ascii="微软雅黑" w:eastAsia="微软雅黑" w:hAnsi="微软雅黑" w:cs="宋体"/>
          <w:b/>
          <w:bCs/>
          <w:kern w:val="0"/>
          <w:sz w:val="24"/>
          <w:szCs w:val="24"/>
        </w:rPr>
        <w:t>e</w:t>
      </w:r>
      <w:r w:rsidRPr="00393E29">
        <w:rPr>
          <w:rFonts w:ascii="微软雅黑" w:eastAsia="微软雅黑" w:hAnsi="微软雅黑" w:cs="宋体"/>
          <w:kern w:val="0"/>
          <w:sz w:val="24"/>
          <w:szCs w:val="24"/>
        </w:rPr>
        <w:t>）Kaplan-Meier生存曲线显示109例晚期ER+乳腺癌患者的无进展生存期（PFS，以月为单位），这些患者根据肿瘤中Rb和细胞周期蛋白E的表达情况进行分类（</w:t>
      </w:r>
      <w:r w:rsidRPr="00393E29">
        <w:rPr>
          <w:rFonts w:ascii="微软雅黑" w:eastAsia="微软雅黑" w:hAnsi="微软雅黑" w:cs="宋体"/>
          <w:b/>
          <w:bCs/>
          <w:kern w:val="0"/>
          <w:sz w:val="24"/>
          <w:szCs w:val="24"/>
        </w:rPr>
        <w:t>d</w:t>
      </w:r>
      <w:r w:rsidRPr="00393E29">
        <w:rPr>
          <w:rFonts w:ascii="微软雅黑" w:eastAsia="微软雅黑" w:hAnsi="微软雅黑" w:cs="宋体"/>
          <w:kern w:val="0"/>
          <w:sz w:val="24"/>
          <w:szCs w:val="24"/>
        </w:rPr>
        <w:t>），并根据来曲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和</w:t>
      </w:r>
      <w:proofErr w:type="gramStart"/>
      <w:r w:rsidRPr="00393E29">
        <w:rPr>
          <w:rFonts w:ascii="微软雅黑" w:eastAsia="微软雅黑" w:hAnsi="微软雅黑" w:cs="宋体"/>
          <w:kern w:val="0"/>
          <w:sz w:val="24"/>
          <w:szCs w:val="24"/>
        </w:rPr>
        <w:t>氟维司群</w:t>
      </w:r>
      <w:proofErr w:type="gramEnd"/>
      <w:r w:rsidRPr="00393E29">
        <w:rPr>
          <w:rFonts w:ascii="微软雅黑" w:eastAsia="微软雅黑" w:hAnsi="微软雅黑" w:cs="宋体"/>
          <w:kern w:val="0"/>
          <w:sz w:val="24"/>
          <w:szCs w:val="24"/>
        </w:rPr>
        <w:t>的使用情况进行分组（</w:t>
      </w:r>
      <w:r w:rsidRPr="00393E29">
        <w:rPr>
          <w:rFonts w:ascii="微软雅黑" w:eastAsia="微软雅黑" w:hAnsi="微软雅黑" w:cs="宋体"/>
          <w:b/>
          <w:bCs/>
          <w:kern w:val="0"/>
          <w:sz w:val="24"/>
          <w:szCs w:val="24"/>
        </w:rPr>
        <w:t>e</w:t>
      </w:r>
      <w:r w:rsidRPr="00393E29">
        <w:rPr>
          <w:rFonts w:ascii="微软雅黑" w:eastAsia="微软雅黑" w:hAnsi="微软雅黑" w:cs="宋体"/>
          <w:kern w:val="0"/>
          <w:sz w:val="24"/>
          <w:szCs w:val="24"/>
        </w:rPr>
        <w:t>）。生存曲线在疾病进展或最后一次随访日期处截尾。（</w:t>
      </w:r>
      <w:r w:rsidRPr="00393E29">
        <w:rPr>
          <w:rFonts w:ascii="微软雅黑" w:eastAsia="微软雅黑" w:hAnsi="微软雅黑" w:cs="宋体"/>
          <w:b/>
          <w:bCs/>
          <w:kern w:val="0"/>
          <w:sz w:val="24"/>
          <w:szCs w:val="24"/>
        </w:rPr>
        <w:t>f</w:t>
      </w:r>
      <w:r w:rsidRPr="00393E29">
        <w:rPr>
          <w:rFonts w:ascii="微软雅黑" w:eastAsia="微软雅黑" w:hAnsi="微软雅黑" w:cs="宋体"/>
          <w:kern w:val="0"/>
          <w:sz w:val="24"/>
          <w:szCs w:val="24"/>
        </w:rPr>
        <w:t xml:space="preserve">）代表性图像显示了接受帕博西尼治疗的ER+乳腺癌患者肿瘤中Rb和LMWE的免疫组织化学分析结果，并根据治疗反应进行分类。比例尺为50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，插图比例尺为20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w:t>
      </w:r>
      <w:r w:rsidRPr="00393E29">
        <w:rPr>
          <w:rFonts w:ascii="微软雅黑" w:eastAsia="微软雅黑" w:hAnsi="微软雅黑" w:cs="宋体"/>
          <w:b/>
          <w:bCs/>
          <w:kern w:val="0"/>
          <w:sz w:val="24"/>
          <w:szCs w:val="24"/>
        </w:rPr>
        <w:t>g</w:t>
      </w:r>
      <w:r w:rsidRPr="00393E29">
        <w:rPr>
          <w:rFonts w:ascii="微软雅黑" w:eastAsia="微软雅黑" w:hAnsi="微软雅黑" w:cs="宋体"/>
          <w:kern w:val="0"/>
          <w:sz w:val="24"/>
          <w:szCs w:val="24"/>
        </w:rPr>
        <w:t>）包含孕激素受体、</w:t>
      </w:r>
      <w:proofErr w:type="gramStart"/>
      <w:r w:rsidRPr="00393E29">
        <w:rPr>
          <w:rFonts w:ascii="微软雅黑" w:eastAsia="微软雅黑" w:hAnsi="微软雅黑" w:cs="宋体"/>
          <w:kern w:val="0"/>
          <w:sz w:val="24"/>
          <w:szCs w:val="24"/>
        </w:rPr>
        <w:t>既往仅</w:t>
      </w:r>
      <w:proofErr w:type="gramEnd"/>
      <w:r w:rsidRPr="00393E29">
        <w:rPr>
          <w:rFonts w:ascii="微软雅黑" w:eastAsia="微软雅黑" w:hAnsi="微软雅黑" w:cs="宋体"/>
          <w:kern w:val="0"/>
          <w:sz w:val="24"/>
          <w:szCs w:val="24"/>
        </w:rPr>
        <w:t>针对转移性疾病的治疗（不含Rb）以及添加Rb和LMWE的多变量Cox模型的C指数。</w:t>
      </w:r>
    </w:p>
    <w:p w14:paraId="30146B4B"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接下来，为了直接检验Rb和LMWE（细胞质细胞周期蛋白E）蛋白作为转移性乳腺癌预后生物标志物的效用，我们利用了MD安</w:t>
      </w:r>
      <w:r w:rsidRPr="00393E29">
        <w:rPr>
          <w:rFonts w:ascii="MS Gothic" w:eastAsia="MS Gothic" w:hAnsi="MS Gothic" w:cs="MS Gothic" w:hint="eastAsia"/>
          <w:kern w:val="0"/>
          <w:sz w:val="24"/>
          <w:szCs w:val="24"/>
        </w:rPr>
        <w:t>​​</w:t>
      </w:r>
      <w:r w:rsidRPr="00393E29">
        <w:rPr>
          <w:rFonts w:ascii="微软雅黑" w:eastAsia="微软雅黑" w:hAnsi="微软雅黑" w:cs="宋体"/>
          <w:kern w:val="0"/>
          <w:sz w:val="24"/>
          <w:szCs w:val="24"/>
        </w:rPr>
        <w:t>德森癌症中心正在接受帕博西尼联合来曲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或</w:t>
      </w:r>
      <w:proofErr w:type="gramStart"/>
      <w:r w:rsidRPr="00393E29">
        <w:rPr>
          <w:rFonts w:ascii="微软雅黑" w:eastAsia="微软雅黑" w:hAnsi="微软雅黑" w:cs="宋体"/>
          <w:kern w:val="0"/>
          <w:sz w:val="24"/>
          <w:szCs w:val="24"/>
        </w:rPr>
        <w:t>氟维司群治疗</w:t>
      </w:r>
      <w:proofErr w:type="gramEnd"/>
      <w:r w:rsidRPr="00393E29">
        <w:rPr>
          <w:rFonts w:ascii="微软雅黑" w:eastAsia="微软雅黑" w:hAnsi="微软雅黑" w:cs="宋体"/>
          <w:kern w:val="0"/>
          <w:sz w:val="24"/>
          <w:szCs w:val="24"/>
        </w:rPr>
        <w:t>的109例晚期ER+乳腺癌患者队列（</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补充图20a</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）。我们从每位患者处获取了原发肿瘤和/或局部或转移性复发的存档治疗前标本，并进行细胞周期蛋白E和Rb染色及评分（</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"f6"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图6f</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补充图20d</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）。大多数样本（102/109）Rb呈阳性，而仅有49.5%（54/109）LMWE呈阳性（</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补充图20b</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 xml:space="preserve">）。临床和病理变量分析显示，LMWE 或 Rb 丢失的患者在 6 </w:t>
      </w:r>
      <w:proofErr w:type="gramStart"/>
      <w:r w:rsidRPr="00393E29">
        <w:rPr>
          <w:rFonts w:ascii="微软雅黑" w:eastAsia="微软雅黑" w:hAnsi="微软雅黑" w:cs="宋体"/>
          <w:kern w:val="0"/>
          <w:sz w:val="24"/>
          <w:szCs w:val="24"/>
        </w:rPr>
        <w:t>个</w:t>
      </w:r>
      <w:proofErr w:type="gramEnd"/>
      <w:r w:rsidRPr="00393E29">
        <w:rPr>
          <w:rFonts w:ascii="微软雅黑" w:eastAsia="微软雅黑" w:hAnsi="微软雅黑" w:cs="宋体"/>
          <w:kern w:val="0"/>
          <w:sz w:val="24"/>
          <w:szCs w:val="24"/>
        </w:rPr>
        <w:t xml:space="preserve">月和 </w:t>
      </w:r>
      <w:r w:rsidRPr="00393E29">
        <w:rPr>
          <w:rFonts w:ascii="微软雅黑" w:eastAsia="微软雅黑" w:hAnsi="微软雅黑" w:cs="宋体"/>
          <w:kern w:val="0"/>
          <w:sz w:val="24"/>
          <w:szCs w:val="24"/>
        </w:rPr>
        <w:lastRenderedPageBreak/>
        <w:t xml:space="preserve">12 </w:t>
      </w:r>
      <w:proofErr w:type="gramStart"/>
      <w:r w:rsidRPr="00393E29">
        <w:rPr>
          <w:rFonts w:ascii="微软雅黑" w:eastAsia="微软雅黑" w:hAnsi="微软雅黑" w:cs="宋体"/>
          <w:kern w:val="0"/>
          <w:sz w:val="24"/>
          <w:szCs w:val="24"/>
        </w:rPr>
        <w:t>个</w:t>
      </w:r>
      <w:proofErr w:type="gramEnd"/>
      <w:r w:rsidRPr="00393E29">
        <w:rPr>
          <w:rFonts w:ascii="微软雅黑" w:eastAsia="微软雅黑" w:hAnsi="微软雅黑" w:cs="宋体"/>
          <w:kern w:val="0"/>
          <w:sz w:val="24"/>
          <w:szCs w:val="24"/>
        </w:rPr>
        <w:t>月时疾病进展率较高（采用 Kaplan-Meier 法评估），其中接受大量</w:t>
      </w:r>
      <w:proofErr w:type="gramStart"/>
      <w:r w:rsidRPr="00393E29">
        <w:rPr>
          <w:rFonts w:ascii="微软雅黑" w:eastAsia="微软雅黑" w:hAnsi="微软雅黑" w:cs="宋体"/>
          <w:kern w:val="0"/>
          <w:sz w:val="24"/>
          <w:szCs w:val="24"/>
        </w:rPr>
        <w:t>氟维司群治疗</w:t>
      </w:r>
      <w:proofErr w:type="gramEnd"/>
      <w:r w:rsidRPr="00393E29">
        <w:rPr>
          <w:rFonts w:ascii="微软雅黑" w:eastAsia="微软雅黑" w:hAnsi="微软雅黑" w:cs="宋体"/>
          <w:kern w:val="0"/>
          <w:sz w:val="24"/>
          <w:szCs w:val="24"/>
        </w:rPr>
        <w:t xml:space="preserve">的患者组在 12 </w:t>
      </w:r>
      <w:proofErr w:type="gramStart"/>
      <w:r w:rsidRPr="00393E29">
        <w:rPr>
          <w:rFonts w:ascii="微软雅黑" w:eastAsia="微软雅黑" w:hAnsi="微软雅黑" w:cs="宋体"/>
          <w:kern w:val="0"/>
          <w:sz w:val="24"/>
          <w:szCs w:val="24"/>
        </w:rPr>
        <w:t>个</w:t>
      </w:r>
      <w:proofErr w:type="gramEnd"/>
      <w:r w:rsidRPr="00393E29">
        <w:rPr>
          <w:rFonts w:ascii="微软雅黑" w:eastAsia="微软雅黑" w:hAnsi="微软雅黑" w:cs="宋体"/>
          <w:kern w:val="0"/>
          <w:sz w:val="24"/>
          <w:szCs w:val="24"/>
        </w:rPr>
        <w:t>月时的疾病进展率更高，这与预期相符（</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补充表 1、2</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）。此外，Rb 和 LMWE 与帕博西尼联合来曲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治疗组和帕博西尼联合</w:t>
      </w:r>
      <w:proofErr w:type="gramStart"/>
      <w:r w:rsidRPr="00393E29">
        <w:rPr>
          <w:rFonts w:ascii="微软雅黑" w:eastAsia="微软雅黑" w:hAnsi="微软雅黑" w:cs="宋体"/>
          <w:kern w:val="0"/>
          <w:sz w:val="24"/>
          <w:szCs w:val="24"/>
        </w:rPr>
        <w:t>氟维司群治疗</w:t>
      </w:r>
      <w:proofErr w:type="gramEnd"/>
      <w:r w:rsidRPr="00393E29">
        <w:rPr>
          <w:rFonts w:ascii="微软雅黑" w:eastAsia="微软雅黑" w:hAnsi="微软雅黑" w:cs="宋体"/>
          <w:kern w:val="0"/>
          <w:sz w:val="24"/>
          <w:szCs w:val="24"/>
        </w:rPr>
        <w:t>组的疾病进展</w:t>
      </w:r>
      <w:proofErr w:type="gramStart"/>
      <w:r w:rsidRPr="00393E29">
        <w:rPr>
          <w:rFonts w:ascii="微软雅黑" w:eastAsia="微软雅黑" w:hAnsi="微软雅黑" w:cs="宋体"/>
          <w:kern w:val="0"/>
          <w:sz w:val="24"/>
          <w:szCs w:val="24"/>
        </w:rPr>
        <w:t>率存在</w:t>
      </w:r>
      <w:proofErr w:type="gramEnd"/>
      <w:r w:rsidRPr="00393E29">
        <w:rPr>
          <w:rFonts w:ascii="微软雅黑" w:eastAsia="微软雅黑" w:hAnsi="微软雅黑" w:cs="宋体"/>
          <w:kern w:val="0"/>
          <w:sz w:val="24"/>
          <w:szCs w:val="24"/>
        </w:rPr>
        <w:t>显著相关性，无论是单独分析（Rb：</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 0.02，LMWE ：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 0.01和 Rb ：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 0.03， LMWE：</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 0.009）还是联合分析（</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 0.006 和</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 0.009）（</w:t>
      </w:r>
      <w:hyperlink r:id="rId67" w:anchor="S1" w:history="1">
        <w:r w:rsidRPr="00393E29">
          <w:rPr>
            <w:rFonts w:ascii="微软雅黑" w:eastAsia="微软雅黑" w:hAnsi="微软雅黑" w:cs="宋体"/>
            <w:kern w:val="0"/>
            <w:sz w:val="24"/>
            <w:szCs w:val="24"/>
            <w:u w:val="single"/>
          </w:rPr>
          <w:t>补充表 1、2</w:t>
        </w:r>
      </w:hyperlink>
      <w:r w:rsidRPr="00393E29">
        <w:rPr>
          <w:rFonts w:ascii="微软雅黑" w:eastAsia="微软雅黑" w:hAnsi="微软雅黑" w:cs="宋体"/>
          <w:kern w:val="0"/>
          <w:sz w:val="24"/>
          <w:szCs w:val="24"/>
        </w:rPr>
        <w:t>）。单变量Cox比例风险模型显示，Rb和LMWE（作为单一变量和联合变量）是与帕博西尼联合来曲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和帕博西尼联合</w:t>
      </w:r>
      <w:proofErr w:type="gramStart"/>
      <w:r w:rsidRPr="00393E29">
        <w:rPr>
          <w:rFonts w:ascii="微软雅黑" w:eastAsia="微软雅黑" w:hAnsi="微软雅黑" w:cs="宋体"/>
          <w:kern w:val="0"/>
          <w:sz w:val="24"/>
          <w:szCs w:val="24"/>
        </w:rPr>
        <w:t>氟维司群治疗</w:t>
      </w:r>
      <w:proofErr w:type="gramEnd"/>
      <w:r w:rsidRPr="00393E29">
        <w:rPr>
          <w:rFonts w:ascii="微软雅黑" w:eastAsia="微软雅黑" w:hAnsi="微软雅黑" w:cs="宋体"/>
          <w:kern w:val="0"/>
          <w:sz w:val="24"/>
          <w:szCs w:val="24"/>
        </w:rPr>
        <w:t>的无进展生存期显著相关的唯一因素，其风险比分别为0.2和0.09（Rb）、3.2和5.2（LMWE）以及9.2和23.8（</w:t>
      </w:r>
      <w:proofErr w:type="spellStart"/>
      <w:r w:rsidRPr="00393E29">
        <w:rPr>
          <w:rFonts w:ascii="微软雅黑" w:eastAsia="微软雅黑" w:hAnsi="微软雅黑" w:cs="宋体"/>
          <w:kern w:val="0"/>
          <w:sz w:val="24"/>
          <w:szCs w:val="24"/>
        </w:rPr>
        <w:t>Rb+LMWE</w:t>
      </w:r>
      <w:proofErr w:type="spellEnd"/>
      <w:r w:rsidRPr="00393E29">
        <w:rPr>
          <w:rFonts w:ascii="微软雅黑" w:eastAsia="微软雅黑" w:hAnsi="微软雅黑" w:cs="宋体"/>
          <w:kern w:val="0"/>
          <w:sz w:val="24"/>
          <w:szCs w:val="24"/>
        </w:rPr>
        <w:t>）（</w:t>
      </w:r>
      <w:hyperlink r:id="rId68" w:anchor="S1" w:history="1">
        <w:r w:rsidRPr="00393E29">
          <w:rPr>
            <w:rFonts w:ascii="微软雅黑" w:eastAsia="微软雅黑" w:hAnsi="微软雅黑" w:cs="宋体"/>
            <w:kern w:val="0"/>
            <w:sz w:val="24"/>
            <w:szCs w:val="24"/>
            <w:u w:val="single"/>
          </w:rPr>
          <w:t>见补充表3</w:t>
        </w:r>
      </w:hyperlink>
      <w:r w:rsidRPr="00393E29">
        <w:rPr>
          <w:rFonts w:ascii="微软雅黑" w:eastAsia="微软雅黑" w:hAnsi="微软雅黑" w:cs="宋体"/>
          <w:kern w:val="0"/>
          <w:sz w:val="24"/>
          <w:szCs w:val="24"/>
        </w:rPr>
        <w:t>）。此外，Rb+/LMWE</w:t>
      </w:r>
      <w:r w:rsidRPr="00393E29">
        <w:rPr>
          <w:rFonts w:ascii="微软雅黑" w:eastAsia="微软雅黑" w:hAnsi="微软雅黑" w:cs="微软雅黑" w:hint="eastAsia"/>
          <w:kern w:val="0"/>
          <w:sz w:val="24"/>
          <w:szCs w:val="24"/>
        </w:rPr>
        <w:t>−</w:t>
      </w:r>
      <w:r w:rsidRPr="00393E29">
        <w:rPr>
          <w:rFonts w:ascii="微软雅黑" w:eastAsia="微软雅黑" w:hAnsi="微软雅黑" w:cs="宋体"/>
          <w:kern w:val="0"/>
          <w:sz w:val="24"/>
          <w:szCs w:val="24"/>
        </w:rPr>
        <w:t>患者中，84.2%的患者在接受帕博西尼联合来曲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治疗后病情稳定，接受帕博西尼联合</w:t>
      </w:r>
      <w:proofErr w:type="gramStart"/>
      <w:r w:rsidRPr="00393E29">
        <w:rPr>
          <w:rFonts w:ascii="微软雅黑" w:eastAsia="微软雅黑" w:hAnsi="微软雅黑" w:cs="宋体"/>
          <w:kern w:val="0"/>
          <w:sz w:val="24"/>
          <w:szCs w:val="24"/>
        </w:rPr>
        <w:t>氟维司群治疗</w:t>
      </w:r>
      <w:proofErr w:type="gramEnd"/>
      <w:r w:rsidRPr="00393E29">
        <w:rPr>
          <w:rFonts w:ascii="微软雅黑" w:eastAsia="微软雅黑" w:hAnsi="微软雅黑" w:cs="宋体"/>
          <w:kern w:val="0"/>
          <w:sz w:val="24"/>
          <w:szCs w:val="24"/>
        </w:rPr>
        <w:t>后病情稳定的比例为82.4%，而其他患者组的相应比例分别为61.4%和58.3%（</w:t>
      </w:r>
      <w:hyperlink r:id="rId69" w:anchor="f6" w:history="1">
        <w:r w:rsidRPr="00393E29">
          <w:rPr>
            <w:rFonts w:ascii="微软雅黑" w:eastAsia="微软雅黑" w:hAnsi="微软雅黑" w:cs="宋体"/>
            <w:kern w:val="0"/>
            <w:sz w:val="24"/>
            <w:szCs w:val="24"/>
            <w:u w:val="single"/>
          </w:rPr>
          <w:t>见图6c</w:t>
        </w:r>
      </w:hyperlink>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补充图20c</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）。根据来曲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w:t>
      </w:r>
      <w:r w:rsidRPr="00393E29">
        <w:rPr>
          <w:rFonts w:ascii="微软雅黑" w:eastAsia="微软雅黑" w:hAnsi="微软雅黑" w:cs="宋体"/>
          <w:i/>
          <w:iCs/>
          <w:kern w:val="0"/>
          <w:sz w:val="24"/>
          <w:szCs w:val="24"/>
        </w:rPr>
        <w:t>n</w:t>
      </w:r>
      <w:r w:rsidRPr="00393E29">
        <w:rPr>
          <w:rFonts w:ascii="微软雅黑" w:eastAsia="微软雅黑" w:hAnsi="微软雅黑" w:cs="宋体"/>
          <w:kern w:val="0"/>
          <w:sz w:val="24"/>
          <w:szCs w:val="24"/>
        </w:rPr>
        <w:t> =78）或</w:t>
      </w:r>
      <w:proofErr w:type="gramStart"/>
      <w:r w:rsidRPr="00393E29">
        <w:rPr>
          <w:rFonts w:ascii="微软雅黑" w:eastAsia="微软雅黑" w:hAnsi="微软雅黑" w:cs="宋体"/>
          <w:kern w:val="0"/>
          <w:sz w:val="24"/>
          <w:szCs w:val="24"/>
        </w:rPr>
        <w:t>氟维司群</w:t>
      </w:r>
      <w:proofErr w:type="gramEnd"/>
      <w:r w:rsidRPr="00393E29">
        <w:rPr>
          <w:rFonts w:ascii="微软雅黑" w:eastAsia="微软雅黑" w:hAnsi="微软雅黑" w:cs="宋体"/>
          <w:kern w:val="0"/>
          <w:sz w:val="24"/>
          <w:szCs w:val="24"/>
        </w:rPr>
        <w:t>（</w:t>
      </w:r>
      <w:r w:rsidRPr="00393E29">
        <w:rPr>
          <w:rFonts w:ascii="微软雅黑" w:eastAsia="微软雅黑" w:hAnsi="微软雅黑" w:cs="宋体"/>
          <w:i/>
          <w:iCs/>
          <w:kern w:val="0"/>
          <w:sz w:val="24"/>
          <w:szCs w:val="24"/>
        </w:rPr>
        <w:t>n</w:t>
      </w:r>
      <w:r w:rsidRPr="00393E29">
        <w:rPr>
          <w:rFonts w:ascii="微软雅黑" w:eastAsia="微软雅黑" w:hAnsi="微软雅黑" w:cs="宋体"/>
          <w:kern w:val="0"/>
          <w:sz w:val="24"/>
          <w:szCs w:val="24"/>
        </w:rPr>
        <w:t> =31）治疗以及Rb/LMWE表达情况，对109例患者队列进行Kaplan-Meier无进展生存期（PFS）曲线分析显示，Rb+且LMWE-肿瘤患者的PFS最长（总体中位PFS&gt;36.5个月，来曲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治疗组为10.7个月），而Rb+/LMWE+患者的PFS最短（中位PFS=4.2个月，来曲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治疗组为3.5个月，</w:t>
      </w:r>
      <w:proofErr w:type="gramStart"/>
      <w:r w:rsidRPr="00393E29">
        <w:rPr>
          <w:rFonts w:ascii="微软雅黑" w:eastAsia="微软雅黑" w:hAnsi="微软雅黑" w:cs="宋体"/>
          <w:kern w:val="0"/>
          <w:sz w:val="24"/>
          <w:szCs w:val="24"/>
        </w:rPr>
        <w:t>氟维司群治疗</w:t>
      </w:r>
      <w:proofErr w:type="gramEnd"/>
      <w:r w:rsidRPr="00393E29">
        <w:rPr>
          <w:rFonts w:ascii="微软雅黑" w:eastAsia="微软雅黑" w:hAnsi="微软雅黑" w:cs="宋体"/>
          <w:kern w:val="0"/>
          <w:sz w:val="24"/>
          <w:szCs w:val="24"/>
        </w:rPr>
        <w:t>组为4.2个月）（</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"f6"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图6d,e）。</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与不包含Rb和细胞周期蛋白E的模型相比，当将Rb和LMWE作为单个或组合变量纳入多变量模型时，一致性指数（C指数）也显著提高（</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"f6"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图6g</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补充表4</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）。综上所述，这些结果表明LMWE和Rb是晚期ER+乳腺癌患者可靠的预后生物标志物。</w:t>
      </w:r>
    </w:p>
    <w:p w14:paraId="1A64F5B7" w14:textId="77777777" w:rsidR="00393E29" w:rsidRPr="00393E29" w:rsidRDefault="00393E29" w:rsidP="00393E29">
      <w:pPr>
        <w:widowControl/>
        <w:pBdr>
          <w:bottom w:val="single" w:sz="6" w:space="0" w:color="97B1C8"/>
        </w:pBdr>
        <w:spacing w:line="450" w:lineRule="atLeast"/>
        <w:outlineLvl w:val="1"/>
        <w:rPr>
          <w:rFonts w:ascii="微软雅黑" w:eastAsia="微软雅黑" w:hAnsi="微软雅黑" w:cs="宋体"/>
          <w:kern w:val="0"/>
          <w:sz w:val="34"/>
          <w:szCs w:val="34"/>
        </w:rPr>
      </w:pPr>
      <w:r w:rsidRPr="00393E29">
        <w:rPr>
          <w:rFonts w:ascii="微软雅黑" w:eastAsia="微软雅黑" w:hAnsi="微软雅黑" w:cs="宋体"/>
          <w:kern w:val="0"/>
          <w:sz w:val="34"/>
          <w:szCs w:val="34"/>
        </w:rPr>
        <w:t>讨论</w:t>
      </w:r>
    </w:p>
    <w:p w14:paraId="2E331C50"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lastRenderedPageBreak/>
        <w:t>我们在此报告，癌细胞在帕博西尼的作用下激活自噬，并且阻断自噬显著提高了</w:t>
      </w:r>
      <w:r w:rsidRPr="00393E29">
        <w:rPr>
          <w:rFonts w:ascii="微软雅黑" w:eastAsia="微软雅黑" w:hAnsi="微软雅黑" w:cs="宋体"/>
          <w:i/>
          <w:iCs/>
          <w:kern w:val="0"/>
          <w:sz w:val="24"/>
          <w:szCs w:val="24"/>
        </w:rPr>
        <w:t>体外</w:t>
      </w:r>
      <w:r w:rsidRPr="00393E29">
        <w:rPr>
          <w:rFonts w:ascii="微软雅黑" w:eastAsia="微软雅黑" w:hAnsi="微软雅黑" w:cs="宋体"/>
          <w:kern w:val="0"/>
          <w:sz w:val="24"/>
          <w:szCs w:val="24"/>
        </w:rPr>
        <w:t>和</w:t>
      </w:r>
      <w:r w:rsidRPr="00393E29">
        <w:rPr>
          <w:rFonts w:ascii="微软雅黑" w:eastAsia="微软雅黑" w:hAnsi="微软雅黑" w:cs="宋体"/>
          <w:i/>
          <w:iCs/>
          <w:kern w:val="0"/>
          <w:sz w:val="24"/>
          <w:szCs w:val="24"/>
        </w:rPr>
        <w:t>体内</w:t>
      </w:r>
      <w:r w:rsidRPr="00393E29">
        <w:rPr>
          <w:rFonts w:ascii="微软雅黑" w:eastAsia="微软雅黑" w:hAnsi="微软雅黑" w:cs="宋体"/>
          <w:kern w:val="0"/>
          <w:sz w:val="24"/>
          <w:szCs w:val="24"/>
        </w:rPr>
        <w:t>CDK4/6 抑制剂在具有完整 G1/S 转换的癌症中的疗效（</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补充图 21</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w:t>
      </w:r>
    </w:p>
    <w:p w14:paraId="79D1F0B1"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尽管研究表明自噬在细胞存活和凋亡机制方面都发挥着相反的作用，但近期的大量研究强调了自噬在药物耐药性（尤其是在乳腺癌中）</w:t>
      </w:r>
      <w:proofErr w:type="gramStart"/>
      <w:r w:rsidRPr="00393E29">
        <w:rPr>
          <w:rFonts w:ascii="微软雅黑" w:eastAsia="微软雅黑" w:hAnsi="微软雅黑" w:cs="宋体"/>
          <w:kern w:val="0"/>
          <w:sz w:val="24"/>
          <w:szCs w:val="24"/>
        </w:rPr>
        <w:t>介导方面</w:t>
      </w:r>
      <w:proofErr w:type="gramEnd"/>
      <w:r w:rsidRPr="00393E29">
        <w:rPr>
          <w:rFonts w:ascii="微软雅黑" w:eastAsia="微软雅黑" w:hAnsi="微软雅黑" w:cs="宋体"/>
          <w:kern w:val="0"/>
          <w:sz w:val="24"/>
          <w:szCs w:val="24"/>
        </w:rPr>
        <w:t>的重要性</w:t>
      </w:r>
      <w:r w:rsidRPr="00393E29">
        <w:rPr>
          <w:rFonts w:ascii="微软雅黑" w:eastAsia="微软雅黑" w:hAnsi="微软雅黑" w:cs="宋体"/>
          <w:kern w:val="0"/>
          <w:sz w:val="24"/>
          <w:szCs w:val="24"/>
          <w:u w:val="single"/>
          <w:vertAlign w:val="superscript"/>
        </w:rPr>
        <w:t>&lt;sup&gt; </w:t>
      </w:r>
      <w:hyperlink r:id="rId70" w:anchor="b13" w:history="1">
        <w:r w:rsidRPr="00393E29">
          <w:rPr>
            <w:rFonts w:ascii="微软雅黑" w:eastAsia="微软雅黑" w:hAnsi="微软雅黑" w:cs="宋体"/>
            <w:kern w:val="0"/>
            <w:sz w:val="24"/>
            <w:szCs w:val="24"/>
            <w:u w:val="single"/>
            <w:vertAlign w:val="superscript"/>
          </w:rPr>
          <w:t>13</w:t>
        </w:r>
      </w:hyperlink>
      <w:r w:rsidRPr="00393E29">
        <w:rPr>
          <w:rFonts w:ascii="微软雅黑" w:eastAsia="微软雅黑" w:hAnsi="微软雅黑" w:cs="宋体"/>
          <w:kern w:val="0"/>
          <w:sz w:val="24"/>
          <w:szCs w:val="24"/>
          <w:u w:val="single"/>
          <w:vertAlign w:val="superscript"/>
        </w:rPr>
        <w:t> , </w:t>
      </w:r>
      <w:hyperlink r:id="rId71" w:anchor="b45" w:history="1">
        <w:r w:rsidRPr="00393E29">
          <w:rPr>
            <w:rFonts w:ascii="微软雅黑" w:eastAsia="微软雅黑" w:hAnsi="微软雅黑" w:cs="宋体"/>
            <w:kern w:val="0"/>
            <w:sz w:val="24"/>
            <w:szCs w:val="24"/>
            <w:u w:val="single"/>
            <w:vertAlign w:val="superscript"/>
          </w:rPr>
          <w:t>45</w:t>
        </w:r>
      </w:hyperlink>
      <w:r w:rsidRPr="00393E29">
        <w:rPr>
          <w:rFonts w:ascii="微软雅黑" w:eastAsia="微软雅黑" w:hAnsi="微软雅黑" w:cs="宋体"/>
          <w:kern w:val="0"/>
          <w:sz w:val="24"/>
          <w:szCs w:val="24"/>
          <w:u w:val="single"/>
          <w:vertAlign w:val="superscript"/>
        </w:rPr>
        <w:t> , </w:t>
      </w:r>
      <w:hyperlink r:id="rId72" w:anchor="b46" w:history="1">
        <w:r w:rsidRPr="00393E29">
          <w:rPr>
            <w:rFonts w:ascii="微软雅黑" w:eastAsia="微软雅黑" w:hAnsi="微软雅黑" w:cs="宋体"/>
            <w:kern w:val="0"/>
            <w:sz w:val="24"/>
            <w:szCs w:val="24"/>
            <w:u w:val="single"/>
            <w:vertAlign w:val="superscript"/>
          </w:rPr>
          <w:t>46&lt;/sup&gt;</w:t>
        </w:r>
      </w:hyperlink>
      <w:r w:rsidRPr="00393E29">
        <w:rPr>
          <w:rFonts w:ascii="微软雅黑" w:eastAsia="微软雅黑" w:hAnsi="微软雅黑" w:cs="宋体"/>
          <w:kern w:val="0"/>
          <w:sz w:val="24"/>
          <w:szCs w:val="24"/>
        </w:rPr>
        <w:t>。这些研究表明，LC3B等自噬蛋白的</w:t>
      </w:r>
      <w:proofErr w:type="gramStart"/>
      <w:r w:rsidRPr="00393E29">
        <w:rPr>
          <w:rFonts w:ascii="微软雅黑" w:eastAsia="微软雅黑" w:hAnsi="微软雅黑" w:cs="宋体"/>
          <w:kern w:val="0"/>
          <w:sz w:val="24"/>
          <w:szCs w:val="24"/>
        </w:rPr>
        <w:t>高表达</w:t>
      </w:r>
      <w:proofErr w:type="gramEnd"/>
      <w:r w:rsidRPr="00393E29">
        <w:rPr>
          <w:rFonts w:ascii="微软雅黑" w:eastAsia="微软雅黑" w:hAnsi="微软雅黑" w:cs="宋体"/>
          <w:kern w:val="0"/>
          <w:sz w:val="24"/>
          <w:szCs w:val="24"/>
        </w:rPr>
        <w:t>与肿瘤侵袭性或化疗后残留病灶相关，从而为使用自噬抑制剂对抗化疗耐药性提供了强有力的理论依据。此外，一项近期研究表明，细胞周期蛋白D1可以上调自噬，而自噬下调则会导致细胞衰老增加</w:t>
      </w:r>
      <w:r w:rsidRPr="00393E29">
        <w:rPr>
          <w:rFonts w:ascii="微软雅黑" w:eastAsia="微软雅黑" w:hAnsi="微软雅黑" w:cs="宋体"/>
          <w:kern w:val="0"/>
          <w:sz w:val="24"/>
          <w:szCs w:val="24"/>
          <w:u w:val="single"/>
          <w:vertAlign w:val="superscript"/>
        </w:rPr>
        <w:t>&lt;sup&gt; </w:t>
      </w:r>
      <w:hyperlink r:id="rId73" w:anchor="b47" w:history="1">
        <w:r w:rsidRPr="00393E29">
          <w:rPr>
            <w:rFonts w:ascii="微软雅黑" w:eastAsia="微软雅黑" w:hAnsi="微软雅黑" w:cs="宋体"/>
            <w:kern w:val="0"/>
            <w:sz w:val="24"/>
            <w:szCs w:val="24"/>
            <w:u w:val="single"/>
            <w:vertAlign w:val="superscript"/>
          </w:rPr>
          <w:t>47&lt;/sup&gt;</w:t>
        </w:r>
      </w:hyperlink>
      <w:r w:rsidRPr="00393E29">
        <w:rPr>
          <w:rFonts w:ascii="微软雅黑" w:eastAsia="微软雅黑" w:hAnsi="微软雅黑" w:cs="宋体"/>
          <w:kern w:val="0"/>
          <w:sz w:val="24"/>
          <w:szCs w:val="24"/>
        </w:rPr>
        <w:t>。因此，我们的研究结果证实了这些发现，并提供了强有力的</w:t>
      </w:r>
      <w:r w:rsidRPr="00393E29">
        <w:rPr>
          <w:rFonts w:ascii="微软雅黑" w:eastAsia="微软雅黑" w:hAnsi="微软雅黑" w:cs="宋体"/>
          <w:i/>
          <w:iCs/>
          <w:kern w:val="0"/>
          <w:sz w:val="24"/>
          <w:szCs w:val="24"/>
        </w:rPr>
        <w:t>体外</w:t>
      </w:r>
      <w:r w:rsidRPr="00393E29">
        <w:rPr>
          <w:rFonts w:ascii="微软雅黑" w:eastAsia="微软雅黑" w:hAnsi="微软雅黑" w:cs="宋体"/>
          <w:kern w:val="0"/>
          <w:sz w:val="24"/>
          <w:szCs w:val="24"/>
        </w:rPr>
        <w:t>和</w:t>
      </w:r>
      <w:r w:rsidRPr="00393E29">
        <w:rPr>
          <w:rFonts w:ascii="微软雅黑" w:eastAsia="微软雅黑" w:hAnsi="微软雅黑" w:cs="宋体"/>
          <w:i/>
          <w:iCs/>
          <w:kern w:val="0"/>
          <w:sz w:val="24"/>
          <w:szCs w:val="24"/>
        </w:rPr>
        <w:t>体内</w:t>
      </w:r>
      <w:r w:rsidRPr="00393E29">
        <w:rPr>
          <w:rFonts w:ascii="微软雅黑" w:eastAsia="微软雅黑" w:hAnsi="微软雅黑" w:cs="宋体"/>
          <w:kern w:val="0"/>
          <w:sz w:val="24"/>
          <w:szCs w:val="24"/>
        </w:rPr>
        <w:t>证据，表明自噬抑制剂可用于对抗针对细胞周期的靶向疗法（例如CDK4/6抑制剂）的耐药性。</w:t>
      </w:r>
    </w:p>
    <w:p w14:paraId="060BA905"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尽管我们的结果表明 CDK4/6 抑制可诱导 ROS 的产生，但其分子机制仍不清楚。已有研究表明，细胞周期蛋白 D1 能以 CDK 依赖的方式结合并磷酸化 Nrf1（一种线粒体生物合成和 ROS 的调节因子）</w:t>
      </w:r>
      <w:r w:rsidRPr="00393E29">
        <w:rPr>
          <w:rFonts w:ascii="微软雅黑" w:eastAsia="微软雅黑" w:hAnsi="微软雅黑" w:cs="宋体"/>
          <w:kern w:val="0"/>
          <w:sz w:val="24"/>
          <w:szCs w:val="24"/>
          <w:u w:val="single"/>
          <w:vertAlign w:val="superscript"/>
        </w:rPr>
        <w:t>&lt;sup&gt; </w:t>
      </w:r>
      <w:hyperlink r:id="rId74" w:anchor="b48" w:history="1">
        <w:r w:rsidRPr="00393E29">
          <w:rPr>
            <w:rFonts w:ascii="微软雅黑" w:eastAsia="微软雅黑" w:hAnsi="微软雅黑" w:cs="宋体"/>
            <w:kern w:val="0"/>
            <w:sz w:val="24"/>
            <w:szCs w:val="24"/>
            <w:u w:val="single"/>
            <w:vertAlign w:val="superscript"/>
          </w:rPr>
          <w:t>48</w:t>
        </w:r>
      </w:hyperlink>
      <w:r w:rsidRPr="00393E29">
        <w:rPr>
          <w:rFonts w:ascii="微软雅黑" w:eastAsia="微软雅黑" w:hAnsi="微软雅黑" w:cs="宋体"/>
          <w:kern w:val="0"/>
          <w:sz w:val="24"/>
          <w:szCs w:val="24"/>
          <w:u w:val="single"/>
          <w:vertAlign w:val="superscript"/>
        </w:rPr>
        <w:t> &lt;/sup&gt;</w:t>
      </w:r>
      <w:r w:rsidRPr="00393E29">
        <w:rPr>
          <w:rFonts w:ascii="微软雅黑" w:eastAsia="微软雅黑" w:hAnsi="微软雅黑" w:cs="宋体"/>
          <w:kern w:val="0"/>
          <w:sz w:val="24"/>
          <w:szCs w:val="24"/>
        </w:rPr>
        <w:t>。因此，帕博西尼抑制 CDK4/6-细胞周期蛋白 D1 可能增加 Nrf1 的水平，从而增加 ROS 的活性。ROS 的水平及其后续的衰老诱导可能通过 c-</w:t>
      </w:r>
      <w:proofErr w:type="spellStart"/>
      <w:r w:rsidRPr="00393E29">
        <w:rPr>
          <w:rFonts w:ascii="微软雅黑" w:eastAsia="微软雅黑" w:hAnsi="微软雅黑" w:cs="宋体"/>
          <w:kern w:val="0"/>
          <w:sz w:val="24"/>
          <w:szCs w:val="24"/>
        </w:rPr>
        <w:t>jun</w:t>
      </w:r>
      <w:proofErr w:type="spellEnd"/>
      <w:r w:rsidRPr="00393E29">
        <w:rPr>
          <w:rFonts w:ascii="微软雅黑" w:eastAsia="微软雅黑" w:hAnsi="微软雅黑" w:cs="宋体"/>
          <w:kern w:val="0"/>
          <w:sz w:val="24"/>
          <w:szCs w:val="24"/>
        </w:rPr>
        <w:t xml:space="preserve"> 调控，而 c-</w:t>
      </w:r>
      <w:proofErr w:type="spellStart"/>
      <w:r w:rsidRPr="00393E29">
        <w:rPr>
          <w:rFonts w:ascii="微软雅黑" w:eastAsia="微软雅黑" w:hAnsi="微软雅黑" w:cs="宋体"/>
          <w:kern w:val="0"/>
          <w:sz w:val="24"/>
          <w:szCs w:val="24"/>
        </w:rPr>
        <w:t>jun</w:t>
      </w:r>
      <w:proofErr w:type="spellEnd"/>
      <w:r w:rsidRPr="00393E29">
        <w:rPr>
          <w:rFonts w:ascii="微软雅黑" w:eastAsia="微软雅黑" w:hAnsi="微软雅黑" w:cs="宋体"/>
          <w:kern w:val="0"/>
          <w:sz w:val="24"/>
          <w:szCs w:val="24"/>
        </w:rPr>
        <w:t xml:space="preserve"> 的调控机制此前已被阐明，涉及 ROS 基因、</w:t>
      </w:r>
      <w:proofErr w:type="spellStart"/>
      <w:r w:rsidRPr="00393E29">
        <w:rPr>
          <w:rFonts w:ascii="微软雅黑" w:eastAsia="微软雅黑" w:hAnsi="微软雅黑" w:cs="宋体"/>
          <w:kern w:val="0"/>
          <w:sz w:val="24"/>
          <w:szCs w:val="24"/>
        </w:rPr>
        <w:t>MnSOD</w:t>
      </w:r>
      <w:proofErr w:type="spellEnd"/>
      <w:r w:rsidRPr="00393E29">
        <w:rPr>
          <w:rFonts w:ascii="微软雅黑" w:eastAsia="微软雅黑" w:hAnsi="微软雅黑" w:cs="宋体"/>
          <w:kern w:val="0"/>
          <w:sz w:val="24"/>
          <w:szCs w:val="24"/>
        </w:rPr>
        <w:t xml:space="preserve"> 和过氧化氢酶</w:t>
      </w:r>
      <w:r w:rsidRPr="00393E29">
        <w:rPr>
          <w:rFonts w:ascii="微软雅黑" w:eastAsia="微软雅黑" w:hAnsi="微软雅黑" w:cs="宋体"/>
          <w:kern w:val="0"/>
          <w:sz w:val="24"/>
          <w:szCs w:val="24"/>
          <w:u w:val="single"/>
          <w:vertAlign w:val="superscript"/>
        </w:rPr>
        <w:t>&lt;sup&gt; </w:t>
      </w:r>
      <w:hyperlink r:id="rId75" w:anchor="b49" w:history="1">
        <w:r w:rsidRPr="00393E29">
          <w:rPr>
            <w:rFonts w:ascii="微软雅黑" w:eastAsia="微软雅黑" w:hAnsi="微软雅黑" w:cs="宋体"/>
            <w:kern w:val="0"/>
            <w:sz w:val="24"/>
            <w:szCs w:val="24"/>
            <w:u w:val="single"/>
            <w:vertAlign w:val="superscript"/>
          </w:rPr>
          <w:t>49</w:t>
        </w:r>
      </w:hyperlink>
      <w:r w:rsidRPr="00393E29">
        <w:rPr>
          <w:rFonts w:ascii="微软雅黑" w:eastAsia="微软雅黑" w:hAnsi="微软雅黑" w:cs="宋体"/>
          <w:kern w:val="0"/>
          <w:sz w:val="24"/>
          <w:szCs w:val="24"/>
          <w:u w:val="single"/>
          <w:vertAlign w:val="superscript"/>
        </w:rPr>
        <w:t> &lt;/sup&gt;</w:t>
      </w:r>
      <w:r w:rsidRPr="00393E29">
        <w:rPr>
          <w:rFonts w:ascii="微软雅黑" w:eastAsia="微软雅黑" w:hAnsi="微软雅黑" w:cs="宋体"/>
          <w:kern w:val="0"/>
          <w:sz w:val="24"/>
          <w:szCs w:val="24"/>
        </w:rPr>
        <w:t xml:space="preserve"> 。此外，ROS 的诱导也可能直接由 Rb 靶基因 FOXM1 和 BIRC5（</w:t>
      </w:r>
      <w:proofErr w:type="spellStart"/>
      <w:r w:rsidRPr="00393E29">
        <w:rPr>
          <w:rFonts w:ascii="微软雅黑" w:eastAsia="微软雅黑" w:hAnsi="微软雅黑" w:cs="宋体"/>
          <w:kern w:val="0"/>
          <w:sz w:val="24"/>
          <w:szCs w:val="24"/>
        </w:rPr>
        <w:t>survivin</w:t>
      </w:r>
      <w:proofErr w:type="spellEnd"/>
      <w:r w:rsidRPr="00393E29">
        <w:rPr>
          <w:rFonts w:ascii="微软雅黑" w:eastAsia="微软雅黑" w:hAnsi="微软雅黑" w:cs="宋体"/>
          <w:kern w:val="0"/>
          <w:sz w:val="24"/>
          <w:szCs w:val="24"/>
        </w:rPr>
        <w:t>）</w:t>
      </w:r>
      <w:proofErr w:type="gramStart"/>
      <w:r w:rsidRPr="00393E29">
        <w:rPr>
          <w:rFonts w:ascii="微软雅黑" w:eastAsia="微软雅黑" w:hAnsi="微软雅黑" w:cs="宋体"/>
          <w:kern w:val="0"/>
          <w:sz w:val="24"/>
          <w:szCs w:val="24"/>
        </w:rPr>
        <w:t>介</w:t>
      </w:r>
      <w:proofErr w:type="gramEnd"/>
      <w:r w:rsidRPr="00393E29">
        <w:rPr>
          <w:rFonts w:ascii="微软雅黑" w:eastAsia="微软雅黑" w:hAnsi="微软雅黑" w:cs="宋体"/>
          <w:kern w:val="0"/>
          <w:sz w:val="24"/>
          <w:szCs w:val="24"/>
        </w:rPr>
        <w:t>导，这两种蛋白在帕博西尼的作用下表达降低，并且已被证明能负调控氧化应激</w:t>
      </w:r>
      <w:r w:rsidRPr="00393E29">
        <w:rPr>
          <w:rFonts w:ascii="微软雅黑" w:eastAsia="微软雅黑" w:hAnsi="微软雅黑" w:cs="宋体"/>
          <w:kern w:val="0"/>
          <w:sz w:val="24"/>
          <w:szCs w:val="24"/>
          <w:u w:val="single"/>
          <w:vertAlign w:val="superscript"/>
        </w:rPr>
        <w:t>&lt;sup&gt; </w:t>
      </w:r>
      <w:hyperlink r:id="rId76" w:anchor="b50" w:history="1">
        <w:r w:rsidRPr="00393E29">
          <w:rPr>
            <w:rFonts w:ascii="微软雅黑" w:eastAsia="微软雅黑" w:hAnsi="微软雅黑" w:cs="宋体"/>
            <w:kern w:val="0"/>
            <w:sz w:val="24"/>
            <w:szCs w:val="24"/>
            <w:u w:val="single"/>
            <w:vertAlign w:val="superscript"/>
          </w:rPr>
          <w:t>50</w:t>
        </w:r>
      </w:hyperlink>
      <w:r w:rsidRPr="00393E29">
        <w:rPr>
          <w:rFonts w:ascii="微软雅黑" w:eastAsia="微软雅黑" w:hAnsi="微软雅黑" w:cs="宋体"/>
          <w:kern w:val="0"/>
          <w:sz w:val="24"/>
          <w:szCs w:val="24"/>
        </w:rPr>
        <w:t> , </w:t>
      </w:r>
      <w:hyperlink r:id="rId77" w:anchor="b51" w:history="1">
        <w:r w:rsidRPr="00393E29">
          <w:rPr>
            <w:rFonts w:ascii="微软雅黑" w:eastAsia="微软雅黑" w:hAnsi="微软雅黑" w:cs="宋体"/>
            <w:kern w:val="0"/>
            <w:sz w:val="24"/>
            <w:szCs w:val="24"/>
            <w:u w:val="single"/>
            <w:vertAlign w:val="superscript"/>
          </w:rPr>
          <w:t>51&lt;/sup&gt;</w:t>
        </w:r>
      </w:hyperlink>
      <w:r w:rsidRPr="00393E29">
        <w:rPr>
          <w:rFonts w:ascii="微软雅黑" w:eastAsia="微软雅黑" w:hAnsi="微软雅黑" w:cs="宋体"/>
          <w:kern w:val="0"/>
          <w:sz w:val="24"/>
          <w:szCs w:val="24"/>
        </w:rPr>
        <w:t>。</w:t>
      </w:r>
    </w:p>
    <w:p w14:paraId="085FDBE4"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lastRenderedPageBreak/>
        <w:t>最近一项研究表明，帕博西尼除了 CDK4 和 CDK6 之外，还具有其他激酶靶点，即 PIK3CD 和 PIK3R4（参考文献</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"b52"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52</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）。PIK3R4 (Vps15) 是一种 III 类磷脂酰肌醇 3-激酶，已被证实是蛋白质自噬清除所必需的。Vps15 缺陷会导致溶酶体功能障碍</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"b53"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&lt;sup&gt;53</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 , </w:t>
      </w:r>
      <w:hyperlink r:id="rId78" w:anchor="b54" w:history="1">
        <w:r w:rsidRPr="00393E29">
          <w:rPr>
            <w:rFonts w:ascii="微软雅黑" w:eastAsia="微软雅黑" w:hAnsi="微软雅黑" w:cs="宋体"/>
            <w:kern w:val="0"/>
            <w:sz w:val="24"/>
            <w:szCs w:val="24"/>
            <w:u w:val="single"/>
            <w:vertAlign w:val="superscript"/>
          </w:rPr>
          <w:t>54&lt;/sup&gt;</w:t>
        </w:r>
      </w:hyperlink>
      <w:r w:rsidRPr="00393E29">
        <w:rPr>
          <w:rFonts w:ascii="微软雅黑" w:eastAsia="微软雅黑" w:hAnsi="微软雅黑" w:cs="宋体"/>
          <w:kern w:val="0"/>
          <w:sz w:val="24"/>
          <w:szCs w:val="24"/>
        </w:rPr>
        <w:t xml:space="preserve">，这与我们研究中观察到的高剂量帕博西尼（5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或 150 mg kg</w:t>
      </w:r>
      <w:r w:rsidRPr="00393E29">
        <w:rPr>
          <w:rFonts w:ascii="微软雅黑" w:eastAsia="微软雅黑" w:hAnsi="微软雅黑" w:cs="宋体"/>
          <w:kern w:val="0"/>
          <w:sz w:val="24"/>
          <w:szCs w:val="24"/>
          <w:u w:val="single"/>
          <w:vertAlign w:val="superscript"/>
        </w:rPr>
        <w:t>&lt;sup&gt; -1&lt;/</w:t>
      </w:r>
      <w:r w:rsidRPr="00393E29">
        <w:rPr>
          <w:rFonts w:ascii="微软雅黑" w:eastAsia="微软雅黑" w:hAnsi="微软雅黑" w:cs="宋体"/>
          <w:kern w:val="0"/>
          <w:sz w:val="24"/>
          <w:szCs w:val="24"/>
          <w:vertAlign w:val="superscript"/>
        </w:rPr>
        <w:t>sup&gt;</w:t>
      </w:r>
      <w:r w:rsidRPr="00393E29">
        <w:rPr>
          <w:rFonts w:ascii="微软雅黑" w:eastAsia="微软雅黑" w:hAnsi="微软雅黑" w:cs="宋体"/>
          <w:kern w:val="0"/>
          <w:sz w:val="24"/>
          <w:szCs w:val="24"/>
        </w:rPr>
        <w:t xml:space="preserve">）处理后的情况类似。因此，帕博西尼很可能在高浓度下抑制这些次要靶点，从而解释了在这些剂量下观察到的自噬通量紊乱以及使用针对 CDK4/6 的 siRNA 时观察到的脱靶效应。该假设也可能解释了为什么使用其他 CDK4/6 抑制剂进行治疗未能引起这种反应，因为这些次要靶点是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w:t>
      </w:r>
      <w:hyperlink r:id="rId79" w:anchor="b52" w:history="1">
        <w:r w:rsidRPr="00393E29">
          <w:rPr>
            <w:rFonts w:ascii="微软雅黑" w:eastAsia="微软雅黑" w:hAnsi="微软雅黑" w:cs="宋体"/>
            <w:kern w:val="0"/>
            <w:sz w:val="24"/>
            <w:szCs w:val="24"/>
            <w:u w:val="single"/>
            <w:vertAlign w:val="superscript"/>
          </w:rPr>
          <w:t>52</w:t>
        </w:r>
      </w:hyperlink>
      <w:r w:rsidRPr="00393E29">
        <w:rPr>
          <w:rFonts w:ascii="微软雅黑" w:eastAsia="微软雅黑" w:hAnsi="微软雅黑" w:cs="宋体"/>
          <w:kern w:val="0"/>
          <w:sz w:val="24"/>
          <w:szCs w:val="24"/>
        </w:rPr>
        <w:t>所特有的。</w:t>
      </w:r>
    </w:p>
    <w:p w14:paraId="608380B5"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寻找可靠的帕博西尼生物标志物一直是一项挑战。虽然之前的</w:t>
      </w:r>
      <w:r w:rsidRPr="00393E29">
        <w:rPr>
          <w:rFonts w:ascii="微软雅黑" w:eastAsia="微软雅黑" w:hAnsi="微软雅黑" w:cs="宋体"/>
          <w:i/>
          <w:iCs/>
          <w:kern w:val="0"/>
          <w:sz w:val="24"/>
          <w:szCs w:val="24"/>
        </w:rPr>
        <w:t>体外</w:t>
      </w:r>
      <w:r w:rsidRPr="00393E29">
        <w:rPr>
          <w:rFonts w:ascii="微软雅黑" w:eastAsia="微软雅黑" w:hAnsi="微软雅黑" w:cs="宋体"/>
          <w:kern w:val="0"/>
          <w:sz w:val="24"/>
          <w:szCs w:val="24"/>
        </w:rPr>
        <w:t>研究表明Rb、细胞周期蛋白D和p16可以预测帕博西尼的疗效&lt;sup&gt; </w:t>
      </w:r>
      <w:hyperlink r:id="rId80" w:anchor="b55" w:history="1">
        <w:r w:rsidRPr="00393E29">
          <w:rPr>
            <w:rFonts w:ascii="微软雅黑" w:eastAsia="微软雅黑" w:hAnsi="微软雅黑" w:cs="宋体"/>
            <w:kern w:val="0"/>
            <w:sz w:val="24"/>
            <w:szCs w:val="24"/>
            <w:u w:val="single"/>
            <w:vertAlign w:val="superscript"/>
          </w:rPr>
          <w:t>55</w:t>
        </w:r>
      </w:hyperlink>
      <w:r w:rsidRPr="00393E29">
        <w:rPr>
          <w:rFonts w:ascii="微软雅黑" w:eastAsia="微软雅黑" w:hAnsi="微软雅黑" w:cs="宋体"/>
          <w:kern w:val="0"/>
          <w:sz w:val="24"/>
          <w:szCs w:val="24"/>
        </w:rPr>
        <w:t> , </w:t>
      </w:r>
      <w:hyperlink r:id="rId81" w:anchor="b56" w:history="1">
        <w:r w:rsidRPr="00393E29">
          <w:rPr>
            <w:rFonts w:ascii="微软雅黑" w:eastAsia="微软雅黑" w:hAnsi="微软雅黑" w:cs="宋体"/>
            <w:kern w:val="0"/>
            <w:sz w:val="24"/>
            <w:szCs w:val="24"/>
            <w:u w:val="single"/>
            <w:vertAlign w:val="superscript"/>
          </w:rPr>
          <w:t>56</w:t>
        </w:r>
      </w:hyperlink>
      <w:r w:rsidRPr="00393E29">
        <w:rPr>
          <w:rFonts w:ascii="微软雅黑" w:eastAsia="微软雅黑" w:hAnsi="微软雅黑" w:cs="宋体"/>
          <w:kern w:val="0"/>
          <w:sz w:val="24"/>
          <w:szCs w:val="24"/>
        </w:rPr>
        <w:t> , </w:t>
      </w:r>
      <w:hyperlink r:id="rId82" w:anchor="b57" w:history="1">
        <w:r w:rsidRPr="00393E29">
          <w:rPr>
            <w:rFonts w:ascii="微软雅黑" w:eastAsia="微软雅黑" w:hAnsi="微软雅黑" w:cs="宋体"/>
            <w:kern w:val="0"/>
            <w:sz w:val="24"/>
            <w:szCs w:val="24"/>
            <w:u w:val="single"/>
            <w:vertAlign w:val="superscript"/>
          </w:rPr>
          <w:t>57&lt;/sup&gt;</w:t>
        </w:r>
      </w:hyperlink>
      <w:r w:rsidRPr="00393E29">
        <w:rPr>
          <w:rFonts w:ascii="微软雅黑" w:eastAsia="微软雅黑" w:hAnsi="微软雅黑" w:cs="宋体"/>
          <w:kern w:val="0"/>
          <w:sz w:val="24"/>
          <w:szCs w:val="24"/>
        </w:rPr>
        <w:t>，但II/III期临床试验结果显示，药物疗效与p16（参考文献</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"b2"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2</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）、Ki67、</w:t>
      </w:r>
      <w:r w:rsidRPr="00393E29">
        <w:rPr>
          <w:rFonts w:ascii="微软雅黑" w:eastAsia="微软雅黑" w:hAnsi="微软雅黑" w:cs="宋体"/>
          <w:i/>
          <w:iCs/>
          <w:kern w:val="0"/>
          <w:sz w:val="24"/>
          <w:szCs w:val="24"/>
        </w:rPr>
        <w:t>CCND1</w:t>
      </w:r>
      <w:r w:rsidRPr="00393E29">
        <w:rPr>
          <w:rFonts w:ascii="微软雅黑" w:eastAsia="微软雅黑" w:hAnsi="微软雅黑" w:cs="宋体"/>
          <w:kern w:val="0"/>
          <w:sz w:val="24"/>
          <w:szCs w:val="24"/>
        </w:rPr>
        <w:t>扩增</w:t>
      </w:r>
      <w:r w:rsidRPr="00393E29">
        <w:rPr>
          <w:rFonts w:ascii="微软雅黑" w:eastAsia="微软雅黑" w:hAnsi="微软雅黑" w:cs="宋体"/>
          <w:kern w:val="0"/>
          <w:sz w:val="24"/>
          <w:szCs w:val="24"/>
          <w:u w:val="single"/>
          <w:vertAlign w:val="superscript"/>
        </w:rPr>
        <w:t>&lt;sup&gt; </w:t>
      </w:r>
      <w:hyperlink r:id="rId83" w:anchor="b58" w:history="1">
        <w:r w:rsidRPr="00393E29">
          <w:rPr>
            <w:rFonts w:ascii="微软雅黑" w:eastAsia="微软雅黑" w:hAnsi="微软雅黑" w:cs="宋体"/>
            <w:kern w:val="0"/>
            <w:sz w:val="24"/>
            <w:szCs w:val="24"/>
            <w:u w:val="single"/>
            <w:vertAlign w:val="superscript"/>
          </w:rPr>
          <w:t>58&lt;/sup&gt;</w:t>
        </w:r>
      </w:hyperlink>
      <w:r w:rsidRPr="00393E29">
        <w:rPr>
          <w:rFonts w:ascii="微软雅黑" w:eastAsia="微软雅黑" w:hAnsi="微软雅黑" w:cs="宋体"/>
          <w:kern w:val="0"/>
          <w:sz w:val="24"/>
          <w:szCs w:val="24"/>
        </w:rPr>
        <w:t>、</w:t>
      </w:r>
      <w:r w:rsidRPr="00393E29">
        <w:rPr>
          <w:rFonts w:ascii="微软雅黑" w:eastAsia="微软雅黑" w:hAnsi="微软雅黑" w:cs="宋体"/>
          <w:i/>
          <w:iCs/>
          <w:kern w:val="0"/>
          <w:sz w:val="24"/>
          <w:szCs w:val="24"/>
        </w:rPr>
        <w:t>PIK3CA</w:t>
      </w:r>
      <w:r w:rsidRPr="00393E29">
        <w:rPr>
          <w:rFonts w:ascii="微软雅黑" w:eastAsia="微软雅黑" w:hAnsi="微软雅黑" w:cs="宋体"/>
          <w:kern w:val="0"/>
          <w:sz w:val="24"/>
          <w:szCs w:val="24"/>
        </w:rPr>
        <w:t>或</w:t>
      </w:r>
      <w:r w:rsidRPr="00393E29">
        <w:rPr>
          <w:rFonts w:ascii="微软雅黑" w:eastAsia="微软雅黑" w:hAnsi="微软雅黑" w:cs="宋体"/>
          <w:i/>
          <w:iCs/>
          <w:kern w:val="0"/>
          <w:sz w:val="24"/>
          <w:szCs w:val="24"/>
        </w:rPr>
        <w:t>ESR1</w:t>
      </w:r>
      <w:r w:rsidRPr="00393E29">
        <w:rPr>
          <w:rFonts w:ascii="微软雅黑" w:eastAsia="微软雅黑" w:hAnsi="微软雅黑" w:cs="宋体"/>
          <w:kern w:val="0"/>
          <w:sz w:val="24"/>
          <w:szCs w:val="24"/>
        </w:rPr>
        <w:t>（参考文献</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"b59"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59</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）突变状态之间没有显著相关性，因此目前尚无已确立的预后或预测性生物标志物</w:t>
      </w:r>
      <w:r w:rsidRPr="00393E29">
        <w:rPr>
          <w:rFonts w:ascii="微软雅黑" w:eastAsia="微软雅黑" w:hAnsi="微软雅黑" w:cs="宋体"/>
          <w:kern w:val="0"/>
          <w:sz w:val="24"/>
          <w:szCs w:val="24"/>
          <w:u w:val="single"/>
          <w:vertAlign w:val="superscript"/>
        </w:rPr>
        <w:t>&lt;sup&gt; </w:t>
      </w:r>
      <w:hyperlink r:id="rId84" w:anchor="b6" w:history="1">
        <w:r w:rsidRPr="00393E29">
          <w:rPr>
            <w:rFonts w:ascii="微软雅黑" w:eastAsia="微软雅黑" w:hAnsi="微软雅黑" w:cs="宋体"/>
            <w:kern w:val="0"/>
            <w:sz w:val="24"/>
            <w:szCs w:val="24"/>
            <w:u w:val="single"/>
            <w:vertAlign w:val="superscript"/>
          </w:rPr>
          <w:t>6</w:t>
        </w:r>
      </w:hyperlink>
      <w:r w:rsidRPr="00393E29">
        <w:rPr>
          <w:rFonts w:ascii="微软雅黑" w:eastAsia="微软雅黑" w:hAnsi="微软雅黑" w:cs="宋体"/>
          <w:kern w:val="0"/>
          <w:sz w:val="24"/>
          <w:szCs w:val="24"/>
          <w:u w:val="single"/>
          <w:vertAlign w:val="superscript"/>
        </w:rPr>
        <w:t> &lt;/sup&gt;</w:t>
      </w:r>
      <w:r w:rsidRPr="00393E29">
        <w:rPr>
          <w:rFonts w:ascii="微软雅黑" w:eastAsia="微软雅黑" w:hAnsi="微软雅黑" w:cs="宋体"/>
          <w:kern w:val="0"/>
          <w:sz w:val="24"/>
          <w:szCs w:val="24"/>
        </w:rPr>
        <w:t>。本文采用双生物标志物策略，结果表明Rb和LMWE蛋白是晚期ER阳性乳腺癌的可靠预后生物标志物。未来在新辅助治疗的早期乳腺癌患者中开展临床试验，分别采用帕博西尼联合来曲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或单用来曲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 xml:space="preserve">治疗，将有助于揭示这些蛋白对帕博西尼治疗的预测价值。因此，我们建议，临床上可以使用简单的 Rb 和 LMWE 免疫组织化学检测来识别可能对 </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 xml:space="preserve"> 及其与自噬抑制剂联合用药有反应的患者。</w:t>
      </w:r>
    </w:p>
    <w:p w14:paraId="2FED9984"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尽管之前的临床前研究表明，少数三阴性乳腺癌（TNBC）细胞系对帕博西尼（</w:t>
      </w:r>
      <w:proofErr w:type="spellStart"/>
      <w:r w:rsidRPr="00393E29">
        <w:rPr>
          <w:rFonts w:ascii="微软雅黑" w:eastAsia="微软雅黑" w:hAnsi="微软雅黑" w:cs="宋体"/>
          <w:kern w:val="0"/>
          <w:sz w:val="24"/>
          <w:szCs w:val="24"/>
        </w:rPr>
        <w:t>palbociclib</w:t>
      </w:r>
      <w:proofErr w:type="spellEnd"/>
      <w:r w:rsidRPr="00393E29">
        <w:rPr>
          <w:rFonts w:ascii="微软雅黑" w:eastAsia="微软雅黑" w:hAnsi="微软雅黑" w:cs="宋体"/>
          <w:kern w:val="0"/>
          <w:sz w:val="24"/>
          <w:szCs w:val="24"/>
        </w:rPr>
        <w:t>）有反应</w:t>
      </w:r>
      <w:r w:rsidRPr="00393E29">
        <w:rPr>
          <w:rFonts w:ascii="微软雅黑" w:eastAsia="微软雅黑" w:hAnsi="微软雅黑" w:cs="宋体"/>
          <w:kern w:val="0"/>
          <w:sz w:val="24"/>
          <w:szCs w:val="24"/>
          <w:u w:val="single"/>
          <w:vertAlign w:val="superscript"/>
        </w:rPr>
        <w:t>&lt;sup&gt; 7,60 </w:t>
      </w:r>
      <w:hyperlink r:id="rId85" w:anchor="b7" w:history="1">
        <w:r w:rsidRPr="00393E29">
          <w:rPr>
            <w:rFonts w:ascii="微软雅黑" w:eastAsia="微软雅黑" w:hAnsi="微软雅黑" w:cs="宋体"/>
            <w:kern w:val="0"/>
            <w:sz w:val="24"/>
            <w:szCs w:val="24"/>
            <w:u w:val="single"/>
            <w:vertAlign w:val="superscript"/>
          </w:rPr>
          <w:t>&lt;/sup&gt; </w:t>
        </w:r>
      </w:hyperlink>
      <w:hyperlink r:id="rId86" w:anchor="b60" w:history="1">
        <w:r w:rsidRPr="00393E29">
          <w:rPr>
            <w:rFonts w:ascii="微软雅黑" w:eastAsia="微软雅黑" w:hAnsi="微软雅黑" w:cs="宋体"/>
            <w:kern w:val="0"/>
            <w:sz w:val="24"/>
            <w:szCs w:val="24"/>
            <w:u w:val="single"/>
            <w:vertAlign w:val="superscript"/>
          </w:rPr>
          <w:t>，</w:t>
        </w:r>
      </w:hyperlink>
      <w:r w:rsidRPr="00393E29">
        <w:rPr>
          <w:rFonts w:ascii="微软雅黑" w:eastAsia="微软雅黑" w:hAnsi="微软雅黑" w:cs="宋体"/>
          <w:kern w:val="0"/>
          <w:sz w:val="24"/>
          <w:szCs w:val="24"/>
        </w:rPr>
        <w:t>但迄今为止，这一发现一直被忽视，这可</w:t>
      </w:r>
      <w:r w:rsidRPr="00393E29">
        <w:rPr>
          <w:rFonts w:ascii="微软雅黑" w:eastAsia="微软雅黑" w:hAnsi="微软雅黑" w:cs="宋体"/>
          <w:kern w:val="0"/>
          <w:sz w:val="24"/>
          <w:szCs w:val="24"/>
        </w:rPr>
        <w:lastRenderedPageBreak/>
        <w:t>能是由于缺乏明确的生物标志物来筛选TNBC患者。本文提供的</w:t>
      </w:r>
      <w:r w:rsidRPr="00393E29">
        <w:rPr>
          <w:rFonts w:ascii="微软雅黑" w:eastAsia="微软雅黑" w:hAnsi="微软雅黑" w:cs="宋体"/>
          <w:i/>
          <w:iCs/>
          <w:kern w:val="0"/>
          <w:sz w:val="24"/>
          <w:szCs w:val="24"/>
        </w:rPr>
        <w:t>体外</w:t>
      </w:r>
      <w:r w:rsidRPr="00393E29">
        <w:rPr>
          <w:rFonts w:ascii="微软雅黑" w:eastAsia="微软雅黑" w:hAnsi="微软雅黑" w:cs="宋体"/>
          <w:kern w:val="0"/>
          <w:sz w:val="24"/>
          <w:szCs w:val="24"/>
        </w:rPr>
        <w:t>和</w:t>
      </w:r>
      <w:r w:rsidRPr="00393E29">
        <w:rPr>
          <w:rFonts w:ascii="微软雅黑" w:eastAsia="微软雅黑" w:hAnsi="微软雅黑" w:cs="宋体"/>
          <w:i/>
          <w:iCs/>
          <w:kern w:val="0"/>
          <w:sz w:val="24"/>
          <w:szCs w:val="24"/>
        </w:rPr>
        <w:t>体内</w:t>
      </w:r>
      <w:r w:rsidRPr="00393E29">
        <w:rPr>
          <w:rFonts w:ascii="微软雅黑" w:eastAsia="微软雅黑" w:hAnsi="微软雅黑" w:cs="宋体"/>
          <w:kern w:val="0"/>
          <w:sz w:val="24"/>
          <w:szCs w:val="24"/>
        </w:rPr>
        <w:t>数据为将CDK4/6抑制剂的治疗范围扩大到TNBC患者提供了理论依据，因为Rb和LMWE可用于识别潜在的最敏感患者。</w:t>
      </w:r>
    </w:p>
    <w:p w14:paraId="492716CC"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我们还建议开展整合生物标志物并利用</w:t>
      </w:r>
      <w:proofErr w:type="gramStart"/>
      <w:r w:rsidRPr="00393E29">
        <w:rPr>
          <w:rFonts w:ascii="微软雅黑" w:eastAsia="微软雅黑" w:hAnsi="微软雅黑" w:cs="宋体"/>
          <w:kern w:val="0"/>
          <w:sz w:val="24"/>
          <w:szCs w:val="24"/>
        </w:rPr>
        <w:t>羟</w:t>
      </w:r>
      <w:proofErr w:type="gramEnd"/>
      <w:r w:rsidRPr="00393E29">
        <w:rPr>
          <w:rFonts w:ascii="微软雅黑" w:eastAsia="微软雅黑" w:hAnsi="微软雅黑" w:cs="宋体"/>
          <w:kern w:val="0"/>
          <w:sz w:val="24"/>
          <w:szCs w:val="24"/>
        </w:rPr>
        <w:t>氯喹（或其他自噬抑制剂，例如Lys05）增强帕博西尼疗效的未来临床试验。鉴于</w:t>
      </w:r>
      <w:proofErr w:type="gramStart"/>
      <w:r w:rsidRPr="00393E29">
        <w:rPr>
          <w:rFonts w:ascii="微软雅黑" w:eastAsia="微软雅黑" w:hAnsi="微软雅黑" w:cs="宋体"/>
          <w:kern w:val="0"/>
          <w:sz w:val="24"/>
          <w:szCs w:val="24"/>
        </w:rPr>
        <w:t>羟</w:t>
      </w:r>
      <w:proofErr w:type="gramEnd"/>
      <w:r w:rsidRPr="00393E29">
        <w:rPr>
          <w:rFonts w:ascii="微软雅黑" w:eastAsia="微软雅黑" w:hAnsi="微软雅黑" w:cs="宋体"/>
          <w:kern w:val="0"/>
          <w:sz w:val="24"/>
          <w:szCs w:val="24"/>
        </w:rPr>
        <w:t>氯喹耐受性良好，且目前正在进行逆转激素和细胞毒性药物耐药性的临床试验&lt;</w:t>
      </w:r>
      <w:r w:rsidRPr="00393E29">
        <w:rPr>
          <w:rFonts w:ascii="微软雅黑" w:eastAsia="微软雅黑" w:hAnsi="微软雅黑" w:cs="宋体"/>
          <w:kern w:val="0"/>
          <w:sz w:val="24"/>
          <w:szCs w:val="24"/>
          <w:u w:val="single"/>
          <w:vertAlign w:val="superscript"/>
        </w:rPr>
        <w:t>sup&gt; </w:t>
      </w:r>
      <w:hyperlink r:id="rId87" w:anchor="b14" w:history="1">
        <w:r w:rsidRPr="00393E29">
          <w:rPr>
            <w:rFonts w:ascii="微软雅黑" w:eastAsia="微软雅黑" w:hAnsi="微软雅黑" w:cs="宋体"/>
            <w:kern w:val="0"/>
            <w:sz w:val="24"/>
            <w:szCs w:val="24"/>
            <w:u w:val="single"/>
            <w:vertAlign w:val="superscript"/>
          </w:rPr>
          <w:t>14</w:t>
        </w:r>
      </w:hyperlink>
      <w:r w:rsidRPr="00393E29">
        <w:rPr>
          <w:rFonts w:ascii="微软雅黑" w:eastAsia="微软雅黑" w:hAnsi="微软雅黑" w:cs="宋体"/>
          <w:kern w:val="0"/>
          <w:sz w:val="24"/>
          <w:szCs w:val="24"/>
        </w:rPr>
        <w:t> , </w:t>
      </w:r>
      <w:hyperlink r:id="rId88" w:anchor="b61" w:history="1">
        <w:r w:rsidRPr="00393E29">
          <w:rPr>
            <w:rFonts w:ascii="微软雅黑" w:eastAsia="微软雅黑" w:hAnsi="微软雅黑" w:cs="宋体"/>
            <w:kern w:val="0"/>
            <w:sz w:val="24"/>
            <w:szCs w:val="24"/>
            <w:u w:val="single"/>
            <w:vertAlign w:val="superscript"/>
          </w:rPr>
          <w:t>61&lt;/sup&gt;</w:t>
        </w:r>
      </w:hyperlink>
      <w:r w:rsidRPr="00393E29">
        <w:rPr>
          <w:rFonts w:ascii="微软雅黑" w:eastAsia="微软雅黑" w:hAnsi="微软雅黑" w:cs="宋体"/>
          <w:kern w:val="0"/>
          <w:sz w:val="24"/>
          <w:szCs w:val="24"/>
        </w:rPr>
        <w:t>，我们首先建议开展一项针对绝经后晚期ER+/HER2</w:t>
      </w:r>
      <w:r w:rsidRPr="00393E29">
        <w:rPr>
          <w:rFonts w:ascii="微软雅黑" w:eastAsia="微软雅黑" w:hAnsi="微软雅黑" w:cs="微软雅黑" w:hint="eastAsia"/>
          <w:kern w:val="0"/>
          <w:sz w:val="24"/>
          <w:szCs w:val="24"/>
        </w:rPr>
        <w:t>−</w:t>
      </w:r>
      <w:r w:rsidRPr="00393E29">
        <w:rPr>
          <w:rFonts w:ascii="微软雅黑" w:eastAsia="微软雅黑" w:hAnsi="微软雅黑" w:cs="宋体"/>
          <w:kern w:val="0"/>
          <w:sz w:val="24"/>
          <w:szCs w:val="24"/>
        </w:rPr>
        <w:t>乳腺癌患者的II期临床试验（新辅助治疗），采用低剂量帕博西尼（75 mg/kg/天）、羟氯喹和来曲</w:t>
      </w:r>
      <w:proofErr w:type="gramStart"/>
      <w:r w:rsidRPr="00393E29">
        <w:rPr>
          <w:rFonts w:ascii="微软雅黑" w:eastAsia="微软雅黑" w:hAnsi="微软雅黑" w:cs="宋体"/>
          <w:kern w:val="0"/>
          <w:sz w:val="24"/>
          <w:szCs w:val="24"/>
        </w:rPr>
        <w:t>唑</w:t>
      </w:r>
      <w:proofErr w:type="gramEnd"/>
      <w:r w:rsidRPr="00393E29">
        <w:rPr>
          <w:rFonts w:ascii="微软雅黑" w:eastAsia="微软雅黑" w:hAnsi="微软雅黑" w:cs="宋体"/>
          <w:kern w:val="0"/>
          <w:sz w:val="24"/>
          <w:szCs w:val="24"/>
        </w:rPr>
        <w:t>联合治疗，</w:t>
      </w:r>
      <w:r w:rsidRPr="00393E29">
        <w:rPr>
          <w:rFonts w:ascii="微软雅黑" w:eastAsia="微软雅黑" w:hAnsi="微软雅黑" w:cs="宋体"/>
          <w:kern w:val="0"/>
          <w:sz w:val="24"/>
          <w:szCs w:val="24"/>
          <w:vertAlign w:val="superscript"/>
        </w:rPr>
        <w:t>并</w:t>
      </w:r>
      <w:r w:rsidRPr="00393E29">
        <w:rPr>
          <w:rFonts w:ascii="微软雅黑" w:eastAsia="微软雅黑" w:hAnsi="微软雅黑" w:cs="宋体"/>
          <w:kern w:val="0"/>
          <w:sz w:val="24"/>
          <w:szCs w:val="24"/>
        </w:rPr>
        <w:t>使用Ki67染色等替代生物标志物进行评估。符合条件的患者将根据基线活检标本中Rb和LMWE的表达水平进行筛选。该临床试验的结果将支持启动三联疗法的最终III期临床试验，甚至有可能将该疗法推广至其他肿瘤。这也将支持帕博西尼联合</w:t>
      </w:r>
      <w:proofErr w:type="gramStart"/>
      <w:r w:rsidRPr="00393E29">
        <w:rPr>
          <w:rFonts w:ascii="微软雅黑" w:eastAsia="微软雅黑" w:hAnsi="微软雅黑" w:cs="宋体"/>
          <w:kern w:val="0"/>
          <w:sz w:val="24"/>
          <w:szCs w:val="24"/>
        </w:rPr>
        <w:t>羟</w:t>
      </w:r>
      <w:proofErr w:type="gramEnd"/>
      <w:r w:rsidRPr="00393E29">
        <w:rPr>
          <w:rFonts w:ascii="微软雅黑" w:eastAsia="微软雅黑" w:hAnsi="微软雅黑" w:cs="宋体"/>
          <w:kern w:val="0"/>
          <w:sz w:val="24"/>
          <w:szCs w:val="24"/>
        </w:rPr>
        <w:t>氯喹用于新辅助治疗RB+/LMWE</w:t>
      </w:r>
      <w:r w:rsidRPr="00393E29">
        <w:rPr>
          <w:rFonts w:ascii="微软雅黑" w:eastAsia="微软雅黑" w:hAnsi="微软雅黑" w:cs="微软雅黑" w:hint="eastAsia"/>
          <w:kern w:val="0"/>
          <w:sz w:val="24"/>
          <w:szCs w:val="24"/>
        </w:rPr>
        <w:t>−</w:t>
      </w:r>
      <w:r w:rsidRPr="00393E29">
        <w:rPr>
          <w:rFonts w:ascii="微软雅黑" w:eastAsia="微软雅黑" w:hAnsi="微软雅黑" w:cs="宋体"/>
          <w:kern w:val="0"/>
          <w:sz w:val="24"/>
          <w:szCs w:val="24"/>
        </w:rPr>
        <w:t xml:space="preserve"> ER+乳腺癌的有效性。我们预测，持续低剂量帕博西尼联合</w:t>
      </w:r>
      <w:proofErr w:type="gramStart"/>
      <w:r w:rsidRPr="00393E29">
        <w:rPr>
          <w:rFonts w:ascii="微软雅黑" w:eastAsia="微软雅黑" w:hAnsi="微软雅黑" w:cs="宋体"/>
          <w:kern w:val="0"/>
          <w:sz w:val="24"/>
          <w:szCs w:val="24"/>
        </w:rPr>
        <w:t>羟</w:t>
      </w:r>
      <w:proofErr w:type="gramEnd"/>
      <w:r w:rsidRPr="00393E29">
        <w:rPr>
          <w:rFonts w:ascii="微软雅黑" w:eastAsia="微软雅黑" w:hAnsi="微软雅黑" w:cs="宋体"/>
          <w:kern w:val="0"/>
          <w:sz w:val="24"/>
          <w:szCs w:val="24"/>
        </w:rPr>
        <w:t>氯喹的方案将比标准剂量帕博西尼（用药21天，停药7天）更有益，从而最大限度地减少帕博西尼引起的毒性，避免停用帕博西尼时出现的增殖爆发</w:t>
      </w:r>
      <w:r w:rsidRPr="00393E29">
        <w:rPr>
          <w:rFonts w:ascii="微软雅黑" w:eastAsia="微软雅黑" w:hAnsi="微软雅黑" w:cs="宋体"/>
          <w:kern w:val="0"/>
          <w:sz w:val="24"/>
          <w:szCs w:val="24"/>
          <w:u w:val="single"/>
          <w:vertAlign w:val="superscript"/>
        </w:rPr>
        <w:t>&lt;sup&gt;</w:t>
      </w:r>
      <w:r w:rsidRPr="00393E29">
        <w:rPr>
          <w:rFonts w:ascii="微软雅黑" w:eastAsia="微软雅黑" w:hAnsi="微软雅黑" w:cs="宋体"/>
          <w:kern w:val="0"/>
          <w:sz w:val="24"/>
          <w:szCs w:val="24"/>
        </w:rPr>
        <w:t> </w:t>
      </w:r>
      <w:hyperlink r:id="rId89" w:anchor="b62" w:history="1">
        <w:r w:rsidRPr="00393E29">
          <w:rPr>
            <w:rFonts w:ascii="微软雅黑" w:eastAsia="微软雅黑" w:hAnsi="微软雅黑" w:cs="宋体"/>
            <w:kern w:val="0"/>
            <w:sz w:val="24"/>
            <w:szCs w:val="24"/>
            <w:u w:val="single"/>
            <w:vertAlign w:val="superscript"/>
          </w:rPr>
          <w:t>62&lt;/sup&gt;</w:t>
        </w:r>
      </w:hyperlink>
      <w:r w:rsidRPr="00393E29">
        <w:rPr>
          <w:rFonts w:ascii="微软雅黑" w:eastAsia="微软雅黑" w:hAnsi="微软雅黑" w:cs="宋体"/>
          <w:kern w:val="0"/>
          <w:sz w:val="24"/>
          <w:szCs w:val="24"/>
        </w:rPr>
        <w:t>，并延长患者的总生存期——这是目前已获批准的帕博西尼联合治疗方案尚未实现的目标。</w:t>
      </w:r>
    </w:p>
    <w:p w14:paraId="7BA272A3"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总之，本研究探讨了 CDK4/6 抑制剂治疗的当前局限性，并提出了一项以生物标志物为导向的临床试验，以评估自噬抑制剂在临床上提高 CDK4/6 抑制剂选择性和疗效的能力。</w:t>
      </w:r>
    </w:p>
    <w:p w14:paraId="2214D1F3" w14:textId="77777777" w:rsidR="00393E29" w:rsidRPr="00393E29" w:rsidRDefault="00393E29" w:rsidP="00393E29">
      <w:pPr>
        <w:widowControl/>
        <w:pBdr>
          <w:bottom w:val="single" w:sz="6" w:space="0" w:color="97B1C8"/>
        </w:pBdr>
        <w:spacing w:line="450" w:lineRule="atLeast"/>
        <w:outlineLvl w:val="1"/>
        <w:rPr>
          <w:rFonts w:ascii="微软雅黑" w:eastAsia="微软雅黑" w:hAnsi="微软雅黑" w:cs="宋体"/>
          <w:kern w:val="0"/>
          <w:sz w:val="34"/>
          <w:szCs w:val="34"/>
        </w:rPr>
      </w:pPr>
      <w:r w:rsidRPr="00393E29">
        <w:rPr>
          <w:rFonts w:ascii="微软雅黑" w:eastAsia="微软雅黑" w:hAnsi="微软雅黑" w:cs="宋体"/>
          <w:kern w:val="0"/>
          <w:sz w:val="34"/>
          <w:szCs w:val="34"/>
        </w:rPr>
        <w:t>方法</w:t>
      </w:r>
    </w:p>
    <w:p w14:paraId="13C71F23"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lastRenderedPageBreak/>
        <w:t>细胞系</w:t>
      </w:r>
    </w:p>
    <w:p w14:paraId="59023C9B"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本研究中使用的所有</w:t>
      </w:r>
      <w:proofErr w:type="gramStart"/>
      <w:r w:rsidRPr="00393E29">
        <w:rPr>
          <w:rFonts w:ascii="微软雅黑" w:eastAsia="微软雅黑" w:hAnsi="微软雅黑" w:cs="宋体"/>
          <w:kern w:val="0"/>
          <w:sz w:val="24"/>
          <w:szCs w:val="24"/>
        </w:rPr>
        <w:t>细胞系均购自</w:t>
      </w:r>
      <w:proofErr w:type="gramEnd"/>
      <w:r w:rsidRPr="00393E29">
        <w:rPr>
          <w:rFonts w:ascii="微软雅黑" w:eastAsia="微软雅黑" w:hAnsi="微软雅黑" w:cs="宋体"/>
          <w:kern w:val="0"/>
          <w:sz w:val="24"/>
          <w:szCs w:val="24"/>
        </w:rPr>
        <w:t>ATCC。MCF7、T47D、ZR75-1、MCF7-T、MDA-MB-231、HCC38、HCC1806、MDA-MB-157、HeyA8、59M和FUOV1细胞培养于添加10%胎牛血清（FBS）、10 mM HEPES、非必需氨基酸、2 mM </w:t>
      </w:r>
      <w:r w:rsidRPr="00393E29">
        <w:rPr>
          <w:rFonts w:ascii="微软雅黑" w:eastAsia="微软雅黑" w:hAnsi="微软雅黑" w:cs="宋体"/>
          <w:smallCaps/>
          <w:kern w:val="0"/>
          <w:sz w:val="24"/>
          <w:szCs w:val="24"/>
        </w:rPr>
        <w:t>L-</w:t>
      </w:r>
      <w:r w:rsidRPr="00393E29">
        <w:rPr>
          <w:rFonts w:ascii="微软雅黑" w:eastAsia="微软雅黑" w:hAnsi="微软雅黑" w:cs="宋体"/>
          <w:kern w:val="0"/>
          <w:sz w:val="24"/>
          <w:szCs w:val="24"/>
        </w:rPr>
        <w:t>谷氨酰胺、丙酮酸钠和氢化可的松的Eagle α改良型最低必需培养基（α MEM）中。293T和MDA-MB-468细胞培养于添加10% FBS的Dulbecco改良型Eagle培养基（DMEM）中。SUM-159和BT-549细胞培养于α MEM和营养型F-12 Ham培养基（1:1混合）中，并添加10% FBS和5%胰岛素。 Calu-1、H358、A549、PC3 和 Du145 细胞培养于添加 10% FBS 的 RPMI-1640 培养基中。胰腺癌细胞系（Panc-1 和 BxPC-3）由 Anirban Maitra 博士（MD 安德森癌症中心）实验室惠赠，分别培养于添加 10% FBS 的 DMEM 和 RPMI 1640 培养基中。结肠癌细胞系（Colo-205、SW-620 和 HCT-116）由 Jae-II Park 博士（MD 安德森癌症中心）实验室惠赠，培养于添加 10% FBS 的 DMEM 培养基中。</w:t>
      </w:r>
    </w:p>
    <w:p w14:paraId="45DBFDAB"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 xml:space="preserve">表达芳香化酶的MCF7细胞培养于添加了10%无四环素胎牛血清（FBS）、4 </w:t>
      </w:r>
      <w:proofErr w:type="spellStart"/>
      <w:r w:rsidRPr="00393E29">
        <w:rPr>
          <w:rFonts w:ascii="微软雅黑" w:eastAsia="微软雅黑" w:hAnsi="微软雅黑" w:cs="宋体"/>
          <w:kern w:val="0"/>
          <w:sz w:val="24"/>
          <w:szCs w:val="24"/>
        </w:rPr>
        <w:t>μg</w:t>
      </w:r>
      <w:proofErr w:type="spellEnd"/>
      <w:r w:rsidRPr="00393E29">
        <w:rPr>
          <w:rFonts w:ascii="微软雅黑" w:eastAsia="微软雅黑" w:hAnsi="微软雅黑" w:cs="宋体"/>
          <w:kern w:val="0"/>
          <w:sz w:val="24"/>
          <w:szCs w:val="24"/>
        </w:rPr>
        <w:t>/ml</w:t>
      </w:r>
      <w:proofErr w:type="gramStart"/>
      <w:r w:rsidRPr="00393E29">
        <w:rPr>
          <w:rFonts w:ascii="微软雅黑" w:eastAsia="微软雅黑" w:hAnsi="微软雅黑" w:cs="宋体"/>
          <w:kern w:val="0"/>
          <w:sz w:val="24"/>
          <w:szCs w:val="24"/>
        </w:rPr>
        <w:t>杀稻瘟菌</w:t>
      </w:r>
      <w:proofErr w:type="gramEnd"/>
      <w:r w:rsidRPr="00393E29">
        <w:rPr>
          <w:rFonts w:ascii="微软雅黑" w:eastAsia="微软雅黑" w:hAnsi="微软雅黑" w:cs="宋体"/>
          <w:kern w:val="0"/>
          <w:sz w:val="24"/>
          <w:szCs w:val="24"/>
        </w:rPr>
        <w:t xml:space="preserve">素、1 </w:t>
      </w:r>
      <w:proofErr w:type="spellStart"/>
      <w:r w:rsidRPr="00393E29">
        <w:rPr>
          <w:rFonts w:ascii="微软雅黑" w:eastAsia="微软雅黑" w:hAnsi="微软雅黑" w:cs="宋体"/>
          <w:kern w:val="0"/>
          <w:sz w:val="24"/>
          <w:szCs w:val="24"/>
        </w:rPr>
        <w:t>μg</w:t>
      </w:r>
      <w:proofErr w:type="spellEnd"/>
      <w:r w:rsidRPr="00393E29">
        <w:rPr>
          <w:rFonts w:ascii="微软雅黑" w:eastAsia="微软雅黑" w:hAnsi="微软雅黑" w:cs="宋体"/>
          <w:kern w:val="0"/>
          <w:sz w:val="24"/>
          <w:szCs w:val="24"/>
        </w:rPr>
        <w:t>/ml嘌呤霉素（</w:t>
      </w:r>
      <w:proofErr w:type="spellStart"/>
      <w:r w:rsidRPr="00393E29">
        <w:rPr>
          <w:rFonts w:ascii="微软雅黑" w:eastAsia="微软雅黑" w:hAnsi="微软雅黑" w:cs="宋体"/>
          <w:kern w:val="0"/>
          <w:sz w:val="24"/>
          <w:szCs w:val="24"/>
        </w:rPr>
        <w:t>InvivoGen</w:t>
      </w:r>
      <w:proofErr w:type="spellEnd"/>
      <w:r w:rsidRPr="00393E29">
        <w:rPr>
          <w:rFonts w:ascii="微软雅黑" w:eastAsia="微软雅黑" w:hAnsi="微软雅黑" w:cs="宋体"/>
          <w:kern w:val="0"/>
          <w:sz w:val="24"/>
          <w:szCs w:val="24"/>
        </w:rPr>
        <w:t xml:space="preserve">，圣地亚哥，加利福尼亚州）和400 </w:t>
      </w:r>
      <w:proofErr w:type="spellStart"/>
      <w:r w:rsidRPr="00393E29">
        <w:rPr>
          <w:rFonts w:ascii="微软雅黑" w:eastAsia="微软雅黑" w:hAnsi="微软雅黑" w:cs="宋体"/>
          <w:kern w:val="0"/>
          <w:sz w:val="24"/>
          <w:szCs w:val="24"/>
        </w:rPr>
        <w:t>μg</w:t>
      </w:r>
      <w:proofErr w:type="spellEnd"/>
      <w:r w:rsidRPr="00393E29">
        <w:rPr>
          <w:rFonts w:ascii="微软雅黑" w:eastAsia="微软雅黑" w:hAnsi="微软雅黑" w:cs="宋体"/>
          <w:kern w:val="0"/>
          <w:sz w:val="24"/>
          <w:szCs w:val="24"/>
        </w:rPr>
        <w:t xml:space="preserve">/ml G418的DMEM培养基中。实验开始前，使用添加了10%经活性炭-葡聚糖处理的无四环素胎牛血清的无酚红IMEM培养基，对细胞进行4天的雌激素剥夺处理。实验期间，在25 </w:t>
      </w:r>
      <w:proofErr w:type="spellStart"/>
      <w:r w:rsidRPr="00393E29">
        <w:rPr>
          <w:rFonts w:ascii="微软雅黑" w:eastAsia="微软雅黑" w:hAnsi="微软雅黑" w:cs="宋体"/>
          <w:kern w:val="0"/>
          <w:sz w:val="24"/>
          <w:szCs w:val="24"/>
        </w:rPr>
        <w:t>nM</w:t>
      </w:r>
      <w:proofErr w:type="spellEnd"/>
      <w:r w:rsidRPr="00393E29">
        <w:rPr>
          <w:rFonts w:ascii="微软雅黑" w:eastAsia="微软雅黑" w:hAnsi="微软雅黑" w:cs="宋体"/>
          <w:kern w:val="0"/>
          <w:sz w:val="24"/>
          <w:szCs w:val="24"/>
        </w:rPr>
        <w:t xml:space="preserve"> 4-雄烯-3,17-二</w:t>
      </w:r>
      <w:proofErr w:type="gramStart"/>
      <w:r w:rsidRPr="00393E29">
        <w:rPr>
          <w:rFonts w:ascii="微软雅黑" w:eastAsia="微软雅黑" w:hAnsi="微软雅黑" w:cs="宋体"/>
          <w:kern w:val="0"/>
          <w:sz w:val="24"/>
          <w:szCs w:val="24"/>
        </w:rPr>
        <w:t>酮存在</w:t>
      </w:r>
      <w:proofErr w:type="gramEnd"/>
      <w:r w:rsidRPr="00393E29">
        <w:rPr>
          <w:rFonts w:ascii="微软雅黑" w:eastAsia="微软雅黑" w:hAnsi="微软雅黑" w:cs="宋体"/>
          <w:kern w:val="0"/>
          <w:sz w:val="24"/>
          <w:szCs w:val="24"/>
        </w:rPr>
        <w:t xml:space="preserve">下，维持细胞的雌激素剥夺状态。为了诱导空载体和LMWE的表达，在实验开始前24小时，用5 ng/ml强力霉素（Sigma）处理细胞。抗芳香化酶细胞系培养于添加了 10% </w:t>
      </w:r>
      <w:r w:rsidRPr="00393E29">
        <w:rPr>
          <w:rFonts w:ascii="微软雅黑" w:eastAsia="微软雅黑" w:hAnsi="微软雅黑" w:cs="宋体"/>
          <w:kern w:val="0"/>
          <w:sz w:val="24"/>
          <w:szCs w:val="24"/>
        </w:rPr>
        <w:lastRenderedPageBreak/>
        <w:t xml:space="preserve">活性炭葡聚糖处理的胎牛血清 (FBS) + 25 </w:t>
      </w:r>
      <w:proofErr w:type="spellStart"/>
      <w:r w:rsidRPr="00393E29">
        <w:rPr>
          <w:rFonts w:ascii="微软雅黑" w:eastAsia="微软雅黑" w:hAnsi="微软雅黑" w:cs="宋体"/>
          <w:kern w:val="0"/>
          <w:sz w:val="24"/>
          <w:szCs w:val="24"/>
        </w:rPr>
        <w:t>nM</w:t>
      </w:r>
      <w:proofErr w:type="spellEnd"/>
      <w:r w:rsidRPr="00393E29">
        <w:rPr>
          <w:rFonts w:ascii="微软雅黑" w:eastAsia="微软雅黑" w:hAnsi="微软雅黑" w:cs="宋体"/>
          <w:kern w:val="0"/>
          <w:sz w:val="24"/>
          <w:szCs w:val="24"/>
        </w:rPr>
        <w:t xml:space="preserve"> 4-雄烯-3,17-二酮 + 400 </w:t>
      </w:r>
      <w:proofErr w:type="spellStart"/>
      <w:r w:rsidRPr="00393E29">
        <w:rPr>
          <w:rFonts w:ascii="微软雅黑" w:eastAsia="微软雅黑" w:hAnsi="微软雅黑" w:cs="宋体"/>
          <w:kern w:val="0"/>
          <w:sz w:val="24"/>
          <w:szCs w:val="24"/>
        </w:rPr>
        <w:t>μg</w:t>
      </w:r>
      <w:proofErr w:type="spellEnd"/>
      <w:r w:rsidRPr="00393E29">
        <w:rPr>
          <w:rFonts w:ascii="微软雅黑" w:eastAsia="微软雅黑" w:hAnsi="微软雅黑" w:cs="宋体"/>
          <w:kern w:val="0"/>
          <w:sz w:val="24"/>
          <w:szCs w:val="24"/>
        </w:rPr>
        <w:t xml:space="preserve"> ml </w:t>
      </w:r>
      <w:r w:rsidRPr="00393E29">
        <w:rPr>
          <w:rFonts w:ascii="微软雅黑" w:eastAsia="微软雅黑" w:hAnsi="微软雅黑" w:cs="微软雅黑" w:hint="eastAsia"/>
          <w:kern w:val="0"/>
          <w:sz w:val="24"/>
          <w:szCs w:val="24"/>
          <w:vertAlign w:val="superscript"/>
        </w:rPr>
        <w:t>−</w:t>
      </w:r>
      <w:r w:rsidRPr="00393E29">
        <w:rPr>
          <w:rFonts w:ascii="微软雅黑" w:eastAsia="微软雅黑" w:hAnsi="微软雅黑" w:cs="宋体"/>
          <w:kern w:val="0"/>
          <w:sz w:val="24"/>
          <w:szCs w:val="24"/>
          <w:vertAlign w:val="superscript"/>
        </w:rPr>
        <w:t>1</w:t>
      </w:r>
      <w:r w:rsidRPr="00393E29">
        <w:rPr>
          <w:rFonts w:ascii="微软雅黑" w:eastAsia="微软雅黑" w:hAnsi="微软雅黑" w:cs="宋体"/>
          <w:kern w:val="0"/>
          <w:sz w:val="24"/>
          <w:szCs w:val="24"/>
        </w:rPr>
        <w:t> G418 的酚红 DMEM 培养基中。所有细胞系均</w:t>
      </w:r>
      <w:proofErr w:type="gramStart"/>
      <w:r w:rsidRPr="00393E29">
        <w:rPr>
          <w:rFonts w:ascii="微软雅黑" w:eastAsia="微软雅黑" w:hAnsi="微软雅黑" w:cs="宋体"/>
          <w:kern w:val="0"/>
          <w:sz w:val="24"/>
          <w:szCs w:val="24"/>
        </w:rPr>
        <w:t>保持无支原体</w:t>
      </w:r>
      <w:proofErr w:type="gramEnd"/>
      <w:r w:rsidRPr="00393E29">
        <w:rPr>
          <w:rFonts w:ascii="微软雅黑" w:eastAsia="微软雅黑" w:hAnsi="微软雅黑" w:cs="宋体"/>
          <w:kern w:val="0"/>
          <w:sz w:val="24"/>
          <w:szCs w:val="24"/>
        </w:rPr>
        <w:t>污染，并定期在 MD 安德森癌症中心的细胞系鉴定核心设施进行核型分析和短串联重复序列分析以进行鉴定。</w:t>
      </w:r>
    </w:p>
    <w:p w14:paraId="239F7086"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抗体和药物</w:t>
      </w:r>
    </w:p>
    <w:p w14:paraId="36AC91A2"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抗 p-Rb (Ser807/811 - #9308，1:1,000)、FOXM1 (#3948，1:1,000)、总 Rb (4H1 - #9309，1:1,000)、PARP (#9542，1:1,000)、caspase-7 (#9492，1:1,000)、LC3B (#2775，1:1,000)、p62/SQSTM1 (#5114，1:1,000)、Beclin-1 (#3738，1:1,000)、Atg-5 (#2630，1:1,000) 和 p53 (#9282，1:1,000) 的</w:t>
      </w:r>
      <w:proofErr w:type="gramStart"/>
      <w:r w:rsidRPr="00393E29">
        <w:rPr>
          <w:rFonts w:ascii="微软雅黑" w:eastAsia="微软雅黑" w:hAnsi="微软雅黑" w:cs="宋体"/>
          <w:kern w:val="0"/>
          <w:sz w:val="24"/>
          <w:szCs w:val="24"/>
        </w:rPr>
        <w:t>抗体均购自</w:t>
      </w:r>
      <w:proofErr w:type="gramEnd"/>
      <w:r w:rsidRPr="00393E29">
        <w:rPr>
          <w:rFonts w:ascii="微软雅黑" w:eastAsia="微软雅黑" w:hAnsi="微软雅黑" w:cs="宋体"/>
          <w:kern w:val="0"/>
          <w:sz w:val="24"/>
          <w:szCs w:val="24"/>
        </w:rPr>
        <w:t xml:space="preserve"> Cell Signaling Technology (Danvers, MA)。抗 CDK4 (C-22—sc260, 1:1,000)、CDK6 (C-21—sc177, 1:1,000)、细胞周期蛋白 E (HE-12—sc247, 1:200) 和 Mdm2 (sc812, 1:1,000) 的抗体购自 Santa Cruz Biotechnology (Dallas, TX)；抗肌动蛋白 (C-4—MAB1501, 1:5,000) 和黏着斑蛋白 (V9131, 1:10,000) 的抗体分别购自 Millipore 和 Sigma-Aldrich (St Louis, MO)。</w:t>
      </w:r>
    </w:p>
    <w:p w14:paraId="155BBC3C"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帕博西尼（Palbociclib）购自辉瑞公司（Pfizer, Inc.，圣地亚哥，加利福尼亚州）。</w:t>
      </w:r>
      <w:r w:rsidRPr="00393E29">
        <w:rPr>
          <w:rFonts w:ascii="微软雅黑" w:eastAsia="微软雅黑" w:hAnsi="微软雅黑" w:cs="宋体"/>
          <w:i/>
          <w:iCs/>
          <w:kern w:val="0"/>
          <w:sz w:val="24"/>
          <w:szCs w:val="24"/>
        </w:rPr>
        <w:t>体外实验中，帕博西尼用二甲基亚砜（DMSO）稀释；体内</w:t>
      </w:r>
      <w:r w:rsidRPr="00393E29">
        <w:rPr>
          <w:rFonts w:ascii="微软雅黑" w:eastAsia="微软雅黑" w:hAnsi="微软雅黑" w:cs="宋体"/>
          <w:kern w:val="0"/>
          <w:sz w:val="24"/>
          <w:szCs w:val="24"/>
        </w:rPr>
        <w:t>实验中，帕博西尼用0.5%甲基纤维素（Sigma-Aldrich，圣路易斯，密苏里州）稀释，并通过灌胃法给药于小鼠。硫酸</w:t>
      </w:r>
      <w:proofErr w:type="gramStart"/>
      <w:r w:rsidRPr="00393E29">
        <w:rPr>
          <w:rFonts w:ascii="微软雅黑" w:eastAsia="微软雅黑" w:hAnsi="微软雅黑" w:cs="宋体"/>
          <w:kern w:val="0"/>
          <w:sz w:val="24"/>
          <w:szCs w:val="24"/>
        </w:rPr>
        <w:t>羟</w:t>
      </w:r>
      <w:proofErr w:type="gramEnd"/>
      <w:r w:rsidRPr="00393E29">
        <w:rPr>
          <w:rFonts w:ascii="微软雅黑" w:eastAsia="微软雅黑" w:hAnsi="微软雅黑" w:cs="宋体"/>
          <w:kern w:val="0"/>
          <w:sz w:val="24"/>
          <w:szCs w:val="24"/>
        </w:rPr>
        <w:t>氯喹（HCQ sulfate）购自Sigma-Aldrich和</w:t>
      </w:r>
      <w:proofErr w:type="spellStart"/>
      <w:r w:rsidRPr="00393E29">
        <w:rPr>
          <w:rFonts w:ascii="微软雅黑" w:eastAsia="微软雅黑" w:hAnsi="微软雅黑" w:cs="宋体"/>
          <w:kern w:val="0"/>
          <w:sz w:val="24"/>
          <w:szCs w:val="24"/>
        </w:rPr>
        <w:t>Selleckem</w:t>
      </w:r>
      <w:proofErr w:type="spellEnd"/>
      <w:r w:rsidRPr="00393E29">
        <w:rPr>
          <w:rFonts w:ascii="微软雅黑" w:eastAsia="微软雅黑" w:hAnsi="微软雅黑" w:cs="宋体"/>
          <w:kern w:val="0"/>
          <w:sz w:val="24"/>
          <w:szCs w:val="24"/>
        </w:rPr>
        <w:t xml:space="preserve">公司。Lys-05由Ravi </w:t>
      </w:r>
      <w:proofErr w:type="spellStart"/>
      <w:r w:rsidRPr="00393E29">
        <w:rPr>
          <w:rFonts w:ascii="微软雅黑" w:eastAsia="微软雅黑" w:hAnsi="微软雅黑" w:cs="宋体"/>
          <w:kern w:val="0"/>
          <w:sz w:val="24"/>
          <w:szCs w:val="24"/>
        </w:rPr>
        <w:t>Amaravadi</w:t>
      </w:r>
      <w:proofErr w:type="spellEnd"/>
      <w:r w:rsidRPr="00393E29">
        <w:rPr>
          <w:rFonts w:ascii="微软雅黑" w:eastAsia="微软雅黑" w:hAnsi="微软雅黑" w:cs="宋体"/>
          <w:kern w:val="0"/>
          <w:sz w:val="24"/>
          <w:szCs w:val="24"/>
        </w:rPr>
        <w:t>博士（宾夕法尼亚大学）提供。</w:t>
      </w:r>
      <w:r w:rsidRPr="00393E29">
        <w:rPr>
          <w:rFonts w:ascii="微软雅黑" w:eastAsia="微软雅黑" w:hAnsi="微软雅黑" w:cs="宋体"/>
          <w:i/>
          <w:iCs/>
          <w:kern w:val="0"/>
          <w:sz w:val="24"/>
          <w:szCs w:val="24"/>
        </w:rPr>
        <w:t>体外实验中，HCQ和Lys-05用无菌水稀释；体内</w:t>
      </w:r>
      <w:r w:rsidRPr="00393E29">
        <w:rPr>
          <w:rFonts w:ascii="微软雅黑" w:eastAsia="微软雅黑" w:hAnsi="微软雅黑" w:cs="宋体"/>
          <w:kern w:val="0"/>
          <w:sz w:val="24"/>
          <w:szCs w:val="24"/>
        </w:rPr>
        <w:t>实验中，HCQ和Lys-05用无菌磷酸盐缓冲液（PBS）稀释，并通过腹腔注射法给药于小鼠。N-乙酰-L-半胱氨酸（NAC）、</w:t>
      </w:r>
      <w:r w:rsidRPr="00393E29">
        <w:rPr>
          <w:rFonts w:ascii="微软雅黑" w:eastAsia="微软雅黑" w:hAnsi="微软雅黑" w:cs="宋体"/>
          <w:kern w:val="0"/>
          <w:sz w:val="24"/>
          <w:szCs w:val="24"/>
        </w:rPr>
        <w:lastRenderedPageBreak/>
        <w:t>Trolox [(±)-6-羟基-2,5,7,8-四甲基色满-2-羧酸]、巴</w:t>
      </w:r>
      <w:proofErr w:type="gramStart"/>
      <w:r w:rsidRPr="00393E29">
        <w:rPr>
          <w:rFonts w:ascii="微软雅黑" w:eastAsia="微软雅黑" w:hAnsi="微软雅黑" w:cs="宋体"/>
          <w:kern w:val="0"/>
          <w:sz w:val="24"/>
          <w:szCs w:val="24"/>
        </w:rPr>
        <w:t>弗洛</w:t>
      </w:r>
      <w:proofErr w:type="gramEnd"/>
      <w:r w:rsidRPr="00393E29">
        <w:rPr>
          <w:rFonts w:ascii="微软雅黑" w:eastAsia="微软雅黑" w:hAnsi="微软雅黑" w:cs="宋体"/>
          <w:kern w:val="0"/>
          <w:sz w:val="24"/>
          <w:szCs w:val="24"/>
        </w:rPr>
        <w:t>霉素A1、Spautin-1和氯喹二</w:t>
      </w:r>
      <w:proofErr w:type="gramStart"/>
      <w:r w:rsidRPr="00393E29">
        <w:rPr>
          <w:rFonts w:ascii="微软雅黑" w:eastAsia="微软雅黑" w:hAnsi="微软雅黑" w:cs="宋体"/>
          <w:kern w:val="0"/>
          <w:sz w:val="24"/>
          <w:szCs w:val="24"/>
        </w:rPr>
        <w:t>磷酸盐均购自</w:t>
      </w:r>
      <w:proofErr w:type="gramEnd"/>
      <w:r w:rsidRPr="00393E29">
        <w:rPr>
          <w:rFonts w:ascii="微软雅黑" w:eastAsia="微软雅黑" w:hAnsi="微软雅黑" w:cs="宋体"/>
          <w:kern w:val="0"/>
          <w:sz w:val="24"/>
          <w:szCs w:val="24"/>
        </w:rPr>
        <w:t xml:space="preserve">Sigma-Aldrich公司。利博西尼购自 </w:t>
      </w:r>
      <w:proofErr w:type="spellStart"/>
      <w:r w:rsidRPr="00393E29">
        <w:rPr>
          <w:rFonts w:ascii="微软雅黑" w:eastAsia="微软雅黑" w:hAnsi="微软雅黑" w:cs="宋体"/>
          <w:kern w:val="0"/>
          <w:sz w:val="24"/>
          <w:szCs w:val="24"/>
        </w:rPr>
        <w:t>Selleckem</w:t>
      </w:r>
      <w:proofErr w:type="spellEnd"/>
      <w:r w:rsidRPr="00393E29">
        <w:rPr>
          <w:rFonts w:ascii="微软雅黑" w:eastAsia="微软雅黑" w:hAnsi="微软雅黑" w:cs="宋体"/>
          <w:kern w:val="0"/>
          <w:sz w:val="24"/>
          <w:szCs w:val="24"/>
        </w:rPr>
        <w:t xml:space="preserve"> 公司，阿贝西利购自 </w:t>
      </w:r>
      <w:proofErr w:type="spellStart"/>
      <w:r w:rsidRPr="00393E29">
        <w:rPr>
          <w:rFonts w:ascii="微软雅黑" w:eastAsia="微软雅黑" w:hAnsi="微软雅黑" w:cs="宋体"/>
          <w:kern w:val="0"/>
          <w:sz w:val="24"/>
          <w:szCs w:val="24"/>
        </w:rPr>
        <w:t>MedChem</w:t>
      </w:r>
      <w:proofErr w:type="spellEnd"/>
      <w:r w:rsidRPr="00393E29">
        <w:rPr>
          <w:rFonts w:ascii="微软雅黑" w:eastAsia="微软雅黑" w:hAnsi="微软雅黑" w:cs="宋体"/>
          <w:kern w:val="0"/>
          <w:sz w:val="24"/>
          <w:szCs w:val="24"/>
        </w:rPr>
        <w:t xml:space="preserve"> Express 公司；NAC 和 CQ 用无菌水稀释。Trolox、巴</w:t>
      </w:r>
      <w:proofErr w:type="gramStart"/>
      <w:r w:rsidRPr="00393E29">
        <w:rPr>
          <w:rFonts w:ascii="微软雅黑" w:eastAsia="微软雅黑" w:hAnsi="微软雅黑" w:cs="宋体"/>
          <w:kern w:val="0"/>
          <w:sz w:val="24"/>
          <w:szCs w:val="24"/>
        </w:rPr>
        <w:t>弗洛</w:t>
      </w:r>
      <w:proofErr w:type="gramEnd"/>
      <w:r w:rsidRPr="00393E29">
        <w:rPr>
          <w:rFonts w:ascii="微软雅黑" w:eastAsia="微软雅黑" w:hAnsi="微软雅黑" w:cs="宋体"/>
          <w:kern w:val="0"/>
          <w:sz w:val="24"/>
          <w:szCs w:val="24"/>
        </w:rPr>
        <w:t>霉素 A1、spatin-1、利博西尼和阿贝西利用 DMSO 稀释。</w:t>
      </w:r>
    </w:p>
    <w:p w14:paraId="7B510F1A"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siRNA敲低</w:t>
      </w:r>
    </w:p>
    <w:p w14:paraId="6FBD5952"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 xml:space="preserve">CDK4 和 CDK6 的 siRNA </w:t>
      </w:r>
      <w:proofErr w:type="gramStart"/>
      <w:r w:rsidRPr="00393E29">
        <w:rPr>
          <w:rFonts w:ascii="微软雅黑" w:eastAsia="微软雅黑" w:hAnsi="微软雅黑" w:cs="宋体"/>
          <w:kern w:val="0"/>
          <w:sz w:val="24"/>
          <w:szCs w:val="24"/>
        </w:rPr>
        <w:t>敲低方法</w:t>
      </w:r>
      <w:proofErr w:type="gramEnd"/>
      <w:r w:rsidRPr="00393E29">
        <w:rPr>
          <w:rFonts w:ascii="微软雅黑" w:eastAsia="微软雅黑" w:hAnsi="微软雅黑" w:cs="宋体"/>
          <w:kern w:val="0"/>
          <w:sz w:val="24"/>
          <w:szCs w:val="24"/>
        </w:rPr>
        <w:t>如前所述</w:t>
      </w:r>
      <w:r w:rsidRPr="00393E29">
        <w:rPr>
          <w:rFonts w:ascii="微软雅黑" w:eastAsia="微软雅黑" w:hAnsi="微软雅黑" w:cs="宋体"/>
          <w:kern w:val="0"/>
          <w:sz w:val="24"/>
          <w:szCs w:val="24"/>
          <w:u w:val="single"/>
          <w:vertAlign w:val="superscript"/>
        </w:rPr>
        <w:t>&lt;sup&gt; </w:t>
      </w:r>
      <w:hyperlink r:id="rId90" w:anchor="b63" w:history="1">
        <w:r w:rsidRPr="00393E29">
          <w:rPr>
            <w:rFonts w:ascii="微软雅黑" w:eastAsia="微软雅黑" w:hAnsi="微软雅黑" w:cs="宋体"/>
            <w:kern w:val="0"/>
            <w:sz w:val="24"/>
            <w:szCs w:val="24"/>
            <w:u w:val="single"/>
            <w:vertAlign w:val="superscript"/>
          </w:rPr>
          <w:t>63&lt;/sup&gt;</w:t>
        </w:r>
      </w:hyperlink>
      <w:r w:rsidRPr="00393E29">
        <w:rPr>
          <w:rFonts w:ascii="微软雅黑" w:eastAsia="微软雅黑" w:hAnsi="微软雅黑" w:cs="宋体"/>
          <w:kern w:val="0"/>
          <w:sz w:val="24"/>
          <w:szCs w:val="24"/>
        </w:rPr>
        <w:t>。CDK4 (L-003238-00-0005) 和 CDK6 (L-003240-00-0005) 的 ON-</w:t>
      </w:r>
      <w:proofErr w:type="spellStart"/>
      <w:r w:rsidRPr="00393E29">
        <w:rPr>
          <w:rFonts w:ascii="微软雅黑" w:eastAsia="微软雅黑" w:hAnsi="微软雅黑" w:cs="宋体"/>
          <w:kern w:val="0"/>
          <w:sz w:val="24"/>
          <w:szCs w:val="24"/>
        </w:rPr>
        <w:t>TARGETplus</w:t>
      </w:r>
      <w:proofErr w:type="spellEnd"/>
      <w:r w:rsidRPr="00393E29">
        <w:rPr>
          <w:rFonts w:ascii="微软雅黑" w:eastAsia="微软雅黑" w:hAnsi="微软雅黑" w:cs="宋体"/>
          <w:kern w:val="0"/>
          <w:sz w:val="24"/>
          <w:szCs w:val="24"/>
        </w:rPr>
        <w:t xml:space="preserve"> </w:t>
      </w:r>
      <w:proofErr w:type="spellStart"/>
      <w:r w:rsidRPr="00393E29">
        <w:rPr>
          <w:rFonts w:ascii="微软雅黑" w:eastAsia="微软雅黑" w:hAnsi="微软雅黑" w:cs="宋体"/>
          <w:kern w:val="0"/>
          <w:sz w:val="24"/>
          <w:szCs w:val="24"/>
        </w:rPr>
        <w:t>SMARTpool</w:t>
      </w:r>
      <w:proofErr w:type="spellEnd"/>
      <w:r w:rsidRPr="00393E29">
        <w:rPr>
          <w:rFonts w:ascii="微软雅黑" w:eastAsia="微软雅黑" w:hAnsi="微软雅黑" w:cs="宋体"/>
          <w:kern w:val="0"/>
          <w:sz w:val="24"/>
          <w:szCs w:val="24"/>
        </w:rPr>
        <w:t xml:space="preserve"> siRNA 购自 </w:t>
      </w:r>
      <w:proofErr w:type="spellStart"/>
      <w:r w:rsidRPr="00393E29">
        <w:rPr>
          <w:rFonts w:ascii="微软雅黑" w:eastAsia="微软雅黑" w:hAnsi="微软雅黑" w:cs="宋体"/>
          <w:kern w:val="0"/>
          <w:sz w:val="24"/>
          <w:szCs w:val="24"/>
        </w:rPr>
        <w:t>Dharmacon</w:t>
      </w:r>
      <w:proofErr w:type="spellEnd"/>
      <w:r w:rsidRPr="00393E29">
        <w:rPr>
          <w:rFonts w:ascii="微软雅黑" w:eastAsia="微软雅黑" w:hAnsi="微软雅黑" w:cs="宋体"/>
          <w:kern w:val="0"/>
          <w:sz w:val="24"/>
          <w:szCs w:val="24"/>
        </w:rPr>
        <w:t xml:space="preserve"> 公司。简而言之，将细胞接种于 6 孔或 12 孔板中，并使用 </w:t>
      </w:r>
      <w:proofErr w:type="spellStart"/>
      <w:r w:rsidRPr="00393E29">
        <w:rPr>
          <w:rFonts w:ascii="微软雅黑" w:eastAsia="微软雅黑" w:hAnsi="微软雅黑" w:cs="宋体"/>
          <w:kern w:val="0"/>
          <w:sz w:val="24"/>
          <w:szCs w:val="24"/>
        </w:rPr>
        <w:t>JetPRIME</w:t>
      </w:r>
      <w:proofErr w:type="spellEnd"/>
      <w:r w:rsidRPr="00393E29">
        <w:rPr>
          <w:rFonts w:ascii="微软雅黑" w:eastAsia="微软雅黑" w:hAnsi="微软雅黑" w:cs="宋体"/>
          <w:kern w:val="0"/>
          <w:sz w:val="24"/>
          <w:szCs w:val="24"/>
        </w:rPr>
        <w:t xml:space="preserve"> 转染试剂（</w:t>
      </w:r>
      <w:proofErr w:type="spellStart"/>
      <w:r w:rsidRPr="00393E29">
        <w:rPr>
          <w:rFonts w:ascii="微软雅黑" w:eastAsia="微软雅黑" w:hAnsi="微软雅黑" w:cs="宋体"/>
          <w:kern w:val="0"/>
          <w:sz w:val="24"/>
          <w:szCs w:val="24"/>
        </w:rPr>
        <w:t>Polyplus</w:t>
      </w:r>
      <w:proofErr w:type="spellEnd"/>
      <w:r w:rsidRPr="00393E29">
        <w:rPr>
          <w:rFonts w:ascii="微软雅黑" w:eastAsia="微软雅黑" w:hAnsi="微软雅黑" w:cs="宋体"/>
          <w:kern w:val="0"/>
          <w:sz w:val="24"/>
          <w:szCs w:val="24"/>
        </w:rPr>
        <w:t xml:space="preserve"> transfection 公司，纽约州纽约市）按照制造商的说明书进行 CDK4 和/或 CDK6 靶向 siRNA 的转染。使用非编码 siRNA 混合物 (</w:t>
      </w:r>
      <w:proofErr w:type="spellStart"/>
      <w:r w:rsidRPr="00393E29">
        <w:rPr>
          <w:rFonts w:ascii="微软雅黑" w:eastAsia="微软雅黑" w:hAnsi="微软雅黑" w:cs="宋体"/>
          <w:kern w:val="0"/>
          <w:sz w:val="24"/>
          <w:szCs w:val="24"/>
        </w:rPr>
        <w:t>siNT</w:t>
      </w:r>
      <w:proofErr w:type="spellEnd"/>
      <w:r w:rsidRPr="00393E29">
        <w:rPr>
          <w:rFonts w:ascii="微软雅黑" w:eastAsia="微软雅黑" w:hAnsi="微软雅黑" w:cs="宋体"/>
          <w:kern w:val="0"/>
          <w:sz w:val="24"/>
          <w:szCs w:val="24"/>
        </w:rPr>
        <w:t xml:space="preserve">) 作为阴性对照。转染 72 小时后收集细胞进行蛋白质印迹分析、MDC 分析和 </w:t>
      </w:r>
      <w:proofErr w:type="spellStart"/>
      <w:r w:rsidRPr="00393E29">
        <w:rPr>
          <w:rFonts w:ascii="微软雅黑" w:eastAsia="微软雅黑" w:hAnsi="微软雅黑" w:cs="宋体"/>
          <w:kern w:val="0"/>
          <w:sz w:val="24"/>
          <w:szCs w:val="24"/>
        </w:rPr>
        <w:t>CellROX</w:t>
      </w:r>
      <w:proofErr w:type="spellEnd"/>
      <w:r w:rsidRPr="00393E29">
        <w:rPr>
          <w:rFonts w:ascii="微软雅黑" w:eastAsia="微软雅黑" w:hAnsi="微软雅黑" w:cs="宋体"/>
          <w:kern w:val="0"/>
          <w:sz w:val="24"/>
          <w:szCs w:val="24"/>
        </w:rPr>
        <w:t xml:space="preserve"> 检测，并在第 3 天和第 6 天进行细胞计数。</w:t>
      </w:r>
    </w:p>
    <w:p w14:paraId="4E1888D0"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shRNA</w:t>
      </w:r>
      <w:proofErr w:type="gramStart"/>
      <w:r w:rsidRPr="00393E29">
        <w:rPr>
          <w:rFonts w:ascii="微软雅黑" w:eastAsia="微软雅黑" w:hAnsi="微软雅黑" w:cs="宋体"/>
          <w:kern w:val="0"/>
          <w:sz w:val="32"/>
          <w:szCs w:val="32"/>
        </w:rPr>
        <w:t>敲低和</w:t>
      </w:r>
      <w:proofErr w:type="gramEnd"/>
      <w:r w:rsidRPr="00393E29">
        <w:rPr>
          <w:rFonts w:ascii="微软雅黑" w:eastAsia="微软雅黑" w:hAnsi="微软雅黑" w:cs="宋体"/>
          <w:kern w:val="0"/>
          <w:sz w:val="32"/>
          <w:szCs w:val="32"/>
        </w:rPr>
        <w:t>细胞周期蛋白E过表达</w:t>
      </w:r>
    </w:p>
    <w:p w14:paraId="1E456E4E"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稳定shRNA</w:t>
      </w:r>
      <w:proofErr w:type="gramStart"/>
      <w:r w:rsidRPr="00393E29">
        <w:rPr>
          <w:rFonts w:ascii="微软雅黑" w:eastAsia="微软雅黑" w:hAnsi="微软雅黑" w:cs="宋体"/>
          <w:kern w:val="0"/>
          <w:sz w:val="24"/>
          <w:szCs w:val="24"/>
        </w:rPr>
        <w:t>敲低细胞</w:t>
      </w:r>
      <w:proofErr w:type="gramEnd"/>
      <w:r w:rsidRPr="00393E29">
        <w:rPr>
          <w:rFonts w:ascii="微软雅黑" w:eastAsia="微软雅黑" w:hAnsi="微软雅黑" w:cs="宋体"/>
          <w:kern w:val="0"/>
          <w:sz w:val="24"/>
          <w:szCs w:val="24"/>
        </w:rPr>
        <w:t>的构建方法如前所述</w:t>
      </w:r>
      <w:r w:rsidRPr="00393E29">
        <w:rPr>
          <w:rFonts w:ascii="微软雅黑" w:eastAsia="微软雅黑" w:hAnsi="微软雅黑" w:cs="宋体"/>
          <w:kern w:val="0"/>
          <w:sz w:val="24"/>
          <w:szCs w:val="24"/>
          <w:u w:val="single"/>
          <w:vertAlign w:val="superscript"/>
        </w:rPr>
        <w:t>&lt;sup&gt; </w:t>
      </w:r>
      <w:hyperlink r:id="rId91" w:anchor="b63" w:history="1">
        <w:r w:rsidRPr="00393E29">
          <w:rPr>
            <w:rFonts w:ascii="微软雅黑" w:eastAsia="微软雅黑" w:hAnsi="微软雅黑" w:cs="宋体"/>
            <w:kern w:val="0"/>
            <w:sz w:val="24"/>
            <w:szCs w:val="24"/>
            <w:u w:val="single"/>
            <w:vertAlign w:val="superscript"/>
          </w:rPr>
          <w:t>63&lt;/sup&gt;</w:t>
        </w:r>
      </w:hyperlink>
      <w:r w:rsidRPr="00393E29">
        <w:rPr>
          <w:rFonts w:ascii="微软雅黑" w:eastAsia="微软雅黑" w:hAnsi="微软雅黑" w:cs="宋体"/>
          <w:kern w:val="0"/>
          <w:sz w:val="24"/>
          <w:szCs w:val="24"/>
        </w:rPr>
        <w:t>。所有shRNA构建</w:t>
      </w:r>
      <w:proofErr w:type="gramStart"/>
      <w:r w:rsidRPr="00393E29">
        <w:rPr>
          <w:rFonts w:ascii="微软雅黑" w:eastAsia="微软雅黑" w:hAnsi="微软雅黑" w:cs="宋体"/>
          <w:kern w:val="0"/>
          <w:sz w:val="24"/>
          <w:szCs w:val="24"/>
        </w:rPr>
        <w:t>体均购自</w:t>
      </w:r>
      <w:proofErr w:type="gramEnd"/>
      <w:r w:rsidRPr="00393E29">
        <w:rPr>
          <w:rFonts w:ascii="微软雅黑" w:eastAsia="微软雅黑" w:hAnsi="微软雅黑" w:cs="宋体"/>
          <w:kern w:val="0"/>
          <w:sz w:val="24"/>
          <w:szCs w:val="24"/>
        </w:rPr>
        <w:t>Thermo Scientific（Open Biosystems，Waltham，MA）。对于CDK4、CDK6、Beclin-1、Atg-5或Rb的单基因敲低，使用GIPZ慢病毒shRNA[CDK4: V3LHS_641689, V3LHS_641690; CDK6: V2LHS_112906, V3LHS_404083; Beclin-1: V3LHS_349514, V3LHS_349513; Atg-5: V2LHS_67978, V3LHS_301131; Rb: V2LHS_130611, V2LHS_130606, V3LHS_340829]。为了</w:t>
      </w:r>
      <w:proofErr w:type="gramStart"/>
      <w:r w:rsidRPr="00393E29">
        <w:rPr>
          <w:rFonts w:ascii="微软雅黑" w:eastAsia="微软雅黑" w:hAnsi="微软雅黑" w:cs="宋体"/>
          <w:kern w:val="0"/>
          <w:sz w:val="24"/>
          <w:szCs w:val="24"/>
        </w:rPr>
        <w:t>同时敲低</w:t>
      </w:r>
      <w:proofErr w:type="gramEnd"/>
      <w:r w:rsidRPr="00393E29">
        <w:rPr>
          <w:rFonts w:ascii="微软雅黑" w:eastAsia="微软雅黑" w:hAnsi="微软雅黑" w:cs="宋体"/>
          <w:kern w:val="0"/>
          <w:sz w:val="24"/>
          <w:szCs w:val="24"/>
        </w:rPr>
        <w:t xml:space="preserve"> CDK4 和 CDK6，我们使用了 TRIPZ 诱导型 CDK6 shRNA，以便更</w:t>
      </w:r>
      <w:r w:rsidRPr="00393E29">
        <w:rPr>
          <w:rFonts w:ascii="微软雅黑" w:eastAsia="微软雅黑" w:hAnsi="微软雅黑" w:cs="宋体"/>
          <w:kern w:val="0"/>
          <w:sz w:val="24"/>
          <w:szCs w:val="24"/>
        </w:rPr>
        <w:lastRenderedPageBreak/>
        <w:t>好地</w:t>
      </w:r>
      <w:proofErr w:type="gramStart"/>
      <w:r w:rsidRPr="00393E29">
        <w:rPr>
          <w:rFonts w:ascii="微软雅黑" w:eastAsia="微软雅黑" w:hAnsi="微软雅黑" w:cs="宋体"/>
          <w:kern w:val="0"/>
          <w:sz w:val="24"/>
          <w:szCs w:val="24"/>
        </w:rPr>
        <w:t>筛选敲低细胞</w:t>
      </w:r>
      <w:proofErr w:type="gramEnd"/>
      <w:r w:rsidRPr="00393E29">
        <w:rPr>
          <w:rFonts w:ascii="微软雅黑" w:eastAsia="微软雅黑" w:hAnsi="微软雅黑" w:cs="宋体"/>
          <w:kern w:val="0"/>
          <w:sz w:val="24"/>
          <w:szCs w:val="24"/>
        </w:rPr>
        <w:t>。为了构建表达 shRNA 的慢病毒，我们使用 LipoD293（</w:t>
      </w:r>
      <w:proofErr w:type="spellStart"/>
      <w:r w:rsidRPr="00393E29">
        <w:rPr>
          <w:rFonts w:ascii="微软雅黑" w:eastAsia="微软雅黑" w:hAnsi="微软雅黑" w:cs="宋体"/>
          <w:kern w:val="0"/>
          <w:sz w:val="24"/>
          <w:szCs w:val="24"/>
        </w:rPr>
        <w:t>SignaGen</w:t>
      </w:r>
      <w:proofErr w:type="spellEnd"/>
      <w:r w:rsidRPr="00393E29">
        <w:rPr>
          <w:rFonts w:ascii="微软雅黑" w:eastAsia="微软雅黑" w:hAnsi="微软雅黑" w:cs="宋体"/>
          <w:kern w:val="0"/>
          <w:sz w:val="24"/>
          <w:szCs w:val="24"/>
        </w:rPr>
        <w:t xml:space="preserve">）或聚乙烯亚胺转染试剂，按照制造商的说明书，将 pCMVdeltaR8.2、pMD2.G（由 Didier </w:t>
      </w:r>
      <w:proofErr w:type="spellStart"/>
      <w:r w:rsidRPr="00393E29">
        <w:rPr>
          <w:rFonts w:ascii="微软雅黑" w:eastAsia="微软雅黑" w:hAnsi="微软雅黑" w:cs="宋体"/>
          <w:kern w:val="0"/>
          <w:sz w:val="24"/>
          <w:szCs w:val="24"/>
        </w:rPr>
        <w:t>Trono</w:t>
      </w:r>
      <w:proofErr w:type="spellEnd"/>
      <w:r w:rsidRPr="00393E29">
        <w:rPr>
          <w:rFonts w:ascii="微软雅黑" w:eastAsia="微软雅黑" w:hAnsi="微软雅黑" w:cs="宋体"/>
          <w:kern w:val="0"/>
          <w:sz w:val="24"/>
          <w:szCs w:val="24"/>
        </w:rPr>
        <w:t xml:space="preserve"> 实验室构建，可通过 </w:t>
      </w:r>
      <w:proofErr w:type="spellStart"/>
      <w:r w:rsidRPr="00393E29">
        <w:rPr>
          <w:rFonts w:ascii="微软雅黑" w:eastAsia="微软雅黑" w:hAnsi="微软雅黑" w:cs="宋体"/>
          <w:kern w:val="0"/>
          <w:sz w:val="24"/>
          <w:szCs w:val="24"/>
        </w:rPr>
        <w:t>Addgene</w:t>
      </w:r>
      <w:proofErr w:type="spellEnd"/>
      <w:r w:rsidRPr="00393E29">
        <w:rPr>
          <w:rFonts w:ascii="微软雅黑" w:eastAsia="微软雅黑" w:hAnsi="微软雅黑" w:cs="宋体"/>
          <w:kern w:val="0"/>
          <w:sz w:val="24"/>
          <w:szCs w:val="24"/>
        </w:rPr>
        <w:t xml:space="preserve"> 库获取）和 </w:t>
      </w:r>
      <w:proofErr w:type="spellStart"/>
      <w:r w:rsidRPr="00393E29">
        <w:rPr>
          <w:rFonts w:ascii="微软雅黑" w:eastAsia="微软雅黑" w:hAnsi="微软雅黑" w:cs="宋体"/>
          <w:kern w:val="0"/>
          <w:sz w:val="24"/>
          <w:szCs w:val="24"/>
        </w:rPr>
        <w:t>pGIPZ</w:t>
      </w:r>
      <w:proofErr w:type="spellEnd"/>
      <w:r w:rsidRPr="00393E29">
        <w:rPr>
          <w:rFonts w:ascii="微软雅黑" w:eastAsia="微软雅黑" w:hAnsi="微软雅黑" w:cs="宋体"/>
          <w:kern w:val="0"/>
          <w:sz w:val="24"/>
          <w:szCs w:val="24"/>
        </w:rPr>
        <w:t xml:space="preserve"> 载体（包含对照 shRNA 或针对目的基因的 shRNA）转染至 HEK 293T 细胞中。转染 48 小时后，收集含病毒的培养基，用 0.45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滤膜过滤，并在含有 8 </w:t>
      </w:r>
      <w:proofErr w:type="spellStart"/>
      <w:r w:rsidRPr="00393E29">
        <w:rPr>
          <w:rFonts w:ascii="微软雅黑" w:eastAsia="微软雅黑" w:hAnsi="微软雅黑" w:cs="宋体"/>
          <w:kern w:val="0"/>
          <w:sz w:val="24"/>
          <w:szCs w:val="24"/>
        </w:rPr>
        <w:t>μg</w:t>
      </w:r>
      <w:proofErr w:type="spellEnd"/>
      <w:r w:rsidRPr="00393E29">
        <w:rPr>
          <w:rFonts w:ascii="微软雅黑" w:eastAsia="微软雅黑" w:hAnsi="微软雅黑" w:cs="宋体"/>
          <w:kern w:val="0"/>
          <w:sz w:val="24"/>
          <w:szCs w:val="24"/>
        </w:rPr>
        <w:t xml:space="preserve"> ml</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rPr>
        <w:t xml:space="preserve"> 聚凝胺（Millipore）的培养基中加入目标细胞</w:t>
      </w:r>
      <w:r w:rsidRPr="00393E29">
        <w:rPr>
          <w:rFonts w:ascii="微软雅黑" w:eastAsia="微软雅黑" w:hAnsi="微软雅黑" w:cs="宋体"/>
          <w:kern w:val="0"/>
          <w:sz w:val="24"/>
          <w:szCs w:val="24"/>
          <w:vertAlign w:val="superscript"/>
        </w:rPr>
        <w:t xml:space="preserve">。确认 GFP 或 RFP 表达后，用 1 </w:t>
      </w:r>
      <w:proofErr w:type="spellStart"/>
      <w:r w:rsidRPr="00393E29">
        <w:rPr>
          <w:rFonts w:ascii="微软雅黑" w:eastAsia="微软雅黑" w:hAnsi="微软雅黑" w:cs="宋体"/>
          <w:kern w:val="0"/>
          <w:sz w:val="24"/>
          <w:szCs w:val="24"/>
          <w:vertAlign w:val="superscript"/>
        </w:rPr>
        <w:t>μg</w:t>
      </w:r>
      <w:proofErr w:type="spellEnd"/>
      <w:r w:rsidRPr="00393E29">
        <w:rPr>
          <w:rFonts w:ascii="微软雅黑" w:eastAsia="微软雅黑" w:hAnsi="微软雅黑" w:cs="宋体"/>
          <w:kern w:val="0"/>
          <w:sz w:val="24"/>
          <w:szCs w:val="24"/>
          <w:vertAlign w:val="superscript"/>
        </w:rPr>
        <w:t> ml</w:t>
      </w:r>
      <w:r w:rsidRPr="00393E29">
        <w:rPr>
          <w:rFonts w:ascii="MS Gothic" w:eastAsia="MS Gothic" w:hAnsi="MS Gothic" w:cs="MS Gothic" w:hint="eastAsia"/>
          <w:kern w:val="0"/>
          <w:sz w:val="24"/>
          <w:szCs w:val="24"/>
          <w:vertAlign w:val="superscript"/>
        </w:rPr>
        <w:t>⁻</w:t>
      </w:r>
      <w:r w:rsidRPr="00393E29">
        <w:rPr>
          <w:rFonts w:ascii="微软雅黑" w:eastAsia="微软雅黑" w:hAnsi="微软雅黑" w:cs="宋体" w:hint="eastAsia"/>
          <w:kern w:val="0"/>
          <w:sz w:val="24"/>
          <w:szCs w:val="24"/>
          <w:vertAlign w:val="superscript"/>
        </w:rPr>
        <w:t>¹</w:t>
      </w:r>
      <w:r w:rsidRPr="00393E29">
        <w:rPr>
          <w:rFonts w:ascii="微软雅黑" w:eastAsia="微软雅黑" w:hAnsi="微软雅黑" w:cs="宋体"/>
          <w:kern w:val="0"/>
          <w:sz w:val="24"/>
          <w:szCs w:val="24"/>
        </w:rPr>
        <w:t>嘌呤霉素（</w:t>
      </w:r>
      <w:proofErr w:type="spellStart"/>
      <w:r w:rsidRPr="00393E29">
        <w:rPr>
          <w:rFonts w:ascii="微软雅黑" w:eastAsia="微软雅黑" w:hAnsi="微软雅黑" w:cs="宋体"/>
          <w:kern w:val="0"/>
          <w:sz w:val="24"/>
          <w:szCs w:val="24"/>
        </w:rPr>
        <w:t>InvivoGen</w:t>
      </w:r>
      <w:proofErr w:type="spellEnd"/>
      <w:r w:rsidRPr="00393E29">
        <w:rPr>
          <w:rFonts w:ascii="微软雅黑" w:eastAsia="微软雅黑" w:hAnsi="微软雅黑" w:cs="宋体"/>
          <w:kern w:val="0"/>
          <w:sz w:val="24"/>
          <w:szCs w:val="24"/>
        </w:rPr>
        <w:t>，圣地亚哥，加利福尼亚州）筛选慢病毒感染的细胞。先前已生成过表达不同细胞周期蛋白 E 亚型（载体、全长细胞周期蛋白 E (EL) 或 LMWE）的 MCF7 和 T47D 细胞</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"b64"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64</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，并在本研究中通过蛋白质印迹法进行了验证。</w:t>
      </w:r>
    </w:p>
    <w:p w14:paraId="68A55889"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剂量反应研究</w:t>
      </w:r>
    </w:p>
    <w:p w14:paraId="2A42746F"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 xml:space="preserve">在剂量反应研究中，将1000至3000个细胞（具体数量取决于各细胞系的接种效率）接种于96孔板的每个孔中，并用浓度递增（0.01–12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的帕博西尼、瑞博西尼或阿贝西利处理1、2、4、6或8天。每隔一天更换一次含药培养基。药物处理结束后，将细胞置于不含药物的培养基中继续培养（同样每隔一天更换一次培养基），直至第12天。之后，用0.5%结晶紫溶液染色。然后用0.1%柠檬酸钠的50%乙醇溶液溶解细胞，并使用Epoch微孔板分光光度计（</w:t>
      </w:r>
      <w:proofErr w:type="spellStart"/>
      <w:r w:rsidRPr="00393E29">
        <w:rPr>
          <w:rFonts w:ascii="微软雅黑" w:eastAsia="微软雅黑" w:hAnsi="微软雅黑" w:cs="宋体"/>
          <w:kern w:val="0"/>
          <w:sz w:val="24"/>
          <w:szCs w:val="24"/>
        </w:rPr>
        <w:t>BioTek</w:t>
      </w:r>
      <w:proofErr w:type="spellEnd"/>
      <w:r w:rsidRPr="00393E29">
        <w:rPr>
          <w:rFonts w:ascii="微软雅黑" w:eastAsia="微软雅黑" w:hAnsi="微软雅黑" w:cs="宋体"/>
          <w:kern w:val="0"/>
          <w:sz w:val="24"/>
          <w:szCs w:val="24"/>
        </w:rPr>
        <w:t xml:space="preserve"> Instruments, Inc, Winooski, VT）在570 nm处测量吸光度。将数值标准化为未处理对照组的数值，并在 GraphPad Prism 中通过非线性回归进行分析，以获得</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"f1"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图 1a</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中使用的IC </w:t>
      </w:r>
      <w:r w:rsidRPr="00393E29">
        <w:rPr>
          <w:rFonts w:ascii="微软雅黑" w:eastAsia="微软雅黑" w:hAnsi="微软雅黑" w:cs="宋体"/>
          <w:kern w:val="0"/>
          <w:sz w:val="24"/>
          <w:szCs w:val="24"/>
          <w:vertAlign w:val="subscript"/>
        </w:rPr>
        <w:t>50</w:t>
      </w:r>
      <w:r w:rsidRPr="00393E29">
        <w:rPr>
          <w:rFonts w:ascii="微软雅黑" w:eastAsia="微软雅黑" w:hAnsi="微软雅黑" w:cs="宋体"/>
          <w:kern w:val="0"/>
          <w:sz w:val="24"/>
          <w:szCs w:val="24"/>
        </w:rPr>
        <w:t>值。</w:t>
      </w:r>
    </w:p>
    <w:p w14:paraId="5279990B"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细胞增殖试验</w:t>
      </w:r>
    </w:p>
    <w:p w14:paraId="1DF12938"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lastRenderedPageBreak/>
        <w:t>在细胞增殖研究中，将7500至15000个细胞（具体数量取决于各细胞系的接种效率；数据未显示）接种于六孔板的每个孔中，并用指定药物处理6天。之后，在不添加药物的情况下，让细胞恢复4天，以检测其可逆性。实验过程中，每隔一天更换一次培养基，第2天和第4天更换为含药培养基，第6天和第8天更换为不含药培养基。分别于第0、3、6和10天收集细胞，并使用</w:t>
      </w:r>
      <w:proofErr w:type="spellStart"/>
      <w:r w:rsidRPr="00393E29">
        <w:rPr>
          <w:rFonts w:ascii="微软雅黑" w:eastAsia="微软雅黑" w:hAnsi="微软雅黑" w:cs="宋体"/>
          <w:kern w:val="0"/>
          <w:sz w:val="24"/>
          <w:szCs w:val="24"/>
        </w:rPr>
        <w:t>BioRad</w:t>
      </w:r>
      <w:proofErr w:type="spellEnd"/>
      <w:r w:rsidRPr="00393E29">
        <w:rPr>
          <w:rFonts w:ascii="微软雅黑" w:eastAsia="微软雅黑" w:hAnsi="微软雅黑" w:cs="宋体"/>
          <w:kern w:val="0"/>
          <w:sz w:val="24"/>
          <w:szCs w:val="24"/>
        </w:rPr>
        <w:t xml:space="preserve"> TC20全自动细胞计数仪进行计数。</w:t>
      </w:r>
    </w:p>
    <w:p w14:paraId="47C7043D"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在克隆形成/集落形成实验中，将5000至10000个细胞（具体数量取决于各细胞系的接种效率；数据未显示）接种于六孔板的每个孔中，处理6天后，在无药物条件下恢复6天。然后用PBS洗涤细胞，并用0.5%结晶紫（溶于25%甲醇）溶液染色10分钟。最后扫描孔板以获取图像。</w:t>
      </w:r>
    </w:p>
    <w:p w14:paraId="38FA6929"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细胞周期和</w:t>
      </w:r>
      <w:proofErr w:type="spellStart"/>
      <w:r w:rsidRPr="00393E29">
        <w:rPr>
          <w:rFonts w:ascii="微软雅黑" w:eastAsia="微软雅黑" w:hAnsi="微软雅黑" w:cs="宋体"/>
          <w:kern w:val="0"/>
          <w:sz w:val="32"/>
          <w:szCs w:val="32"/>
        </w:rPr>
        <w:t>BrdU</w:t>
      </w:r>
      <w:proofErr w:type="spellEnd"/>
      <w:r w:rsidRPr="00393E29">
        <w:rPr>
          <w:rFonts w:ascii="微软雅黑" w:eastAsia="微软雅黑" w:hAnsi="微软雅黑" w:cs="宋体"/>
          <w:kern w:val="0"/>
          <w:sz w:val="32"/>
          <w:szCs w:val="32"/>
        </w:rPr>
        <w:t>分析</w:t>
      </w:r>
    </w:p>
    <w:p w14:paraId="79A10AEE"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将细胞以每</w:t>
      </w:r>
      <w:proofErr w:type="gramStart"/>
      <w:r w:rsidRPr="00393E29">
        <w:rPr>
          <w:rFonts w:ascii="微软雅黑" w:eastAsia="微软雅黑" w:hAnsi="微软雅黑" w:cs="宋体"/>
          <w:kern w:val="0"/>
          <w:sz w:val="24"/>
          <w:szCs w:val="24"/>
        </w:rPr>
        <w:t>皿</w:t>
      </w:r>
      <w:proofErr w:type="gramEnd"/>
      <w:r w:rsidRPr="00393E29">
        <w:rPr>
          <w:rFonts w:ascii="微软雅黑" w:eastAsia="微软雅黑" w:hAnsi="微软雅黑" w:cs="宋体"/>
          <w:kern w:val="0"/>
          <w:sz w:val="24"/>
          <w:szCs w:val="24"/>
        </w:rPr>
        <w:t xml:space="preserve"> 1 × 10</w:t>
      </w:r>
      <w:r w:rsidRPr="00393E29">
        <w:rPr>
          <w:rFonts w:ascii="微软雅黑" w:eastAsia="微软雅黑" w:hAnsi="微软雅黑" w:cs="微软雅黑" w:hint="eastAsia"/>
          <w:kern w:val="0"/>
          <w:sz w:val="24"/>
          <w:szCs w:val="24"/>
        </w:rPr>
        <w:t>⁵</w:t>
      </w:r>
      <w:r w:rsidRPr="00393E29">
        <w:rPr>
          <w:rFonts w:ascii="微软雅黑" w:eastAsia="微软雅黑" w:hAnsi="微软雅黑" w:cs="宋体"/>
          <w:kern w:val="0"/>
          <w:sz w:val="24"/>
          <w:szCs w:val="24"/>
        </w:rPr>
        <w:t xml:space="preserve"> </w:t>
      </w:r>
      <w:proofErr w:type="gramStart"/>
      <w:r w:rsidRPr="00393E29">
        <w:rPr>
          <w:rFonts w:ascii="微软雅黑" w:eastAsia="微软雅黑" w:hAnsi="微软雅黑" w:cs="宋体"/>
          <w:kern w:val="0"/>
          <w:sz w:val="24"/>
          <w:szCs w:val="24"/>
        </w:rPr>
        <w:t>个</w:t>
      </w:r>
      <w:proofErr w:type="gramEnd"/>
      <w:r w:rsidRPr="00393E29">
        <w:rPr>
          <w:rFonts w:ascii="微软雅黑" w:eastAsia="微软雅黑" w:hAnsi="微软雅黑" w:cs="宋体"/>
          <w:kern w:val="0"/>
          <w:sz w:val="24"/>
          <w:szCs w:val="24"/>
        </w:rPr>
        <w:t>细胞的密度接种</w:t>
      </w:r>
      <w:r w:rsidRPr="00393E29">
        <w:rPr>
          <w:rFonts w:ascii="微软雅黑" w:eastAsia="微软雅黑" w:hAnsi="微软雅黑" w:cs="宋体"/>
          <w:kern w:val="0"/>
          <w:sz w:val="24"/>
          <w:szCs w:val="24"/>
          <w:vertAlign w:val="superscript"/>
        </w:rPr>
        <w:t>于</w:t>
      </w:r>
      <w:r w:rsidRPr="00393E29">
        <w:rPr>
          <w:rFonts w:ascii="微软雅黑" w:eastAsia="微软雅黑" w:hAnsi="微软雅黑" w:cs="宋体"/>
          <w:kern w:val="0"/>
          <w:sz w:val="24"/>
          <w:szCs w:val="24"/>
        </w:rPr>
        <w:t>10 cm 培养皿中，并用指定试剂处理 6 天；之后停药 4 天以检测其可逆性。实验过程中每隔一天更换一次培养基，第 2 天和第 4 天使用含药培养基，第 6 天和第 8 天使用不含药培养基。为进行细胞周期分析，在处理后或处理 6 天后以及处理 6 天后加上 4 天的恢复期，对细胞进行胰蛋白酶消化，用 PBS 洗涤，并用 3.5 ml 冰冷的 PBS 和 1.5 ml 95% 乙醇固定。细胞制备方法如前所述</w:t>
      </w:r>
      <w:r w:rsidRPr="00393E29">
        <w:rPr>
          <w:rFonts w:ascii="微软雅黑" w:eastAsia="微软雅黑" w:hAnsi="微软雅黑" w:cs="宋体"/>
          <w:kern w:val="0"/>
          <w:sz w:val="24"/>
          <w:szCs w:val="24"/>
          <w:u w:val="single"/>
          <w:vertAlign w:val="superscript"/>
        </w:rPr>
        <w:t>&lt;sup&gt; </w:t>
      </w:r>
      <w:hyperlink r:id="rId92" w:anchor="b63" w:history="1">
        <w:r w:rsidRPr="00393E29">
          <w:rPr>
            <w:rFonts w:ascii="微软雅黑" w:eastAsia="微软雅黑" w:hAnsi="微软雅黑" w:cs="宋体"/>
            <w:kern w:val="0"/>
            <w:sz w:val="24"/>
            <w:szCs w:val="24"/>
            <w:u w:val="single"/>
            <w:vertAlign w:val="superscript"/>
          </w:rPr>
          <w:t>63&lt;/sup&gt;</w:t>
        </w:r>
      </w:hyperlink>
      <w:r w:rsidRPr="00393E29">
        <w:rPr>
          <w:rFonts w:ascii="微软雅黑" w:eastAsia="微软雅黑" w:hAnsi="微软雅黑" w:cs="宋体"/>
          <w:kern w:val="0"/>
          <w:sz w:val="24"/>
          <w:szCs w:val="24"/>
          <w:vertAlign w:val="superscript"/>
        </w:rPr>
        <w:t> ，并在 4 °C 下于碘化丙</w:t>
      </w:r>
      <w:proofErr w:type="gramStart"/>
      <w:r w:rsidRPr="00393E29">
        <w:rPr>
          <w:rFonts w:ascii="微软雅黑" w:eastAsia="微软雅黑" w:hAnsi="微软雅黑" w:cs="宋体"/>
          <w:kern w:val="0"/>
          <w:sz w:val="24"/>
          <w:szCs w:val="24"/>
          <w:vertAlign w:val="superscript"/>
        </w:rPr>
        <w:t>啶</w:t>
      </w:r>
      <w:proofErr w:type="gramEnd"/>
      <w:r w:rsidRPr="00393E29">
        <w:rPr>
          <w:rFonts w:ascii="微软雅黑" w:eastAsia="微软雅黑" w:hAnsi="微软雅黑" w:cs="宋体"/>
          <w:kern w:val="0"/>
          <w:sz w:val="24"/>
          <w:szCs w:val="24"/>
          <w:vertAlign w:val="superscript"/>
        </w:rPr>
        <w:t xml:space="preserve"> (1 mg ml</w:t>
      </w:r>
      <w:r w:rsidRPr="00393E29">
        <w:rPr>
          <w:rFonts w:ascii="MS Gothic" w:eastAsia="MS Gothic" w:hAnsi="MS Gothic" w:cs="MS Gothic" w:hint="eastAsia"/>
          <w:kern w:val="0"/>
          <w:sz w:val="24"/>
          <w:szCs w:val="24"/>
          <w:vertAlign w:val="superscript"/>
        </w:rPr>
        <w:t>⁻</w:t>
      </w:r>
      <w:r w:rsidRPr="00393E29">
        <w:rPr>
          <w:rFonts w:ascii="微软雅黑" w:eastAsia="微软雅黑" w:hAnsi="微软雅黑" w:cs="宋体" w:hint="eastAsia"/>
          <w:kern w:val="0"/>
          <w:sz w:val="24"/>
          <w:szCs w:val="24"/>
          <w:vertAlign w:val="superscript"/>
        </w:rPr>
        <w:t>¹</w:t>
      </w:r>
      <w:r w:rsidRPr="00393E29">
        <w:rPr>
          <w:rFonts w:ascii="微软雅黑" w:eastAsia="微软雅黑" w:hAnsi="微软雅黑" w:cs="宋体"/>
          <w:kern w:val="0"/>
          <w:sz w:val="24"/>
          <w:szCs w:val="24"/>
        </w:rPr>
        <w:t> ) 和 RNA 酶 (1 mg ml</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 </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 xml:space="preserve">的溶液中孵育过夜。然后使用 Beckman Coulter </w:t>
      </w:r>
      <w:proofErr w:type="spellStart"/>
      <w:r w:rsidRPr="00393E29">
        <w:rPr>
          <w:rFonts w:ascii="微软雅黑" w:eastAsia="微软雅黑" w:hAnsi="微软雅黑" w:cs="宋体"/>
          <w:kern w:val="0"/>
          <w:sz w:val="24"/>
          <w:szCs w:val="24"/>
        </w:rPr>
        <w:t>Gallios</w:t>
      </w:r>
      <w:proofErr w:type="spellEnd"/>
      <w:r w:rsidRPr="00393E29">
        <w:rPr>
          <w:rFonts w:ascii="微软雅黑" w:eastAsia="微软雅黑" w:hAnsi="微软雅黑" w:cs="宋体"/>
          <w:kern w:val="0"/>
          <w:sz w:val="24"/>
          <w:szCs w:val="24"/>
        </w:rPr>
        <w:t xml:space="preserve"> 流式细胞仪分析样本，并在排除双联细胞后使用 Kaluza 软件（Beckman Coulter）分析数据。</w:t>
      </w:r>
    </w:p>
    <w:p w14:paraId="322D3FC7"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lastRenderedPageBreak/>
        <w:t xml:space="preserve">对于 </w:t>
      </w:r>
      <w:proofErr w:type="spellStart"/>
      <w:r w:rsidRPr="00393E29">
        <w:rPr>
          <w:rFonts w:ascii="微软雅黑" w:eastAsia="微软雅黑" w:hAnsi="微软雅黑" w:cs="宋体"/>
          <w:kern w:val="0"/>
          <w:sz w:val="24"/>
          <w:szCs w:val="24"/>
        </w:rPr>
        <w:t>BrdU</w:t>
      </w:r>
      <w:proofErr w:type="spellEnd"/>
      <w:r w:rsidRPr="00393E29">
        <w:rPr>
          <w:rFonts w:ascii="微软雅黑" w:eastAsia="微软雅黑" w:hAnsi="微软雅黑" w:cs="宋体"/>
          <w:kern w:val="0"/>
          <w:sz w:val="24"/>
          <w:szCs w:val="24"/>
        </w:rPr>
        <w:t xml:space="preserve"> 分析，处理或恢复后，将细胞与 10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5-BrdU（Sigma-Aldrich）孵育 1 小时，然后进行胰蛋白酶消化，用 PBS 洗涤，并用 70% 乙醇固定。之后，用含 0.5% 牛血清白蛋白的 PBS 洗涤细胞，并在室温下用 2 M HCl + 0.5% Triton X-100 溶液变性 20 分钟。再次洗涤细胞后，在室温下用 200 </w:t>
      </w:r>
      <w:proofErr w:type="spellStart"/>
      <w:r w:rsidRPr="00393E29">
        <w:rPr>
          <w:rFonts w:ascii="微软雅黑" w:eastAsia="微软雅黑" w:hAnsi="微软雅黑" w:cs="宋体"/>
          <w:kern w:val="0"/>
          <w:sz w:val="24"/>
          <w:szCs w:val="24"/>
        </w:rPr>
        <w:t>μl</w:t>
      </w:r>
      <w:proofErr w:type="spellEnd"/>
      <w:r w:rsidRPr="00393E29">
        <w:rPr>
          <w:rFonts w:ascii="微软雅黑" w:eastAsia="微软雅黑" w:hAnsi="微软雅黑" w:cs="宋体"/>
          <w:kern w:val="0"/>
          <w:sz w:val="24"/>
          <w:szCs w:val="24"/>
        </w:rPr>
        <w:t xml:space="preserve"> 0.1 M 硼酸钠（pH 8.5）孵育 2 分钟，以中和残留的酸。最后，避光在室温下用异硫氰酸荧光素标记的抗 </w:t>
      </w:r>
      <w:proofErr w:type="spellStart"/>
      <w:r w:rsidRPr="00393E29">
        <w:rPr>
          <w:rFonts w:ascii="微软雅黑" w:eastAsia="微软雅黑" w:hAnsi="微软雅黑" w:cs="宋体"/>
          <w:kern w:val="0"/>
          <w:sz w:val="24"/>
          <w:szCs w:val="24"/>
        </w:rPr>
        <w:t>BrdU</w:t>
      </w:r>
      <w:proofErr w:type="spellEnd"/>
      <w:r w:rsidRPr="00393E29">
        <w:rPr>
          <w:rFonts w:ascii="微软雅黑" w:eastAsia="微软雅黑" w:hAnsi="微软雅黑" w:cs="宋体"/>
          <w:kern w:val="0"/>
          <w:sz w:val="24"/>
          <w:szCs w:val="24"/>
        </w:rPr>
        <w:t xml:space="preserve"> 抗体（BD Biosciences）染色 20 分钟。最后，将细胞洗涤后，置于0.5 ml碘化丙</w:t>
      </w:r>
      <w:proofErr w:type="gramStart"/>
      <w:r w:rsidRPr="00393E29">
        <w:rPr>
          <w:rFonts w:ascii="微软雅黑" w:eastAsia="微软雅黑" w:hAnsi="微软雅黑" w:cs="宋体"/>
          <w:kern w:val="0"/>
          <w:sz w:val="24"/>
          <w:szCs w:val="24"/>
        </w:rPr>
        <w:t>啶</w:t>
      </w:r>
      <w:proofErr w:type="gramEnd"/>
      <w:r w:rsidRPr="00393E29">
        <w:rPr>
          <w:rFonts w:ascii="微软雅黑" w:eastAsia="微软雅黑" w:hAnsi="微软雅黑" w:cs="宋体"/>
          <w:kern w:val="0"/>
          <w:sz w:val="24"/>
          <w:szCs w:val="24"/>
        </w:rPr>
        <w:t xml:space="preserve">溶液（10 </w:t>
      </w:r>
      <w:proofErr w:type="spellStart"/>
      <w:r w:rsidRPr="00393E29">
        <w:rPr>
          <w:rFonts w:ascii="微软雅黑" w:eastAsia="微软雅黑" w:hAnsi="微软雅黑" w:cs="宋体"/>
          <w:kern w:val="0"/>
          <w:sz w:val="24"/>
          <w:szCs w:val="24"/>
        </w:rPr>
        <w:t>μg</w:t>
      </w:r>
      <w:proofErr w:type="spellEnd"/>
      <w:r w:rsidRPr="00393E29">
        <w:rPr>
          <w:rFonts w:ascii="微软雅黑" w:eastAsia="微软雅黑" w:hAnsi="微软雅黑" w:cs="宋体"/>
          <w:kern w:val="0"/>
          <w:sz w:val="24"/>
          <w:szCs w:val="24"/>
        </w:rPr>
        <w:t xml:space="preserve"> ml</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rPr>
        <w:t>，</w:t>
      </w:r>
      <w:r w:rsidRPr="00393E29">
        <w:rPr>
          <w:rFonts w:ascii="微软雅黑" w:eastAsia="微软雅黑" w:hAnsi="微软雅黑" w:cs="宋体"/>
          <w:kern w:val="0"/>
          <w:sz w:val="24"/>
          <w:szCs w:val="24"/>
          <w:vertAlign w:val="superscript"/>
        </w:rPr>
        <w:t>溶于</w:t>
      </w:r>
      <w:r w:rsidRPr="00393E29">
        <w:rPr>
          <w:rFonts w:ascii="微软雅黑" w:eastAsia="微软雅黑" w:hAnsi="微软雅黑" w:cs="宋体"/>
          <w:kern w:val="0"/>
          <w:sz w:val="24"/>
          <w:szCs w:val="24"/>
        </w:rPr>
        <w:t>PBS）中，避光室温孵育30分钟。使用贝克曼库尔特</w:t>
      </w:r>
      <w:proofErr w:type="spellStart"/>
      <w:r w:rsidRPr="00393E29">
        <w:rPr>
          <w:rFonts w:ascii="微软雅黑" w:eastAsia="微软雅黑" w:hAnsi="微软雅黑" w:cs="宋体"/>
          <w:kern w:val="0"/>
          <w:sz w:val="24"/>
          <w:szCs w:val="24"/>
        </w:rPr>
        <w:t>Gallios</w:t>
      </w:r>
      <w:proofErr w:type="spellEnd"/>
      <w:r w:rsidRPr="00393E29">
        <w:rPr>
          <w:rFonts w:ascii="微软雅黑" w:eastAsia="微软雅黑" w:hAnsi="微软雅黑" w:cs="宋体"/>
          <w:kern w:val="0"/>
          <w:sz w:val="24"/>
          <w:szCs w:val="24"/>
        </w:rPr>
        <w:t>流式细胞仪分析样品，并用Kaluza软件分析数据，以获得</w:t>
      </w:r>
      <w:proofErr w:type="spellStart"/>
      <w:r w:rsidRPr="00393E29">
        <w:rPr>
          <w:rFonts w:ascii="微软雅黑" w:eastAsia="微软雅黑" w:hAnsi="微软雅黑" w:cs="宋体"/>
          <w:kern w:val="0"/>
          <w:sz w:val="24"/>
          <w:szCs w:val="24"/>
        </w:rPr>
        <w:t>BrdU</w:t>
      </w:r>
      <w:proofErr w:type="spellEnd"/>
      <w:r w:rsidRPr="00393E29">
        <w:rPr>
          <w:rFonts w:ascii="微软雅黑" w:eastAsia="微软雅黑" w:hAnsi="微软雅黑" w:cs="宋体"/>
          <w:kern w:val="0"/>
          <w:sz w:val="24"/>
          <w:szCs w:val="24"/>
        </w:rPr>
        <w:t>阳性细胞的百分比。</w:t>
      </w:r>
    </w:p>
    <w:p w14:paraId="0CF47DC1"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衰老测量</w:t>
      </w:r>
    </w:p>
    <w:p w14:paraId="1A88FB08"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在</w:t>
      </w:r>
      <w:r w:rsidRPr="00393E29">
        <w:rPr>
          <w:rFonts w:ascii="微软雅黑" w:eastAsia="微软雅黑" w:hAnsi="微软雅黑" w:cs="宋体"/>
          <w:i/>
          <w:iCs/>
          <w:kern w:val="0"/>
          <w:sz w:val="24"/>
          <w:szCs w:val="24"/>
        </w:rPr>
        <w:t>体外</w:t>
      </w:r>
      <w:r w:rsidRPr="00393E29">
        <w:rPr>
          <w:rFonts w:ascii="微软雅黑" w:eastAsia="微软雅黑" w:hAnsi="微软雅黑" w:cs="宋体"/>
          <w:kern w:val="0"/>
          <w:sz w:val="24"/>
          <w:szCs w:val="24"/>
        </w:rPr>
        <w:t>研究中，衰老细胞的检测采用SA-β-半乳糖苷酶染色试剂盒（Millipore，Billerica，MA），并按照制造商的标准操作规程进行。简而言之，将细胞以2000至4000个细胞的低密度（取决于细胞系的接种效率；数据未显示）接种于12孔板的每个孔中，并用指定的试剂处理72小时或6天。在实验过程中，每隔一天更换一次培养基，并在第2天和第4天更换为含药培养基。之后，用PBS洗涤细胞，固定并用SA-β-半乳糖苷酶溶液染色过夜。然后使用Evos XL Core细胞成像系统（</w:t>
      </w:r>
      <w:proofErr w:type="spellStart"/>
      <w:r w:rsidRPr="00393E29">
        <w:rPr>
          <w:rFonts w:ascii="微软雅黑" w:eastAsia="微软雅黑" w:hAnsi="微软雅黑" w:cs="宋体"/>
          <w:kern w:val="0"/>
          <w:sz w:val="24"/>
          <w:szCs w:val="24"/>
        </w:rPr>
        <w:t>ThermoFischer</w:t>
      </w:r>
      <w:proofErr w:type="spellEnd"/>
      <w:r w:rsidRPr="00393E29">
        <w:rPr>
          <w:rFonts w:ascii="微软雅黑" w:eastAsia="微软雅黑" w:hAnsi="微软雅黑" w:cs="宋体"/>
          <w:kern w:val="0"/>
          <w:sz w:val="24"/>
          <w:szCs w:val="24"/>
        </w:rPr>
        <w:t>，Waltham，MA）对细胞进行拍照，并通过计数每个重复实验中三个不同视野中的100个细胞来量化衰老细胞。每种条件下至少进行三次技术重复和三次生物学重复。</w:t>
      </w:r>
    </w:p>
    <w:p w14:paraId="141311F0"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对于</w:t>
      </w:r>
      <w:r w:rsidRPr="00393E29">
        <w:rPr>
          <w:rFonts w:ascii="微软雅黑" w:eastAsia="微软雅黑" w:hAnsi="微软雅黑" w:cs="宋体"/>
          <w:i/>
          <w:iCs/>
          <w:kern w:val="0"/>
          <w:sz w:val="24"/>
          <w:szCs w:val="24"/>
        </w:rPr>
        <w:t>体内</w:t>
      </w:r>
      <w:r w:rsidRPr="00393E29">
        <w:rPr>
          <w:rFonts w:ascii="微软雅黑" w:eastAsia="微软雅黑" w:hAnsi="微软雅黑" w:cs="宋体"/>
          <w:kern w:val="0"/>
          <w:sz w:val="24"/>
          <w:szCs w:val="24"/>
        </w:rPr>
        <w:t xml:space="preserve">研究，将小鼠肿瘤组织快速冷冻于液氮中，包埋于OCT包埋剂中，并切成5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厚的薄切片。采用SA-β-半乳糖苷酶检测试剂盒（</w:t>
      </w:r>
      <w:proofErr w:type="spellStart"/>
      <w:r w:rsidRPr="00393E29">
        <w:rPr>
          <w:rFonts w:ascii="微软雅黑" w:eastAsia="微软雅黑" w:hAnsi="微软雅黑" w:cs="宋体"/>
          <w:kern w:val="0"/>
          <w:sz w:val="24"/>
          <w:szCs w:val="24"/>
        </w:rPr>
        <w:t>Biovision</w:t>
      </w:r>
      <w:proofErr w:type="spellEnd"/>
      <w:r w:rsidRPr="00393E29">
        <w:rPr>
          <w:rFonts w:ascii="微软雅黑" w:eastAsia="微软雅黑" w:hAnsi="微软雅黑" w:cs="宋体"/>
          <w:kern w:val="0"/>
          <w:sz w:val="24"/>
          <w:szCs w:val="24"/>
        </w:rPr>
        <w:t>，Milpitas，</w:t>
      </w:r>
      <w:r w:rsidRPr="00393E29">
        <w:rPr>
          <w:rFonts w:ascii="微软雅黑" w:eastAsia="微软雅黑" w:hAnsi="微软雅黑" w:cs="宋体"/>
          <w:kern w:val="0"/>
          <w:sz w:val="24"/>
          <w:szCs w:val="24"/>
        </w:rPr>
        <w:lastRenderedPageBreak/>
        <w:t>CA）并按照制造商的说明书进行衰老检测。简而言之，将切片用PBS缓冲液洗涤，并在染色液（根据说明书配制）中孵育过夜。之后，用PBS缓冲液洗涤切片，并用70%甘油固定。使用Leica DM光学显微镜，分别采用20倍和40倍物镜获取组织切片的图像。图像采集使用SPOT Imaging Solutions相机和SPOT Advanced软件。</w:t>
      </w:r>
    </w:p>
    <w:p w14:paraId="3AA3E839"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为了定量分析细胞颗粒度，将细胞以1 × 10</w:t>
      </w:r>
      <w:r w:rsidRPr="00393E29">
        <w:rPr>
          <w:rFonts w:ascii="微软雅黑" w:eastAsia="微软雅黑" w:hAnsi="微软雅黑" w:cs="微软雅黑" w:hint="eastAsia"/>
          <w:kern w:val="0"/>
          <w:sz w:val="24"/>
          <w:szCs w:val="24"/>
        </w:rPr>
        <w:t>⁵</w:t>
      </w:r>
      <w:proofErr w:type="gramStart"/>
      <w:r w:rsidRPr="00393E29">
        <w:rPr>
          <w:rFonts w:ascii="微软雅黑" w:eastAsia="微软雅黑" w:hAnsi="微软雅黑" w:cs="宋体"/>
          <w:kern w:val="0"/>
          <w:sz w:val="24"/>
          <w:szCs w:val="24"/>
        </w:rPr>
        <w:t>个</w:t>
      </w:r>
      <w:proofErr w:type="gramEnd"/>
      <w:r w:rsidRPr="00393E29">
        <w:rPr>
          <w:rFonts w:ascii="微软雅黑" w:eastAsia="微软雅黑" w:hAnsi="微软雅黑" w:cs="宋体"/>
          <w:kern w:val="0"/>
          <w:sz w:val="24"/>
          <w:szCs w:val="24"/>
        </w:rPr>
        <w:t>/</w:t>
      </w:r>
      <w:proofErr w:type="gramStart"/>
      <w:r w:rsidRPr="00393E29">
        <w:rPr>
          <w:rFonts w:ascii="微软雅黑" w:eastAsia="微软雅黑" w:hAnsi="微软雅黑" w:cs="宋体"/>
          <w:kern w:val="0"/>
          <w:sz w:val="24"/>
          <w:szCs w:val="24"/>
        </w:rPr>
        <w:t>皿</w:t>
      </w:r>
      <w:proofErr w:type="gramEnd"/>
      <w:r w:rsidRPr="00393E29">
        <w:rPr>
          <w:rFonts w:ascii="微软雅黑" w:eastAsia="微软雅黑" w:hAnsi="微软雅黑" w:cs="宋体"/>
          <w:kern w:val="0"/>
          <w:sz w:val="24"/>
          <w:szCs w:val="24"/>
        </w:rPr>
        <w:t>的密度接种</w:t>
      </w:r>
      <w:r w:rsidRPr="00393E29">
        <w:rPr>
          <w:rFonts w:ascii="微软雅黑" w:eastAsia="微软雅黑" w:hAnsi="微软雅黑" w:cs="宋体"/>
          <w:kern w:val="0"/>
          <w:sz w:val="24"/>
          <w:szCs w:val="24"/>
          <w:vertAlign w:val="superscript"/>
        </w:rPr>
        <w:t>于</w:t>
      </w:r>
      <w:r w:rsidRPr="00393E29">
        <w:rPr>
          <w:rFonts w:ascii="微软雅黑" w:eastAsia="微软雅黑" w:hAnsi="微软雅黑" w:cs="宋体"/>
          <w:kern w:val="0"/>
          <w:sz w:val="24"/>
          <w:szCs w:val="24"/>
        </w:rPr>
        <w:t>10 cm培养皿中，并处理6天；部分细胞在不进行药物处理的情况下恢复4天。处理结束后，收集细胞，用碘化丙</w:t>
      </w:r>
      <w:proofErr w:type="gramStart"/>
      <w:r w:rsidRPr="00393E29">
        <w:rPr>
          <w:rFonts w:ascii="微软雅黑" w:eastAsia="微软雅黑" w:hAnsi="微软雅黑" w:cs="宋体"/>
          <w:kern w:val="0"/>
          <w:sz w:val="24"/>
          <w:szCs w:val="24"/>
        </w:rPr>
        <w:t>啶</w:t>
      </w:r>
      <w:proofErr w:type="gramEnd"/>
      <w:r w:rsidRPr="00393E29">
        <w:rPr>
          <w:rFonts w:ascii="微软雅黑" w:eastAsia="微软雅黑" w:hAnsi="微软雅黑" w:cs="宋体"/>
          <w:kern w:val="0"/>
          <w:sz w:val="24"/>
          <w:szCs w:val="24"/>
        </w:rPr>
        <w:t>（1 mg/ml）染色</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并在贝克曼库尔特</w:t>
      </w:r>
      <w:proofErr w:type="spellStart"/>
      <w:r w:rsidRPr="00393E29">
        <w:rPr>
          <w:rFonts w:ascii="微软雅黑" w:eastAsia="微软雅黑" w:hAnsi="微软雅黑" w:cs="宋体"/>
          <w:kern w:val="0"/>
          <w:sz w:val="24"/>
          <w:szCs w:val="24"/>
        </w:rPr>
        <w:t>Gallios</w:t>
      </w:r>
      <w:proofErr w:type="spellEnd"/>
      <w:r w:rsidRPr="00393E29">
        <w:rPr>
          <w:rFonts w:ascii="微软雅黑" w:eastAsia="微软雅黑" w:hAnsi="微软雅黑" w:cs="宋体"/>
          <w:kern w:val="0"/>
          <w:sz w:val="24"/>
          <w:szCs w:val="24"/>
        </w:rPr>
        <w:t>流式细胞仪上进行分析。然后使用</w:t>
      </w:r>
      <w:proofErr w:type="spellStart"/>
      <w:r w:rsidRPr="00393E29">
        <w:rPr>
          <w:rFonts w:ascii="微软雅黑" w:eastAsia="微软雅黑" w:hAnsi="微软雅黑" w:cs="宋体"/>
          <w:kern w:val="0"/>
          <w:sz w:val="24"/>
          <w:szCs w:val="24"/>
        </w:rPr>
        <w:t>FlowJo</w:t>
      </w:r>
      <w:proofErr w:type="spellEnd"/>
      <w:r w:rsidRPr="00393E29">
        <w:rPr>
          <w:rFonts w:ascii="微软雅黑" w:eastAsia="微软雅黑" w:hAnsi="微软雅黑" w:cs="宋体"/>
          <w:kern w:val="0"/>
          <w:sz w:val="24"/>
          <w:szCs w:val="24"/>
        </w:rPr>
        <w:t>软件分析数据，以获得侧向散射光强度与归一化细胞计数的分布曲线。</w:t>
      </w:r>
    </w:p>
    <w:p w14:paraId="3D10A9D9"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Annexin V 和 caspase-3 凋亡检测</w:t>
      </w:r>
    </w:p>
    <w:p w14:paraId="4350CD30"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使用 Alexa Fluor 488 Annexin V 死细胞凋亡检测试剂盒（Invitrogen，Waltham，MA）并按照制造商的说明书检测凋亡细胞。简而言之，将细胞（每</w:t>
      </w:r>
      <w:proofErr w:type="gramStart"/>
      <w:r w:rsidRPr="00393E29">
        <w:rPr>
          <w:rFonts w:ascii="微软雅黑" w:eastAsia="微软雅黑" w:hAnsi="微软雅黑" w:cs="宋体"/>
          <w:kern w:val="0"/>
          <w:sz w:val="24"/>
          <w:szCs w:val="24"/>
        </w:rPr>
        <w:t>皿</w:t>
      </w:r>
      <w:proofErr w:type="gramEnd"/>
      <w:r w:rsidRPr="00393E29">
        <w:rPr>
          <w:rFonts w:ascii="微软雅黑" w:eastAsia="微软雅黑" w:hAnsi="微软雅黑" w:cs="宋体"/>
          <w:kern w:val="0"/>
          <w:sz w:val="24"/>
          <w:szCs w:val="24"/>
        </w:rPr>
        <w:t xml:space="preserve"> 1 × 10</w:t>
      </w:r>
      <w:r w:rsidRPr="00393E29">
        <w:rPr>
          <w:rFonts w:ascii="微软雅黑" w:eastAsia="微软雅黑" w:hAnsi="微软雅黑" w:cs="微软雅黑" w:hint="eastAsia"/>
          <w:kern w:val="0"/>
          <w:sz w:val="24"/>
          <w:szCs w:val="24"/>
        </w:rPr>
        <w:t>⁵</w:t>
      </w:r>
      <w:proofErr w:type="gramStart"/>
      <w:r w:rsidRPr="00393E29">
        <w:rPr>
          <w:rFonts w:ascii="微软雅黑" w:eastAsia="微软雅黑" w:hAnsi="微软雅黑" w:cs="宋体"/>
          <w:kern w:val="0"/>
          <w:sz w:val="24"/>
          <w:szCs w:val="24"/>
          <w:vertAlign w:val="superscript"/>
        </w:rPr>
        <w:t>个</w:t>
      </w:r>
      <w:proofErr w:type="gramEnd"/>
      <w:r w:rsidRPr="00393E29">
        <w:rPr>
          <w:rFonts w:ascii="微软雅黑" w:eastAsia="微软雅黑" w:hAnsi="微软雅黑" w:cs="宋体"/>
          <w:kern w:val="0"/>
          <w:sz w:val="24"/>
          <w:szCs w:val="24"/>
        </w:rPr>
        <w:t>细胞）接种于 10 cm 培养皿中，并用指定试剂处理 6 天，然后恢复 4 天。在处理结束时（6 天）或处理+恢复期结束后收集细胞，用 1× Annexin 结合缓冲液洗涤，并按照说明书的指示，用 Alexa Fluor 488 Annexin V 和碘化丙</w:t>
      </w:r>
      <w:proofErr w:type="gramStart"/>
      <w:r w:rsidRPr="00393E29">
        <w:rPr>
          <w:rFonts w:ascii="微软雅黑" w:eastAsia="微软雅黑" w:hAnsi="微软雅黑" w:cs="宋体"/>
          <w:kern w:val="0"/>
          <w:sz w:val="24"/>
          <w:szCs w:val="24"/>
        </w:rPr>
        <w:t>啶</w:t>
      </w:r>
      <w:proofErr w:type="gramEnd"/>
      <w:r w:rsidRPr="00393E29">
        <w:rPr>
          <w:rFonts w:ascii="微软雅黑" w:eastAsia="微软雅黑" w:hAnsi="微软雅黑" w:cs="宋体"/>
          <w:kern w:val="0"/>
          <w:sz w:val="24"/>
          <w:szCs w:val="24"/>
        </w:rPr>
        <w:t xml:space="preserve">（100 </w:t>
      </w:r>
      <w:proofErr w:type="spellStart"/>
      <w:r w:rsidRPr="00393E29">
        <w:rPr>
          <w:rFonts w:ascii="微软雅黑" w:eastAsia="微软雅黑" w:hAnsi="微软雅黑" w:cs="宋体"/>
          <w:kern w:val="0"/>
          <w:sz w:val="24"/>
          <w:szCs w:val="24"/>
        </w:rPr>
        <w:t>μg</w:t>
      </w:r>
      <w:proofErr w:type="spellEnd"/>
      <w:r w:rsidRPr="00393E29">
        <w:rPr>
          <w:rFonts w:ascii="微软雅黑" w:eastAsia="微软雅黑" w:hAnsi="微软雅黑" w:cs="宋体"/>
          <w:kern w:val="0"/>
          <w:sz w:val="24"/>
          <w:szCs w:val="24"/>
        </w:rPr>
        <w:t xml:space="preserve"> ml</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rPr>
        <w:t>）溶液</w:t>
      </w:r>
      <w:r w:rsidRPr="00393E29">
        <w:rPr>
          <w:rFonts w:ascii="微软雅黑" w:eastAsia="微软雅黑" w:hAnsi="微软雅黑" w:cs="宋体"/>
          <w:kern w:val="0"/>
          <w:sz w:val="24"/>
          <w:szCs w:val="24"/>
          <w:vertAlign w:val="superscript"/>
        </w:rPr>
        <w:t>染色</w:t>
      </w:r>
      <w:r w:rsidRPr="00393E29">
        <w:rPr>
          <w:rFonts w:ascii="微软雅黑" w:eastAsia="微软雅黑" w:hAnsi="微软雅黑" w:cs="宋体"/>
          <w:kern w:val="0"/>
          <w:sz w:val="24"/>
          <w:szCs w:val="24"/>
        </w:rPr>
        <w:t xml:space="preserve">。然后使用 Beckman Coulter </w:t>
      </w:r>
      <w:proofErr w:type="spellStart"/>
      <w:r w:rsidRPr="00393E29">
        <w:rPr>
          <w:rFonts w:ascii="微软雅黑" w:eastAsia="微软雅黑" w:hAnsi="微软雅黑" w:cs="宋体"/>
          <w:kern w:val="0"/>
          <w:sz w:val="24"/>
          <w:szCs w:val="24"/>
        </w:rPr>
        <w:t>Gallios</w:t>
      </w:r>
      <w:proofErr w:type="spellEnd"/>
      <w:r w:rsidRPr="00393E29">
        <w:rPr>
          <w:rFonts w:ascii="微软雅黑" w:eastAsia="微软雅黑" w:hAnsi="微软雅黑" w:cs="宋体"/>
          <w:kern w:val="0"/>
          <w:sz w:val="24"/>
          <w:szCs w:val="24"/>
        </w:rPr>
        <w:t xml:space="preserve"> 流式细胞仪分析样本，并使用 Kaluza 软件分析数据，以获得 Annexin V 阳性/碘化丙</w:t>
      </w:r>
      <w:proofErr w:type="gramStart"/>
      <w:r w:rsidRPr="00393E29">
        <w:rPr>
          <w:rFonts w:ascii="微软雅黑" w:eastAsia="微软雅黑" w:hAnsi="微软雅黑" w:cs="宋体"/>
          <w:kern w:val="0"/>
          <w:sz w:val="24"/>
          <w:szCs w:val="24"/>
        </w:rPr>
        <w:t>啶</w:t>
      </w:r>
      <w:proofErr w:type="gramEnd"/>
      <w:r w:rsidRPr="00393E29">
        <w:rPr>
          <w:rFonts w:ascii="微软雅黑" w:eastAsia="微软雅黑" w:hAnsi="微软雅黑" w:cs="宋体"/>
          <w:kern w:val="0"/>
          <w:sz w:val="24"/>
          <w:szCs w:val="24"/>
        </w:rPr>
        <w:t>阴性（早期凋亡）和 Annexin V 阳性/碘化丙</w:t>
      </w:r>
      <w:proofErr w:type="gramStart"/>
      <w:r w:rsidRPr="00393E29">
        <w:rPr>
          <w:rFonts w:ascii="微软雅黑" w:eastAsia="微软雅黑" w:hAnsi="微软雅黑" w:cs="宋体"/>
          <w:kern w:val="0"/>
          <w:sz w:val="24"/>
          <w:szCs w:val="24"/>
        </w:rPr>
        <w:t>啶</w:t>
      </w:r>
      <w:proofErr w:type="gramEnd"/>
      <w:r w:rsidRPr="00393E29">
        <w:rPr>
          <w:rFonts w:ascii="微软雅黑" w:eastAsia="微软雅黑" w:hAnsi="微软雅黑" w:cs="宋体"/>
          <w:kern w:val="0"/>
          <w:sz w:val="24"/>
          <w:szCs w:val="24"/>
        </w:rPr>
        <w:t>阳性（晚期凋亡）细胞的百分比。</w:t>
      </w:r>
    </w:p>
    <w:p w14:paraId="0DDC7EBC"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lastRenderedPageBreak/>
        <w:t xml:space="preserve">在进行 caspase-3 活性检测时，药物处理后收集细胞，用含 2% FBS 的 PBS 溶液洗涤，并用 100 </w:t>
      </w:r>
      <w:proofErr w:type="spellStart"/>
      <w:r w:rsidRPr="00393E29">
        <w:rPr>
          <w:rFonts w:ascii="微软雅黑" w:eastAsia="微软雅黑" w:hAnsi="微软雅黑" w:cs="宋体"/>
          <w:kern w:val="0"/>
          <w:sz w:val="24"/>
          <w:szCs w:val="24"/>
        </w:rPr>
        <w:t>μl</w:t>
      </w:r>
      <w:proofErr w:type="spellEnd"/>
      <w:r w:rsidRPr="00393E29">
        <w:rPr>
          <w:rFonts w:ascii="微软雅黑" w:eastAsia="微软雅黑" w:hAnsi="微软雅黑" w:cs="宋体"/>
          <w:kern w:val="0"/>
          <w:sz w:val="24"/>
          <w:szCs w:val="24"/>
        </w:rPr>
        <w:t xml:space="preserve"> </w:t>
      </w:r>
      <w:proofErr w:type="spellStart"/>
      <w:r w:rsidRPr="00393E29">
        <w:rPr>
          <w:rFonts w:ascii="微软雅黑" w:eastAsia="微软雅黑" w:hAnsi="微软雅黑" w:cs="宋体"/>
          <w:kern w:val="0"/>
          <w:sz w:val="24"/>
          <w:szCs w:val="24"/>
        </w:rPr>
        <w:t>Cytofix</w:t>
      </w:r>
      <w:proofErr w:type="spellEnd"/>
      <w:r w:rsidRPr="00393E29">
        <w:rPr>
          <w:rFonts w:ascii="微软雅黑" w:eastAsia="微软雅黑" w:hAnsi="微软雅黑" w:cs="宋体"/>
          <w:kern w:val="0"/>
          <w:sz w:val="24"/>
          <w:szCs w:val="24"/>
        </w:rPr>
        <w:t>/</w:t>
      </w:r>
      <w:proofErr w:type="spellStart"/>
      <w:r w:rsidRPr="00393E29">
        <w:rPr>
          <w:rFonts w:ascii="微软雅黑" w:eastAsia="微软雅黑" w:hAnsi="微软雅黑" w:cs="宋体"/>
          <w:kern w:val="0"/>
          <w:sz w:val="24"/>
          <w:szCs w:val="24"/>
        </w:rPr>
        <w:t>CytoPerm</w:t>
      </w:r>
      <w:proofErr w:type="spellEnd"/>
      <w:r w:rsidRPr="00393E29">
        <w:rPr>
          <w:rFonts w:ascii="微软雅黑" w:eastAsia="微软雅黑" w:hAnsi="微软雅黑" w:cs="宋体"/>
          <w:kern w:val="0"/>
          <w:sz w:val="24"/>
          <w:szCs w:val="24"/>
        </w:rPr>
        <w:t xml:space="preserve"> 试剂盒（BD Biosciences）中的固定液固定。然后用 Perm/Wash 缓冲液洗涤细胞，并在冰上用藻红蛋白标记的兔抗活性 caspase-3 抗体（BD Biosciences）染色 30 分钟。最后洗涤细胞，将其重悬于含 2% FBS 的 PBS 溶液中，并在 Becton Dickinson FACS </w:t>
      </w:r>
      <w:proofErr w:type="spellStart"/>
      <w:r w:rsidRPr="00393E29">
        <w:rPr>
          <w:rFonts w:ascii="微软雅黑" w:eastAsia="微软雅黑" w:hAnsi="微软雅黑" w:cs="宋体"/>
          <w:kern w:val="0"/>
          <w:sz w:val="24"/>
          <w:szCs w:val="24"/>
        </w:rPr>
        <w:t>Calibur</w:t>
      </w:r>
      <w:proofErr w:type="spellEnd"/>
      <w:r w:rsidRPr="00393E29">
        <w:rPr>
          <w:rFonts w:ascii="微软雅黑" w:eastAsia="微软雅黑" w:hAnsi="微软雅黑" w:cs="宋体"/>
          <w:kern w:val="0"/>
          <w:sz w:val="24"/>
          <w:szCs w:val="24"/>
        </w:rPr>
        <w:t xml:space="preserve"> 流式细胞仪上进行分析，以获得 caspase-3 阳性细胞的百分比。</w:t>
      </w:r>
    </w:p>
    <w:p w14:paraId="5EF6B309"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细胞活性氧测量</w:t>
      </w:r>
    </w:p>
    <w:p w14:paraId="393F37B6"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 xml:space="preserve">采用 </w:t>
      </w:r>
      <w:proofErr w:type="spellStart"/>
      <w:r w:rsidRPr="00393E29">
        <w:rPr>
          <w:rFonts w:ascii="微软雅黑" w:eastAsia="微软雅黑" w:hAnsi="微软雅黑" w:cs="宋体"/>
          <w:kern w:val="0"/>
          <w:sz w:val="24"/>
          <w:szCs w:val="24"/>
        </w:rPr>
        <w:t>CellROX</w:t>
      </w:r>
      <w:proofErr w:type="spellEnd"/>
      <w:r w:rsidRPr="00393E29">
        <w:rPr>
          <w:rFonts w:ascii="微软雅黑" w:eastAsia="微软雅黑" w:hAnsi="微软雅黑" w:cs="宋体"/>
          <w:kern w:val="0"/>
          <w:sz w:val="24"/>
          <w:szCs w:val="24"/>
        </w:rPr>
        <w:t xml:space="preserve"> Deep Red 流式细胞术检测试剂盒（</w:t>
      </w:r>
      <w:proofErr w:type="spellStart"/>
      <w:r w:rsidRPr="00393E29">
        <w:rPr>
          <w:rFonts w:ascii="微软雅黑" w:eastAsia="微软雅黑" w:hAnsi="微软雅黑" w:cs="宋体"/>
          <w:kern w:val="0"/>
          <w:sz w:val="24"/>
          <w:szCs w:val="24"/>
        </w:rPr>
        <w:t>ThermoFischer</w:t>
      </w:r>
      <w:proofErr w:type="spellEnd"/>
      <w:r w:rsidRPr="00393E29">
        <w:rPr>
          <w:rFonts w:ascii="微软雅黑" w:eastAsia="微软雅黑" w:hAnsi="微软雅黑" w:cs="宋体"/>
          <w:kern w:val="0"/>
          <w:sz w:val="24"/>
          <w:szCs w:val="24"/>
        </w:rPr>
        <w:t xml:space="preserve"> Scientific，Waltham，MA）并按照制造商的说明书测定细胞内 ROS 水平。简而言之，将细胞（每</w:t>
      </w:r>
      <w:proofErr w:type="gramStart"/>
      <w:r w:rsidRPr="00393E29">
        <w:rPr>
          <w:rFonts w:ascii="微软雅黑" w:eastAsia="微软雅黑" w:hAnsi="微软雅黑" w:cs="宋体"/>
          <w:kern w:val="0"/>
          <w:sz w:val="24"/>
          <w:szCs w:val="24"/>
        </w:rPr>
        <w:t>皿</w:t>
      </w:r>
      <w:proofErr w:type="gramEnd"/>
      <w:r w:rsidRPr="00393E29">
        <w:rPr>
          <w:rFonts w:ascii="微软雅黑" w:eastAsia="微软雅黑" w:hAnsi="微软雅黑" w:cs="宋体"/>
          <w:kern w:val="0"/>
          <w:sz w:val="24"/>
          <w:szCs w:val="24"/>
        </w:rPr>
        <w:t xml:space="preserve"> 1 × 10</w:t>
      </w:r>
      <w:r w:rsidRPr="00393E29">
        <w:rPr>
          <w:rFonts w:ascii="微软雅黑" w:eastAsia="微软雅黑" w:hAnsi="微软雅黑" w:cs="微软雅黑" w:hint="eastAsia"/>
          <w:kern w:val="0"/>
          <w:sz w:val="24"/>
          <w:szCs w:val="24"/>
        </w:rPr>
        <w:t>⁵</w:t>
      </w:r>
      <w:proofErr w:type="gramStart"/>
      <w:r w:rsidRPr="00393E29">
        <w:rPr>
          <w:rFonts w:ascii="微软雅黑" w:eastAsia="微软雅黑" w:hAnsi="微软雅黑" w:cs="宋体"/>
          <w:kern w:val="0"/>
          <w:sz w:val="24"/>
          <w:szCs w:val="24"/>
          <w:vertAlign w:val="superscript"/>
        </w:rPr>
        <w:t>个</w:t>
      </w:r>
      <w:proofErr w:type="gramEnd"/>
      <w:r w:rsidRPr="00393E29">
        <w:rPr>
          <w:rFonts w:ascii="微软雅黑" w:eastAsia="微软雅黑" w:hAnsi="微软雅黑" w:cs="宋体"/>
          <w:kern w:val="0"/>
          <w:sz w:val="24"/>
          <w:szCs w:val="24"/>
        </w:rPr>
        <w:t xml:space="preserve">细胞）接种于 10 cm 培养皿中，并处理 6 天。然后收集细胞，并用 500 </w:t>
      </w:r>
      <w:proofErr w:type="spellStart"/>
      <w:r w:rsidRPr="00393E29">
        <w:rPr>
          <w:rFonts w:ascii="微软雅黑" w:eastAsia="微软雅黑" w:hAnsi="微软雅黑" w:cs="宋体"/>
          <w:kern w:val="0"/>
          <w:sz w:val="24"/>
          <w:szCs w:val="24"/>
        </w:rPr>
        <w:t>nM</w:t>
      </w:r>
      <w:proofErr w:type="spellEnd"/>
      <w:r w:rsidRPr="00393E29">
        <w:rPr>
          <w:rFonts w:ascii="微软雅黑" w:eastAsia="微软雅黑" w:hAnsi="微软雅黑" w:cs="宋体"/>
          <w:kern w:val="0"/>
          <w:sz w:val="24"/>
          <w:szCs w:val="24"/>
        </w:rPr>
        <w:t xml:space="preserve"> </w:t>
      </w:r>
      <w:proofErr w:type="spellStart"/>
      <w:r w:rsidRPr="00393E29">
        <w:rPr>
          <w:rFonts w:ascii="微软雅黑" w:eastAsia="微软雅黑" w:hAnsi="微软雅黑" w:cs="宋体"/>
          <w:kern w:val="0"/>
          <w:sz w:val="24"/>
          <w:szCs w:val="24"/>
        </w:rPr>
        <w:t>CellROX</w:t>
      </w:r>
      <w:proofErr w:type="spellEnd"/>
      <w:r w:rsidRPr="00393E29">
        <w:rPr>
          <w:rFonts w:ascii="微软雅黑" w:eastAsia="微软雅黑" w:hAnsi="微软雅黑" w:cs="宋体"/>
          <w:kern w:val="0"/>
          <w:sz w:val="24"/>
          <w:szCs w:val="24"/>
        </w:rPr>
        <w:t xml:space="preserve"> 试剂在 37 °C 下染色 1 小时。使用 Beckman Coulter </w:t>
      </w:r>
      <w:proofErr w:type="spellStart"/>
      <w:r w:rsidRPr="00393E29">
        <w:rPr>
          <w:rFonts w:ascii="微软雅黑" w:eastAsia="微软雅黑" w:hAnsi="微软雅黑" w:cs="宋体"/>
          <w:kern w:val="0"/>
          <w:sz w:val="24"/>
          <w:szCs w:val="24"/>
        </w:rPr>
        <w:t>Gallios</w:t>
      </w:r>
      <w:proofErr w:type="spellEnd"/>
      <w:r w:rsidRPr="00393E29">
        <w:rPr>
          <w:rFonts w:ascii="微软雅黑" w:eastAsia="微软雅黑" w:hAnsi="微软雅黑" w:cs="宋体"/>
          <w:kern w:val="0"/>
          <w:sz w:val="24"/>
          <w:szCs w:val="24"/>
        </w:rPr>
        <w:t xml:space="preserve"> 流式细胞仪，以 635 nm 激光进行分析；使用 </w:t>
      </w:r>
      <w:proofErr w:type="spellStart"/>
      <w:r w:rsidRPr="00393E29">
        <w:rPr>
          <w:rFonts w:ascii="微软雅黑" w:eastAsia="微软雅黑" w:hAnsi="微软雅黑" w:cs="宋体"/>
          <w:kern w:val="0"/>
          <w:sz w:val="24"/>
          <w:szCs w:val="24"/>
        </w:rPr>
        <w:t>FlowJo</w:t>
      </w:r>
      <w:proofErr w:type="spellEnd"/>
      <w:r w:rsidRPr="00393E29">
        <w:rPr>
          <w:rFonts w:ascii="微软雅黑" w:eastAsia="微软雅黑" w:hAnsi="微软雅黑" w:cs="宋体"/>
          <w:kern w:val="0"/>
          <w:sz w:val="24"/>
          <w:szCs w:val="24"/>
        </w:rPr>
        <w:t xml:space="preserve"> 软件分析数据，并获得平均荧光强度 (MFI)。</w:t>
      </w:r>
    </w:p>
    <w:p w14:paraId="494919FB"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单丹酰尸胺的测量</w:t>
      </w:r>
    </w:p>
    <w:p w14:paraId="14769C5C"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vertAlign w:val="superscript"/>
        </w:rPr>
        <w:t>将细胞以 1 × 10</w:t>
      </w:r>
      <w:r w:rsidRPr="00393E29">
        <w:rPr>
          <w:rFonts w:ascii="微软雅黑" w:eastAsia="微软雅黑" w:hAnsi="微软雅黑" w:cs="微软雅黑" w:hint="eastAsia"/>
          <w:kern w:val="0"/>
          <w:sz w:val="24"/>
          <w:szCs w:val="24"/>
          <w:vertAlign w:val="superscript"/>
        </w:rPr>
        <w:t>⁵</w:t>
      </w:r>
      <w:r w:rsidRPr="00393E29">
        <w:rPr>
          <w:rFonts w:ascii="微软雅黑" w:eastAsia="微软雅黑" w:hAnsi="微软雅黑" w:cs="宋体"/>
          <w:kern w:val="0"/>
          <w:sz w:val="24"/>
          <w:szCs w:val="24"/>
          <w:vertAlign w:val="superscript"/>
        </w:rPr>
        <w:t xml:space="preserve"> </w:t>
      </w:r>
      <w:proofErr w:type="gramStart"/>
      <w:r w:rsidRPr="00393E29">
        <w:rPr>
          <w:rFonts w:ascii="微软雅黑" w:eastAsia="微软雅黑" w:hAnsi="微软雅黑" w:cs="宋体"/>
          <w:kern w:val="0"/>
          <w:sz w:val="24"/>
          <w:szCs w:val="24"/>
          <w:vertAlign w:val="superscript"/>
        </w:rPr>
        <w:t>个</w:t>
      </w:r>
      <w:proofErr w:type="gramEnd"/>
      <w:r w:rsidRPr="00393E29">
        <w:rPr>
          <w:rFonts w:ascii="微软雅黑" w:eastAsia="微软雅黑" w:hAnsi="微软雅黑" w:cs="宋体"/>
          <w:kern w:val="0"/>
          <w:sz w:val="24"/>
          <w:szCs w:val="24"/>
        </w:rPr>
        <w:t>/</w:t>
      </w:r>
      <w:proofErr w:type="gramStart"/>
      <w:r w:rsidRPr="00393E29">
        <w:rPr>
          <w:rFonts w:ascii="微软雅黑" w:eastAsia="微软雅黑" w:hAnsi="微软雅黑" w:cs="宋体"/>
          <w:kern w:val="0"/>
          <w:sz w:val="24"/>
          <w:szCs w:val="24"/>
        </w:rPr>
        <w:t>皿</w:t>
      </w:r>
      <w:proofErr w:type="gramEnd"/>
      <w:r w:rsidRPr="00393E29">
        <w:rPr>
          <w:rFonts w:ascii="微软雅黑" w:eastAsia="微软雅黑" w:hAnsi="微软雅黑" w:cs="宋体"/>
          <w:kern w:val="0"/>
          <w:sz w:val="24"/>
          <w:szCs w:val="24"/>
        </w:rPr>
        <w:t xml:space="preserve">的密度接种于 10 cm 培养皿中，并用不同浓度的帕博西尼处理 6 天。药物处理结束后，将细胞与 50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 xml:space="preserve"> MDC（Sigma-Aldrich）于 37 °C 孵育 45 分钟。然后收集细胞，用 PBS 洗涤，并重悬于含 1% FBS 的 PBS 溶液中。使用 355 nm 紫外激光器，在 Becton Dickinson FACS LSR II 流式细胞仪上分析样品。使用 </w:t>
      </w:r>
      <w:proofErr w:type="spellStart"/>
      <w:r w:rsidRPr="00393E29">
        <w:rPr>
          <w:rFonts w:ascii="微软雅黑" w:eastAsia="微软雅黑" w:hAnsi="微软雅黑" w:cs="宋体"/>
          <w:kern w:val="0"/>
          <w:sz w:val="24"/>
          <w:szCs w:val="24"/>
        </w:rPr>
        <w:t>FlowJo</w:t>
      </w:r>
      <w:proofErr w:type="spellEnd"/>
      <w:r w:rsidRPr="00393E29">
        <w:rPr>
          <w:rFonts w:ascii="微软雅黑" w:eastAsia="微软雅黑" w:hAnsi="微软雅黑" w:cs="宋体"/>
          <w:kern w:val="0"/>
          <w:sz w:val="24"/>
          <w:szCs w:val="24"/>
        </w:rPr>
        <w:t xml:space="preserve"> 软件分析数据，并获得 MDC 阳性细胞的百分比和平均荧光强度 (MFI)。</w:t>
      </w:r>
    </w:p>
    <w:p w14:paraId="255937A9"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lastRenderedPageBreak/>
        <w:t>免疫荧光</w:t>
      </w:r>
    </w:p>
    <w:p w14:paraId="6AB917BF"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 xml:space="preserve">对于 GFP-LC3 斑点检测，将稳定表达 GFP-LC3 的 MCF7、MDA-MB-231 和 MDA-MB-468 细胞接种于六孔板中，并用药物处理 48 小时。处理后，用 1×PBS 洗涤细胞，用 4% 多聚甲醛固定 10 分钟，并用含 DAPI 的 </w:t>
      </w:r>
      <w:proofErr w:type="spellStart"/>
      <w:r w:rsidRPr="00393E29">
        <w:rPr>
          <w:rFonts w:ascii="微软雅黑" w:eastAsia="微软雅黑" w:hAnsi="微软雅黑" w:cs="宋体"/>
          <w:kern w:val="0"/>
          <w:sz w:val="24"/>
          <w:szCs w:val="24"/>
        </w:rPr>
        <w:t>Vectashield</w:t>
      </w:r>
      <w:proofErr w:type="spellEnd"/>
      <w:r w:rsidRPr="00393E29">
        <w:rPr>
          <w:rFonts w:ascii="微软雅黑" w:eastAsia="微软雅黑" w:hAnsi="微软雅黑" w:cs="宋体"/>
          <w:kern w:val="0"/>
          <w:sz w:val="24"/>
          <w:szCs w:val="24"/>
        </w:rPr>
        <w:t xml:space="preserve"> 封片剂封片。然后使用蔡司 LSM880 共聚焦显微镜，以 488 nm 激光（GFP）观察细胞中 GFP-LC3 斑点的存在。使用 </w:t>
      </w:r>
      <w:proofErr w:type="spellStart"/>
      <w:r w:rsidRPr="00393E29">
        <w:rPr>
          <w:rFonts w:ascii="微软雅黑" w:eastAsia="微软雅黑" w:hAnsi="微软雅黑" w:cs="宋体"/>
          <w:kern w:val="0"/>
          <w:sz w:val="24"/>
          <w:szCs w:val="24"/>
        </w:rPr>
        <w:t>ImgeJ</w:t>
      </w:r>
      <w:proofErr w:type="spellEnd"/>
      <w:r w:rsidRPr="00393E29">
        <w:rPr>
          <w:rFonts w:ascii="微软雅黑" w:eastAsia="微软雅黑" w:hAnsi="微软雅黑" w:cs="宋体"/>
          <w:kern w:val="0"/>
          <w:sz w:val="24"/>
          <w:szCs w:val="24"/>
        </w:rPr>
        <w:t xml:space="preserve"> 软件对斑点进行定量分析。</w:t>
      </w:r>
    </w:p>
    <w:p w14:paraId="59D0F3EB"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 xml:space="preserve">对于 RFP-GFP-LC3 </w:t>
      </w:r>
      <w:proofErr w:type="gramStart"/>
      <w:r w:rsidRPr="00393E29">
        <w:rPr>
          <w:rFonts w:ascii="微软雅黑" w:eastAsia="微软雅黑" w:hAnsi="微软雅黑" w:cs="宋体"/>
          <w:kern w:val="0"/>
          <w:sz w:val="24"/>
          <w:szCs w:val="24"/>
        </w:rPr>
        <w:t>双报告</w:t>
      </w:r>
      <w:proofErr w:type="gramEnd"/>
      <w:r w:rsidRPr="00393E29">
        <w:rPr>
          <w:rFonts w:ascii="微软雅黑" w:eastAsia="微软雅黑" w:hAnsi="微软雅黑" w:cs="宋体"/>
          <w:kern w:val="0"/>
          <w:sz w:val="24"/>
          <w:szCs w:val="24"/>
        </w:rPr>
        <w:t>基因检测，细胞用 ptf-LC3 载体转染，并按先前描述的方法进行分析</w:t>
      </w:r>
      <w:r w:rsidRPr="00393E29">
        <w:rPr>
          <w:rFonts w:ascii="微软雅黑" w:eastAsia="微软雅黑" w:hAnsi="微软雅黑" w:cs="宋体"/>
          <w:kern w:val="0"/>
          <w:sz w:val="24"/>
          <w:szCs w:val="24"/>
          <w:u w:val="single"/>
          <w:vertAlign w:val="superscript"/>
        </w:rPr>
        <w:t>&lt;sup&gt; </w:t>
      </w:r>
      <w:hyperlink r:id="rId93" w:anchor="b24" w:history="1">
        <w:r w:rsidRPr="00393E29">
          <w:rPr>
            <w:rFonts w:ascii="微软雅黑" w:eastAsia="微软雅黑" w:hAnsi="微软雅黑" w:cs="宋体"/>
            <w:kern w:val="0"/>
            <w:sz w:val="24"/>
            <w:szCs w:val="24"/>
            <w:u w:val="single"/>
            <w:vertAlign w:val="superscript"/>
          </w:rPr>
          <w:t>24&lt;/sup&gt;</w:t>
        </w:r>
      </w:hyperlink>
      <w:r w:rsidRPr="00393E29">
        <w:rPr>
          <w:rFonts w:ascii="微软雅黑" w:eastAsia="微软雅黑" w:hAnsi="微软雅黑" w:cs="宋体"/>
          <w:kern w:val="0"/>
          <w:sz w:val="24"/>
          <w:szCs w:val="24"/>
        </w:rPr>
        <w:t xml:space="preserve">。简而言之，使用 Lipofectamine 2000 按照制造商的说明进行 ptfLC3 载体转染。然后用药物处理细胞 48 小时，用 1×PBS 洗涤，用 4% 多聚甲醛短暂固定（10 分钟），并用 </w:t>
      </w:r>
      <w:proofErr w:type="spellStart"/>
      <w:r w:rsidRPr="00393E29">
        <w:rPr>
          <w:rFonts w:ascii="微软雅黑" w:eastAsia="微软雅黑" w:hAnsi="微软雅黑" w:cs="宋体"/>
          <w:kern w:val="0"/>
          <w:sz w:val="24"/>
          <w:szCs w:val="24"/>
        </w:rPr>
        <w:t>Vectashield</w:t>
      </w:r>
      <w:proofErr w:type="spellEnd"/>
      <w:r w:rsidRPr="00393E29">
        <w:rPr>
          <w:rFonts w:ascii="微软雅黑" w:eastAsia="微软雅黑" w:hAnsi="微软雅黑" w:cs="宋体"/>
          <w:kern w:val="0"/>
          <w:sz w:val="24"/>
          <w:szCs w:val="24"/>
        </w:rPr>
        <w:t xml:space="preserve"> 封片剂封片。随后使用蔡司 LSM880 共聚焦显微镜，分别在 488 nm 和 643 nm 通道对 GFP&lt;sup&gt;+&lt;/sup&gt; 和 RFP&lt;sup&gt;+&lt;/sup&gt; LC3 斑点进行成像。使用 </w:t>
      </w:r>
      <w:proofErr w:type="spellStart"/>
      <w:r w:rsidRPr="00393E29">
        <w:rPr>
          <w:rFonts w:ascii="微软雅黑" w:eastAsia="微软雅黑" w:hAnsi="微软雅黑" w:cs="宋体"/>
          <w:kern w:val="0"/>
          <w:sz w:val="24"/>
          <w:szCs w:val="24"/>
        </w:rPr>
        <w:t>ImgeJ</w:t>
      </w:r>
      <w:proofErr w:type="spellEnd"/>
      <w:r w:rsidRPr="00393E29">
        <w:rPr>
          <w:rFonts w:ascii="微软雅黑" w:eastAsia="微软雅黑" w:hAnsi="微软雅黑" w:cs="宋体"/>
          <w:kern w:val="0"/>
          <w:sz w:val="24"/>
          <w:szCs w:val="24"/>
        </w:rPr>
        <w:t xml:space="preserve"> 软件对斑点进行定量，以获得自噬体（黄色 -RFP&lt;sup&gt;+&lt;/sup&gt; GFP&lt;sup&gt;+&lt;/sup&gt;）和自噬溶酶体（红色 -RFP&lt;sup&gt;+&lt;/sup&gt;）的数量。</w:t>
      </w:r>
    </w:p>
    <w:p w14:paraId="402A700A"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透射电子显微镜</w:t>
      </w:r>
    </w:p>
    <w:p w14:paraId="3718F82A"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对于细胞系，将约5000个细胞接种于12孔板的每个孔中，并用药物处理6天。对于异种移植瘤，收集肿瘤组织并将其切成1 mm³的</w:t>
      </w:r>
      <w:r w:rsidRPr="00393E29">
        <w:rPr>
          <w:rFonts w:ascii="微软雅黑" w:eastAsia="微软雅黑" w:hAnsi="微软雅黑" w:cs="宋体"/>
          <w:kern w:val="0"/>
          <w:sz w:val="24"/>
          <w:szCs w:val="24"/>
          <w:vertAlign w:val="superscript"/>
        </w:rPr>
        <w:t>小块</w:t>
      </w:r>
      <w:r w:rsidRPr="00393E29">
        <w:rPr>
          <w:rFonts w:ascii="微软雅黑" w:eastAsia="微软雅黑" w:hAnsi="微软雅黑" w:cs="宋体"/>
          <w:kern w:val="0"/>
          <w:sz w:val="24"/>
          <w:szCs w:val="24"/>
        </w:rPr>
        <w:t>。细胞系和肿瘤样本的处理方法类似，并在MD安德森癌症中心的高分辨率电子显微镜实验室进行电镜观察，具体方法如前所述</w:t>
      </w:r>
      <w:r w:rsidRPr="00393E29">
        <w:rPr>
          <w:rFonts w:ascii="微软雅黑" w:eastAsia="微软雅黑" w:hAnsi="微软雅黑" w:cs="宋体"/>
          <w:kern w:val="0"/>
          <w:sz w:val="24"/>
          <w:szCs w:val="24"/>
          <w:u w:val="single"/>
          <w:vertAlign w:val="superscript"/>
        </w:rPr>
        <w:t>&lt;sup&gt; </w:t>
      </w:r>
      <w:hyperlink r:id="rId94" w:anchor="b65" w:history="1">
        <w:r w:rsidRPr="00393E29">
          <w:rPr>
            <w:rFonts w:ascii="微软雅黑" w:eastAsia="微软雅黑" w:hAnsi="微软雅黑" w:cs="宋体"/>
            <w:kern w:val="0"/>
            <w:sz w:val="24"/>
            <w:szCs w:val="24"/>
            <w:u w:val="single"/>
            <w:vertAlign w:val="superscript"/>
          </w:rPr>
          <w:t>65&lt;/sup&gt;</w:t>
        </w:r>
      </w:hyperlink>
      <w:r w:rsidRPr="00393E29">
        <w:rPr>
          <w:rFonts w:ascii="微软雅黑" w:eastAsia="微软雅黑" w:hAnsi="微软雅黑" w:cs="宋体"/>
          <w:kern w:val="0"/>
          <w:sz w:val="24"/>
          <w:szCs w:val="24"/>
        </w:rPr>
        <w:t>。简而言之，样本用含有3%戊二醛和2%</w:t>
      </w:r>
      <w:r w:rsidRPr="00393E29">
        <w:rPr>
          <w:rFonts w:ascii="微软雅黑" w:eastAsia="微软雅黑" w:hAnsi="微软雅黑" w:cs="宋体"/>
          <w:kern w:val="0"/>
          <w:sz w:val="24"/>
          <w:szCs w:val="24"/>
        </w:rPr>
        <w:lastRenderedPageBreak/>
        <w:t>多聚甲醛的0.1 M二甲胂酸钠缓冲液（pH 7.3）固定。然后用0.1 M二甲胂酸钠缓冲液洗涤样本，并用0.1%经Millipore过滤的二甲胂酸钠缓冲的单宁酸处理。最后，用1%缓冲的四氧化锇固定30分钟，并用1%经Millipore过滤的醋酸铀酰进行</w:t>
      </w:r>
      <w:r w:rsidRPr="00393E29">
        <w:rPr>
          <w:rFonts w:ascii="微软雅黑" w:eastAsia="微软雅黑" w:hAnsi="微软雅黑" w:cs="宋体"/>
          <w:i/>
          <w:iCs/>
          <w:kern w:val="0"/>
          <w:sz w:val="24"/>
          <w:szCs w:val="24"/>
        </w:rPr>
        <w:t>整体染色</w:t>
      </w:r>
      <w:r w:rsidRPr="00393E29">
        <w:rPr>
          <w:rFonts w:ascii="微软雅黑" w:eastAsia="微软雅黑" w:hAnsi="微软雅黑" w:cs="宋体"/>
          <w:kern w:val="0"/>
          <w:sz w:val="24"/>
          <w:szCs w:val="24"/>
        </w:rPr>
        <w:t xml:space="preserve">。样品经浓度递增的乙醇脱水，过滤后包埋于LX-112包埋剂中。随后在60℃烘箱中聚合约3天。使用Leica </w:t>
      </w:r>
      <w:proofErr w:type="spellStart"/>
      <w:r w:rsidRPr="00393E29">
        <w:rPr>
          <w:rFonts w:ascii="微软雅黑" w:eastAsia="微软雅黑" w:hAnsi="微软雅黑" w:cs="宋体"/>
          <w:kern w:val="0"/>
          <w:sz w:val="24"/>
          <w:szCs w:val="24"/>
        </w:rPr>
        <w:t>Ultracut</w:t>
      </w:r>
      <w:proofErr w:type="spellEnd"/>
      <w:r w:rsidRPr="00393E29">
        <w:rPr>
          <w:rFonts w:ascii="微软雅黑" w:eastAsia="微软雅黑" w:hAnsi="微软雅黑" w:cs="宋体"/>
          <w:kern w:val="0"/>
          <w:sz w:val="24"/>
          <w:szCs w:val="24"/>
        </w:rPr>
        <w:t>超薄切片机（Leica公司，美国伊利诺伊州迪尔菲尔德）切取超薄切片，在Leica EM染色仪中用醋酸铀和柠檬酸铅染色，并在JEM 1010透射电镜（JEOL公司，美国马萨诸塞州皮博迪）下以80 kV的加速电压进行观察。使用AMT成像系统（Advanced Microscopy Techniques公司，美国马萨诸塞州丹</w:t>
      </w:r>
      <w:proofErr w:type="gramStart"/>
      <w:r w:rsidRPr="00393E29">
        <w:rPr>
          <w:rFonts w:ascii="微软雅黑" w:eastAsia="微软雅黑" w:hAnsi="微软雅黑" w:cs="宋体"/>
          <w:kern w:val="0"/>
          <w:sz w:val="24"/>
          <w:szCs w:val="24"/>
        </w:rPr>
        <w:t>弗</w:t>
      </w:r>
      <w:proofErr w:type="gramEnd"/>
      <w:r w:rsidRPr="00393E29">
        <w:rPr>
          <w:rFonts w:ascii="微软雅黑" w:eastAsia="微软雅黑" w:hAnsi="微软雅黑" w:cs="宋体"/>
          <w:kern w:val="0"/>
          <w:sz w:val="24"/>
          <w:szCs w:val="24"/>
        </w:rPr>
        <w:t>斯）分别以5,000倍、25,000倍和50,000倍的放大倍率获取数字图像。</w:t>
      </w:r>
    </w:p>
    <w:p w14:paraId="53F53681"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i/>
          <w:iCs/>
          <w:kern w:val="0"/>
          <w:sz w:val="32"/>
          <w:szCs w:val="32"/>
        </w:rPr>
        <w:t>体内</w:t>
      </w:r>
      <w:r w:rsidRPr="00393E29">
        <w:rPr>
          <w:rFonts w:ascii="微软雅黑" w:eastAsia="微软雅黑" w:hAnsi="微软雅黑" w:cs="宋体"/>
          <w:kern w:val="0"/>
          <w:sz w:val="32"/>
          <w:szCs w:val="32"/>
        </w:rPr>
        <w:t>异种移植研究</w:t>
      </w:r>
    </w:p>
    <w:p w14:paraId="0138C524"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在所有异种移植实验中，将雌激素缓释片（0.72 mg 17β-雌二醇缓释片，90天释放，Innovative Research of America，Sarasota，FL）皮下植入4至6周</w:t>
      </w:r>
      <w:proofErr w:type="gramStart"/>
      <w:r w:rsidRPr="00393E29">
        <w:rPr>
          <w:rFonts w:ascii="微软雅黑" w:eastAsia="微软雅黑" w:hAnsi="微软雅黑" w:cs="宋体"/>
          <w:kern w:val="0"/>
          <w:sz w:val="24"/>
          <w:szCs w:val="24"/>
        </w:rPr>
        <w:t>龄</w:t>
      </w:r>
      <w:proofErr w:type="gramEnd"/>
      <w:r w:rsidRPr="00393E29">
        <w:rPr>
          <w:rFonts w:ascii="微软雅黑" w:eastAsia="微软雅黑" w:hAnsi="微软雅黑" w:cs="宋体"/>
          <w:kern w:val="0"/>
          <w:sz w:val="24"/>
          <w:szCs w:val="24"/>
        </w:rPr>
        <w:t>雌性裸鼠体内。将MCF7-T细胞（5 × 10</w:t>
      </w:r>
      <w:r w:rsidRPr="00393E29">
        <w:rPr>
          <w:rFonts w:ascii="MS Gothic" w:eastAsia="MS Gothic" w:hAnsi="MS Gothic" w:cs="MS Gothic" w:hint="eastAsia"/>
          <w:kern w:val="0"/>
          <w:sz w:val="24"/>
          <w:szCs w:val="24"/>
        </w:rPr>
        <w:t>⁶</w:t>
      </w:r>
      <w:proofErr w:type="gramStart"/>
      <w:r w:rsidRPr="00393E29">
        <w:rPr>
          <w:rFonts w:ascii="微软雅黑" w:eastAsia="微软雅黑" w:hAnsi="微软雅黑" w:cs="宋体"/>
          <w:kern w:val="0"/>
          <w:sz w:val="24"/>
          <w:szCs w:val="24"/>
          <w:vertAlign w:val="superscript"/>
        </w:rPr>
        <w:t>个</w:t>
      </w:r>
      <w:proofErr w:type="gramEnd"/>
      <w:r w:rsidRPr="00393E29">
        <w:rPr>
          <w:rFonts w:ascii="微软雅黑" w:eastAsia="微软雅黑" w:hAnsi="微软雅黑" w:cs="宋体"/>
          <w:kern w:val="0"/>
          <w:sz w:val="24"/>
          <w:szCs w:val="24"/>
        </w:rPr>
        <w:t>细胞，与Matrigel（BD Biosciences）按1:1比例混合）双侧注射至第五和第十腹股沟乳腺脂肪垫。在剂量确定实验中，当肿瘤平均体积达到200 mm³时</w:t>
      </w:r>
      <w:r w:rsidRPr="00393E29">
        <w:rPr>
          <w:rFonts w:ascii="微软雅黑" w:eastAsia="微软雅黑" w:hAnsi="微软雅黑" w:cs="宋体"/>
          <w:kern w:val="0"/>
          <w:sz w:val="24"/>
          <w:szCs w:val="24"/>
          <w:vertAlign w:val="superscript"/>
        </w:rPr>
        <w:t>，</w:t>
      </w:r>
      <w:proofErr w:type="gramStart"/>
      <w:r w:rsidRPr="00393E29">
        <w:rPr>
          <w:rFonts w:ascii="微软雅黑" w:eastAsia="微软雅黑" w:hAnsi="微软雅黑" w:cs="宋体"/>
          <w:kern w:val="0"/>
          <w:sz w:val="24"/>
          <w:szCs w:val="24"/>
        </w:rPr>
        <w:t>将荷瘤</w:t>
      </w:r>
      <w:proofErr w:type="gramEnd"/>
      <w:r w:rsidRPr="00393E29">
        <w:rPr>
          <w:rFonts w:ascii="微软雅黑" w:eastAsia="微软雅黑" w:hAnsi="微软雅黑" w:cs="宋体"/>
          <w:kern w:val="0"/>
          <w:sz w:val="24"/>
          <w:szCs w:val="24"/>
        </w:rPr>
        <w:t>小鼠随机分为五组（每组</w:t>
      </w:r>
      <w:r w:rsidRPr="00393E29">
        <w:rPr>
          <w:rFonts w:ascii="微软雅黑" w:eastAsia="微软雅黑" w:hAnsi="微软雅黑" w:cs="宋体"/>
          <w:i/>
          <w:iCs/>
          <w:kern w:val="0"/>
          <w:sz w:val="24"/>
          <w:szCs w:val="24"/>
        </w:rPr>
        <w:t>n =3），分别用赋形剂（0.5%甲基纤维素）或25 mg </w:t>
      </w:r>
      <w:r w:rsidRPr="00393E29">
        <w:rPr>
          <w:rFonts w:ascii="微软雅黑" w:eastAsia="微软雅黑" w:hAnsi="微软雅黑" w:cs="宋体"/>
          <w:kern w:val="0"/>
          <w:sz w:val="24"/>
          <w:szCs w:val="24"/>
          <w:vertAlign w:val="superscript"/>
        </w:rPr>
        <w:t>kg</w:t>
      </w:r>
      <w:r w:rsidRPr="00393E29">
        <w:rPr>
          <w:rFonts w:ascii="MS Gothic" w:eastAsia="MS Gothic" w:hAnsi="MS Gothic" w:cs="MS Gothic" w:hint="eastAsia"/>
          <w:kern w:val="0"/>
          <w:sz w:val="24"/>
          <w:szCs w:val="24"/>
          <w:vertAlign w:val="superscript"/>
        </w:rPr>
        <w:t>⁻</w:t>
      </w:r>
      <w:r w:rsidRPr="00393E29">
        <w:rPr>
          <w:rFonts w:ascii="微软雅黑" w:eastAsia="微软雅黑" w:hAnsi="微软雅黑" w:cs="宋体" w:hint="eastAsia"/>
          <w:kern w:val="0"/>
          <w:sz w:val="24"/>
          <w:szCs w:val="24"/>
          <w:vertAlign w:val="superscript"/>
        </w:rPr>
        <w:t>¹</w:t>
      </w:r>
      <w:r w:rsidRPr="00393E29">
        <w:rPr>
          <w:rFonts w:ascii="微软雅黑" w:eastAsia="微软雅黑" w:hAnsi="微软雅黑" w:cs="宋体"/>
          <w:kern w:val="0"/>
          <w:sz w:val="24"/>
          <w:szCs w:val="24"/>
        </w:rPr>
        <w:t>、50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 </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 75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vertAlign w:val="superscript"/>
        </w:rPr>
        <w:t>或</w:t>
      </w:r>
      <w:r w:rsidRPr="00393E29">
        <w:rPr>
          <w:rFonts w:ascii="微软雅黑" w:eastAsia="微软雅黑" w:hAnsi="微软雅黑" w:cs="宋体"/>
          <w:kern w:val="0"/>
          <w:sz w:val="24"/>
          <w:szCs w:val="24"/>
        </w:rPr>
        <w:t>150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vertAlign w:val="superscript"/>
        </w:rPr>
        <w:t>的</w:t>
      </w:r>
      <w:r w:rsidRPr="00393E29">
        <w:rPr>
          <w:rFonts w:ascii="微软雅黑" w:eastAsia="微软雅黑" w:hAnsi="微软雅黑" w:cs="宋体"/>
          <w:kern w:val="0"/>
          <w:sz w:val="24"/>
          <w:szCs w:val="24"/>
        </w:rPr>
        <w:t>帕博西尼进行治疗。帕博西尼连续7天每日经口灌胃给药。在联合治疗实验中，当肿瘤平均体积达到250 mm³时</w:t>
      </w:r>
      <w:r w:rsidRPr="00393E29">
        <w:rPr>
          <w:rFonts w:ascii="微软雅黑" w:eastAsia="微软雅黑" w:hAnsi="微软雅黑" w:cs="宋体"/>
          <w:kern w:val="0"/>
          <w:sz w:val="24"/>
          <w:szCs w:val="24"/>
          <w:vertAlign w:val="superscript"/>
        </w:rPr>
        <w:t>，</w:t>
      </w:r>
      <w:proofErr w:type="gramStart"/>
      <w:r w:rsidRPr="00393E29">
        <w:rPr>
          <w:rFonts w:ascii="微软雅黑" w:eastAsia="微软雅黑" w:hAnsi="微软雅黑" w:cs="宋体"/>
          <w:kern w:val="0"/>
          <w:sz w:val="24"/>
          <w:szCs w:val="24"/>
        </w:rPr>
        <w:t>将荷瘤</w:t>
      </w:r>
      <w:proofErr w:type="gramEnd"/>
      <w:r w:rsidRPr="00393E29">
        <w:rPr>
          <w:rFonts w:ascii="微软雅黑" w:eastAsia="微软雅黑" w:hAnsi="微软雅黑" w:cs="宋体"/>
          <w:kern w:val="0"/>
          <w:sz w:val="24"/>
          <w:szCs w:val="24"/>
        </w:rPr>
        <w:t>小鼠随机分为四组（每组</w:t>
      </w:r>
      <w:r w:rsidRPr="00393E29">
        <w:rPr>
          <w:rFonts w:ascii="微软雅黑" w:eastAsia="微软雅黑" w:hAnsi="微软雅黑" w:cs="宋体"/>
          <w:i/>
          <w:iCs/>
          <w:kern w:val="0"/>
          <w:sz w:val="24"/>
          <w:szCs w:val="24"/>
        </w:rPr>
        <w:t>n</w:t>
      </w:r>
      <w:r w:rsidRPr="00393E29">
        <w:rPr>
          <w:rFonts w:ascii="微软雅黑" w:eastAsia="微软雅黑" w:hAnsi="微软雅黑" w:cs="宋体"/>
          <w:kern w:val="0"/>
          <w:sz w:val="24"/>
          <w:szCs w:val="24"/>
        </w:rPr>
        <w:t> =9），分别接受赋形剂（0.5%甲基纤维素和PBS）、羟氯喹（60 mg/kg </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w:t>
      </w:r>
      <w:r w:rsidRPr="00393E29">
        <w:rPr>
          <w:rFonts w:ascii="微软雅黑" w:eastAsia="微软雅黑" w:hAnsi="微软雅黑" w:cs="宋体"/>
          <w:kern w:val="0"/>
          <w:sz w:val="24"/>
          <w:szCs w:val="24"/>
        </w:rPr>
        <w:lastRenderedPageBreak/>
        <w:t>帕博西尼（25 mg/kg </w:t>
      </w:r>
      <w:r w:rsidRPr="00393E29">
        <w:rPr>
          <w:rFonts w:ascii="微软雅黑" w:eastAsia="微软雅黑" w:hAnsi="微软雅黑" w:cs="宋体"/>
          <w:kern w:val="0"/>
          <w:sz w:val="24"/>
          <w:szCs w:val="24"/>
          <w:vertAlign w:val="superscript"/>
        </w:rPr>
        <w:t>）或帕博西尼（25 mg/ kg</w:t>
      </w:r>
      <w:r w:rsidRPr="00393E29">
        <w:rPr>
          <w:rFonts w:ascii="微软雅黑" w:eastAsia="微软雅黑" w:hAnsi="微软雅黑" w:cs="宋体"/>
          <w:kern w:val="0"/>
          <w:sz w:val="24"/>
          <w:szCs w:val="24"/>
        </w:rPr>
        <w:t> ）联合</w:t>
      </w:r>
      <w:proofErr w:type="gramStart"/>
      <w:r w:rsidRPr="00393E29">
        <w:rPr>
          <w:rFonts w:ascii="微软雅黑" w:eastAsia="微软雅黑" w:hAnsi="微软雅黑" w:cs="宋体"/>
          <w:kern w:val="0"/>
          <w:sz w:val="24"/>
          <w:szCs w:val="24"/>
        </w:rPr>
        <w:t>羟</w:t>
      </w:r>
      <w:proofErr w:type="gramEnd"/>
      <w:r w:rsidRPr="00393E29">
        <w:rPr>
          <w:rFonts w:ascii="微软雅黑" w:eastAsia="微软雅黑" w:hAnsi="微软雅黑" w:cs="宋体"/>
          <w:kern w:val="0"/>
          <w:sz w:val="24"/>
          <w:szCs w:val="24"/>
        </w:rPr>
        <w:t>氯喹（60 mg/kg </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治疗。帕博西尼每日经口灌胃给药，羟氯喹每日经腹腔注射给药，持续21天。</w:t>
      </w:r>
    </w:p>
    <w:p w14:paraId="79EF941F"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在 Lys-05 毒性实验中，将未携带肿瘤的雌性裸鼠每天通过腹腔注射给予不同浓度的 Lys-05（1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 </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 5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 </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 10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vertAlign w:val="superscript"/>
        </w:rPr>
        <w:t>和</w:t>
      </w:r>
      <w:r w:rsidRPr="00393E29">
        <w:rPr>
          <w:rFonts w:ascii="微软雅黑" w:eastAsia="微软雅黑" w:hAnsi="微软雅黑" w:cs="宋体"/>
          <w:kern w:val="0"/>
          <w:sz w:val="24"/>
          <w:szCs w:val="24"/>
        </w:rPr>
        <w:t>20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 </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，持续 21 天。在 Lys-05 联合治疗实验中，当原位异种移植瘤的平均体积达到 250 mm³ 时</w:t>
      </w:r>
      <w:r w:rsidRPr="00393E29">
        <w:rPr>
          <w:rFonts w:ascii="微软雅黑" w:eastAsia="微软雅黑" w:hAnsi="微软雅黑" w:cs="宋体"/>
          <w:kern w:val="0"/>
          <w:sz w:val="24"/>
          <w:szCs w:val="24"/>
          <w:vertAlign w:val="superscript"/>
        </w:rPr>
        <w:t>，</w:t>
      </w:r>
      <w:proofErr w:type="gramStart"/>
      <w:r w:rsidRPr="00393E29">
        <w:rPr>
          <w:rFonts w:ascii="微软雅黑" w:eastAsia="微软雅黑" w:hAnsi="微软雅黑" w:cs="宋体"/>
          <w:kern w:val="0"/>
          <w:sz w:val="24"/>
          <w:szCs w:val="24"/>
        </w:rPr>
        <w:t>将荷瘤</w:t>
      </w:r>
      <w:proofErr w:type="gramEnd"/>
      <w:r w:rsidRPr="00393E29">
        <w:rPr>
          <w:rFonts w:ascii="微软雅黑" w:eastAsia="微软雅黑" w:hAnsi="微软雅黑" w:cs="宋体"/>
          <w:kern w:val="0"/>
          <w:sz w:val="24"/>
          <w:szCs w:val="24"/>
        </w:rPr>
        <w:t>小鼠随机分为四组（每组</w:t>
      </w:r>
      <w:r w:rsidRPr="00393E29">
        <w:rPr>
          <w:rFonts w:ascii="微软雅黑" w:eastAsia="微软雅黑" w:hAnsi="微软雅黑" w:cs="宋体"/>
          <w:i/>
          <w:iCs/>
          <w:kern w:val="0"/>
          <w:sz w:val="24"/>
          <w:szCs w:val="24"/>
        </w:rPr>
        <w:t>n = 5），分别用载体（0.5% 甲基纤维素和 PBS）、Lys-05（10 mg </w:t>
      </w:r>
      <w:r w:rsidRPr="00393E29">
        <w:rPr>
          <w:rFonts w:ascii="微软雅黑" w:eastAsia="微软雅黑" w:hAnsi="微软雅黑" w:cs="宋体"/>
          <w:kern w:val="0"/>
          <w:sz w:val="24"/>
          <w:szCs w:val="24"/>
          <w:vertAlign w:val="superscript"/>
        </w:rPr>
        <w:t>kg</w:t>
      </w:r>
      <w:r w:rsidRPr="00393E29">
        <w:rPr>
          <w:rFonts w:ascii="MS Gothic" w:eastAsia="MS Gothic" w:hAnsi="MS Gothic" w:cs="MS Gothic" w:hint="eastAsia"/>
          <w:kern w:val="0"/>
          <w:sz w:val="24"/>
          <w:szCs w:val="24"/>
          <w:vertAlign w:val="superscript"/>
        </w:rPr>
        <w:t>⁻</w:t>
      </w:r>
      <w:r w:rsidRPr="00393E29">
        <w:rPr>
          <w:rFonts w:ascii="微软雅黑" w:eastAsia="微软雅黑" w:hAnsi="微软雅黑" w:cs="宋体" w:hint="eastAsia"/>
          <w:kern w:val="0"/>
          <w:sz w:val="24"/>
          <w:szCs w:val="24"/>
          <w:vertAlign w:val="superscript"/>
        </w:rPr>
        <w:t>¹</w:t>
      </w:r>
      <w:r w:rsidRPr="00393E29">
        <w:rPr>
          <w:rFonts w:ascii="微软雅黑" w:eastAsia="微软雅黑" w:hAnsi="微软雅黑" w:cs="宋体"/>
          <w:kern w:val="0"/>
          <w:sz w:val="24"/>
          <w:szCs w:val="24"/>
        </w:rPr>
        <w:t>）、帕博西尼（25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 </w:t>
      </w:r>
      <w:r w:rsidRPr="00393E29">
        <w:rPr>
          <w:rFonts w:ascii="微软雅黑" w:eastAsia="微软雅黑" w:hAnsi="微软雅黑" w:cs="宋体"/>
          <w:kern w:val="0"/>
          <w:sz w:val="24"/>
          <w:szCs w:val="24"/>
          <w:vertAlign w:val="superscript"/>
        </w:rPr>
        <w:t>）或帕博西尼（25 mg kg</w:t>
      </w:r>
      <w:r w:rsidRPr="00393E29">
        <w:rPr>
          <w:rFonts w:ascii="MS Gothic" w:eastAsia="MS Gothic" w:hAnsi="MS Gothic" w:cs="MS Gothic" w:hint="eastAsia"/>
          <w:kern w:val="0"/>
          <w:sz w:val="24"/>
          <w:szCs w:val="24"/>
          <w:vertAlign w:val="superscript"/>
        </w:rPr>
        <w:t>⁻</w:t>
      </w:r>
      <w:r w:rsidRPr="00393E29">
        <w:rPr>
          <w:rFonts w:ascii="微软雅黑" w:eastAsia="微软雅黑" w:hAnsi="微软雅黑" w:cs="宋体" w:hint="eastAsia"/>
          <w:kern w:val="0"/>
          <w:sz w:val="24"/>
          <w:szCs w:val="24"/>
          <w:vertAlign w:val="superscript"/>
        </w:rPr>
        <w:t>¹</w:t>
      </w:r>
      <w:r w:rsidRPr="00393E29">
        <w:rPr>
          <w:rFonts w:ascii="微软雅黑" w:eastAsia="微软雅黑" w:hAnsi="微软雅黑" w:cs="宋体"/>
          <w:kern w:val="0"/>
          <w:sz w:val="24"/>
          <w:szCs w:val="24"/>
        </w:rPr>
        <w:t>）和 Lys-05（10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 </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的组合进行治疗。药物通过口服灌胃（帕博西尼）或腹腔注射（Lys-05）每日给药，持续 21 天。</w:t>
      </w:r>
    </w:p>
    <w:p w14:paraId="7712633E"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在所有异种移植研究中，每周两次使用游标卡尺测量肿瘤体积（(</w:t>
      </w:r>
      <w:r w:rsidRPr="00393E29">
        <w:rPr>
          <w:rFonts w:ascii="微软雅黑" w:eastAsia="微软雅黑" w:hAnsi="微软雅黑" w:cs="宋体"/>
          <w:i/>
          <w:iCs/>
          <w:kern w:val="0"/>
          <w:sz w:val="24"/>
          <w:szCs w:val="24"/>
        </w:rPr>
        <w:t>长</w:t>
      </w:r>
      <w:r w:rsidRPr="00393E29">
        <w:rPr>
          <w:rFonts w:ascii="微软雅黑" w:eastAsia="微软雅黑" w:hAnsi="微软雅黑" w:cs="宋体"/>
          <w:kern w:val="0"/>
          <w:sz w:val="24"/>
          <w:szCs w:val="24"/>
        </w:rPr>
        <w:t>×</w:t>
      </w:r>
      <w:r w:rsidRPr="00393E29">
        <w:rPr>
          <w:rFonts w:ascii="微软雅黑" w:eastAsia="微软雅黑" w:hAnsi="微软雅黑" w:cs="宋体"/>
          <w:i/>
          <w:iCs/>
          <w:kern w:val="0"/>
          <w:sz w:val="24"/>
          <w:szCs w:val="24"/>
        </w:rPr>
        <w:t>宽</w:t>
      </w:r>
      <w:r w:rsidRPr="00393E29">
        <w:rPr>
          <w:rFonts w:ascii="微软雅黑" w:eastAsia="微软雅黑" w:hAnsi="微软雅黑" w:cs="宋体"/>
          <w:kern w:val="0"/>
          <w:sz w:val="24"/>
          <w:szCs w:val="24"/>
          <w:vertAlign w:val="superscript"/>
        </w:rPr>
        <w:t>²</w:t>
      </w:r>
      <w:r w:rsidRPr="00393E29">
        <w:rPr>
          <w:rFonts w:ascii="微软雅黑" w:eastAsia="微软雅黑" w:hAnsi="微软雅黑" w:cs="宋体"/>
          <w:kern w:val="0"/>
          <w:sz w:val="24"/>
          <w:szCs w:val="24"/>
        </w:rPr>
        <w:t> ) </w:t>
      </w:r>
      <w:r w:rsidRPr="00393E29">
        <w:rPr>
          <w:rFonts w:ascii="微软雅黑" w:eastAsia="微软雅黑" w:hAnsi="微软雅黑" w:cs="宋体"/>
          <w:i/>
          <w:iCs/>
          <w:kern w:val="0"/>
          <w:sz w:val="24"/>
          <w:szCs w:val="24"/>
        </w:rPr>
        <w:t>/</w:t>
      </w:r>
      <w:r w:rsidRPr="00393E29">
        <w:rPr>
          <w:rFonts w:ascii="微软雅黑" w:eastAsia="微软雅黑" w:hAnsi="微软雅黑" w:cs="宋体"/>
          <w:kern w:val="0"/>
          <w:sz w:val="24"/>
          <w:szCs w:val="24"/>
        </w:rPr>
        <w:t> 2），并每天测量小鼠体重。在治疗和恢复期结束后，对小鼠实施安乐死，并收集肿瘤进行后续分析。在安乐死小鼠的同时，通过左心室心脏穿刺采集血液（0.2 ml）。使用西门子</w:t>
      </w:r>
      <w:proofErr w:type="spellStart"/>
      <w:r w:rsidRPr="00393E29">
        <w:rPr>
          <w:rFonts w:ascii="微软雅黑" w:eastAsia="微软雅黑" w:hAnsi="微软雅黑" w:cs="宋体"/>
          <w:kern w:val="0"/>
          <w:sz w:val="24"/>
          <w:szCs w:val="24"/>
        </w:rPr>
        <w:t>Adiva</w:t>
      </w:r>
      <w:proofErr w:type="spellEnd"/>
      <w:r w:rsidRPr="00393E29">
        <w:rPr>
          <w:rFonts w:ascii="微软雅黑" w:eastAsia="微软雅黑" w:hAnsi="微软雅黑" w:cs="宋体"/>
          <w:kern w:val="0"/>
          <w:sz w:val="24"/>
          <w:szCs w:val="24"/>
        </w:rPr>
        <w:t xml:space="preserve"> 120血液分析仪（德国埃尔兰根）对血液样本进行全血细胞计数分析（白细胞、血小板和红细胞）。所有实验所用的裸鼠均来自德克萨斯大学MD安德森癌症中心实验放射肿瘤科，并按照《动物福利法》和MD安德森癌症中心的机构指南进行饲养和护理。本研究方案已获得德克萨斯大学MD安德森癌症中心（休斯顿，德克萨斯州）机构动物护理和使用委员会（IACUC）的批准。</w:t>
      </w:r>
    </w:p>
    <w:p w14:paraId="1776422E"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患者来源的异种移植研究</w:t>
      </w:r>
    </w:p>
    <w:p w14:paraId="2ED58D8B"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lastRenderedPageBreak/>
        <w:t>在获得知情同意后，按照MD安德森癌症中心伦理审查委员会批准的方案，在常规手术中获取乳腺肿瘤样本。PDX模型的构建方法如前所述</w:t>
      </w:r>
      <w:r w:rsidRPr="00393E29">
        <w:rPr>
          <w:rFonts w:ascii="微软雅黑" w:eastAsia="微软雅黑" w:hAnsi="微软雅黑" w:cs="宋体"/>
          <w:kern w:val="0"/>
          <w:sz w:val="24"/>
          <w:szCs w:val="24"/>
          <w:u w:val="single"/>
          <w:vertAlign w:val="superscript"/>
        </w:rPr>
        <w:t>&lt;sup&gt; </w:t>
      </w:r>
      <w:hyperlink r:id="rId95" w:anchor="b66" w:history="1">
        <w:r w:rsidRPr="00393E29">
          <w:rPr>
            <w:rFonts w:ascii="微软雅黑" w:eastAsia="微软雅黑" w:hAnsi="微软雅黑" w:cs="宋体"/>
            <w:kern w:val="0"/>
            <w:sz w:val="24"/>
            <w:szCs w:val="24"/>
            <w:u w:val="single"/>
            <w:vertAlign w:val="superscript"/>
          </w:rPr>
          <w:t>66&lt;/sup&gt;</w:t>
        </w:r>
      </w:hyperlink>
      <w:r w:rsidRPr="00393E29">
        <w:rPr>
          <w:rFonts w:ascii="微软雅黑" w:eastAsia="微软雅黑" w:hAnsi="微软雅黑" w:cs="宋体"/>
          <w:kern w:val="0"/>
          <w:sz w:val="24"/>
          <w:szCs w:val="24"/>
        </w:rPr>
        <w:t>。简而言之，采用无菌技术收集新鲜的原发肿瘤，并将约3 mm</w:t>
      </w:r>
      <w:r w:rsidRPr="00393E29">
        <w:rPr>
          <w:rFonts w:ascii="微软雅黑" w:eastAsia="微软雅黑" w:hAnsi="微软雅黑" w:cs="宋体"/>
          <w:kern w:val="0"/>
          <w:sz w:val="24"/>
          <w:szCs w:val="24"/>
          <w:u w:val="single"/>
          <w:vertAlign w:val="superscript"/>
        </w:rPr>
        <w:t>&lt;sup&gt; 3&lt;</w:t>
      </w:r>
      <w:r w:rsidRPr="00393E29">
        <w:rPr>
          <w:rFonts w:ascii="微软雅黑" w:eastAsia="微软雅黑" w:hAnsi="微软雅黑" w:cs="宋体"/>
          <w:kern w:val="0"/>
          <w:sz w:val="24"/>
          <w:szCs w:val="24"/>
          <w:vertAlign w:val="superscript"/>
        </w:rPr>
        <w:t>/sup&gt;</w:t>
      </w:r>
      <w:r w:rsidRPr="00393E29">
        <w:rPr>
          <w:rFonts w:ascii="微软雅黑" w:eastAsia="微软雅黑" w:hAnsi="微软雅黑" w:cs="宋体"/>
          <w:kern w:val="0"/>
          <w:sz w:val="24"/>
          <w:szCs w:val="24"/>
        </w:rPr>
        <w:t>的组织碎片移植到免疫缺陷（重症联合免疫缺陷）小鼠第四对乳腺（两侧）的脂肪垫中，移植时间在手术切除后1小时内。当原发肿瘤的生长直径达到10 mm时，将3 mm&lt;sup&gt; </w:t>
      </w:r>
      <w:r w:rsidRPr="00393E29">
        <w:rPr>
          <w:rFonts w:ascii="微软雅黑" w:eastAsia="微软雅黑" w:hAnsi="微软雅黑" w:cs="宋体"/>
          <w:kern w:val="0"/>
          <w:sz w:val="24"/>
          <w:szCs w:val="24"/>
          <w:vertAlign w:val="superscript"/>
        </w:rPr>
        <w:t>3&lt;/sup&gt;</w:t>
      </w:r>
      <w:r w:rsidRPr="00393E29">
        <w:rPr>
          <w:rFonts w:ascii="微软雅黑" w:eastAsia="微软雅黑" w:hAnsi="微软雅黑" w:cs="宋体"/>
          <w:kern w:val="0"/>
          <w:sz w:val="24"/>
          <w:szCs w:val="24"/>
        </w:rPr>
        <w:t>的组织碎片移植到新的宿主小鼠（每个肿瘤</w:t>
      </w:r>
      <w:r w:rsidRPr="00393E29">
        <w:rPr>
          <w:rFonts w:ascii="微软雅黑" w:eastAsia="微软雅黑" w:hAnsi="微软雅黑" w:cs="宋体"/>
          <w:i/>
          <w:iCs/>
          <w:kern w:val="0"/>
          <w:sz w:val="24"/>
          <w:szCs w:val="24"/>
        </w:rPr>
        <w:t>移植</w:t>
      </w:r>
      <w:r w:rsidRPr="00393E29">
        <w:rPr>
          <w:rFonts w:ascii="微软雅黑" w:eastAsia="微软雅黑" w:hAnsi="微软雅黑" w:cs="宋体"/>
          <w:kern w:val="0"/>
          <w:sz w:val="24"/>
          <w:szCs w:val="24"/>
        </w:rPr>
        <w:t>3只）进行二次传代。由于按照我们的方案，肿瘤组织在两次传代后能够稳定生长，因此我们认为此时PDX模型已成功建立。通过苏木精-伊红染色比较了患者原发肿瘤和相应的PDX细胞系的组织学特征，发现二者组织学特征非常相似（数据未显示）。在药物治疗实验中，将3 mm³的</w:t>
      </w:r>
      <w:r w:rsidRPr="00393E29">
        <w:rPr>
          <w:rFonts w:ascii="微软雅黑" w:eastAsia="微软雅黑" w:hAnsi="微软雅黑" w:cs="宋体"/>
          <w:kern w:val="0"/>
          <w:sz w:val="24"/>
          <w:szCs w:val="24"/>
          <w:vertAlign w:val="superscript"/>
        </w:rPr>
        <w:t>PDX</w:t>
      </w:r>
      <w:r w:rsidRPr="00393E29">
        <w:rPr>
          <w:rFonts w:ascii="微软雅黑" w:eastAsia="微软雅黑" w:hAnsi="微软雅黑" w:cs="宋体"/>
          <w:kern w:val="0"/>
          <w:sz w:val="24"/>
          <w:szCs w:val="24"/>
        </w:rPr>
        <w:t>细胞系碎片移植到雌性裸鼠第四乳腺的脂肪垫中。当肿瘤平均体积达到200 mm³时</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将小鼠随机分为四组（每组</w:t>
      </w:r>
      <w:r w:rsidRPr="00393E29">
        <w:rPr>
          <w:rFonts w:ascii="微软雅黑" w:eastAsia="微软雅黑" w:hAnsi="微软雅黑" w:cs="宋体"/>
          <w:i/>
          <w:iCs/>
          <w:kern w:val="0"/>
          <w:sz w:val="24"/>
          <w:szCs w:val="24"/>
        </w:rPr>
        <w:t>n =4），分</w:t>
      </w:r>
      <w:r w:rsidRPr="00393E29">
        <w:rPr>
          <w:rFonts w:ascii="微软雅黑" w:eastAsia="微软雅黑" w:hAnsi="微软雅黑" w:cs="宋体"/>
          <w:kern w:val="0"/>
          <w:sz w:val="24"/>
          <w:szCs w:val="24"/>
        </w:rPr>
        <w:t>别用赋形剂（0.5%甲基纤维素和PBS）、羟氯喹（HCQ，60 mg/kg ）、帕博西尼（25 mg/kg ）或帕博西尼（25 mg/ kg ）联合HCQ（60 mg/kg ）进行治疗。药物每日通过灌胃（帕博西尼）或腹腔注射（HCQ）给药，持续21天。每周用游标卡尺测量两次肿瘤体积（（长×宽2）/2），每天测量小鼠体重。</w:t>
      </w:r>
    </w:p>
    <w:p w14:paraId="51A3D520"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治疗结束后，处死小鼠并收集其肿瘤组织进行后续分析。所有小鼠均来自德克萨斯大学MD安德森癌症中心实验放射肿瘤科，并按照《动物福利法》和MD安德森癌症中心的机构指南进行饲养和照护。本研究方案已获得MD安德森癌症中心机构动物护理与使用委员会（IACUC）的批准。</w:t>
      </w:r>
    </w:p>
    <w:p w14:paraId="15341F58"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小鼠肿瘤组织的免疫组织化学分析</w:t>
      </w:r>
    </w:p>
    <w:p w14:paraId="0BA329F8"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lastRenderedPageBreak/>
        <w:t>为了进行</w:t>
      </w:r>
      <w:proofErr w:type="spellStart"/>
      <w:r w:rsidRPr="00393E29">
        <w:rPr>
          <w:rFonts w:ascii="微软雅黑" w:eastAsia="微软雅黑" w:hAnsi="微软雅黑" w:cs="宋体"/>
          <w:kern w:val="0"/>
          <w:sz w:val="24"/>
          <w:szCs w:val="24"/>
        </w:rPr>
        <w:t>BrdU</w:t>
      </w:r>
      <w:proofErr w:type="spellEnd"/>
      <w:r w:rsidRPr="00393E29">
        <w:rPr>
          <w:rFonts w:ascii="微软雅黑" w:eastAsia="微软雅黑" w:hAnsi="微软雅黑" w:cs="宋体"/>
          <w:kern w:val="0"/>
          <w:sz w:val="24"/>
          <w:szCs w:val="24"/>
        </w:rPr>
        <w:t>评估，小鼠在处死前2小时腹腔注射</w:t>
      </w:r>
      <w:proofErr w:type="spellStart"/>
      <w:r w:rsidRPr="00393E29">
        <w:rPr>
          <w:rFonts w:ascii="微软雅黑" w:eastAsia="微软雅黑" w:hAnsi="微软雅黑" w:cs="宋体"/>
          <w:kern w:val="0"/>
          <w:sz w:val="24"/>
          <w:szCs w:val="24"/>
        </w:rPr>
        <w:t>BrdU</w:t>
      </w:r>
      <w:proofErr w:type="spellEnd"/>
      <w:r w:rsidRPr="00393E29">
        <w:rPr>
          <w:rFonts w:ascii="微软雅黑" w:eastAsia="微软雅黑" w:hAnsi="微软雅黑" w:cs="宋体"/>
          <w:kern w:val="0"/>
          <w:sz w:val="24"/>
          <w:szCs w:val="24"/>
        </w:rPr>
        <w:t>溶液（5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 </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。处死后，切除肿瘤并立即液氮速冻，包埋于OCT包埋剂中，切片后用于SA-β-半乳糖苷酶染色以检测衰老。剩余组织用福尔马林固定，用于组织学评估和</w:t>
      </w:r>
      <w:proofErr w:type="spellStart"/>
      <w:r w:rsidRPr="00393E29">
        <w:rPr>
          <w:rFonts w:ascii="微软雅黑" w:eastAsia="微软雅黑" w:hAnsi="微软雅黑" w:cs="宋体"/>
          <w:kern w:val="0"/>
          <w:sz w:val="24"/>
          <w:szCs w:val="24"/>
        </w:rPr>
        <w:t>BrdU</w:t>
      </w:r>
      <w:proofErr w:type="spellEnd"/>
      <w:r w:rsidRPr="00393E29">
        <w:rPr>
          <w:rFonts w:ascii="微软雅黑" w:eastAsia="微软雅黑" w:hAnsi="微软雅黑" w:cs="宋体"/>
          <w:kern w:val="0"/>
          <w:sz w:val="24"/>
          <w:szCs w:val="24"/>
        </w:rPr>
        <w:t>增殖评估，具体方法如前所述</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"b63" </w:instrText>
      </w:r>
      <w:r w:rsidRPr="00393E29">
        <w:rPr>
          <w:rFonts w:ascii="微软雅黑" w:eastAsia="微软雅黑" w:hAnsi="微软雅黑" w:cs="宋体"/>
          <w:kern w:val="0"/>
          <w:sz w:val="24"/>
          <w:szCs w:val="24"/>
        </w:rPr>
        <w:fldChar w:fldCharType="separate"/>
      </w:r>
      <w:r w:rsidRPr="00393E29">
        <w:rPr>
          <w:rFonts w:ascii="MS Gothic" w:eastAsia="MS Gothic" w:hAnsi="MS Gothic" w:cs="MS Gothic" w:hint="eastAsia"/>
          <w:kern w:val="0"/>
          <w:sz w:val="24"/>
          <w:szCs w:val="24"/>
          <w:u w:val="single"/>
          <w:vertAlign w:val="superscript"/>
        </w:rPr>
        <w:t>⁶</w:t>
      </w:r>
      <w:r w:rsidRPr="00393E29">
        <w:rPr>
          <w:rFonts w:ascii="微软雅黑" w:eastAsia="微软雅黑" w:hAnsi="微软雅黑" w:cs="宋体"/>
          <w:kern w:val="0"/>
          <w:sz w:val="24"/>
          <w:szCs w:val="24"/>
          <w:u w:val="single"/>
          <w:vertAlign w:val="superscript"/>
        </w:rPr>
        <w:t>³</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 xml:space="preserve">。简而言之，将福尔马林固定、石蜡包埋的肿瘤组织切片（5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厚）进行标准苏木精-伊红染色。另取部分肿瘤组织切片进行免疫组织化学（IHC）染色。去除石蜡后，将肿瘤切片置于90℃水浴中，在10 mM柠檬酸钠缓冲液（pH 6.0）中加热20分钟以进行核抗原修复。用3%过氧化氢溶液淬灭内源性过氧化物酶活性。切片用1.5%正常山羊血清封闭，并在4℃下与稀释度为1:500的</w:t>
      </w:r>
      <w:proofErr w:type="spellStart"/>
      <w:r w:rsidRPr="00393E29">
        <w:rPr>
          <w:rFonts w:ascii="微软雅黑" w:eastAsia="微软雅黑" w:hAnsi="微软雅黑" w:cs="宋体"/>
          <w:kern w:val="0"/>
          <w:sz w:val="24"/>
          <w:szCs w:val="24"/>
        </w:rPr>
        <w:t>BrdU</w:t>
      </w:r>
      <w:proofErr w:type="spellEnd"/>
      <w:r w:rsidRPr="00393E29">
        <w:rPr>
          <w:rFonts w:ascii="微软雅黑" w:eastAsia="微软雅黑" w:hAnsi="微软雅黑" w:cs="宋体"/>
          <w:kern w:val="0"/>
          <w:sz w:val="24"/>
          <w:szCs w:val="24"/>
        </w:rPr>
        <w:t>大鼠单克隆抗体（克隆BU1/75 [ICR1]；</w:t>
      </w:r>
      <w:proofErr w:type="spellStart"/>
      <w:r w:rsidRPr="00393E29">
        <w:rPr>
          <w:rFonts w:ascii="微软雅黑" w:eastAsia="微软雅黑" w:hAnsi="微软雅黑" w:cs="宋体"/>
          <w:kern w:val="0"/>
          <w:sz w:val="24"/>
          <w:szCs w:val="24"/>
        </w:rPr>
        <w:t>GeneTex</w:t>
      </w:r>
      <w:proofErr w:type="spellEnd"/>
      <w:r w:rsidRPr="00393E29">
        <w:rPr>
          <w:rFonts w:ascii="微软雅黑" w:eastAsia="微软雅黑" w:hAnsi="微软雅黑" w:cs="宋体"/>
          <w:kern w:val="0"/>
          <w:sz w:val="24"/>
          <w:szCs w:val="24"/>
        </w:rPr>
        <w:t>公司，圣安东尼奥，德克萨斯州）孵育过夜。使用VECTASTAIN Elite ABC试剂盒（PK4004；Vector Laboratories公司，伯灵格姆，加利福尼亚州）显色，随后用DAB底物（Vector Laboratories公司）染色，并用苏木精（DAKO公司）复染，最后封片。使用配备40倍物镜的Lei</w:t>
      </w:r>
      <w:r w:rsidRPr="00393E29">
        <w:rPr>
          <w:rFonts w:ascii="MS Gothic" w:eastAsia="MS Gothic" w:hAnsi="MS Gothic" w:cs="MS Gothic" w:hint="eastAsia"/>
          <w:kern w:val="0"/>
          <w:sz w:val="24"/>
          <w:szCs w:val="24"/>
        </w:rPr>
        <w:t>​​</w:t>
      </w:r>
      <w:r w:rsidRPr="00393E29">
        <w:rPr>
          <w:rFonts w:ascii="微软雅黑" w:eastAsia="微软雅黑" w:hAnsi="微软雅黑" w:cs="宋体"/>
          <w:kern w:val="0"/>
          <w:sz w:val="24"/>
          <w:szCs w:val="24"/>
        </w:rPr>
        <w:t>ca DM光学显微镜评估染色效果。使用配备SPOT Advanced软件的SPOT Imaging Solutions相机采集图像。</w:t>
      </w:r>
      <w:proofErr w:type="spellStart"/>
      <w:r w:rsidRPr="00393E29">
        <w:rPr>
          <w:rFonts w:ascii="微软雅黑" w:eastAsia="微软雅黑" w:hAnsi="微软雅黑" w:cs="宋体"/>
          <w:kern w:val="0"/>
          <w:sz w:val="24"/>
          <w:szCs w:val="24"/>
        </w:rPr>
        <w:t>BrdU</w:t>
      </w:r>
      <w:proofErr w:type="spellEnd"/>
      <w:r w:rsidRPr="00393E29">
        <w:rPr>
          <w:rFonts w:ascii="微软雅黑" w:eastAsia="微软雅黑" w:hAnsi="微软雅黑" w:cs="宋体"/>
          <w:kern w:val="0"/>
          <w:sz w:val="24"/>
          <w:szCs w:val="24"/>
        </w:rPr>
        <w:t>的定量以</w:t>
      </w:r>
      <w:proofErr w:type="spellStart"/>
      <w:r w:rsidRPr="00393E29">
        <w:rPr>
          <w:rFonts w:ascii="微软雅黑" w:eastAsia="微软雅黑" w:hAnsi="微软雅黑" w:cs="宋体"/>
          <w:kern w:val="0"/>
          <w:sz w:val="24"/>
          <w:szCs w:val="24"/>
        </w:rPr>
        <w:t>BrdU</w:t>
      </w:r>
      <w:proofErr w:type="spellEnd"/>
      <w:r w:rsidRPr="00393E29">
        <w:rPr>
          <w:rFonts w:ascii="微软雅黑" w:eastAsia="微软雅黑" w:hAnsi="微软雅黑" w:cs="宋体"/>
          <w:kern w:val="0"/>
          <w:sz w:val="24"/>
          <w:szCs w:val="24"/>
        </w:rPr>
        <w:t>阳性细胞的百分比表示，该百分比计算为三个视野中300个肿瘤细胞中</w:t>
      </w:r>
      <w:proofErr w:type="spellStart"/>
      <w:r w:rsidRPr="00393E29">
        <w:rPr>
          <w:rFonts w:ascii="微软雅黑" w:eastAsia="微软雅黑" w:hAnsi="微软雅黑" w:cs="宋体"/>
          <w:kern w:val="0"/>
          <w:sz w:val="24"/>
          <w:szCs w:val="24"/>
        </w:rPr>
        <w:t>BrdU</w:t>
      </w:r>
      <w:proofErr w:type="spellEnd"/>
      <w:r w:rsidRPr="00393E29">
        <w:rPr>
          <w:rFonts w:ascii="微软雅黑" w:eastAsia="微软雅黑" w:hAnsi="微软雅黑" w:cs="宋体"/>
          <w:kern w:val="0"/>
          <w:sz w:val="24"/>
          <w:szCs w:val="24"/>
        </w:rPr>
        <w:t>阳性细胞核的百分比。</w:t>
      </w:r>
    </w:p>
    <w:p w14:paraId="0D8DCF03"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对于 4HNE 和抗 8OHdG 免疫染色，在去除石蜡后，于 98 °C 下用 10 mM 柠檬酸钠缓冲液（pH 6.0）进行 10 分钟的热诱导抗原修复。用 3% 过氧化氢阻断内源性过氧化物酶活性 15 分钟。然后将切片与稀释的兔封闭血清孵育 1 小时。切片与抗 8OHdG 小鼠单克隆抗体（</w:t>
      </w:r>
      <w:proofErr w:type="gramStart"/>
      <w:r w:rsidRPr="00393E29">
        <w:rPr>
          <w:rFonts w:ascii="微软雅黑" w:eastAsia="微软雅黑" w:hAnsi="微软雅黑" w:cs="宋体"/>
          <w:kern w:val="0"/>
          <w:sz w:val="24"/>
          <w:szCs w:val="24"/>
        </w:rPr>
        <w:t>克隆号</w:t>
      </w:r>
      <w:proofErr w:type="gramEnd"/>
      <w:r w:rsidRPr="00393E29">
        <w:rPr>
          <w:rFonts w:ascii="微软雅黑" w:eastAsia="微软雅黑" w:hAnsi="微软雅黑" w:cs="宋体"/>
          <w:kern w:val="0"/>
          <w:sz w:val="24"/>
          <w:szCs w:val="24"/>
        </w:rPr>
        <w:t xml:space="preserve"> N45.1，</w:t>
      </w:r>
      <w:proofErr w:type="spellStart"/>
      <w:r w:rsidRPr="00393E29">
        <w:rPr>
          <w:rFonts w:ascii="微软雅黑" w:eastAsia="微软雅黑" w:hAnsi="微软雅黑" w:cs="宋体"/>
          <w:kern w:val="0"/>
          <w:sz w:val="24"/>
          <w:szCs w:val="24"/>
        </w:rPr>
        <w:t>Genox</w:t>
      </w:r>
      <w:proofErr w:type="spellEnd"/>
      <w:r w:rsidRPr="00393E29">
        <w:rPr>
          <w:rFonts w:ascii="微软雅黑" w:eastAsia="微软雅黑" w:hAnsi="微软雅黑" w:cs="宋体"/>
          <w:kern w:val="0"/>
          <w:sz w:val="24"/>
          <w:szCs w:val="24"/>
        </w:rPr>
        <w:t>，巴尔的摩，马里兰州，1:100 稀释）和抗 4-HNE 小鼠单克隆抗体（</w:t>
      </w:r>
      <w:proofErr w:type="gramStart"/>
      <w:r w:rsidRPr="00393E29">
        <w:rPr>
          <w:rFonts w:ascii="微软雅黑" w:eastAsia="微软雅黑" w:hAnsi="微软雅黑" w:cs="宋体"/>
          <w:kern w:val="0"/>
          <w:sz w:val="24"/>
          <w:szCs w:val="24"/>
        </w:rPr>
        <w:t>克隆号</w:t>
      </w:r>
      <w:proofErr w:type="gramEnd"/>
      <w:r w:rsidRPr="00393E29">
        <w:rPr>
          <w:rFonts w:ascii="微软雅黑" w:eastAsia="微软雅黑" w:hAnsi="微软雅黑" w:cs="宋体"/>
          <w:kern w:val="0"/>
          <w:sz w:val="24"/>
          <w:szCs w:val="24"/>
        </w:rPr>
        <w:t xml:space="preserve"> HNEJ-2，</w:t>
      </w:r>
      <w:proofErr w:type="spellStart"/>
      <w:r w:rsidRPr="00393E29">
        <w:rPr>
          <w:rFonts w:ascii="微软雅黑" w:eastAsia="微软雅黑" w:hAnsi="微软雅黑" w:cs="宋体"/>
          <w:kern w:val="0"/>
          <w:sz w:val="24"/>
          <w:szCs w:val="24"/>
        </w:rPr>
        <w:t>Genox</w:t>
      </w:r>
      <w:proofErr w:type="spellEnd"/>
      <w:r w:rsidRPr="00393E29">
        <w:rPr>
          <w:rFonts w:ascii="微软雅黑" w:eastAsia="微软雅黑" w:hAnsi="微软雅黑" w:cs="宋体"/>
          <w:kern w:val="0"/>
          <w:sz w:val="24"/>
          <w:szCs w:val="24"/>
        </w:rPr>
        <w:t>，</w:t>
      </w:r>
      <w:r w:rsidRPr="00393E29">
        <w:rPr>
          <w:rFonts w:ascii="微软雅黑" w:eastAsia="微软雅黑" w:hAnsi="微软雅黑" w:cs="宋体"/>
          <w:kern w:val="0"/>
          <w:sz w:val="24"/>
          <w:szCs w:val="24"/>
        </w:rPr>
        <w:lastRenderedPageBreak/>
        <w:t>巴尔的摩，马里兰州，1:50 稀释）于 4 °C 孵育过夜。切片与稀释的生物素</w:t>
      </w:r>
      <w:proofErr w:type="gramStart"/>
      <w:r w:rsidRPr="00393E29">
        <w:rPr>
          <w:rFonts w:ascii="微软雅黑" w:eastAsia="微软雅黑" w:hAnsi="微软雅黑" w:cs="宋体"/>
          <w:kern w:val="0"/>
          <w:sz w:val="24"/>
          <w:szCs w:val="24"/>
        </w:rPr>
        <w:t>标记二抗孵育</w:t>
      </w:r>
      <w:proofErr w:type="gramEnd"/>
      <w:r w:rsidRPr="00393E29">
        <w:rPr>
          <w:rFonts w:ascii="微软雅黑" w:eastAsia="微软雅黑" w:hAnsi="微软雅黑" w:cs="宋体"/>
          <w:kern w:val="0"/>
          <w:sz w:val="24"/>
          <w:szCs w:val="24"/>
        </w:rPr>
        <w:t xml:space="preserve"> 30 分钟，再与 </w:t>
      </w:r>
      <w:proofErr w:type="spellStart"/>
      <w:r w:rsidRPr="00393E29">
        <w:rPr>
          <w:rFonts w:ascii="微软雅黑" w:eastAsia="微软雅黑" w:hAnsi="微软雅黑" w:cs="宋体"/>
          <w:kern w:val="0"/>
          <w:sz w:val="24"/>
          <w:szCs w:val="24"/>
        </w:rPr>
        <w:t>Vectastain</w:t>
      </w:r>
      <w:proofErr w:type="spellEnd"/>
      <w:r w:rsidRPr="00393E29">
        <w:rPr>
          <w:rFonts w:ascii="微软雅黑" w:eastAsia="微软雅黑" w:hAnsi="微软雅黑" w:cs="宋体"/>
          <w:kern w:val="0"/>
          <w:sz w:val="24"/>
          <w:szCs w:val="24"/>
        </w:rPr>
        <w:t xml:space="preserve"> Elite ABC 试剂盒（Vector Laboratories，美国）孵育 30 分钟。为了评估 4HNE 和抗 8OHdG 抗体的表达，分别对切片进行细胞百分比和染色强度评分。阳性细胞百分比采用 0-4 分制，其中 0 </w:t>
      </w:r>
      <w:proofErr w:type="gramStart"/>
      <w:r w:rsidRPr="00393E29">
        <w:rPr>
          <w:rFonts w:ascii="微软雅黑" w:eastAsia="微软雅黑" w:hAnsi="微软雅黑" w:cs="宋体"/>
          <w:kern w:val="0"/>
          <w:sz w:val="24"/>
          <w:szCs w:val="24"/>
        </w:rPr>
        <w:t>分表示</w:t>
      </w:r>
      <w:proofErr w:type="gramEnd"/>
      <w:r w:rsidRPr="00393E29">
        <w:rPr>
          <w:rFonts w:ascii="微软雅黑" w:eastAsia="微软雅黑" w:hAnsi="微软雅黑" w:cs="宋体"/>
          <w:kern w:val="0"/>
          <w:sz w:val="24"/>
          <w:szCs w:val="24"/>
        </w:rPr>
        <w:t xml:space="preserve">无染色细胞，1 </w:t>
      </w:r>
      <w:proofErr w:type="gramStart"/>
      <w:r w:rsidRPr="00393E29">
        <w:rPr>
          <w:rFonts w:ascii="微软雅黑" w:eastAsia="微软雅黑" w:hAnsi="微软雅黑" w:cs="宋体"/>
          <w:kern w:val="0"/>
          <w:sz w:val="24"/>
          <w:szCs w:val="24"/>
        </w:rPr>
        <w:t>分表示</w:t>
      </w:r>
      <w:proofErr w:type="gramEnd"/>
      <w:r w:rsidRPr="00393E29">
        <w:rPr>
          <w:rFonts w:ascii="微软雅黑" w:eastAsia="微软雅黑" w:hAnsi="微软雅黑" w:cs="宋体"/>
          <w:kern w:val="0"/>
          <w:sz w:val="24"/>
          <w:szCs w:val="24"/>
        </w:rPr>
        <w:t xml:space="preserve"> 1% 至 5% 的染色细胞，2 </w:t>
      </w:r>
      <w:proofErr w:type="gramStart"/>
      <w:r w:rsidRPr="00393E29">
        <w:rPr>
          <w:rFonts w:ascii="微软雅黑" w:eastAsia="微软雅黑" w:hAnsi="微软雅黑" w:cs="宋体"/>
          <w:kern w:val="0"/>
          <w:sz w:val="24"/>
          <w:szCs w:val="24"/>
        </w:rPr>
        <w:t>分表示</w:t>
      </w:r>
      <w:proofErr w:type="gramEnd"/>
      <w:r w:rsidRPr="00393E29">
        <w:rPr>
          <w:rFonts w:ascii="微软雅黑" w:eastAsia="微软雅黑" w:hAnsi="微软雅黑" w:cs="宋体"/>
          <w:kern w:val="0"/>
          <w:sz w:val="24"/>
          <w:szCs w:val="24"/>
        </w:rPr>
        <w:t xml:space="preserve"> 6% 至 30% 的染色细胞，3 </w:t>
      </w:r>
      <w:proofErr w:type="gramStart"/>
      <w:r w:rsidRPr="00393E29">
        <w:rPr>
          <w:rFonts w:ascii="微软雅黑" w:eastAsia="微软雅黑" w:hAnsi="微软雅黑" w:cs="宋体"/>
          <w:kern w:val="0"/>
          <w:sz w:val="24"/>
          <w:szCs w:val="24"/>
        </w:rPr>
        <w:t>分表示</w:t>
      </w:r>
      <w:proofErr w:type="gramEnd"/>
      <w:r w:rsidRPr="00393E29">
        <w:rPr>
          <w:rFonts w:ascii="微软雅黑" w:eastAsia="微软雅黑" w:hAnsi="微软雅黑" w:cs="宋体"/>
          <w:kern w:val="0"/>
          <w:sz w:val="24"/>
          <w:szCs w:val="24"/>
        </w:rPr>
        <w:t xml:space="preserve"> 31% 至 70% 的染色细胞，4 </w:t>
      </w:r>
      <w:proofErr w:type="gramStart"/>
      <w:r w:rsidRPr="00393E29">
        <w:rPr>
          <w:rFonts w:ascii="微软雅黑" w:eastAsia="微软雅黑" w:hAnsi="微软雅黑" w:cs="宋体"/>
          <w:kern w:val="0"/>
          <w:sz w:val="24"/>
          <w:szCs w:val="24"/>
        </w:rPr>
        <w:t>分表示</w:t>
      </w:r>
      <w:proofErr w:type="gramEnd"/>
      <w:r w:rsidRPr="00393E29">
        <w:rPr>
          <w:rFonts w:ascii="微软雅黑" w:eastAsia="微软雅黑" w:hAnsi="微软雅黑" w:cs="宋体"/>
          <w:kern w:val="0"/>
          <w:sz w:val="24"/>
          <w:szCs w:val="24"/>
        </w:rPr>
        <w:t xml:space="preserve"> 71% 至 100% 的染色细胞。染色强度评分如下：0 分，无染色；1 分，弱阳性；2 分，中等阳性；3 分，强阳性。H</w:t>
      </w:r>
      <w:r w:rsidRPr="00393E29">
        <w:rPr>
          <w:rFonts w:ascii="微软雅黑" w:eastAsia="微软雅黑" w:hAnsi="微软雅黑" w:cs="宋体"/>
          <w:i/>
          <w:iCs/>
          <w:kern w:val="0"/>
          <w:sz w:val="24"/>
          <w:szCs w:val="24"/>
        </w:rPr>
        <w:t>评分</w:t>
      </w:r>
      <w:r w:rsidRPr="00393E29">
        <w:rPr>
          <w:rFonts w:ascii="微软雅黑" w:eastAsia="微软雅黑" w:hAnsi="微软雅黑" w:cs="宋体"/>
          <w:kern w:val="0"/>
          <w:sz w:val="24"/>
          <w:szCs w:val="24"/>
        </w:rPr>
        <w:t>通过将阳性细胞百分比乘以染色强度计算得出。</w:t>
      </w:r>
    </w:p>
    <w:p w14:paraId="144B573F"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蛋白质印迹分析</w:t>
      </w:r>
    </w:p>
    <w:p w14:paraId="295EC55C"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Western blot</w:t>
      </w:r>
      <w:proofErr w:type="gramStart"/>
      <w:r w:rsidRPr="00393E29">
        <w:rPr>
          <w:rFonts w:ascii="微软雅黑" w:eastAsia="微软雅黑" w:hAnsi="微软雅黑" w:cs="宋体"/>
          <w:kern w:val="0"/>
          <w:sz w:val="24"/>
          <w:szCs w:val="24"/>
        </w:rPr>
        <w:t>分析按</w:t>
      </w:r>
      <w:proofErr w:type="gramEnd"/>
      <w:r w:rsidRPr="00393E29">
        <w:rPr>
          <w:rFonts w:ascii="微软雅黑" w:eastAsia="微软雅黑" w:hAnsi="微软雅黑" w:cs="宋体"/>
          <w:kern w:val="0"/>
          <w:sz w:val="24"/>
          <w:szCs w:val="24"/>
        </w:rPr>
        <w:t>先前所述方法进行</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"b63"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vertAlign w:val="superscript"/>
        </w:rPr>
        <w:t>&lt;sup&gt;63&lt;/sup&gt;</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。简而言之，将细胞以1 × 10&lt;sup&gt; </w:t>
      </w:r>
      <w:r w:rsidRPr="00393E29">
        <w:rPr>
          <w:rFonts w:ascii="微软雅黑" w:eastAsia="微软雅黑" w:hAnsi="微软雅黑" w:cs="宋体"/>
          <w:kern w:val="0"/>
          <w:sz w:val="24"/>
          <w:szCs w:val="24"/>
          <w:vertAlign w:val="superscript"/>
        </w:rPr>
        <w:t>5</w:t>
      </w:r>
      <w:r w:rsidRPr="00393E29">
        <w:rPr>
          <w:rFonts w:ascii="微软雅黑" w:eastAsia="微软雅黑" w:hAnsi="微软雅黑" w:cs="宋体"/>
          <w:kern w:val="0"/>
          <w:sz w:val="24"/>
          <w:szCs w:val="24"/>
        </w:rPr>
        <w:t> &lt;/sup&gt;</w:t>
      </w:r>
      <w:proofErr w:type="gramStart"/>
      <w:r w:rsidRPr="00393E29">
        <w:rPr>
          <w:rFonts w:ascii="微软雅黑" w:eastAsia="微软雅黑" w:hAnsi="微软雅黑" w:cs="宋体"/>
          <w:kern w:val="0"/>
          <w:sz w:val="24"/>
          <w:szCs w:val="24"/>
        </w:rPr>
        <w:t>个</w:t>
      </w:r>
      <w:proofErr w:type="gramEnd"/>
      <w:r w:rsidRPr="00393E29">
        <w:rPr>
          <w:rFonts w:ascii="微软雅黑" w:eastAsia="微软雅黑" w:hAnsi="微软雅黑" w:cs="宋体"/>
          <w:kern w:val="0"/>
          <w:sz w:val="24"/>
          <w:szCs w:val="24"/>
        </w:rPr>
        <w:t>/</w:t>
      </w:r>
      <w:proofErr w:type="gramStart"/>
      <w:r w:rsidRPr="00393E29">
        <w:rPr>
          <w:rFonts w:ascii="微软雅黑" w:eastAsia="微软雅黑" w:hAnsi="微软雅黑" w:cs="宋体"/>
          <w:kern w:val="0"/>
          <w:sz w:val="24"/>
          <w:szCs w:val="24"/>
        </w:rPr>
        <w:t>皿</w:t>
      </w:r>
      <w:proofErr w:type="gramEnd"/>
      <w:r w:rsidRPr="00393E29">
        <w:rPr>
          <w:rFonts w:ascii="微软雅黑" w:eastAsia="微软雅黑" w:hAnsi="微软雅黑" w:cs="宋体"/>
          <w:kern w:val="0"/>
          <w:sz w:val="24"/>
          <w:szCs w:val="24"/>
        </w:rPr>
        <w:t xml:space="preserve">的密度接种于10 cm培养皿中，并用指定药物处理6天。处理后，收集细胞，并用含有蛋白酶抑制剂的RIPA裂解缓冲液（150 mM NaCl、10 mM Tris，pH 7.3、0.1% SDS、1% Triton X-100、1%脱氧胆酸钠和5 mM EDTA）进行裂解。对于小鼠组织，将肿瘤在干冰上切碎，并浸入RIPA裂解缓冲液中进行裂解。然后将裂解液在4℃下以45,000 rpm离心45分钟，以获得上清液中的蛋白裂解物。采用Bradford蛋白定量试剂盒（Bio-Rad）测定蛋白浓度，每个样品取50 </w:t>
      </w:r>
      <w:proofErr w:type="spellStart"/>
      <w:r w:rsidRPr="00393E29">
        <w:rPr>
          <w:rFonts w:ascii="微软雅黑" w:eastAsia="微软雅黑" w:hAnsi="微软雅黑" w:cs="宋体"/>
          <w:kern w:val="0"/>
          <w:sz w:val="24"/>
          <w:szCs w:val="24"/>
        </w:rPr>
        <w:t>μg</w:t>
      </w:r>
      <w:proofErr w:type="spellEnd"/>
      <w:r w:rsidRPr="00393E29">
        <w:rPr>
          <w:rFonts w:ascii="微软雅黑" w:eastAsia="微软雅黑" w:hAnsi="微软雅黑" w:cs="宋体"/>
          <w:kern w:val="0"/>
          <w:sz w:val="24"/>
          <w:szCs w:val="24"/>
        </w:rPr>
        <w:t>蛋白进行SDS-聚丙烯酰胺凝胶电泳分离，方法如前所述。将膜在室温下用脱脂奶粉封闭1小时，然后在4℃下与</w:t>
      </w:r>
      <w:proofErr w:type="gramStart"/>
      <w:r w:rsidRPr="00393E29">
        <w:rPr>
          <w:rFonts w:ascii="微软雅黑" w:eastAsia="微软雅黑" w:hAnsi="微软雅黑" w:cs="宋体"/>
          <w:kern w:val="0"/>
          <w:sz w:val="24"/>
          <w:szCs w:val="24"/>
        </w:rPr>
        <w:t>一</w:t>
      </w:r>
      <w:proofErr w:type="gramEnd"/>
      <w:r w:rsidRPr="00393E29">
        <w:rPr>
          <w:rFonts w:ascii="微软雅黑" w:eastAsia="微软雅黑" w:hAnsi="微软雅黑" w:cs="宋体"/>
          <w:kern w:val="0"/>
          <w:sz w:val="24"/>
          <w:szCs w:val="24"/>
        </w:rPr>
        <w:t>抗孵育过夜。之后，将膜与山羊抗兔或山羊抗鼠免疫球蛋白-辣根过氧化物酶偶联物（Pierce，Rockford，IL）以1:5000的比例用脱脂奶粉稀释后孵育1小时。随后，按照制</w:t>
      </w:r>
      <w:r w:rsidRPr="00393E29">
        <w:rPr>
          <w:rFonts w:ascii="微软雅黑" w:eastAsia="微软雅黑" w:hAnsi="微软雅黑" w:cs="宋体"/>
          <w:kern w:val="0"/>
          <w:sz w:val="24"/>
          <w:szCs w:val="24"/>
        </w:rPr>
        <w:lastRenderedPageBreak/>
        <w:t>造商的说明，使用Renaissance化学发光系统（Perkin Elmer Life Sciences，Inc.）洗涤并显色。最后，使用ImageJ软件分析显色扫描后的膜，获得密度值。</w:t>
      </w:r>
    </w:p>
    <w:p w14:paraId="33C61A1D"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RPPA和数据分析</w:t>
      </w:r>
    </w:p>
    <w:p w14:paraId="51E48D25" w14:textId="067F2E64"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 xml:space="preserve">将小鼠肿瘤组织在干冰上解剖，并用RIPA裂解缓冲液（1% Triton X-100、50 mM HEPES、pH 7.4、150 mM NaCl、1.5 mM </w:t>
      </w:r>
      <w:proofErr w:type="spellStart"/>
      <w:r w:rsidRPr="00393E29">
        <w:rPr>
          <w:rFonts w:ascii="微软雅黑" w:eastAsia="微软雅黑" w:hAnsi="微软雅黑" w:cs="宋体"/>
          <w:kern w:val="0"/>
          <w:sz w:val="24"/>
          <w:szCs w:val="24"/>
        </w:rPr>
        <w:t>MgCl</w:t>
      </w:r>
      <w:proofErr w:type="spellEnd"/>
      <w:r w:rsidRPr="00393E29">
        <w:rPr>
          <w:rFonts w:ascii="Cambria Math" w:eastAsia="微软雅黑" w:hAnsi="Cambria Math" w:cs="Cambria Math"/>
          <w:kern w:val="0"/>
          <w:sz w:val="24"/>
          <w:szCs w:val="24"/>
        </w:rPr>
        <w:t>₂</w:t>
      </w:r>
      <w:r w:rsidRPr="00393E29">
        <w:rPr>
          <w:rFonts w:ascii="微软雅黑" w:eastAsia="微软雅黑" w:hAnsi="微软雅黑" w:cs="宋体"/>
          <w:kern w:val="0"/>
          <w:sz w:val="24"/>
          <w:szCs w:val="24"/>
        </w:rPr>
        <w:t>、</w:t>
      </w:r>
      <w:r w:rsidRPr="00393E29">
        <w:rPr>
          <w:rFonts w:ascii="微软雅黑" w:eastAsia="微软雅黑" w:hAnsi="微软雅黑" w:cs="宋体"/>
          <w:kern w:val="0"/>
          <w:sz w:val="24"/>
          <w:szCs w:val="24"/>
          <w:vertAlign w:val="subscript"/>
        </w:rPr>
        <w:t>1</w:t>
      </w:r>
      <w:r w:rsidRPr="00393E29">
        <w:rPr>
          <w:rFonts w:ascii="微软雅黑" w:eastAsia="微软雅黑" w:hAnsi="微软雅黑" w:cs="宋体"/>
          <w:kern w:val="0"/>
          <w:sz w:val="24"/>
          <w:szCs w:val="24"/>
        </w:rPr>
        <w:t xml:space="preserve"> mM EGTA、100 mM </w:t>
      </w:r>
      <w:proofErr w:type="spellStart"/>
      <w:r w:rsidRPr="00393E29">
        <w:rPr>
          <w:rFonts w:ascii="微软雅黑" w:eastAsia="微软雅黑" w:hAnsi="微软雅黑" w:cs="宋体"/>
          <w:kern w:val="0"/>
          <w:sz w:val="24"/>
          <w:szCs w:val="24"/>
        </w:rPr>
        <w:t>NaF</w:t>
      </w:r>
      <w:proofErr w:type="spellEnd"/>
      <w:r w:rsidRPr="00393E29">
        <w:rPr>
          <w:rFonts w:ascii="微软雅黑" w:eastAsia="微软雅黑" w:hAnsi="微软雅黑" w:cs="宋体"/>
          <w:kern w:val="0"/>
          <w:sz w:val="24"/>
          <w:szCs w:val="24"/>
        </w:rPr>
        <w:t xml:space="preserve">、10 mM焦磷酸钠、1 mM </w:t>
      </w:r>
      <w:proofErr w:type="spellStart"/>
      <w:r w:rsidRPr="00393E29">
        <w:rPr>
          <w:rFonts w:ascii="微软雅黑" w:eastAsia="微软雅黑" w:hAnsi="微软雅黑" w:cs="宋体"/>
          <w:kern w:val="0"/>
          <w:sz w:val="24"/>
          <w:szCs w:val="24"/>
        </w:rPr>
        <w:t>Na</w:t>
      </w:r>
      <w:r w:rsidRPr="00393E29">
        <w:rPr>
          <w:rFonts w:ascii="Cambria Math" w:eastAsia="微软雅黑" w:hAnsi="Cambria Math" w:cs="Cambria Math"/>
          <w:kern w:val="0"/>
          <w:sz w:val="24"/>
          <w:szCs w:val="24"/>
        </w:rPr>
        <w:t>₃</w:t>
      </w:r>
      <w:r w:rsidRPr="00393E29">
        <w:rPr>
          <w:rFonts w:ascii="微软雅黑" w:eastAsia="微软雅黑" w:hAnsi="微软雅黑" w:cs="宋体"/>
          <w:kern w:val="0"/>
          <w:sz w:val="24"/>
          <w:szCs w:val="24"/>
        </w:rPr>
        <w:t>VO</w:t>
      </w:r>
      <w:proofErr w:type="spellEnd"/>
      <w:r w:rsidRPr="00393E29">
        <w:rPr>
          <w:rFonts w:ascii="Cambria Math" w:eastAsia="微软雅黑" w:hAnsi="Cambria Math" w:cs="Cambria Math"/>
          <w:kern w:val="0"/>
          <w:sz w:val="24"/>
          <w:szCs w:val="24"/>
        </w:rPr>
        <w:t>₄</w:t>
      </w:r>
      <w:r w:rsidRPr="00393E29">
        <w:rPr>
          <w:rFonts w:ascii="微软雅黑" w:eastAsia="微软雅黑" w:hAnsi="微软雅黑" w:cs="宋体" w:hint="eastAsia"/>
          <w:kern w:val="0"/>
          <w:sz w:val="24"/>
          <w:szCs w:val="24"/>
        </w:rPr>
        <w:t> </w:t>
      </w:r>
      <w:r w:rsidRPr="00393E29">
        <w:rPr>
          <w:rFonts w:ascii="微软雅黑" w:eastAsia="微软雅黑" w:hAnsi="微软雅黑" w:cs="宋体"/>
          <w:kern w:val="0"/>
          <w:sz w:val="24"/>
          <w:szCs w:val="24"/>
          <w:vertAlign w:val="subscript"/>
        </w:rPr>
        <w:t>、10</w:t>
      </w:r>
      <w:r w:rsidRPr="00393E29">
        <w:rPr>
          <w:rFonts w:ascii="微软雅黑" w:eastAsia="微软雅黑" w:hAnsi="微软雅黑" w:cs="宋体"/>
          <w:kern w:val="0"/>
          <w:sz w:val="24"/>
          <w:szCs w:val="24"/>
        </w:rPr>
        <w:t xml:space="preserve"> %甘油，以及新鲜添加的蛋白酶和磷酸酶抑制剂；Roche Applied Science，印第安纳州印第安纳波利斯）进行裂解。然后将肿瘤裂解液进行离心，并使用Bradford试剂测定蛋白质浓度。将蛋白质浓度调整至1.5 </w:t>
      </w:r>
      <w:proofErr w:type="spellStart"/>
      <w:r w:rsidRPr="00393E29">
        <w:rPr>
          <w:rFonts w:ascii="微软雅黑" w:eastAsia="微软雅黑" w:hAnsi="微软雅黑" w:cs="宋体"/>
          <w:kern w:val="0"/>
          <w:sz w:val="24"/>
          <w:szCs w:val="24"/>
        </w:rPr>
        <w:t>μg</w:t>
      </w:r>
      <w:proofErr w:type="spellEnd"/>
      <w:r w:rsidRPr="00393E29">
        <w:rPr>
          <w:rFonts w:ascii="微软雅黑" w:eastAsia="微软雅黑" w:hAnsi="微软雅黑" w:cs="宋体"/>
          <w:kern w:val="0"/>
          <w:sz w:val="24"/>
          <w:szCs w:val="24"/>
        </w:rPr>
        <w:t>/</w:t>
      </w:r>
      <w:proofErr w:type="spellStart"/>
      <w:r w:rsidRPr="00393E29">
        <w:rPr>
          <w:rFonts w:ascii="微软雅黑" w:eastAsia="微软雅黑" w:hAnsi="微软雅黑" w:cs="宋体"/>
          <w:kern w:val="0"/>
          <w:sz w:val="24"/>
          <w:szCs w:val="24"/>
        </w:rPr>
        <w:t>μl</w:t>
      </w:r>
      <w:proofErr w:type="spellEnd"/>
      <w:r w:rsidRPr="00393E29">
        <w:rPr>
          <w:rFonts w:ascii="微软雅黑" w:eastAsia="微软雅黑" w:hAnsi="微软雅黑" w:cs="宋体"/>
          <w:kern w:val="0"/>
          <w:sz w:val="24"/>
          <w:szCs w:val="24"/>
        </w:rPr>
        <w:t> </w:t>
      </w:r>
      <w:r w:rsidRPr="00393E29">
        <w:rPr>
          <w:rFonts w:ascii="微软雅黑" w:eastAsia="微软雅黑" w:hAnsi="微软雅黑" w:cs="宋体"/>
          <w:kern w:val="0"/>
          <w:sz w:val="24"/>
          <w:szCs w:val="24"/>
          <w:vertAlign w:val="superscript"/>
        </w:rPr>
        <w:t>，</w:t>
      </w:r>
      <w:r w:rsidRPr="00393E29">
        <w:rPr>
          <w:rFonts w:ascii="微软雅黑" w:eastAsia="微软雅黑" w:hAnsi="微软雅黑" w:cs="宋体"/>
          <w:kern w:val="0"/>
          <w:sz w:val="24"/>
          <w:szCs w:val="24"/>
        </w:rPr>
        <w:t>并与4×SDS</w:t>
      </w:r>
      <w:proofErr w:type="gramStart"/>
      <w:r w:rsidRPr="00393E29">
        <w:rPr>
          <w:rFonts w:ascii="微软雅黑" w:eastAsia="微软雅黑" w:hAnsi="微软雅黑" w:cs="宋体"/>
          <w:kern w:val="0"/>
          <w:sz w:val="24"/>
          <w:szCs w:val="24"/>
        </w:rPr>
        <w:t>上样缓冲</w:t>
      </w:r>
      <w:proofErr w:type="gramEnd"/>
      <w:r w:rsidRPr="00393E29">
        <w:rPr>
          <w:rFonts w:ascii="微软雅黑" w:eastAsia="微软雅黑" w:hAnsi="微软雅黑" w:cs="宋体"/>
          <w:kern w:val="0"/>
          <w:sz w:val="24"/>
          <w:szCs w:val="24"/>
        </w:rPr>
        <w:t>液（含40%甘油、8% SDS、0.25 M Tris-HCl和2-巯基乙醇，pH 6.8）混合。样品煮沸5分钟后，由MD安德森癌症中心的功能蛋白质组</w:t>
      </w:r>
      <w:proofErr w:type="gramStart"/>
      <w:r w:rsidRPr="00393E29">
        <w:rPr>
          <w:rFonts w:ascii="微软雅黑" w:eastAsia="微软雅黑" w:hAnsi="微软雅黑" w:cs="宋体"/>
          <w:kern w:val="0"/>
          <w:sz w:val="24"/>
          <w:szCs w:val="24"/>
        </w:rPr>
        <w:t>学核心</w:t>
      </w:r>
      <w:proofErr w:type="gramEnd"/>
      <w:r w:rsidRPr="00393E29">
        <w:rPr>
          <w:rFonts w:ascii="微软雅黑" w:eastAsia="微软雅黑" w:hAnsi="微软雅黑" w:cs="宋体"/>
          <w:kern w:val="0"/>
          <w:sz w:val="24"/>
          <w:szCs w:val="24"/>
        </w:rPr>
        <w:t>实验室进行RPPA分析。使用</w:t>
      </w:r>
      <w:proofErr w:type="spellStart"/>
      <w:r w:rsidRPr="00393E29">
        <w:rPr>
          <w:rFonts w:ascii="微软雅黑" w:eastAsia="微软雅黑" w:hAnsi="微软雅黑" w:cs="宋体"/>
          <w:kern w:val="0"/>
          <w:sz w:val="24"/>
          <w:szCs w:val="24"/>
        </w:rPr>
        <w:t>MicroVigene</w:t>
      </w:r>
      <w:proofErr w:type="spellEnd"/>
      <w:r w:rsidRPr="00393E29">
        <w:rPr>
          <w:rFonts w:ascii="微软雅黑" w:eastAsia="微软雅黑" w:hAnsi="微软雅黑" w:cs="宋体"/>
          <w:kern w:val="0"/>
          <w:sz w:val="24"/>
          <w:szCs w:val="24"/>
        </w:rPr>
        <w:t xml:space="preserve"> 4.0（</w:t>
      </w:r>
      <w:proofErr w:type="spellStart"/>
      <w:r w:rsidRPr="00393E29">
        <w:rPr>
          <w:rFonts w:ascii="微软雅黑" w:eastAsia="微软雅黑" w:hAnsi="微软雅黑" w:cs="宋体"/>
          <w:kern w:val="0"/>
          <w:sz w:val="24"/>
          <w:szCs w:val="24"/>
        </w:rPr>
        <w:t>Vigene</w:t>
      </w:r>
      <w:proofErr w:type="spellEnd"/>
      <w:r w:rsidRPr="00393E29">
        <w:rPr>
          <w:rFonts w:ascii="微软雅黑" w:eastAsia="微软雅黑" w:hAnsi="微软雅黑" w:cs="宋体"/>
          <w:kern w:val="0"/>
          <w:sz w:val="24"/>
          <w:szCs w:val="24"/>
        </w:rPr>
        <w:t>-Tech，Carlisle，MA）对</w:t>
      </w:r>
      <w:proofErr w:type="gramStart"/>
      <w:r w:rsidRPr="00393E29">
        <w:rPr>
          <w:rFonts w:ascii="微软雅黑" w:eastAsia="微软雅黑" w:hAnsi="微软雅黑" w:cs="宋体"/>
          <w:kern w:val="0"/>
          <w:sz w:val="24"/>
          <w:szCs w:val="24"/>
        </w:rPr>
        <w:t>玻</w:t>
      </w:r>
      <w:proofErr w:type="gramEnd"/>
      <w:r w:rsidRPr="00393E29">
        <w:rPr>
          <w:rFonts w:ascii="微软雅黑" w:eastAsia="微软雅黑" w:hAnsi="微软雅黑" w:cs="宋体"/>
          <w:kern w:val="0"/>
          <w:sz w:val="24"/>
          <w:szCs w:val="24"/>
        </w:rPr>
        <w:t>片图像进行定量分析。使用R包</w:t>
      </w:r>
      <w:proofErr w:type="spellStart"/>
      <w:r w:rsidRPr="00393E29">
        <w:rPr>
          <w:rFonts w:ascii="微软雅黑" w:eastAsia="微软雅黑" w:hAnsi="微软雅黑" w:cs="宋体"/>
          <w:kern w:val="0"/>
          <w:sz w:val="24"/>
          <w:szCs w:val="24"/>
        </w:rPr>
        <w:t>SuperCurve</w:t>
      </w:r>
      <w:proofErr w:type="spellEnd"/>
      <w:r w:rsidRPr="00393E29">
        <w:rPr>
          <w:rFonts w:ascii="微软雅黑" w:eastAsia="微软雅黑" w:hAnsi="微软雅黑" w:cs="宋体"/>
          <w:kern w:val="0"/>
          <w:sz w:val="24"/>
          <w:szCs w:val="24"/>
        </w:rPr>
        <w:t>处理斑点水平的原始数据，该包返回每个</w:t>
      </w:r>
      <w:proofErr w:type="gramStart"/>
      <w:r w:rsidRPr="00393E29">
        <w:rPr>
          <w:rFonts w:ascii="微软雅黑" w:eastAsia="微软雅黑" w:hAnsi="微软雅黑" w:cs="宋体"/>
          <w:kern w:val="0"/>
          <w:sz w:val="24"/>
          <w:szCs w:val="24"/>
        </w:rPr>
        <w:t>玻</w:t>
      </w:r>
      <w:proofErr w:type="gramEnd"/>
      <w:r w:rsidRPr="00393E29">
        <w:rPr>
          <w:rFonts w:ascii="微软雅黑" w:eastAsia="微软雅黑" w:hAnsi="微软雅黑" w:cs="宋体"/>
          <w:kern w:val="0"/>
          <w:sz w:val="24"/>
          <w:szCs w:val="24"/>
        </w:rPr>
        <w:t>片的估计蛋白质浓度（原始浓度）和质量控制评分。然后，对每个样本的所有蛋白质的原始浓度数据进行中值中心化处理，以</w:t>
      </w:r>
      <w:proofErr w:type="gramStart"/>
      <w:r w:rsidRPr="00393E29">
        <w:rPr>
          <w:rFonts w:ascii="微软雅黑" w:eastAsia="微软雅黑" w:hAnsi="微软雅黑" w:cs="宋体"/>
          <w:kern w:val="0"/>
          <w:sz w:val="24"/>
          <w:szCs w:val="24"/>
        </w:rPr>
        <w:t>校正上样偏差</w:t>
      </w:r>
      <w:proofErr w:type="gramEnd"/>
      <w:r w:rsidRPr="00393E29">
        <w:rPr>
          <w:rFonts w:ascii="微软雅黑" w:eastAsia="微软雅黑" w:hAnsi="微软雅黑" w:cs="宋体"/>
          <w:kern w:val="0"/>
          <w:sz w:val="24"/>
          <w:szCs w:val="24"/>
        </w:rPr>
        <w:t>。</w:t>
      </w:r>
    </w:p>
    <w:p w14:paraId="4807B0A3"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对于RPPA数据分析，采用单因素方差分析（ANOVA）来识别不同处理组间差异表达的蛋白质。为校正多重比较，采用</w:t>
      </w:r>
      <w:proofErr w:type="spellStart"/>
      <w:r w:rsidRPr="00393E29">
        <w:rPr>
          <w:rFonts w:ascii="微软雅黑" w:eastAsia="微软雅黑" w:hAnsi="微软雅黑" w:cs="宋体"/>
          <w:kern w:val="0"/>
          <w:sz w:val="24"/>
          <w:szCs w:val="24"/>
        </w:rPr>
        <w:t>Benjamini</w:t>
      </w:r>
      <w:proofErr w:type="spellEnd"/>
      <w:r w:rsidRPr="00393E29">
        <w:rPr>
          <w:rFonts w:ascii="微软雅黑" w:eastAsia="微软雅黑" w:hAnsi="微软雅黑" w:cs="宋体"/>
          <w:kern w:val="0"/>
          <w:sz w:val="24"/>
          <w:szCs w:val="24"/>
        </w:rPr>
        <w:t>-Hochberg方法估计错误发现率（FDR）。</w:t>
      </w:r>
      <w:r w:rsidRPr="00393E29">
        <w:rPr>
          <w:rFonts w:ascii="微软雅黑" w:eastAsia="微软雅黑" w:hAnsi="微软雅黑" w:cs="宋体"/>
          <w:i/>
          <w:iCs/>
          <w:kern w:val="0"/>
          <w:sz w:val="24"/>
          <w:szCs w:val="24"/>
        </w:rPr>
        <w:t>事后两两比较采用Tukey HSD检验。为了比较体内</w:t>
      </w:r>
      <w:r w:rsidRPr="00393E29">
        <w:rPr>
          <w:rFonts w:ascii="微软雅黑" w:eastAsia="微软雅黑" w:hAnsi="微软雅黑" w:cs="宋体"/>
          <w:kern w:val="0"/>
          <w:sz w:val="24"/>
          <w:szCs w:val="24"/>
        </w:rPr>
        <w:t>不同剂量Palbociclib处理组（载体组、25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vertAlign w:val="superscript"/>
        </w:rPr>
        <w:t>组</w:t>
      </w:r>
      <w:r w:rsidRPr="00393E29">
        <w:rPr>
          <w:rFonts w:ascii="微软雅黑" w:eastAsia="微软雅黑" w:hAnsi="微软雅黑" w:cs="宋体"/>
          <w:kern w:val="0"/>
          <w:sz w:val="24"/>
          <w:szCs w:val="24"/>
        </w:rPr>
        <w:t>、75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vertAlign w:val="superscript"/>
        </w:rPr>
        <w:t>组</w:t>
      </w:r>
      <w:r w:rsidRPr="00393E29">
        <w:rPr>
          <w:rFonts w:ascii="微软雅黑" w:eastAsia="微软雅黑" w:hAnsi="微软雅黑" w:cs="宋体"/>
          <w:kern w:val="0"/>
          <w:sz w:val="24"/>
          <w:szCs w:val="24"/>
        </w:rPr>
        <w:t>和150 mg kg</w:t>
      </w:r>
      <w:r w:rsidRPr="00393E29">
        <w:rPr>
          <w:rFonts w:ascii="MS Gothic" w:eastAsia="MS Gothic" w:hAnsi="MS Gothic" w:cs="MS Gothic" w:hint="eastAsia"/>
          <w:kern w:val="0"/>
          <w:sz w:val="24"/>
          <w:szCs w:val="24"/>
        </w:rPr>
        <w:t>⁻</w:t>
      </w:r>
      <w:r w:rsidRPr="00393E29">
        <w:rPr>
          <w:rFonts w:ascii="微软雅黑" w:eastAsia="微软雅黑" w:hAnsi="微软雅黑" w:cs="宋体" w:hint="eastAsia"/>
          <w:kern w:val="0"/>
          <w:sz w:val="24"/>
          <w:szCs w:val="24"/>
        </w:rPr>
        <w:t>¹</w:t>
      </w:r>
      <w:r w:rsidRPr="00393E29">
        <w:rPr>
          <w:rFonts w:ascii="微软雅黑" w:eastAsia="微软雅黑" w:hAnsi="微软雅黑" w:cs="宋体"/>
          <w:kern w:val="0"/>
          <w:sz w:val="24"/>
          <w:szCs w:val="24"/>
          <w:vertAlign w:val="superscript"/>
        </w:rPr>
        <w:t>组</w:t>
      </w:r>
      <w:r w:rsidRPr="00393E29">
        <w:rPr>
          <w:rFonts w:ascii="微软雅黑" w:eastAsia="微软雅黑" w:hAnsi="微软雅黑" w:cs="宋体"/>
          <w:kern w:val="0"/>
          <w:sz w:val="24"/>
          <w:szCs w:val="24"/>
        </w:rPr>
        <w:t>）的蛋白质表达水平，将ANOVA分析中FDR为20%、Tukey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 0.05且倍数变化 &gt; ±1.2的蛋白质鉴定为组间差异表达显著的蛋白质。然后，利用ANOVA</w:t>
      </w:r>
      <w:r w:rsidRPr="00393E29">
        <w:rPr>
          <w:rFonts w:ascii="微软雅黑" w:eastAsia="微软雅黑" w:hAnsi="微软雅黑" w:cs="宋体"/>
          <w:kern w:val="0"/>
          <w:sz w:val="24"/>
          <w:szCs w:val="24"/>
        </w:rPr>
        <w:lastRenderedPageBreak/>
        <w:t>分析中显著差异表达的蛋白质绘制热图，并根据KEGG细胞周期、衰老和自噬/分解代谢通路进行排序。采用Pearson距离和Ward最小方差法对热图中的样本进行聚类。为了比较</w:t>
      </w:r>
      <w:r w:rsidRPr="00393E29">
        <w:rPr>
          <w:rFonts w:ascii="微软雅黑" w:eastAsia="微软雅黑" w:hAnsi="微软雅黑" w:cs="宋体"/>
          <w:i/>
          <w:iCs/>
          <w:kern w:val="0"/>
          <w:sz w:val="24"/>
          <w:szCs w:val="24"/>
        </w:rPr>
        <w:t>体内</w:t>
      </w:r>
      <w:r w:rsidRPr="00393E29">
        <w:rPr>
          <w:rFonts w:ascii="微软雅黑" w:eastAsia="微软雅黑" w:hAnsi="微软雅黑" w:cs="宋体"/>
          <w:kern w:val="0"/>
          <w:sz w:val="24"/>
          <w:szCs w:val="24"/>
        </w:rPr>
        <w:t>联合治疗方案（载体、羟氯喹、帕博西尼和帕博西尼+羟氯喹），我们筛选出方差分析中FDR为15%、Tukey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&lt;0.05且倍数变化&gt;±1.2的蛋白质，并在两两比较分析中将其鉴定为差异表达显著的蛋白质。细胞周期和衰老通路评分则使用方差分析中筛选出的蛋白质的平均表达水平（以log2为底）</w:t>
      </w:r>
      <w:r w:rsidRPr="00393E29">
        <w:rPr>
          <w:rFonts w:ascii="微软雅黑" w:eastAsia="微软雅黑" w:hAnsi="微软雅黑" w:cs="宋体"/>
          <w:kern w:val="0"/>
          <w:sz w:val="24"/>
          <w:szCs w:val="24"/>
          <w:vertAlign w:val="subscript"/>
        </w:rPr>
        <w:t>计算</w:t>
      </w:r>
      <w:r w:rsidRPr="00393E29">
        <w:rPr>
          <w:rFonts w:ascii="微软雅黑" w:eastAsia="微软雅黑" w:hAnsi="微软雅黑" w:cs="宋体"/>
          <w:kern w:val="0"/>
          <w:sz w:val="24"/>
          <w:szCs w:val="24"/>
        </w:rPr>
        <w:t>得出。</w:t>
      </w:r>
    </w:p>
    <w:p w14:paraId="6A104224"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生物信息学和TCGA分析</w:t>
      </w:r>
    </w:p>
    <w:p w14:paraId="0CC6529F" w14:textId="77777777" w:rsidR="00393E29" w:rsidRPr="00393E29" w:rsidRDefault="00393E29" w:rsidP="00393E29">
      <w:pPr>
        <w:widowControl/>
        <w:spacing w:before="450"/>
        <w:rPr>
          <w:rFonts w:ascii="微软雅黑" w:eastAsia="微软雅黑" w:hAnsi="微软雅黑" w:cs="宋体"/>
          <w:kern w:val="0"/>
          <w:sz w:val="24"/>
          <w:szCs w:val="24"/>
        </w:rPr>
      </w:pPr>
      <w:hyperlink r:id="rId96" w:anchor="b67" w:history="1">
        <w:r w:rsidRPr="00393E29">
          <w:rPr>
            <w:rFonts w:ascii="微软雅黑" w:eastAsia="微软雅黑" w:hAnsi="微软雅黑" w:cs="宋体"/>
            <w:kern w:val="0"/>
            <w:sz w:val="24"/>
            <w:szCs w:val="24"/>
          </w:rPr>
          <w:t>利用cBio Portal 67</w:t>
        </w:r>
      </w:hyperlink>
      <w:r w:rsidRPr="00393E29">
        <w:rPr>
          <w:rFonts w:ascii="微软雅黑" w:eastAsia="微软雅黑" w:hAnsi="微软雅黑" w:cs="宋体"/>
          <w:kern w:val="0"/>
          <w:sz w:val="24"/>
          <w:szCs w:val="24"/>
        </w:rPr>
        <w:t>，从TCGA RNA测序数据中获得了乳腺癌、卵巢癌、肺癌、胰腺癌、结肠癌和前列腺癌的CDK4、CDK6、CCND1、Rb1和CCNE1的改变情况。对于生物标志物分析，从Kao等人68</w:t>
      </w:r>
      <w:hyperlink r:id="rId97" w:anchor="b68" w:history="1">
        <w:r w:rsidRPr="00393E29">
          <w:rPr>
            <w:rFonts w:ascii="微软雅黑" w:eastAsia="微软雅黑" w:hAnsi="微软雅黑" w:cs="宋体"/>
            <w:kern w:val="0"/>
            <w:sz w:val="24"/>
            <w:szCs w:val="24"/>
          </w:rPr>
          <w:t>的研究中获得了23个细胞系的基因表达数据，并针对BioCarta基因集</w:t>
        </w:r>
      </w:hyperlink>
      <w:hyperlink r:id="rId98" w:anchor="b69" w:history="1">
        <w:r w:rsidRPr="00393E29">
          <w:rPr>
            <w:rFonts w:ascii="微软雅黑" w:eastAsia="微软雅黑" w:hAnsi="微软雅黑" w:cs="宋体"/>
            <w:kern w:val="0"/>
            <w:sz w:val="24"/>
            <w:szCs w:val="24"/>
          </w:rPr>
          <w:t>69</w:t>
        </w:r>
      </w:hyperlink>
      <w:r w:rsidRPr="00393E29">
        <w:rPr>
          <w:rFonts w:ascii="微软雅黑" w:eastAsia="微软雅黑" w:hAnsi="微软雅黑" w:cs="宋体"/>
          <w:kern w:val="0"/>
          <w:sz w:val="24"/>
          <w:szCs w:val="24"/>
        </w:rPr>
        <w:t>进行了基因集富集分析（GSEA），以获得细胞周期基因的热图。</w:t>
      </w:r>
    </w:p>
    <w:p w14:paraId="2F5C54AF" w14:textId="77777777" w:rsidR="00393E29" w:rsidRPr="00393E29" w:rsidRDefault="00393E29" w:rsidP="00393E29">
      <w:pPr>
        <w:widowControl/>
        <w:spacing w:line="450" w:lineRule="atLeast"/>
        <w:outlineLvl w:val="2"/>
        <w:rPr>
          <w:rFonts w:ascii="微软雅黑" w:eastAsia="微软雅黑" w:hAnsi="微软雅黑" w:cs="宋体"/>
          <w:kern w:val="0"/>
          <w:sz w:val="24"/>
          <w:szCs w:val="24"/>
        </w:rPr>
      </w:pPr>
      <w:r w:rsidRPr="00393E29">
        <w:rPr>
          <w:rFonts w:ascii="微软雅黑" w:eastAsia="微软雅黑" w:hAnsi="微软雅黑" w:cs="宋体"/>
          <w:kern w:val="0"/>
          <w:sz w:val="24"/>
          <w:szCs w:val="24"/>
        </w:rPr>
        <w:t>乳腺癌患者样本、临床数据和统计分析</w:t>
      </w:r>
    </w:p>
    <w:p w14:paraId="04299CE3"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MD安德森癌症中心肿瘤内科维护着一个前瞻性整理的患者数据库，该数据库自1997年以来一直保存着患者的资料。我们检索了该数据库，筛选出所有接受过帕博西尼治疗的乳腺癌患者，并辅以人工检索。关键的人口统计学、临床和病理学数据、癌症治疗详情以及治疗反应均被提取到一个工作数据库中，以便在经伦理审查委员会（IRB）批准的方案下进行分析。记录的关注结局包括缓解、疾病稳定和疾病进展（基于医生的判断，但并非总是基于RECIST标准），以及疾病缓解和稳定的持续时间。为了验证我们染色方法的适用性，我们为每位患者选择</w:t>
      </w:r>
      <w:r w:rsidRPr="00393E29">
        <w:rPr>
          <w:rFonts w:ascii="微软雅黑" w:eastAsia="微软雅黑" w:hAnsi="微软雅黑" w:cs="宋体"/>
          <w:kern w:val="0"/>
          <w:sz w:val="24"/>
          <w:szCs w:val="24"/>
        </w:rPr>
        <w:lastRenderedPageBreak/>
        <w:t>了一个包含最大可用肿瘤标本的组织块（在获得知情同意后获得），并根据经IRB批准的方案从MD安德森癌症中心病理科的档案中提取了这些标本；这些标本包括原发肿瘤和/或局部和/或转移性复发的标本。我们的工作数据库包含病理报告结果，包括原发性乳腺癌活检和手术标本的肿瘤组织学和分级以及雌激素受体和孕激素受体的标准 IHC 分析，以及接受活检或手术切除的局部和远处复发标本。</w:t>
      </w:r>
    </w:p>
    <w:p w14:paraId="4B7465BD" w14:textId="6AF7EF6C"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对无进展生存期（PFS）的患者、肿瘤和治疗特征进行评估和比较；采用Kaplan-Meier法计算各因素的6个月和12个月进展率，并使用log-rank检验比较差异（</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见补充表1和2</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kern w:val="0"/>
          <w:sz w:val="24"/>
          <w:szCs w:val="24"/>
        </w:rPr>
        <w:t>）。采用单因素和多因素Cox模型分析确定已知或潜在预后价值的患者、肿瘤和治疗因素对PFS的影响（</w:t>
      </w:r>
      <w:r w:rsidRPr="00393E29">
        <w:rPr>
          <w:rFonts w:ascii="微软雅黑" w:eastAsia="微软雅黑" w:hAnsi="微软雅黑" w:cs="宋体"/>
          <w:kern w:val="0"/>
          <w:sz w:val="24"/>
          <w:szCs w:val="24"/>
        </w:rPr>
        <w:fldChar w:fldCharType="begin"/>
      </w:r>
      <w:r w:rsidRPr="00393E29">
        <w:rPr>
          <w:rFonts w:ascii="微软雅黑" w:eastAsia="微软雅黑" w:hAnsi="微软雅黑" w:cs="宋体"/>
          <w:kern w:val="0"/>
          <w:sz w:val="24"/>
          <w:szCs w:val="24"/>
        </w:rPr>
        <w:instrText xml:space="preserve"> HYPERLINK "https://pmc.ncbi.nlm.nih.gov/articles/PMC5490269/" \l "S1" </w:instrText>
      </w:r>
      <w:r w:rsidRPr="00393E29">
        <w:rPr>
          <w:rFonts w:ascii="微软雅黑" w:eastAsia="微软雅黑" w:hAnsi="微软雅黑" w:cs="宋体"/>
          <w:kern w:val="0"/>
          <w:sz w:val="24"/>
          <w:szCs w:val="24"/>
        </w:rPr>
        <w:fldChar w:fldCharType="separate"/>
      </w:r>
      <w:r w:rsidRPr="00393E29">
        <w:rPr>
          <w:rFonts w:ascii="微软雅黑" w:eastAsia="微软雅黑" w:hAnsi="微软雅黑" w:cs="宋体"/>
          <w:kern w:val="0"/>
          <w:sz w:val="24"/>
          <w:szCs w:val="24"/>
          <w:u w:val="single"/>
        </w:rPr>
        <w:t>见补充表3和4 ）。将单因素分析中</w:t>
      </w:r>
      <w:r w:rsidRPr="00393E29">
        <w:rPr>
          <w:rFonts w:ascii="微软雅黑" w:eastAsia="微软雅黑" w:hAnsi="微软雅黑" w:cs="宋体"/>
          <w:kern w:val="0"/>
          <w:sz w:val="24"/>
          <w:szCs w:val="24"/>
        </w:rPr>
        <w:fldChar w:fldCharType="end"/>
      </w:r>
      <w:r w:rsidRPr="00393E29">
        <w:rPr>
          <w:rFonts w:ascii="微软雅黑" w:eastAsia="微软雅黑" w:hAnsi="微软雅黑" w:cs="宋体"/>
          <w:i/>
          <w:iCs/>
          <w:kern w:val="0"/>
          <w:sz w:val="24"/>
          <w:szCs w:val="24"/>
        </w:rPr>
        <w:t>P≤0.1</w:t>
      </w:r>
      <w:r w:rsidRPr="00393E29">
        <w:rPr>
          <w:rFonts w:ascii="微软雅黑" w:eastAsia="微软雅黑" w:hAnsi="微软雅黑" w:cs="宋体"/>
          <w:kern w:val="0"/>
          <w:sz w:val="24"/>
          <w:szCs w:val="24"/>
        </w:rPr>
        <w:t>的所有因素纳入完整模型，并采用向后剔除法选择最终模型。使用Harrell一致性指数</w:t>
      </w:r>
      <w:r w:rsidRPr="00393E29">
        <w:rPr>
          <w:rFonts w:ascii="微软雅黑" w:eastAsia="微软雅黑" w:hAnsi="微软雅黑" w:cs="宋体"/>
          <w:kern w:val="0"/>
          <w:sz w:val="24"/>
          <w:szCs w:val="24"/>
          <w:u w:val="single"/>
          <w:vertAlign w:val="superscript"/>
        </w:rPr>
        <w:t>&lt;sup&gt; </w:t>
      </w:r>
      <w:hyperlink r:id="rId99" w:anchor="b70" w:history="1">
        <w:r w:rsidRPr="00393E29">
          <w:rPr>
            <w:rFonts w:ascii="微软雅黑" w:eastAsia="微软雅黑" w:hAnsi="微软雅黑" w:cs="宋体"/>
            <w:kern w:val="0"/>
            <w:sz w:val="24"/>
            <w:szCs w:val="24"/>
            <w:u w:val="single"/>
            <w:vertAlign w:val="superscript"/>
          </w:rPr>
          <w:t>70&lt;/sup&gt;</w:t>
        </w:r>
      </w:hyperlink>
      <w:r w:rsidRPr="00393E29">
        <w:rPr>
          <w:rFonts w:ascii="微软雅黑" w:eastAsia="微软雅黑" w:hAnsi="微软雅黑" w:cs="宋体"/>
          <w:kern w:val="0"/>
          <w:sz w:val="24"/>
          <w:szCs w:val="24"/>
        </w:rPr>
        <w:t>量化模型性能。为与文献进行比较，使用C指数评估模型的判别能力，并考虑数据中高度</w:t>
      </w:r>
      <w:proofErr w:type="gramStart"/>
      <w:r w:rsidRPr="00393E29">
        <w:rPr>
          <w:rFonts w:ascii="微软雅黑" w:eastAsia="微软雅黑" w:hAnsi="微软雅黑" w:cs="宋体"/>
          <w:kern w:val="0"/>
          <w:sz w:val="24"/>
          <w:szCs w:val="24"/>
        </w:rPr>
        <w:t>删</w:t>
      </w:r>
      <w:proofErr w:type="gramEnd"/>
      <w:r w:rsidRPr="00393E29">
        <w:rPr>
          <w:rFonts w:ascii="微软雅黑" w:eastAsia="微软雅黑" w:hAnsi="微软雅黑" w:cs="宋体"/>
          <w:kern w:val="0"/>
          <w:sz w:val="24"/>
          <w:szCs w:val="24"/>
        </w:rPr>
        <w:t>失的一致性概率估计</w:t>
      </w:r>
      <w:r w:rsidRPr="00393E29">
        <w:rPr>
          <w:rFonts w:ascii="微软雅黑" w:eastAsia="微软雅黑" w:hAnsi="微软雅黑" w:cs="宋体"/>
          <w:kern w:val="0"/>
          <w:sz w:val="24"/>
          <w:szCs w:val="24"/>
          <w:u w:val="single"/>
          <w:vertAlign w:val="superscript"/>
        </w:rPr>
        <w:t>&lt;sup&gt; </w:t>
      </w:r>
      <w:hyperlink r:id="rId100" w:anchor="b70" w:history="1">
        <w:r w:rsidRPr="00393E29">
          <w:rPr>
            <w:rFonts w:ascii="微软雅黑" w:eastAsia="微软雅黑" w:hAnsi="微软雅黑" w:cs="宋体"/>
            <w:kern w:val="0"/>
            <w:sz w:val="24"/>
            <w:szCs w:val="24"/>
            <w:u w:val="single"/>
            <w:vertAlign w:val="superscript"/>
          </w:rPr>
          <w:t>70&lt;/sup&gt;</w:t>
        </w:r>
      </w:hyperlink>
      <w:r w:rsidRPr="00393E29">
        <w:rPr>
          <w:rFonts w:ascii="微软雅黑" w:eastAsia="微软雅黑" w:hAnsi="微软雅黑" w:cs="宋体"/>
          <w:kern w:val="0"/>
          <w:sz w:val="24"/>
          <w:szCs w:val="24"/>
        </w:rPr>
        <w:t>。 C 指数的取值范围从完全一致 (1.0) 到随机预测 (0.5)。与受试者工作特征曲线下面积类似，一致性概率估计值的取值范围也从完全一致 (1.0) 到完全不一致 (0.0)。此外，还计算了</w:t>
      </w:r>
      <w:proofErr w:type="gramStart"/>
      <w:r w:rsidRPr="00393E29">
        <w:rPr>
          <w:rFonts w:ascii="微软雅黑" w:eastAsia="微软雅黑" w:hAnsi="微软雅黑" w:cs="宋体"/>
          <w:kern w:val="0"/>
          <w:sz w:val="24"/>
          <w:szCs w:val="24"/>
        </w:rPr>
        <w:t>赤池信息</w:t>
      </w:r>
      <w:proofErr w:type="gramEnd"/>
      <w:r w:rsidRPr="00393E29">
        <w:rPr>
          <w:rFonts w:ascii="微软雅黑" w:eastAsia="微软雅黑" w:hAnsi="微软雅黑" w:cs="宋体"/>
          <w:kern w:val="0"/>
          <w:sz w:val="24"/>
          <w:szCs w:val="24"/>
        </w:rPr>
        <w:t>准则 (AIC)。AIC 考虑了模型与数据的拟合程度以及模型的复杂度，从而降低了过拟合的风险。经过比较，最终报告了 AIC 值最低且 C 指数最高的模型。所有统计分析均使用 R 3.3.2 进行。所有</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值均为双侧检验，</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 0.05 被认为具有统计学意义，且未进行多因素校正。</w:t>
      </w:r>
    </w:p>
    <w:p w14:paraId="4B6FE31E"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患者样本的免疫组织化学染色</w:t>
      </w:r>
    </w:p>
    <w:p w14:paraId="1E68DF7A"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lastRenderedPageBreak/>
        <w:t xml:space="preserve">对于回收的109例乳腺癌样本，切取两张连续的5 </w:t>
      </w:r>
      <w:proofErr w:type="spellStart"/>
      <w:r w:rsidRPr="00393E29">
        <w:rPr>
          <w:rFonts w:ascii="微软雅黑" w:eastAsia="微软雅黑" w:hAnsi="微软雅黑" w:cs="宋体"/>
          <w:kern w:val="0"/>
          <w:sz w:val="24"/>
          <w:szCs w:val="24"/>
        </w:rPr>
        <w:t>μm</w:t>
      </w:r>
      <w:proofErr w:type="spellEnd"/>
      <w:r w:rsidRPr="00393E29">
        <w:rPr>
          <w:rFonts w:ascii="微软雅黑" w:eastAsia="微软雅黑" w:hAnsi="微软雅黑" w:cs="宋体"/>
          <w:kern w:val="0"/>
          <w:sz w:val="24"/>
          <w:szCs w:val="24"/>
        </w:rPr>
        <w:t>切片，并将其贴于</w:t>
      </w:r>
      <w:proofErr w:type="spellStart"/>
      <w:r w:rsidRPr="00393E29">
        <w:rPr>
          <w:rFonts w:ascii="微软雅黑" w:eastAsia="微软雅黑" w:hAnsi="微软雅黑" w:cs="宋体"/>
          <w:kern w:val="0"/>
          <w:sz w:val="24"/>
          <w:szCs w:val="24"/>
        </w:rPr>
        <w:t>Superfrost</w:t>
      </w:r>
      <w:proofErr w:type="spellEnd"/>
      <w:r w:rsidRPr="00393E29">
        <w:rPr>
          <w:rFonts w:ascii="微软雅黑" w:eastAsia="微软雅黑" w:hAnsi="微软雅黑" w:cs="宋体"/>
          <w:kern w:val="0"/>
          <w:sz w:val="24"/>
          <w:szCs w:val="24"/>
        </w:rPr>
        <w:t xml:space="preserve"> Plus载玻片上。抗原修复和洗涤步骤按照</w:t>
      </w:r>
      <w:proofErr w:type="spellStart"/>
      <w:r w:rsidRPr="00393E29">
        <w:rPr>
          <w:rFonts w:ascii="微软雅黑" w:eastAsia="微软雅黑" w:hAnsi="微软雅黑" w:cs="宋体"/>
          <w:kern w:val="0"/>
          <w:sz w:val="24"/>
          <w:szCs w:val="24"/>
        </w:rPr>
        <w:t>BrdU</w:t>
      </w:r>
      <w:proofErr w:type="spellEnd"/>
      <w:r w:rsidRPr="00393E29">
        <w:rPr>
          <w:rFonts w:ascii="微软雅黑" w:eastAsia="微软雅黑" w:hAnsi="微软雅黑" w:cs="宋体"/>
          <w:kern w:val="0"/>
          <w:sz w:val="24"/>
          <w:szCs w:val="24"/>
        </w:rPr>
        <w:t>免疫组化分析的方法进行。细胞周期蛋白E和Rb的免疫组化染色使用两种市售的</w:t>
      </w:r>
      <w:proofErr w:type="gramStart"/>
      <w:r w:rsidRPr="00393E29">
        <w:rPr>
          <w:rFonts w:ascii="微软雅黑" w:eastAsia="微软雅黑" w:hAnsi="微软雅黑" w:cs="宋体"/>
          <w:kern w:val="0"/>
          <w:sz w:val="24"/>
          <w:szCs w:val="24"/>
        </w:rPr>
        <w:t>一</w:t>
      </w:r>
      <w:proofErr w:type="gramEnd"/>
      <w:r w:rsidRPr="00393E29">
        <w:rPr>
          <w:rFonts w:ascii="微软雅黑" w:eastAsia="微软雅黑" w:hAnsi="微软雅黑" w:cs="宋体"/>
          <w:kern w:val="0"/>
          <w:sz w:val="24"/>
          <w:szCs w:val="24"/>
        </w:rPr>
        <w:t>抗：兔抗细胞周期蛋白E多克隆抗体（克隆C19；Santa Cruz Biotechnology，Santa Cruz，CA），稀释度为1:1000；以及Rb小鼠单克隆抗体（克隆4H1；Cell Signaling Technology，</w:t>
      </w:r>
      <w:proofErr w:type="spellStart"/>
      <w:r w:rsidRPr="00393E29">
        <w:rPr>
          <w:rFonts w:ascii="微软雅黑" w:eastAsia="微软雅黑" w:hAnsi="微软雅黑" w:cs="宋体"/>
          <w:kern w:val="0"/>
          <w:sz w:val="24"/>
          <w:szCs w:val="24"/>
        </w:rPr>
        <w:t>Denvers</w:t>
      </w:r>
      <w:proofErr w:type="spellEnd"/>
      <w:r w:rsidRPr="00393E29">
        <w:rPr>
          <w:rFonts w:ascii="微软雅黑" w:eastAsia="微软雅黑" w:hAnsi="微软雅黑" w:cs="宋体"/>
          <w:kern w:val="0"/>
          <w:sz w:val="24"/>
          <w:szCs w:val="24"/>
        </w:rPr>
        <w:t>，MA），稀释度为1:100。使用VECTASTAIN Elite ABC试剂盒（PK6101和PK6102；Vector Laboratories，Burlingame，CA）显色，然后用DAB底物（Vector）染色，并用苏木精（DAKO）复染，最后进行封片。每批样本中均包含已知</w:t>
      </w:r>
      <w:proofErr w:type="gramStart"/>
      <w:r w:rsidRPr="00393E29">
        <w:rPr>
          <w:rFonts w:ascii="微软雅黑" w:eastAsia="微软雅黑" w:hAnsi="微软雅黑" w:cs="宋体"/>
          <w:kern w:val="0"/>
          <w:sz w:val="24"/>
          <w:szCs w:val="24"/>
        </w:rPr>
        <w:t>高表达</w:t>
      </w:r>
      <w:proofErr w:type="gramEnd"/>
      <w:r w:rsidRPr="00393E29">
        <w:rPr>
          <w:rFonts w:ascii="微软雅黑" w:eastAsia="微软雅黑" w:hAnsi="微软雅黑" w:cs="宋体"/>
          <w:kern w:val="0"/>
          <w:sz w:val="24"/>
          <w:szCs w:val="24"/>
        </w:rPr>
        <w:t>LMWE和Rb的肿瘤细胞块作为阳性对照，阴性对照则用PBS缓冲液代替</w:t>
      </w:r>
      <w:proofErr w:type="gramStart"/>
      <w:r w:rsidRPr="00393E29">
        <w:rPr>
          <w:rFonts w:ascii="微软雅黑" w:eastAsia="微软雅黑" w:hAnsi="微软雅黑" w:cs="宋体"/>
          <w:kern w:val="0"/>
          <w:sz w:val="24"/>
          <w:szCs w:val="24"/>
        </w:rPr>
        <w:t>一</w:t>
      </w:r>
      <w:proofErr w:type="gramEnd"/>
      <w:r w:rsidRPr="00393E29">
        <w:rPr>
          <w:rFonts w:ascii="微软雅黑" w:eastAsia="微软雅黑" w:hAnsi="微软雅黑" w:cs="宋体"/>
          <w:kern w:val="0"/>
          <w:sz w:val="24"/>
          <w:szCs w:val="24"/>
        </w:rPr>
        <w:t>抗制备。染色结果使用配备20倍和40倍物镜的Lei</w:t>
      </w:r>
      <w:r w:rsidRPr="00393E29">
        <w:rPr>
          <w:rFonts w:ascii="MS Gothic" w:eastAsia="MS Gothic" w:hAnsi="MS Gothic" w:cs="MS Gothic" w:hint="eastAsia"/>
          <w:kern w:val="0"/>
          <w:sz w:val="24"/>
          <w:szCs w:val="24"/>
        </w:rPr>
        <w:t>​​</w:t>
      </w:r>
      <w:r w:rsidRPr="00393E29">
        <w:rPr>
          <w:rFonts w:ascii="微软雅黑" w:eastAsia="微软雅黑" w:hAnsi="微软雅黑" w:cs="宋体"/>
          <w:kern w:val="0"/>
          <w:sz w:val="24"/>
          <w:szCs w:val="24"/>
        </w:rPr>
        <w:t>ca DM光学显微镜进行评估。图像采集使用SPOT Imaging Solutions相机和SPOT Advanced软件。MD安德森癌症中心的病理学家（CK和POS）对Rb和LMWE染色结果进行评估和评分。</w:t>
      </w:r>
    </w:p>
    <w:p w14:paraId="3851FC2D"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Rb 和细胞周期蛋白 E 的免疫组织化学评分</w:t>
      </w:r>
    </w:p>
    <w:p w14:paraId="3C440E4F"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细胞周期蛋白E染色由两位对患者预后不知情的病理学家进行评分（数据未显示）。根据染色细胞的百分比和染色强度，对细胞核和细胞质染色进行评分（0=阴性，1=弱染色，2=中等染色，3=强染色），如前所述</w:t>
      </w:r>
      <w:r w:rsidRPr="00393E29">
        <w:rPr>
          <w:rFonts w:ascii="微软雅黑" w:eastAsia="微软雅黑" w:hAnsi="微软雅黑" w:cs="宋体"/>
          <w:kern w:val="0"/>
          <w:sz w:val="24"/>
          <w:szCs w:val="24"/>
          <w:u w:val="single"/>
          <w:vertAlign w:val="superscript"/>
        </w:rPr>
        <w:t>&lt;sup&gt; </w:t>
      </w:r>
      <w:hyperlink r:id="rId101" w:anchor="b41" w:history="1">
        <w:r w:rsidRPr="00393E29">
          <w:rPr>
            <w:rFonts w:ascii="微软雅黑" w:eastAsia="微软雅黑" w:hAnsi="微软雅黑" w:cs="宋体"/>
            <w:kern w:val="0"/>
            <w:sz w:val="24"/>
            <w:szCs w:val="24"/>
            <w:u w:val="single"/>
            <w:vertAlign w:val="superscript"/>
          </w:rPr>
          <w:t>41&lt;/sup&gt;</w:t>
        </w:r>
      </w:hyperlink>
      <w:r w:rsidRPr="00393E29">
        <w:rPr>
          <w:rFonts w:ascii="微软雅黑" w:eastAsia="微软雅黑" w:hAnsi="微软雅黑" w:cs="宋体"/>
          <w:kern w:val="0"/>
          <w:sz w:val="24"/>
          <w:szCs w:val="24"/>
        </w:rPr>
        <w:t>。每个肿瘤样本分别对细胞核和细胞质中的细胞周期蛋白E表达进行评分，LMWE状态定义如下：LMWE阴性定义为无染色或仅有细胞核染色；LMWE阳性定义为细胞核+细胞质染色或仅有细胞质染色。</w:t>
      </w:r>
    </w:p>
    <w:p w14:paraId="19E5BCE0"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lastRenderedPageBreak/>
        <w:t>对于Rb染色，染色强度和阳性细胞百分比分别进行评估。染色强度评分如下：0，无染色；1，弱阳性（淡黄色染色）；2，中等阳性；3，强阳性（棕色染色）。阳性细胞数量通过目测评估并分级如下：&lt;1%，0（阴性）；1%至&lt;5%阳性细胞，1（弱）；5%至50%阳性细胞，2（中等）；&gt;50%阳性细胞，3（强）。染色强度评分和阳性细胞百分比评分之和用于确定每个切片的染色指数，最低分为0，最高分为6；评分&gt;1定义为Rb阳性。以此为临界值，我们比较了Rb阳性肿瘤和Rb阴性肿瘤。</w:t>
      </w:r>
    </w:p>
    <w:p w14:paraId="1D8B9E7D"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对 NCI TMA 肿瘤样本进行 Rb 和细胞周期蛋白 E 的 IHC 分析，并按照上述 Palbociclib 治疗患者样本的描述进行评分。</w:t>
      </w:r>
    </w:p>
    <w:p w14:paraId="104BF555" w14:textId="77777777" w:rsidR="00393E29" w:rsidRPr="00393E29" w:rsidRDefault="00393E29" w:rsidP="00393E29">
      <w:pPr>
        <w:widowControl/>
        <w:spacing w:line="450" w:lineRule="atLeast"/>
        <w:outlineLvl w:val="2"/>
        <w:rPr>
          <w:rFonts w:ascii="微软雅黑" w:eastAsia="微软雅黑" w:hAnsi="微软雅黑" w:cs="宋体"/>
          <w:kern w:val="0"/>
          <w:sz w:val="32"/>
          <w:szCs w:val="32"/>
        </w:rPr>
      </w:pPr>
      <w:r w:rsidRPr="00393E29">
        <w:rPr>
          <w:rFonts w:ascii="微软雅黑" w:eastAsia="微软雅黑" w:hAnsi="微软雅黑" w:cs="宋体"/>
          <w:kern w:val="0"/>
          <w:sz w:val="32"/>
          <w:szCs w:val="32"/>
        </w:rPr>
        <w:t>统计分析</w:t>
      </w:r>
    </w:p>
    <w:p w14:paraId="4D0F8223" w14:textId="77777777" w:rsidR="00393E29" w:rsidRPr="00393E29" w:rsidRDefault="00393E29" w:rsidP="00393E29">
      <w:pPr>
        <w:widowControl/>
        <w:spacing w:before="450"/>
        <w:rPr>
          <w:rFonts w:ascii="微软雅黑" w:eastAsia="微软雅黑" w:hAnsi="微软雅黑" w:cs="宋体"/>
          <w:kern w:val="0"/>
          <w:sz w:val="24"/>
          <w:szCs w:val="24"/>
        </w:rPr>
      </w:pPr>
      <w:r w:rsidRPr="00393E29">
        <w:rPr>
          <w:rFonts w:ascii="微软雅黑" w:eastAsia="微软雅黑" w:hAnsi="微软雅黑" w:cs="宋体"/>
          <w:kern w:val="0"/>
          <w:sz w:val="24"/>
          <w:szCs w:val="24"/>
        </w:rPr>
        <w:t>所有实验均至少设置三个技术重复和三个生物学重复，除非另有说明，报告的数值均为三个生物学重复的平均值。除非另有说明，误差线代表平均值的标准差。两两比较采用多重</w:t>
      </w:r>
      <w:r w:rsidRPr="00393E29">
        <w:rPr>
          <w:rFonts w:ascii="微软雅黑" w:eastAsia="微软雅黑" w:hAnsi="微软雅黑" w:cs="宋体"/>
          <w:i/>
          <w:iCs/>
          <w:kern w:val="0"/>
          <w:sz w:val="24"/>
          <w:szCs w:val="24"/>
        </w:rPr>
        <w:t>t</w:t>
      </w:r>
      <w:r w:rsidRPr="00393E29">
        <w:rPr>
          <w:rFonts w:ascii="微软雅黑" w:eastAsia="微软雅黑" w:hAnsi="微软雅黑" w:cs="宋体"/>
          <w:kern w:val="0"/>
          <w:sz w:val="24"/>
          <w:szCs w:val="24"/>
        </w:rPr>
        <w:t>检验（每行一个非配对</w:t>
      </w:r>
      <w:r w:rsidRPr="00393E29">
        <w:rPr>
          <w:rFonts w:ascii="微软雅黑" w:eastAsia="微软雅黑" w:hAnsi="微软雅黑" w:cs="宋体"/>
          <w:i/>
          <w:iCs/>
          <w:kern w:val="0"/>
          <w:sz w:val="24"/>
          <w:szCs w:val="24"/>
        </w:rPr>
        <w:t>t</w:t>
      </w:r>
      <w:r w:rsidRPr="00393E29">
        <w:rPr>
          <w:rFonts w:ascii="微软雅黑" w:eastAsia="微软雅黑" w:hAnsi="微软雅黑" w:cs="宋体"/>
          <w:kern w:val="0"/>
          <w:sz w:val="24"/>
          <w:szCs w:val="24"/>
        </w:rPr>
        <w:t>检验）进行分析，并应用Holm-</w:t>
      </w:r>
      <w:proofErr w:type="spellStart"/>
      <w:r w:rsidRPr="00393E29">
        <w:rPr>
          <w:rFonts w:ascii="微软雅黑" w:eastAsia="微软雅黑" w:hAnsi="微软雅黑" w:cs="宋体"/>
          <w:kern w:val="0"/>
          <w:sz w:val="24"/>
          <w:szCs w:val="24"/>
        </w:rPr>
        <w:t>Sidak</w:t>
      </w:r>
      <w:proofErr w:type="spellEnd"/>
      <w:r w:rsidRPr="00393E29">
        <w:rPr>
          <w:rFonts w:ascii="微软雅黑" w:eastAsia="微软雅黑" w:hAnsi="微软雅黑" w:cs="宋体"/>
          <w:kern w:val="0"/>
          <w:sz w:val="24"/>
          <w:szCs w:val="24"/>
        </w:rPr>
        <w:t>法进行多重比较校正。比较多组实验数据时，采用常规单因素方差分析（非配对），并使用</w:t>
      </w:r>
      <w:proofErr w:type="spellStart"/>
      <w:r w:rsidRPr="00393E29">
        <w:rPr>
          <w:rFonts w:ascii="微软雅黑" w:eastAsia="微软雅黑" w:hAnsi="微软雅黑" w:cs="宋体"/>
          <w:kern w:val="0"/>
          <w:sz w:val="24"/>
          <w:szCs w:val="24"/>
        </w:rPr>
        <w:t>Benjamini</w:t>
      </w:r>
      <w:proofErr w:type="spellEnd"/>
      <w:r w:rsidRPr="00393E29">
        <w:rPr>
          <w:rFonts w:ascii="微软雅黑" w:eastAsia="微软雅黑" w:hAnsi="微软雅黑" w:cs="宋体"/>
          <w:kern w:val="0"/>
          <w:sz w:val="24"/>
          <w:szCs w:val="24"/>
        </w:rPr>
        <w:t>-Hochberg程序校正多重比较。</w:t>
      </w:r>
      <w:r w:rsidRPr="00393E29">
        <w:rPr>
          <w:rFonts w:ascii="微软雅黑" w:eastAsia="微软雅黑" w:hAnsi="微软雅黑" w:cs="宋体"/>
          <w:i/>
          <w:iCs/>
          <w:kern w:val="0"/>
          <w:sz w:val="24"/>
          <w:szCs w:val="24"/>
        </w:rPr>
        <w:t>事后</w:t>
      </w:r>
      <w:r w:rsidRPr="00393E29">
        <w:rPr>
          <w:rFonts w:ascii="微软雅黑" w:eastAsia="微软雅黑" w:hAnsi="微软雅黑" w:cs="宋体"/>
          <w:kern w:val="0"/>
          <w:sz w:val="24"/>
          <w:szCs w:val="24"/>
        </w:rPr>
        <w:t>分析采用Tukey HSD检验。Kaplan-Meier生存分析采用log-rank（Mantel-Cox）检验。所有检验中，</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值≤0.05被认为具有统计学意义。所有图表中，NS：</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&gt;0.05；*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&lt;0.05；**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&lt;0.01；***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&lt;0.001；**** </w:t>
      </w:r>
      <w:r w:rsidRPr="00393E29">
        <w:rPr>
          <w:rFonts w:ascii="微软雅黑" w:eastAsia="微软雅黑" w:hAnsi="微软雅黑" w:cs="宋体"/>
          <w:i/>
          <w:iCs/>
          <w:kern w:val="0"/>
          <w:sz w:val="24"/>
          <w:szCs w:val="24"/>
        </w:rPr>
        <w:t>P</w:t>
      </w:r>
      <w:r w:rsidRPr="00393E29">
        <w:rPr>
          <w:rFonts w:ascii="微软雅黑" w:eastAsia="微软雅黑" w:hAnsi="微软雅黑" w:cs="宋体"/>
          <w:kern w:val="0"/>
          <w:sz w:val="24"/>
          <w:szCs w:val="24"/>
        </w:rPr>
        <w:t> &lt;0.0001。所有统计分析均使用 GraphPad Prism 软件和 R 进行。</w:t>
      </w:r>
    </w:p>
    <w:p w14:paraId="004DC6A7" w14:textId="77777777" w:rsidR="00CA7552" w:rsidRPr="00393E29" w:rsidRDefault="00CA7552" w:rsidP="00393E29">
      <w:pPr>
        <w:rPr>
          <w:rFonts w:ascii="微软雅黑" w:eastAsia="微软雅黑" w:hAnsi="微软雅黑"/>
        </w:rPr>
      </w:pPr>
    </w:p>
    <w:sectPr w:rsidR="00CA7552" w:rsidRPr="00393E29">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622EEA"/>
    <w:multiLevelType w:val="multilevel"/>
    <w:tmpl w:val="0CC09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552"/>
    <w:rsid w:val="00393E29"/>
    <w:rsid w:val="00CA75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A2F8E"/>
  <w15:chartTrackingRefBased/>
  <w15:docId w15:val="{2B617127-D9CC-4A28-8054-FE36E6BDC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393E29"/>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393E29"/>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393E29"/>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393E29"/>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93E29"/>
    <w:rPr>
      <w:rFonts w:ascii="宋体" w:eastAsia="宋体" w:hAnsi="宋体" w:cs="宋体"/>
      <w:b/>
      <w:bCs/>
      <w:kern w:val="36"/>
      <w:sz w:val="48"/>
      <w:szCs w:val="48"/>
    </w:rPr>
  </w:style>
  <w:style w:type="character" w:customStyle="1" w:styleId="20">
    <w:name w:val="标题 2 字符"/>
    <w:basedOn w:val="a0"/>
    <w:link w:val="2"/>
    <w:uiPriority w:val="9"/>
    <w:rsid w:val="00393E29"/>
    <w:rPr>
      <w:rFonts w:ascii="宋体" w:eastAsia="宋体" w:hAnsi="宋体" w:cs="宋体"/>
      <w:b/>
      <w:bCs/>
      <w:kern w:val="0"/>
      <w:sz w:val="36"/>
      <w:szCs w:val="36"/>
    </w:rPr>
  </w:style>
  <w:style w:type="character" w:customStyle="1" w:styleId="30">
    <w:name w:val="标题 3 字符"/>
    <w:basedOn w:val="a0"/>
    <w:link w:val="3"/>
    <w:uiPriority w:val="9"/>
    <w:rsid w:val="00393E29"/>
    <w:rPr>
      <w:rFonts w:ascii="宋体" w:eastAsia="宋体" w:hAnsi="宋体" w:cs="宋体"/>
      <w:b/>
      <w:bCs/>
      <w:kern w:val="0"/>
      <w:sz w:val="27"/>
      <w:szCs w:val="27"/>
    </w:rPr>
  </w:style>
  <w:style w:type="character" w:customStyle="1" w:styleId="40">
    <w:name w:val="标题 4 字符"/>
    <w:basedOn w:val="a0"/>
    <w:link w:val="4"/>
    <w:uiPriority w:val="9"/>
    <w:rsid w:val="00393E29"/>
    <w:rPr>
      <w:rFonts w:ascii="宋体" w:eastAsia="宋体" w:hAnsi="宋体" w:cs="宋体"/>
      <w:b/>
      <w:bCs/>
      <w:kern w:val="0"/>
      <w:sz w:val="24"/>
      <w:szCs w:val="24"/>
    </w:rPr>
  </w:style>
  <w:style w:type="paragraph" w:customStyle="1" w:styleId="msonormal0">
    <w:name w:val="msonormal"/>
    <w:basedOn w:val="a"/>
    <w:rsid w:val="00393E29"/>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393E29"/>
    <w:rPr>
      <w:color w:val="0000FF"/>
      <w:u w:val="single"/>
    </w:rPr>
  </w:style>
  <w:style w:type="character" w:styleId="a4">
    <w:name w:val="FollowedHyperlink"/>
    <w:basedOn w:val="a0"/>
    <w:uiPriority w:val="99"/>
    <w:semiHidden/>
    <w:unhideWhenUsed/>
    <w:rsid w:val="00393E29"/>
    <w:rPr>
      <w:color w:val="800080"/>
      <w:u w:val="single"/>
    </w:rPr>
  </w:style>
  <w:style w:type="character" w:customStyle="1" w:styleId="name">
    <w:name w:val="name"/>
    <w:basedOn w:val="a0"/>
    <w:rsid w:val="00393E29"/>
  </w:style>
  <w:style w:type="paragraph" w:styleId="a5">
    <w:name w:val="Normal (Web)"/>
    <w:basedOn w:val="a"/>
    <w:uiPriority w:val="99"/>
    <w:semiHidden/>
    <w:unhideWhenUsed/>
    <w:rsid w:val="00393E29"/>
    <w:pPr>
      <w:widowControl/>
      <w:spacing w:before="100" w:beforeAutospacing="1" w:after="100" w:afterAutospacing="1"/>
      <w:jc w:val="left"/>
    </w:pPr>
    <w:rPr>
      <w:rFonts w:ascii="宋体" w:eastAsia="宋体" w:hAnsi="宋体" w:cs="宋体"/>
      <w:kern w:val="0"/>
      <w:sz w:val="24"/>
      <w:szCs w:val="24"/>
    </w:rPr>
  </w:style>
  <w:style w:type="character" w:styleId="a6">
    <w:name w:val="Emphasis"/>
    <w:basedOn w:val="a0"/>
    <w:uiPriority w:val="20"/>
    <w:qFormat/>
    <w:rsid w:val="00393E29"/>
    <w:rPr>
      <w:i/>
      <w:iCs/>
    </w:rPr>
  </w:style>
  <w:style w:type="paragraph" w:customStyle="1" w:styleId="img-box">
    <w:name w:val="img-box"/>
    <w:basedOn w:val="a"/>
    <w:rsid w:val="00393E29"/>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393E29"/>
    <w:rPr>
      <w:b/>
      <w:bCs/>
    </w:rPr>
  </w:style>
  <w:style w:type="character" w:customStyle="1" w:styleId="font-variant-small-caps">
    <w:name w:val="font-variant-small-caps"/>
    <w:basedOn w:val="a0"/>
    <w:rsid w:val="00393E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1115502">
      <w:bodyDiv w:val="1"/>
      <w:marLeft w:val="0"/>
      <w:marRight w:val="0"/>
      <w:marTop w:val="0"/>
      <w:marBottom w:val="0"/>
      <w:divBdr>
        <w:top w:val="none" w:sz="0" w:space="0" w:color="auto"/>
        <w:left w:val="none" w:sz="0" w:space="0" w:color="auto"/>
        <w:bottom w:val="none" w:sz="0" w:space="0" w:color="auto"/>
        <w:right w:val="none" w:sz="0" w:space="0" w:color="auto"/>
      </w:divBdr>
      <w:divsChild>
        <w:div w:id="2032295322">
          <w:marLeft w:val="0"/>
          <w:marRight w:val="0"/>
          <w:marTop w:val="0"/>
          <w:marBottom w:val="0"/>
          <w:divBdr>
            <w:top w:val="none" w:sz="0" w:space="0" w:color="auto"/>
            <w:left w:val="none" w:sz="0" w:space="0" w:color="auto"/>
            <w:bottom w:val="none" w:sz="0" w:space="0" w:color="auto"/>
            <w:right w:val="none" w:sz="0" w:space="0" w:color="auto"/>
          </w:divBdr>
          <w:divsChild>
            <w:div w:id="602373645">
              <w:marLeft w:val="0"/>
              <w:marRight w:val="0"/>
              <w:marTop w:val="225"/>
              <w:marBottom w:val="0"/>
              <w:divBdr>
                <w:top w:val="none" w:sz="0" w:space="0" w:color="auto"/>
                <w:left w:val="none" w:sz="0" w:space="0" w:color="auto"/>
                <w:bottom w:val="none" w:sz="0" w:space="0" w:color="auto"/>
                <w:right w:val="none" w:sz="0" w:space="0" w:color="auto"/>
              </w:divBdr>
            </w:div>
            <w:div w:id="1470972125">
              <w:marLeft w:val="0"/>
              <w:marRight w:val="0"/>
              <w:marTop w:val="0"/>
              <w:marBottom w:val="0"/>
              <w:divBdr>
                <w:top w:val="none" w:sz="0" w:space="0" w:color="auto"/>
                <w:left w:val="none" w:sz="0" w:space="0" w:color="auto"/>
                <w:bottom w:val="none" w:sz="0" w:space="0" w:color="auto"/>
                <w:right w:val="none" w:sz="0" w:space="0" w:color="auto"/>
              </w:divBdr>
            </w:div>
          </w:divsChild>
        </w:div>
        <w:div w:id="1994596933">
          <w:marLeft w:val="0"/>
          <w:marRight w:val="0"/>
          <w:marTop w:val="450"/>
          <w:marBottom w:val="0"/>
          <w:divBdr>
            <w:top w:val="none" w:sz="0" w:space="0" w:color="auto"/>
            <w:left w:val="none" w:sz="0" w:space="0" w:color="auto"/>
            <w:bottom w:val="none" w:sz="0" w:space="0" w:color="auto"/>
            <w:right w:val="none" w:sz="0" w:space="0" w:color="auto"/>
          </w:divBdr>
        </w:div>
        <w:div w:id="1046569611">
          <w:marLeft w:val="0"/>
          <w:marRight w:val="0"/>
          <w:marTop w:val="450"/>
          <w:marBottom w:val="0"/>
          <w:divBdr>
            <w:top w:val="none" w:sz="0" w:space="0" w:color="auto"/>
            <w:left w:val="none" w:sz="0" w:space="0" w:color="auto"/>
            <w:bottom w:val="none" w:sz="0" w:space="0" w:color="auto"/>
            <w:right w:val="none" w:sz="0" w:space="0" w:color="auto"/>
          </w:divBdr>
        </w:div>
        <w:div w:id="422379690">
          <w:marLeft w:val="0"/>
          <w:marRight w:val="0"/>
          <w:marTop w:val="450"/>
          <w:marBottom w:val="0"/>
          <w:divBdr>
            <w:top w:val="none" w:sz="0" w:space="0" w:color="auto"/>
            <w:left w:val="none" w:sz="0" w:space="0" w:color="auto"/>
            <w:bottom w:val="none" w:sz="0" w:space="0" w:color="auto"/>
            <w:right w:val="none" w:sz="0" w:space="0" w:color="auto"/>
          </w:divBdr>
        </w:div>
        <w:div w:id="242181976">
          <w:marLeft w:val="0"/>
          <w:marRight w:val="0"/>
          <w:marTop w:val="450"/>
          <w:marBottom w:val="0"/>
          <w:divBdr>
            <w:top w:val="none" w:sz="0" w:space="0" w:color="auto"/>
            <w:left w:val="none" w:sz="0" w:space="0" w:color="auto"/>
            <w:bottom w:val="none" w:sz="0" w:space="0" w:color="auto"/>
            <w:right w:val="none" w:sz="0" w:space="0" w:color="auto"/>
          </w:divBdr>
        </w:div>
        <w:div w:id="931209648">
          <w:marLeft w:val="0"/>
          <w:marRight w:val="0"/>
          <w:marTop w:val="450"/>
          <w:marBottom w:val="0"/>
          <w:divBdr>
            <w:top w:val="none" w:sz="0" w:space="0" w:color="auto"/>
            <w:left w:val="none" w:sz="0" w:space="0" w:color="auto"/>
            <w:bottom w:val="none" w:sz="0" w:space="0" w:color="auto"/>
            <w:right w:val="none" w:sz="0" w:space="0" w:color="auto"/>
          </w:divBdr>
        </w:div>
        <w:div w:id="1905527390">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jpeg"/><Relationship Id="rId21" Type="http://schemas.openxmlformats.org/officeDocument/2006/relationships/hyperlink" Target="https://pmc.ncbi.nlm.nih.gov/articles/PMC5490269/" TargetMode="External"/><Relationship Id="rId42" Type="http://schemas.openxmlformats.org/officeDocument/2006/relationships/hyperlink" Target="https://pmc.ncbi.nlm.nih.gov/articles/PMC5490269/" TargetMode="External"/><Relationship Id="rId47" Type="http://schemas.openxmlformats.org/officeDocument/2006/relationships/hyperlink" Target="https://pmc.ncbi.nlm.nih.gov/articles/PMC5490269/" TargetMode="External"/><Relationship Id="rId63" Type="http://schemas.openxmlformats.org/officeDocument/2006/relationships/hyperlink" Target="https://pmc.ncbi.nlm.nih.gov/articles/PMC5490269/" TargetMode="External"/><Relationship Id="rId68" Type="http://schemas.openxmlformats.org/officeDocument/2006/relationships/hyperlink" Target="https://pmc.ncbi.nlm.nih.gov/articles/PMC5490269/" TargetMode="External"/><Relationship Id="rId84" Type="http://schemas.openxmlformats.org/officeDocument/2006/relationships/hyperlink" Target="https://pmc.ncbi.nlm.nih.gov/articles/PMC5490269/" TargetMode="External"/><Relationship Id="rId89" Type="http://schemas.openxmlformats.org/officeDocument/2006/relationships/hyperlink" Target="https://pmc.ncbi.nlm.nih.gov/articles/PMC5490269/" TargetMode="External"/><Relationship Id="rId16" Type="http://schemas.openxmlformats.org/officeDocument/2006/relationships/hyperlink" Target="https://pmc.ncbi.nlm.nih.gov/articles/PMC5490269/" TargetMode="External"/><Relationship Id="rId11" Type="http://schemas.openxmlformats.org/officeDocument/2006/relationships/hyperlink" Target="https://pmc.ncbi.nlm.nih.gov/articles/PMC5490269/" TargetMode="External"/><Relationship Id="rId32" Type="http://schemas.openxmlformats.org/officeDocument/2006/relationships/hyperlink" Target="https://pmc.ncbi.nlm.nih.gov/articles/PMC5490269/" TargetMode="External"/><Relationship Id="rId37" Type="http://schemas.openxmlformats.org/officeDocument/2006/relationships/hyperlink" Target="https://pmc.ncbi.nlm.nih.gov/articles/PMC5490269/" TargetMode="External"/><Relationship Id="rId53" Type="http://schemas.openxmlformats.org/officeDocument/2006/relationships/hyperlink" Target="https://pmc.ncbi.nlm.nih.gov/articles/PMC5490269/" TargetMode="External"/><Relationship Id="rId58" Type="http://schemas.openxmlformats.org/officeDocument/2006/relationships/hyperlink" Target="https://www.ncbi.nlm.nih.gov/core/lw/2.0/html/tileshop_pmc/tileshop_pmc_inline.html?title=Click%20on%20image%20to%20zoom&amp;p=PMC3&amp;id=5490269_ncomms15916-f5.jpg" TargetMode="External"/><Relationship Id="rId74" Type="http://schemas.openxmlformats.org/officeDocument/2006/relationships/hyperlink" Target="https://pmc.ncbi.nlm.nih.gov/articles/PMC5490269/" TargetMode="External"/><Relationship Id="rId79" Type="http://schemas.openxmlformats.org/officeDocument/2006/relationships/hyperlink" Target="https://pmc.ncbi.nlm.nih.gov/articles/PMC5490269/" TargetMode="External"/><Relationship Id="rId102" Type="http://schemas.openxmlformats.org/officeDocument/2006/relationships/fontTable" Target="fontTable.xml"/><Relationship Id="rId5" Type="http://schemas.openxmlformats.org/officeDocument/2006/relationships/hyperlink" Target="https://pmc.ncbi.nlm.nih.gov/articles/PMC5490269/" TargetMode="External"/><Relationship Id="rId90" Type="http://schemas.openxmlformats.org/officeDocument/2006/relationships/hyperlink" Target="https://pmc.ncbi.nlm.nih.gov/articles/PMC5490269/" TargetMode="External"/><Relationship Id="rId95" Type="http://schemas.openxmlformats.org/officeDocument/2006/relationships/hyperlink" Target="https://pmc.ncbi.nlm.nih.gov/articles/PMC5490269/" TargetMode="External"/><Relationship Id="rId22" Type="http://schemas.openxmlformats.org/officeDocument/2006/relationships/hyperlink" Target="https://pmc.ncbi.nlm.nih.gov/articles/PMC5490269/" TargetMode="External"/><Relationship Id="rId27" Type="http://schemas.openxmlformats.org/officeDocument/2006/relationships/hyperlink" Target="https://pmc.ncbi.nlm.nih.gov/articles/PMC5490269/" TargetMode="External"/><Relationship Id="rId43" Type="http://schemas.openxmlformats.org/officeDocument/2006/relationships/hyperlink" Target="https://pmc.ncbi.nlm.nih.gov/articles/PMC5490269/" TargetMode="External"/><Relationship Id="rId48" Type="http://schemas.openxmlformats.org/officeDocument/2006/relationships/hyperlink" Target="https://pmc.ncbi.nlm.nih.gov/articles/PMC5490269/" TargetMode="External"/><Relationship Id="rId64" Type="http://schemas.openxmlformats.org/officeDocument/2006/relationships/hyperlink" Target="https://pmc.ncbi.nlm.nih.gov/articles/PMC5490269/" TargetMode="External"/><Relationship Id="rId69" Type="http://schemas.openxmlformats.org/officeDocument/2006/relationships/hyperlink" Target="https://pmc.ncbi.nlm.nih.gov/articles/PMC5490269/" TargetMode="External"/><Relationship Id="rId80" Type="http://schemas.openxmlformats.org/officeDocument/2006/relationships/hyperlink" Target="https://pmc.ncbi.nlm.nih.gov/articles/PMC5490269/" TargetMode="External"/><Relationship Id="rId85" Type="http://schemas.openxmlformats.org/officeDocument/2006/relationships/hyperlink" Target="https://pmc.ncbi.nlm.nih.gov/articles/PMC5490269/" TargetMode="External"/><Relationship Id="rId12" Type="http://schemas.openxmlformats.org/officeDocument/2006/relationships/hyperlink" Target="https://pmc.ncbi.nlm.nih.gov/articles/PMC5490269/" TargetMode="External"/><Relationship Id="rId17" Type="http://schemas.openxmlformats.org/officeDocument/2006/relationships/hyperlink" Target="https://pmc.ncbi.nlm.nih.gov/articles/PMC5490269/" TargetMode="External"/><Relationship Id="rId25" Type="http://schemas.openxmlformats.org/officeDocument/2006/relationships/hyperlink" Target="https://www.ncbi.nlm.nih.gov/core/lw/2.0/html/tileshop_pmc/tileshop_pmc_inline.html?title=Click%20on%20image%20to%20zoom&amp;p=PMC3&amp;id=5490269_ncomms15916-f1.jpg" TargetMode="External"/><Relationship Id="rId33" Type="http://schemas.openxmlformats.org/officeDocument/2006/relationships/hyperlink" Target="https://pmc.ncbi.nlm.nih.gov/articles/PMC5490269/" TargetMode="External"/><Relationship Id="rId38" Type="http://schemas.openxmlformats.org/officeDocument/2006/relationships/hyperlink" Target="https://pmc.ncbi.nlm.nih.gov/articles/PMC5490269/" TargetMode="External"/><Relationship Id="rId46" Type="http://schemas.openxmlformats.org/officeDocument/2006/relationships/hyperlink" Target="https://pmc.ncbi.nlm.nih.gov/articles/PMC5490269/" TargetMode="External"/><Relationship Id="rId59" Type="http://schemas.openxmlformats.org/officeDocument/2006/relationships/image" Target="media/image5.jpeg"/><Relationship Id="rId67" Type="http://schemas.openxmlformats.org/officeDocument/2006/relationships/hyperlink" Target="https://pmc.ncbi.nlm.nih.gov/articles/PMC5490269/" TargetMode="External"/><Relationship Id="rId103" Type="http://schemas.openxmlformats.org/officeDocument/2006/relationships/theme" Target="theme/theme1.xml"/><Relationship Id="rId20" Type="http://schemas.openxmlformats.org/officeDocument/2006/relationships/hyperlink" Target="https://pmc.ncbi.nlm.nih.gov/articles/PMC5490269/" TargetMode="External"/><Relationship Id="rId41" Type="http://schemas.openxmlformats.org/officeDocument/2006/relationships/hyperlink" Target="https://pmc.ncbi.nlm.nih.gov/articles/PMC5490269/" TargetMode="External"/><Relationship Id="rId54" Type="http://schemas.openxmlformats.org/officeDocument/2006/relationships/hyperlink" Target="https://pmc.ncbi.nlm.nih.gov/articles/PMC5490269/" TargetMode="External"/><Relationship Id="rId62" Type="http://schemas.openxmlformats.org/officeDocument/2006/relationships/hyperlink" Target="https://pmc.ncbi.nlm.nih.gov/articles/PMC5490269/" TargetMode="External"/><Relationship Id="rId70" Type="http://schemas.openxmlformats.org/officeDocument/2006/relationships/hyperlink" Target="https://pmc.ncbi.nlm.nih.gov/articles/PMC5490269/" TargetMode="External"/><Relationship Id="rId75" Type="http://schemas.openxmlformats.org/officeDocument/2006/relationships/hyperlink" Target="https://pmc.ncbi.nlm.nih.gov/articles/PMC5490269/" TargetMode="External"/><Relationship Id="rId83" Type="http://schemas.openxmlformats.org/officeDocument/2006/relationships/hyperlink" Target="https://pmc.ncbi.nlm.nih.gov/articles/PMC5490269/" TargetMode="External"/><Relationship Id="rId88" Type="http://schemas.openxmlformats.org/officeDocument/2006/relationships/hyperlink" Target="https://pmc.ncbi.nlm.nih.gov/articles/PMC5490269/" TargetMode="External"/><Relationship Id="rId91" Type="http://schemas.openxmlformats.org/officeDocument/2006/relationships/hyperlink" Target="https://pmc.ncbi.nlm.nih.gov/articles/PMC5490269/" TargetMode="External"/><Relationship Id="rId96" Type="http://schemas.openxmlformats.org/officeDocument/2006/relationships/hyperlink" Target="https://pmc.ncbi.nlm.nih.gov/articles/PMC5490269/" TargetMode="External"/><Relationship Id="rId1" Type="http://schemas.openxmlformats.org/officeDocument/2006/relationships/numbering" Target="numbering.xml"/><Relationship Id="rId6" Type="http://schemas.openxmlformats.org/officeDocument/2006/relationships/hyperlink" Target="https://pmc.ncbi.nlm.nih.gov/articles/PMC5490269/" TargetMode="External"/><Relationship Id="rId15" Type="http://schemas.openxmlformats.org/officeDocument/2006/relationships/hyperlink" Target="https://pmc.ncbi.nlm.nih.gov/articles/PMC5490269/" TargetMode="External"/><Relationship Id="rId23" Type="http://schemas.openxmlformats.org/officeDocument/2006/relationships/hyperlink" Target="https://pmc.ncbi.nlm.nih.gov/articles/PMC5490269/" TargetMode="External"/><Relationship Id="rId28" Type="http://schemas.openxmlformats.org/officeDocument/2006/relationships/hyperlink" Target="https://pmc.ncbi.nlm.nih.gov/articles/PMC5490269/" TargetMode="External"/><Relationship Id="rId36" Type="http://schemas.openxmlformats.org/officeDocument/2006/relationships/hyperlink" Target="https://pmc.ncbi.nlm.nih.gov/articles/PMC5490269/" TargetMode="External"/><Relationship Id="rId49" Type="http://schemas.openxmlformats.org/officeDocument/2006/relationships/hyperlink" Target="https://www.ncbi.nlm.nih.gov/core/lw/2.0/html/tileshop_pmc/tileshop_pmc_inline.html?title=Click%20on%20image%20to%20zoom&amp;p=PMC3&amp;id=5490269_ncomms15916-f4.jpg" TargetMode="External"/><Relationship Id="rId57" Type="http://schemas.openxmlformats.org/officeDocument/2006/relationships/hyperlink" Target="https://pmc.ncbi.nlm.nih.gov/articles/PMC5490269/" TargetMode="External"/><Relationship Id="rId10" Type="http://schemas.openxmlformats.org/officeDocument/2006/relationships/hyperlink" Target="https://pmc.ncbi.nlm.nih.gov/articles/PMC5490269/" TargetMode="External"/><Relationship Id="rId31" Type="http://schemas.openxmlformats.org/officeDocument/2006/relationships/hyperlink" Target="https://pmc.ncbi.nlm.nih.gov/articles/PMC5490269/" TargetMode="External"/><Relationship Id="rId44" Type="http://schemas.openxmlformats.org/officeDocument/2006/relationships/hyperlink" Target="https://www.ncbi.nlm.nih.gov/core/lw/2.0/html/tileshop_pmc/tileshop_pmc_inline.html?title=Click%20on%20image%20to%20zoom&amp;p=PMC3&amp;id=5490269_ncomms15916-f3.jpg" TargetMode="External"/><Relationship Id="rId52" Type="http://schemas.openxmlformats.org/officeDocument/2006/relationships/hyperlink" Target="https://pmc.ncbi.nlm.nih.gov/articles/PMC5490269/" TargetMode="External"/><Relationship Id="rId60" Type="http://schemas.openxmlformats.org/officeDocument/2006/relationships/hyperlink" Target="https://pmc.ncbi.nlm.nih.gov/articles/PMC5490269/" TargetMode="External"/><Relationship Id="rId65" Type="http://schemas.openxmlformats.org/officeDocument/2006/relationships/hyperlink" Target="https://www.ncbi.nlm.nih.gov/core/lw/2.0/html/tileshop_pmc/tileshop_pmc_inline.html?title=Click%20on%20image%20to%20zoom&amp;p=PMC3&amp;id=5490269_ncomms15916-f6.jpg" TargetMode="External"/><Relationship Id="rId73" Type="http://schemas.openxmlformats.org/officeDocument/2006/relationships/hyperlink" Target="https://pmc.ncbi.nlm.nih.gov/articles/PMC5490269/" TargetMode="External"/><Relationship Id="rId78" Type="http://schemas.openxmlformats.org/officeDocument/2006/relationships/hyperlink" Target="https://pmc.ncbi.nlm.nih.gov/articles/PMC5490269/" TargetMode="External"/><Relationship Id="rId81" Type="http://schemas.openxmlformats.org/officeDocument/2006/relationships/hyperlink" Target="https://pmc.ncbi.nlm.nih.gov/articles/PMC5490269/" TargetMode="External"/><Relationship Id="rId86" Type="http://schemas.openxmlformats.org/officeDocument/2006/relationships/hyperlink" Target="https://pmc.ncbi.nlm.nih.gov/articles/PMC5490269/" TargetMode="External"/><Relationship Id="rId94" Type="http://schemas.openxmlformats.org/officeDocument/2006/relationships/hyperlink" Target="https://pmc.ncbi.nlm.nih.gov/articles/PMC5490269/" TargetMode="External"/><Relationship Id="rId99" Type="http://schemas.openxmlformats.org/officeDocument/2006/relationships/hyperlink" Target="https://pmc.ncbi.nlm.nih.gov/articles/PMC5490269/" TargetMode="External"/><Relationship Id="rId101" Type="http://schemas.openxmlformats.org/officeDocument/2006/relationships/hyperlink" Target="https://pmc.ncbi.nlm.nih.gov/articles/PMC5490269/" TargetMode="External"/><Relationship Id="rId4" Type="http://schemas.openxmlformats.org/officeDocument/2006/relationships/webSettings" Target="webSettings.xml"/><Relationship Id="rId9" Type="http://schemas.openxmlformats.org/officeDocument/2006/relationships/hyperlink" Target="https://pmc.ncbi.nlm.nih.gov/articles/PMC5490269/" TargetMode="External"/><Relationship Id="rId13" Type="http://schemas.openxmlformats.org/officeDocument/2006/relationships/hyperlink" Target="https://pmc.ncbi.nlm.nih.gov/articles/PMC5490269/" TargetMode="External"/><Relationship Id="rId18" Type="http://schemas.openxmlformats.org/officeDocument/2006/relationships/hyperlink" Target="https://pmc.ncbi.nlm.nih.gov/articles/PMC5490269/" TargetMode="External"/><Relationship Id="rId39" Type="http://schemas.openxmlformats.org/officeDocument/2006/relationships/hyperlink" Target="https://www.ncbi.nlm.nih.gov/core/lw/2.0/html/tileshop_pmc/tileshop_pmc_inline.html?title=Click%20on%20image%20to%20zoom&amp;p=PMC3&amp;id=5490269_ncomms15916-f2.jpg" TargetMode="External"/><Relationship Id="rId34" Type="http://schemas.openxmlformats.org/officeDocument/2006/relationships/hyperlink" Target="https://pmc.ncbi.nlm.nih.gov/articles/PMC5490269/" TargetMode="External"/><Relationship Id="rId50" Type="http://schemas.openxmlformats.org/officeDocument/2006/relationships/image" Target="media/image4.jpeg"/><Relationship Id="rId55" Type="http://schemas.openxmlformats.org/officeDocument/2006/relationships/hyperlink" Target="https://pmc.ncbi.nlm.nih.gov/articles/PMC5490269/" TargetMode="External"/><Relationship Id="rId76" Type="http://schemas.openxmlformats.org/officeDocument/2006/relationships/hyperlink" Target="https://pmc.ncbi.nlm.nih.gov/articles/PMC5490269/" TargetMode="External"/><Relationship Id="rId97" Type="http://schemas.openxmlformats.org/officeDocument/2006/relationships/hyperlink" Target="https://pmc.ncbi.nlm.nih.gov/articles/PMC5490269/" TargetMode="External"/><Relationship Id="rId7" Type="http://schemas.openxmlformats.org/officeDocument/2006/relationships/hyperlink" Target="https://pmc.ncbi.nlm.nih.gov/articles/PMC5490269/" TargetMode="External"/><Relationship Id="rId71" Type="http://schemas.openxmlformats.org/officeDocument/2006/relationships/hyperlink" Target="https://pmc.ncbi.nlm.nih.gov/articles/PMC5490269/" TargetMode="External"/><Relationship Id="rId92" Type="http://schemas.openxmlformats.org/officeDocument/2006/relationships/hyperlink" Target="https://pmc.ncbi.nlm.nih.gov/articles/PMC5490269/" TargetMode="External"/><Relationship Id="rId2" Type="http://schemas.openxmlformats.org/officeDocument/2006/relationships/styles" Target="styles.xml"/><Relationship Id="rId29" Type="http://schemas.openxmlformats.org/officeDocument/2006/relationships/hyperlink" Target="https://pmc.ncbi.nlm.nih.gov/articles/PMC5490269/" TargetMode="External"/><Relationship Id="rId24" Type="http://schemas.openxmlformats.org/officeDocument/2006/relationships/hyperlink" Target="https://pmc.ncbi.nlm.nih.gov/articles/PMC5490269/" TargetMode="External"/><Relationship Id="rId40" Type="http://schemas.openxmlformats.org/officeDocument/2006/relationships/image" Target="media/image2.jpeg"/><Relationship Id="rId45" Type="http://schemas.openxmlformats.org/officeDocument/2006/relationships/image" Target="media/image3.jpeg"/><Relationship Id="rId66" Type="http://schemas.openxmlformats.org/officeDocument/2006/relationships/image" Target="media/image6.jpeg"/><Relationship Id="rId87" Type="http://schemas.openxmlformats.org/officeDocument/2006/relationships/hyperlink" Target="https://pmc.ncbi.nlm.nih.gov/articles/PMC5490269/" TargetMode="External"/><Relationship Id="rId61" Type="http://schemas.openxmlformats.org/officeDocument/2006/relationships/hyperlink" Target="https://pmc.ncbi.nlm.nih.gov/articles/PMC5490269/" TargetMode="External"/><Relationship Id="rId82" Type="http://schemas.openxmlformats.org/officeDocument/2006/relationships/hyperlink" Target="https://pmc.ncbi.nlm.nih.gov/articles/PMC5490269/" TargetMode="External"/><Relationship Id="rId19" Type="http://schemas.openxmlformats.org/officeDocument/2006/relationships/hyperlink" Target="https://pmc.ncbi.nlm.nih.gov/articles/PMC5490269/" TargetMode="External"/><Relationship Id="rId14" Type="http://schemas.openxmlformats.org/officeDocument/2006/relationships/hyperlink" Target="https://pmc.ncbi.nlm.nih.gov/articles/PMC5490269/" TargetMode="External"/><Relationship Id="rId30" Type="http://schemas.openxmlformats.org/officeDocument/2006/relationships/hyperlink" Target="https://pmc.ncbi.nlm.nih.gov/articles/PMC5490269/" TargetMode="External"/><Relationship Id="rId35" Type="http://schemas.openxmlformats.org/officeDocument/2006/relationships/hyperlink" Target="https://pmc.ncbi.nlm.nih.gov/articles/PMC5490269/" TargetMode="External"/><Relationship Id="rId56" Type="http://schemas.openxmlformats.org/officeDocument/2006/relationships/hyperlink" Target="https://pmc.ncbi.nlm.nih.gov/articles/PMC5490269/" TargetMode="External"/><Relationship Id="rId77" Type="http://schemas.openxmlformats.org/officeDocument/2006/relationships/hyperlink" Target="https://pmc.ncbi.nlm.nih.gov/articles/PMC5490269/" TargetMode="External"/><Relationship Id="rId100" Type="http://schemas.openxmlformats.org/officeDocument/2006/relationships/hyperlink" Target="https://pmc.ncbi.nlm.nih.gov/articles/PMC5490269/" TargetMode="External"/><Relationship Id="rId8" Type="http://schemas.openxmlformats.org/officeDocument/2006/relationships/hyperlink" Target="https://pmc.ncbi.nlm.nih.gov/articles/PMC5490269/" TargetMode="External"/><Relationship Id="rId51" Type="http://schemas.openxmlformats.org/officeDocument/2006/relationships/hyperlink" Target="https://pmc.ncbi.nlm.nih.gov/articles/PMC5490269/" TargetMode="External"/><Relationship Id="rId72" Type="http://schemas.openxmlformats.org/officeDocument/2006/relationships/hyperlink" Target="https://pmc.ncbi.nlm.nih.gov/articles/PMC5490269/" TargetMode="External"/><Relationship Id="rId93" Type="http://schemas.openxmlformats.org/officeDocument/2006/relationships/hyperlink" Target="https://pmc.ncbi.nlm.nih.gov/articles/PMC5490269/" TargetMode="External"/><Relationship Id="rId98" Type="http://schemas.openxmlformats.org/officeDocument/2006/relationships/hyperlink" Target="https://pmc.ncbi.nlm.nih.gov/articles/PMC5490269/" TargetMode="External"/><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49</Pages>
  <Words>7579</Words>
  <Characters>43201</Characters>
  <Application>Microsoft Office Word</Application>
  <DocSecurity>0</DocSecurity>
  <Lines>360</Lines>
  <Paragraphs>101</Paragraphs>
  <ScaleCrop>false</ScaleCrop>
  <Company/>
  <LinksUpToDate>false</LinksUpToDate>
  <CharactersWithSpaces>50679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2</cp:revision>
  <dcterms:created xsi:type="dcterms:W3CDTF">2025-12-28T10:06:00Z</dcterms:created>
  <dcterms:modified xsi:type="dcterms:W3CDTF">2025-12-28T10:14:00Z</dcterms:modified>
</cp:coreProperties>
</file>