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8F7A41" w14:textId="77777777" w:rsidR="007B6BA0" w:rsidRPr="007B6BA0" w:rsidRDefault="007B6BA0" w:rsidP="007B6BA0">
      <w:pPr>
        <w:widowControl/>
        <w:spacing w:line="450" w:lineRule="atLeast"/>
        <w:outlineLvl w:val="0"/>
        <w:rPr>
          <w:rFonts w:ascii="微软雅黑" w:eastAsia="微软雅黑" w:hAnsi="微软雅黑" w:cs="宋体"/>
          <w:b/>
          <w:bCs/>
          <w:kern w:val="36"/>
          <w:sz w:val="36"/>
          <w:szCs w:val="36"/>
        </w:rPr>
      </w:pPr>
      <w:r w:rsidRPr="007B6BA0">
        <w:rPr>
          <w:rFonts w:ascii="微软雅黑" w:eastAsia="微软雅黑" w:hAnsi="微软雅黑" w:cs="宋体"/>
          <w:b/>
          <w:bCs/>
          <w:kern w:val="36"/>
          <w:sz w:val="36"/>
          <w:szCs w:val="36"/>
        </w:rPr>
        <w:t>CDK4/6 和 CDK7 的双重抑制通过 SREBP1 调控的胆固醇代谢的表观遗传修饰来抑制三阴性乳腺癌的进展</w:t>
      </w:r>
    </w:p>
    <w:p w14:paraId="4FF12B87" w14:textId="39D44A31" w:rsidR="007B6BA0" w:rsidRPr="007B6BA0" w:rsidRDefault="007B6BA0" w:rsidP="007B6BA0">
      <w:pPr>
        <w:widowControl/>
        <w:pBdr>
          <w:bottom w:val="single" w:sz="6" w:space="0" w:color="97B1C8"/>
        </w:pBdr>
        <w:spacing w:line="450" w:lineRule="atLeast"/>
        <w:outlineLvl w:val="1"/>
        <w:rPr>
          <w:rFonts w:ascii="微软雅黑" w:eastAsia="微软雅黑" w:hAnsi="微软雅黑" w:cs="宋体"/>
          <w:kern w:val="0"/>
          <w:sz w:val="34"/>
          <w:szCs w:val="34"/>
        </w:rPr>
      </w:pPr>
      <w:r w:rsidRPr="005E56A4">
        <w:rPr>
          <w:rFonts w:ascii="微软雅黑" w:eastAsia="微软雅黑" w:hAnsi="微软雅黑" w:cs="宋体" w:hint="eastAsia"/>
          <w:kern w:val="0"/>
          <w:sz w:val="34"/>
          <w:szCs w:val="34"/>
        </w:rPr>
        <w:t>摘要</w:t>
      </w:r>
    </w:p>
    <w:p w14:paraId="721FC231" w14:textId="77777777" w:rsidR="007B6BA0" w:rsidRPr="007B6BA0" w:rsidRDefault="007B6BA0" w:rsidP="007B6BA0">
      <w:pPr>
        <w:widowControl/>
        <w:spacing w:before="450"/>
        <w:rPr>
          <w:rFonts w:ascii="微软雅黑" w:eastAsia="微软雅黑" w:hAnsi="微软雅黑" w:cs="宋体"/>
          <w:kern w:val="0"/>
          <w:sz w:val="24"/>
          <w:szCs w:val="24"/>
        </w:rPr>
      </w:pPr>
      <w:r w:rsidRPr="007B6BA0">
        <w:rPr>
          <w:rFonts w:ascii="微软雅黑" w:eastAsia="微软雅黑" w:hAnsi="微软雅黑" w:cs="宋体"/>
          <w:kern w:val="0"/>
          <w:sz w:val="24"/>
          <w:szCs w:val="24"/>
        </w:rPr>
        <w:t>靶向细胞周期蛋白依赖性激酶4和6 (CDK4/6) 的抑制剂通过阻断细胞周期进程，已成功用于治疗激素受体阳性乳腺癌，但三阴性乳腺癌 (TNBC) 仍普遍存在耐药性，限制了其临床应用。本研究揭示，转录调节因子细胞周期蛋白依赖性激酶7 (CDK7) 是克服TNBC对CDK4/6抑制剂固有耐药性的潜在靶点。CDK4/6和CDK7抑制剂联合应用可显著增强治疗效果，导致细胞内胆固醇生物合成显著降低。这种效应是通过降低转录因子叉头框蛋白M1 (FOXM1) 的</w:t>
      </w:r>
      <w:proofErr w:type="gramStart"/>
      <w:r w:rsidRPr="007B6BA0">
        <w:rPr>
          <w:rFonts w:ascii="微软雅黑" w:eastAsia="微软雅黑" w:hAnsi="微软雅黑" w:cs="宋体"/>
          <w:kern w:val="0"/>
          <w:sz w:val="24"/>
          <w:szCs w:val="24"/>
        </w:rPr>
        <w:t>活性实现</w:t>
      </w:r>
      <w:proofErr w:type="gramEnd"/>
      <w:r w:rsidRPr="007B6BA0">
        <w:rPr>
          <w:rFonts w:ascii="微软雅黑" w:eastAsia="微软雅黑" w:hAnsi="微软雅黑" w:cs="宋体"/>
          <w:kern w:val="0"/>
          <w:sz w:val="24"/>
          <w:szCs w:val="24"/>
        </w:rPr>
        <w:t>的，FOXM1通常通过诱导SREBF1表达来增加胆固醇的产生。此外，这种双重抑制策略还能减弱甾醇调节元件结合转录因子1 (SREBP1) 和p300向胆固醇合成必需基因的募集，从而抑制肿瘤生长。这项研究得到了内部队列研究的证实，该研究显示胆固醇生成基因活性较高的三阴性乳腺癌（TNBC）患者的生存率较低。这提示了一种新的TNBC治疗方法，即同时靶向CDK4/6和CDK7，值得开展更多临床试验。</w:t>
      </w:r>
    </w:p>
    <w:p w14:paraId="4769BE12" w14:textId="77777777" w:rsidR="007B6BA0" w:rsidRPr="007B6BA0" w:rsidRDefault="007B6BA0" w:rsidP="007B6BA0">
      <w:pPr>
        <w:widowControl/>
        <w:rPr>
          <w:rFonts w:ascii="微软雅黑" w:eastAsia="微软雅黑" w:hAnsi="微软雅黑" w:cs="宋体"/>
          <w:kern w:val="0"/>
          <w:sz w:val="24"/>
          <w:szCs w:val="24"/>
        </w:rPr>
      </w:pPr>
      <w:r w:rsidRPr="007B6BA0">
        <w:rPr>
          <w:rFonts w:ascii="微软雅黑" w:eastAsia="微软雅黑" w:hAnsi="微软雅黑" w:cs="宋体"/>
          <w:b/>
          <w:bCs/>
          <w:kern w:val="0"/>
          <w:sz w:val="24"/>
          <w:szCs w:val="24"/>
        </w:rPr>
        <w:t>关键词：</w:t>
      </w:r>
      <w:r w:rsidRPr="007B6BA0">
        <w:rPr>
          <w:rFonts w:ascii="微软雅黑" w:eastAsia="微软雅黑" w:hAnsi="微软雅黑" w:cs="宋体"/>
          <w:kern w:val="0"/>
          <w:sz w:val="24"/>
          <w:szCs w:val="24"/>
        </w:rPr>
        <w:t>乳腺癌，CDK4/6，CDK7，胆固醇代谢</w:t>
      </w:r>
    </w:p>
    <w:p w14:paraId="3EADA483" w14:textId="77777777" w:rsidR="007B6BA0" w:rsidRPr="007B6BA0" w:rsidRDefault="007B6BA0" w:rsidP="007B6BA0">
      <w:pPr>
        <w:widowControl/>
        <w:rPr>
          <w:rFonts w:ascii="微软雅黑" w:eastAsia="微软雅黑" w:hAnsi="微软雅黑" w:cs="宋体"/>
          <w:kern w:val="0"/>
          <w:sz w:val="24"/>
          <w:szCs w:val="24"/>
        </w:rPr>
      </w:pPr>
      <w:r w:rsidRPr="007B6BA0">
        <w:rPr>
          <w:rFonts w:ascii="微软雅黑" w:eastAsia="微软雅黑" w:hAnsi="微软雅黑" w:cs="宋体"/>
          <w:kern w:val="0"/>
          <w:sz w:val="24"/>
          <w:szCs w:val="24"/>
        </w:rPr>
        <w:pict w14:anchorId="796DF933">
          <v:rect id="_x0000_i1025" style="width:0;height:0" o:hralign="center" o:hrstd="t" o:hr="t" fillcolor="#a0a0a0" stroked="f"/>
        </w:pict>
      </w:r>
    </w:p>
    <w:p w14:paraId="0B1D3194" w14:textId="45AD334E" w:rsidR="007B6BA0" w:rsidRPr="007B6BA0" w:rsidRDefault="007B6BA0" w:rsidP="007B6BA0">
      <w:pPr>
        <w:widowControl/>
        <w:spacing w:before="450"/>
        <w:rPr>
          <w:rFonts w:ascii="微软雅黑" w:eastAsia="微软雅黑" w:hAnsi="微软雅黑" w:cs="宋体" w:hint="eastAsia"/>
          <w:kern w:val="0"/>
          <w:sz w:val="24"/>
          <w:szCs w:val="24"/>
        </w:rPr>
      </w:pPr>
      <w:r w:rsidRPr="007B6BA0">
        <w:rPr>
          <w:rFonts w:ascii="微软雅黑" w:eastAsia="微软雅黑" w:hAnsi="微软雅黑" w:cs="宋体"/>
          <w:kern w:val="0"/>
          <w:sz w:val="24"/>
          <w:szCs w:val="24"/>
        </w:rPr>
        <w:t>本文提出了一种通过靶向转录调节因子 CDK7 来克服 TNBC 对 CDK4/6 抑制剂固有耐药性的新方法。这种双重抑制策略在多种 TNBC 模型（包括体外和体内）中均能诱导合成致死，为 TNBC 治疗开辟了一条开创性的治疗途径。</w:t>
      </w:r>
    </w:p>
    <w:p w14:paraId="7A03B090" w14:textId="77777777" w:rsidR="007B6BA0" w:rsidRPr="007B6BA0" w:rsidRDefault="007B6BA0" w:rsidP="007B6BA0">
      <w:pPr>
        <w:widowControl/>
        <w:pBdr>
          <w:bottom w:val="single" w:sz="6" w:space="0" w:color="97B1C8"/>
        </w:pBdr>
        <w:spacing w:line="450" w:lineRule="atLeast"/>
        <w:outlineLvl w:val="1"/>
        <w:rPr>
          <w:rFonts w:ascii="微软雅黑" w:eastAsia="微软雅黑" w:hAnsi="微软雅黑" w:cs="宋体"/>
          <w:kern w:val="0"/>
          <w:sz w:val="34"/>
          <w:szCs w:val="34"/>
        </w:rPr>
      </w:pPr>
      <w:r w:rsidRPr="007B6BA0">
        <w:rPr>
          <w:rFonts w:ascii="微软雅黑" w:eastAsia="微软雅黑" w:hAnsi="微软雅黑" w:cs="宋体"/>
          <w:kern w:val="0"/>
          <w:sz w:val="34"/>
          <w:szCs w:val="34"/>
        </w:rPr>
        <w:lastRenderedPageBreak/>
        <w:t>1. 引言</w:t>
      </w:r>
    </w:p>
    <w:p w14:paraId="7A996E2F" w14:textId="77777777" w:rsidR="007B6BA0" w:rsidRPr="007B6BA0" w:rsidRDefault="007B6BA0" w:rsidP="007B6BA0">
      <w:pPr>
        <w:widowControl/>
        <w:spacing w:before="450"/>
        <w:rPr>
          <w:rFonts w:ascii="微软雅黑" w:eastAsia="微软雅黑" w:hAnsi="微软雅黑" w:cs="宋体"/>
          <w:kern w:val="0"/>
          <w:sz w:val="24"/>
          <w:szCs w:val="24"/>
        </w:rPr>
      </w:pPr>
      <w:r w:rsidRPr="007B6BA0">
        <w:rPr>
          <w:rFonts w:ascii="微软雅黑" w:eastAsia="微软雅黑" w:hAnsi="微软雅黑" w:cs="宋体"/>
          <w:kern w:val="0"/>
          <w:sz w:val="24"/>
          <w:szCs w:val="24"/>
        </w:rPr>
        <w:t>三阴性乳腺癌（TNBC）约占乳腺癌病例的10-20%，其特征是雌激素受体（ER）和孕激素受体（PR）均不表达，且人表皮生长因子受体2（HER2）</w:t>
      </w:r>
      <w:proofErr w:type="gramStart"/>
      <w:r w:rsidRPr="007B6BA0">
        <w:rPr>
          <w:rFonts w:ascii="微软雅黑" w:eastAsia="微软雅黑" w:hAnsi="微软雅黑" w:cs="宋体"/>
          <w:kern w:val="0"/>
          <w:sz w:val="24"/>
          <w:szCs w:val="24"/>
        </w:rPr>
        <w:t>不</w:t>
      </w:r>
      <w:proofErr w:type="gramEnd"/>
      <w:r w:rsidRPr="007B6BA0">
        <w:rPr>
          <w:rFonts w:ascii="微软雅黑" w:eastAsia="微软雅黑" w:hAnsi="微软雅黑" w:cs="宋体"/>
          <w:kern w:val="0"/>
          <w:sz w:val="24"/>
          <w:szCs w:val="24"/>
        </w:rPr>
        <w:t>扩增。</w:t>
      </w:r>
      <w:r w:rsidRPr="007B6BA0">
        <w:rPr>
          <w:rFonts w:ascii="微软雅黑" w:eastAsia="微软雅黑" w:hAnsi="微软雅黑" w:cs="宋体"/>
          <w:kern w:val="0"/>
          <w:sz w:val="24"/>
          <w:szCs w:val="24"/>
          <w:vertAlign w:val="superscript"/>
        </w:rPr>
        <w:t>[ </w:t>
      </w:r>
      <w:hyperlink r:id="rId5" w:anchor="advs10347-bib-0001" w:history="1">
        <w:r w:rsidRPr="007B6BA0">
          <w:rPr>
            <w:rFonts w:ascii="微软雅黑" w:eastAsia="微软雅黑" w:hAnsi="微软雅黑" w:cs="宋体"/>
            <w:kern w:val="0"/>
            <w:sz w:val="24"/>
            <w:szCs w:val="24"/>
            <w:u w:val="single"/>
            <w:vertAlign w:val="superscript"/>
          </w:rPr>
          <w:t>1</w:t>
        </w:r>
      </w:hyperlink>
      <w:r w:rsidRPr="007B6BA0">
        <w:rPr>
          <w:rFonts w:ascii="微软雅黑" w:eastAsia="微软雅黑" w:hAnsi="微软雅黑" w:cs="宋体"/>
          <w:kern w:val="0"/>
          <w:sz w:val="24"/>
          <w:szCs w:val="24"/>
          <w:vertAlign w:val="superscript"/>
        </w:rPr>
        <w:t> ]</w:t>
      </w:r>
      <w:r w:rsidRPr="007B6BA0">
        <w:rPr>
          <w:rFonts w:ascii="微软雅黑" w:eastAsia="微软雅黑" w:hAnsi="微软雅黑" w:cs="宋体"/>
          <w:kern w:val="0"/>
          <w:sz w:val="24"/>
          <w:szCs w:val="24"/>
        </w:rPr>
        <w:t>与其他亚型相比，TNBC 具有发病较早、转移潜能更高、预后更差等临床特征。</w:t>
      </w:r>
      <w:r w:rsidRPr="007B6BA0">
        <w:rPr>
          <w:rFonts w:ascii="微软雅黑" w:eastAsia="微软雅黑" w:hAnsi="微软雅黑" w:cs="宋体"/>
          <w:kern w:val="0"/>
          <w:sz w:val="24"/>
          <w:szCs w:val="24"/>
          <w:vertAlign w:val="superscript"/>
        </w:rPr>
        <w:t>[ </w:t>
      </w:r>
      <w:hyperlink r:id="rId6" w:anchor="advs10347-bib-0002" w:history="1">
        <w:r w:rsidRPr="007B6BA0">
          <w:rPr>
            <w:rFonts w:ascii="微软雅黑" w:eastAsia="微软雅黑" w:hAnsi="微软雅黑" w:cs="宋体"/>
            <w:kern w:val="0"/>
            <w:sz w:val="24"/>
            <w:szCs w:val="24"/>
            <w:u w:val="single"/>
            <w:vertAlign w:val="superscript"/>
          </w:rPr>
          <w:t>2</w:t>
        </w:r>
      </w:hyperlink>
      <w:r w:rsidRPr="007B6BA0">
        <w:rPr>
          <w:rFonts w:ascii="微软雅黑" w:eastAsia="微软雅黑" w:hAnsi="微软雅黑" w:cs="宋体"/>
          <w:kern w:val="0"/>
          <w:sz w:val="24"/>
          <w:szCs w:val="24"/>
          <w:vertAlign w:val="superscript"/>
        </w:rPr>
        <w:t> ]</w:t>
      </w:r>
      <w:r w:rsidRPr="007B6BA0">
        <w:rPr>
          <w:rFonts w:ascii="微软雅黑" w:eastAsia="微软雅黑" w:hAnsi="微软雅黑" w:cs="宋体"/>
          <w:kern w:val="0"/>
          <w:sz w:val="24"/>
          <w:szCs w:val="24"/>
        </w:rPr>
        <w:t>由于靶</w:t>
      </w:r>
      <w:proofErr w:type="gramStart"/>
      <w:r w:rsidRPr="007B6BA0">
        <w:rPr>
          <w:rFonts w:ascii="微软雅黑" w:eastAsia="微软雅黑" w:hAnsi="微软雅黑" w:cs="宋体"/>
          <w:kern w:val="0"/>
          <w:sz w:val="24"/>
          <w:szCs w:val="24"/>
        </w:rPr>
        <w:t>向治疗</w:t>
      </w:r>
      <w:proofErr w:type="gramEnd"/>
      <w:r w:rsidRPr="007B6BA0">
        <w:rPr>
          <w:rFonts w:ascii="微软雅黑" w:eastAsia="微软雅黑" w:hAnsi="微软雅黑" w:cs="宋体"/>
          <w:kern w:val="0"/>
          <w:sz w:val="24"/>
          <w:szCs w:val="24"/>
        </w:rPr>
        <w:t>进展有限，化疗仍然是 TNBC 患者的主要治疗方法。然而，仅约 35% 的 TNBC 患者能从化疗中获益，</w:t>
      </w:r>
      <w:r w:rsidRPr="007B6BA0">
        <w:rPr>
          <w:rFonts w:ascii="微软雅黑" w:eastAsia="微软雅黑" w:hAnsi="微软雅黑" w:cs="宋体"/>
          <w:kern w:val="0"/>
          <w:sz w:val="24"/>
          <w:szCs w:val="24"/>
          <w:vertAlign w:val="superscript"/>
        </w:rPr>
        <w:t>[ </w:t>
      </w:r>
      <w:hyperlink r:id="rId7" w:anchor="advs10347-bib-0002" w:history="1">
        <w:r w:rsidRPr="007B6BA0">
          <w:rPr>
            <w:rFonts w:ascii="微软雅黑" w:eastAsia="微软雅黑" w:hAnsi="微软雅黑" w:cs="宋体"/>
            <w:kern w:val="0"/>
            <w:sz w:val="24"/>
            <w:szCs w:val="24"/>
            <w:u w:val="single"/>
            <w:vertAlign w:val="superscript"/>
          </w:rPr>
          <w:t>2</w:t>
        </w:r>
      </w:hyperlink>
      <w:r w:rsidRPr="007B6BA0">
        <w:rPr>
          <w:rFonts w:ascii="微软雅黑" w:eastAsia="微软雅黑" w:hAnsi="微软雅黑" w:cs="宋体"/>
          <w:kern w:val="0"/>
          <w:sz w:val="24"/>
          <w:szCs w:val="24"/>
          <w:vertAlign w:val="superscript"/>
        </w:rPr>
        <w:t> ]</w:t>
      </w:r>
      <w:r w:rsidRPr="007B6BA0">
        <w:rPr>
          <w:rFonts w:ascii="微软雅黑" w:eastAsia="微软雅黑" w:hAnsi="微软雅黑" w:cs="宋体"/>
          <w:kern w:val="0"/>
          <w:sz w:val="24"/>
          <w:szCs w:val="24"/>
        </w:rPr>
        <w:t>因此，开发新的治疗策略是 TNBC 治疗的当务之急。</w:t>
      </w:r>
    </w:p>
    <w:p w14:paraId="6B24F43D" w14:textId="77777777" w:rsidR="007B6BA0" w:rsidRPr="007B6BA0" w:rsidRDefault="007B6BA0" w:rsidP="007B6BA0">
      <w:pPr>
        <w:widowControl/>
        <w:spacing w:before="450"/>
        <w:rPr>
          <w:rFonts w:ascii="微软雅黑" w:eastAsia="微软雅黑" w:hAnsi="微软雅黑" w:cs="宋体"/>
          <w:kern w:val="0"/>
          <w:sz w:val="24"/>
          <w:szCs w:val="24"/>
        </w:rPr>
      </w:pPr>
      <w:r w:rsidRPr="007B6BA0">
        <w:rPr>
          <w:rFonts w:ascii="微软雅黑" w:eastAsia="微软雅黑" w:hAnsi="微软雅黑" w:cs="宋体"/>
          <w:kern w:val="0"/>
          <w:sz w:val="24"/>
          <w:szCs w:val="24"/>
        </w:rPr>
        <w:t>细胞周期蛋白依赖性激酶7 (CDK7) 是细胞周期进程和基因转录的关键调控因子，已成为三阴性乳腺癌 (TNBC) 的一个潜在治疗靶点。</w:t>
      </w:r>
      <w:r w:rsidRPr="007B6BA0">
        <w:rPr>
          <w:rFonts w:ascii="微软雅黑" w:eastAsia="微软雅黑" w:hAnsi="微软雅黑" w:cs="宋体"/>
          <w:kern w:val="0"/>
          <w:sz w:val="24"/>
          <w:szCs w:val="24"/>
          <w:vertAlign w:val="superscript"/>
        </w:rPr>
        <w:t>[ </w:t>
      </w:r>
      <w:hyperlink r:id="rId8" w:anchor="advs10347-bib-0003" w:history="1">
        <w:r w:rsidRPr="007B6BA0">
          <w:rPr>
            <w:rFonts w:ascii="微软雅黑" w:eastAsia="微软雅黑" w:hAnsi="微软雅黑" w:cs="宋体"/>
            <w:kern w:val="0"/>
            <w:sz w:val="24"/>
            <w:szCs w:val="24"/>
            <w:u w:val="single"/>
            <w:vertAlign w:val="superscript"/>
          </w:rPr>
          <w:t>3</w:t>
        </w:r>
      </w:hyperlink>
      <w:r w:rsidRPr="007B6BA0">
        <w:rPr>
          <w:rFonts w:ascii="微软雅黑" w:eastAsia="微软雅黑" w:hAnsi="微软雅黑" w:cs="宋体"/>
          <w:kern w:val="0"/>
          <w:sz w:val="24"/>
          <w:szCs w:val="24"/>
        </w:rPr>
        <w:t> , </w:t>
      </w:r>
      <w:hyperlink r:id="rId9" w:anchor="advs10347-bib-0004" w:history="1">
        <w:r w:rsidRPr="007B6BA0">
          <w:rPr>
            <w:rFonts w:ascii="微软雅黑" w:eastAsia="微软雅黑" w:hAnsi="微软雅黑" w:cs="宋体"/>
            <w:kern w:val="0"/>
            <w:sz w:val="24"/>
            <w:szCs w:val="24"/>
            <w:u w:val="single"/>
            <w:vertAlign w:val="superscript"/>
          </w:rPr>
          <w:t>4</w:t>
        </w:r>
      </w:hyperlink>
      <w:r w:rsidRPr="007B6BA0">
        <w:rPr>
          <w:rFonts w:ascii="微软雅黑" w:eastAsia="微软雅黑" w:hAnsi="微软雅黑" w:cs="宋体"/>
          <w:kern w:val="0"/>
          <w:sz w:val="24"/>
          <w:szCs w:val="24"/>
          <w:vertAlign w:val="superscript"/>
        </w:rPr>
        <w:t> ]</w:t>
      </w:r>
      <w:r w:rsidRPr="007B6BA0">
        <w:rPr>
          <w:rFonts w:ascii="微软雅黑" w:eastAsia="微软雅黑" w:hAnsi="微软雅黑" w:cs="宋体"/>
          <w:kern w:val="0"/>
          <w:sz w:val="24"/>
          <w:szCs w:val="24"/>
        </w:rPr>
        <w:t xml:space="preserve"> CDK7 抑制剂，包括 THZ1，能够干扰细胞周期相关 CDK（CDK1、2、4 和 6）的活性，并抑制 RNA 聚合酶 II C </w:t>
      </w:r>
      <w:proofErr w:type="gramStart"/>
      <w:r w:rsidRPr="007B6BA0">
        <w:rPr>
          <w:rFonts w:ascii="微软雅黑" w:eastAsia="微软雅黑" w:hAnsi="微软雅黑" w:cs="宋体"/>
          <w:kern w:val="0"/>
          <w:sz w:val="24"/>
          <w:szCs w:val="24"/>
        </w:rPr>
        <w:t>端结构</w:t>
      </w:r>
      <w:proofErr w:type="gramEnd"/>
      <w:r w:rsidRPr="007B6BA0">
        <w:rPr>
          <w:rFonts w:ascii="微软雅黑" w:eastAsia="微软雅黑" w:hAnsi="微软雅黑" w:cs="宋体"/>
          <w:kern w:val="0"/>
          <w:sz w:val="24"/>
          <w:szCs w:val="24"/>
        </w:rPr>
        <w:t>域的磷酸化，在 TNBC 临床前模型中表现出抗肿瘤作用。</w:t>
      </w:r>
      <w:r w:rsidRPr="007B6BA0">
        <w:rPr>
          <w:rFonts w:ascii="微软雅黑" w:eastAsia="微软雅黑" w:hAnsi="微软雅黑" w:cs="宋体"/>
          <w:kern w:val="0"/>
          <w:sz w:val="24"/>
          <w:szCs w:val="24"/>
          <w:vertAlign w:val="superscript"/>
        </w:rPr>
        <w:t>[ </w:t>
      </w:r>
      <w:hyperlink r:id="rId10" w:anchor="advs10347-bib-0005" w:history="1">
        <w:r w:rsidRPr="007B6BA0">
          <w:rPr>
            <w:rFonts w:ascii="微软雅黑" w:eastAsia="微软雅黑" w:hAnsi="微软雅黑" w:cs="宋体"/>
            <w:kern w:val="0"/>
            <w:sz w:val="24"/>
            <w:szCs w:val="24"/>
            <w:u w:val="single"/>
            <w:vertAlign w:val="superscript"/>
          </w:rPr>
          <w:t>5</w:t>
        </w:r>
      </w:hyperlink>
      <w:r w:rsidRPr="007B6BA0">
        <w:rPr>
          <w:rFonts w:ascii="微软雅黑" w:eastAsia="微软雅黑" w:hAnsi="微软雅黑" w:cs="宋体"/>
          <w:kern w:val="0"/>
          <w:sz w:val="24"/>
          <w:szCs w:val="24"/>
          <w:vertAlign w:val="superscript"/>
        </w:rPr>
        <w:t> ]</w:t>
      </w:r>
      <w:r w:rsidRPr="007B6BA0">
        <w:rPr>
          <w:rFonts w:ascii="微软雅黑" w:eastAsia="微软雅黑" w:hAnsi="微软雅黑" w:cs="宋体"/>
          <w:kern w:val="0"/>
          <w:sz w:val="24"/>
          <w:szCs w:val="24"/>
        </w:rPr>
        <w:t>然而，目前尚无正在进行或已完成的 THZ1 临床试验，这可能是由于 THZ1 给药后会产生显著的 CDK12/13 脱靶效应。</w:t>
      </w:r>
      <w:r w:rsidRPr="007B6BA0">
        <w:rPr>
          <w:rFonts w:ascii="微软雅黑" w:eastAsia="微软雅黑" w:hAnsi="微软雅黑" w:cs="宋体"/>
          <w:kern w:val="0"/>
          <w:sz w:val="24"/>
          <w:szCs w:val="24"/>
          <w:vertAlign w:val="superscript"/>
        </w:rPr>
        <w:t>[ </w:t>
      </w:r>
      <w:hyperlink r:id="rId11" w:anchor="advs10347-bib-0006" w:history="1">
        <w:r w:rsidRPr="007B6BA0">
          <w:rPr>
            <w:rFonts w:ascii="微软雅黑" w:eastAsia="微软雅黑" w:hAnsi="微软雅黑" w:cs="宋体"/>
            <w:kern w:val="0"/>
            <w:sz w:val="24"/>
            <w:szCs w:val="24"/>
            <w:u w:val="single"/>
            <w:vertAlign w:val="superscript"/>
          </w:rPr>
          <w:t>6</w:t>
        </w:r>
      </w:hyperlink>
      <w:r w:rsidRPr="007B6BA0">
        <w:rPr>
          <w:rFonts w:ascii="微软雅黑" w:eastAsia="微软雅黑" w:hAnsi="微软雅黑" w:cs="宋体"/>
          <w:kern w:val="0"/>
          <w:sz w:val="24"/>
          <w:szCs w:val="24"/>
        </w:rPr>
        <w:t> , </w:t>
      </w:r>
      <w:hyperlink r:id="rId12" w:anchor="advs10347-bib-0007" w:history="1">
        <w:r w:rsidRPr="007B6BA0">
          <w:rPr>
            <w:rFonts w:ascii="微软雅黑" w:eastAsia="微软雅黑" w:hAnsi="微软雅黑" w:cs="宋体"/>
            <w:kern w:val="0"/>
            <w:sz w:val="24"/>
            <w:szCs w:val="24"/>
            <w:u w:val="single"/>
            <w:vertAlign w:val="superscript"/>
          </w:rPr>
          <w:t>7</w:t>
        </w:r>
      </w:hyperlink>
      <w:r w:rsidRPr="007B6BA0">
        <w:rPr>
          <w:rFonts w:ascii="微软雅黑" w:eastAsia="微软雅黑" w:hAnsi="微软雅黑" w:cs="宋体"/>
          <w:kern w:val="0"/>
          <w:sz w:val="24"/>
          <w:szCs w:val="24"/>
          <w:vertAlign w:val="superscript"/>
        </w:rPr>
        <w:t> ]</w:t>
      </w:r>
      <w:r w:rsidRPr="007B6BA0">
        <w:rPr>
          <w:rFonts w:ascii="微软雅黑" w:eastAsia="微软雅黑" w:hAnsi="微软雅黑" w:cs="宋体"/>
          <w:kern w:val="0"/>
          <w:sz w:val="24"/>
          <w:szCs w:val="24"/>
        </w:rPr>
        <w:t>为了克服这一局限性，人们开发了新型 CDK7 抑制剂，例如 YKL-5-124 </w:t>
      </w:r>
      <w:r w:rsidRPr="007B6BA0">
        <w:rPr>
          <w:rFonts w:ascii="微软雅黑" w:eastAsia="微软雅黑" w:hAnsi="微软雅黑" w:cs="宋体"/>
          <w:kern w:val="0"/>
          <w:sz w:val="24"/>
          <w:szCs w:val="24"/>
          <w:vertAlign w:val="superscript"/>
        </w:rPr>
        <w:t>[ </w:t>
      </w:r>
      <w:hyperlink r:id="rId13" w:anchor="advs10347-bib-0008" w:history="1">
        <w:r w:rsidRPr="007B6BA0">
          <w:rPr>
            <w:rFonts w:ascii="微软雅黑" w:eastAsia="微软雅黑" w:hAnsi="微软雅黑" w:cs="宋体"/>
            <w:kern w:val="0"/>
            <w:sz w:val="24"/>
            <w:szCs w:val="24"/>
            <w:u w:val="single"/>
            <w:vertAlign w:val="superscript"/>
          </w:rPr>
          <w:t>8</w:t>
        </w:r>
      </w:hyperlink>
      <w:r w:rsidRPr="007B6BA0">
        <w:rPr>
          <w:rFonts w:ascii="微软雅黑" w:eastAsia="微软雅黑" w:hAnsi="微软雅黑" w:cs="宋体"/>
          <w:kern w:val="0"/>
          <w:sz w:val="24"/>
          <w:szCs w:val="24"/>
          <w:vertAlign w:val="superscript"/>
        </w:rPr>
        <w:t> ]</w:t>
      </w:r>
      <w:r w:rsidRPr="007B6BA0">
        <w:rPr>
          <w:rFonts w:ascii="微软雅黑" w:eastAsia="微软雅黑" w:hAnsi="微软雅黑" w:cs="宋体"/>
          <w:kern w:val="0"/>
          <w:sz w:val="24"/>
          <w:szCs w:val="24"/>
        </w:rPr>
        <w:t xml:space="preserve"> 、 CT7001（也称为 </w:t>
      </w:r>
      <w:proofErr w:type="spellStart"/>
      <w:r w:rsidRPr="007B6BA0">
        <w:rPr>
          <w:rFonts w:ascii="微软雅黑" w:eastAsia="微软雅黑" w:hAnsi="微软雅黑" w:cs="宋体"/>
          <w:kern w:val="0"/>
          <w:sz w:val="24"/>
          <w:szCs w:val="24"/>
        </w:rPr>
        <w:t>Samuraciclib</w:t>
      </w:r>
      <w:proofErr w:type="spellEnd"/>
      <w:r w:rsidRPr="007B6BA0">
        <w:rPr>
          <w:rFonts w:ascii="微软雅黑" w:eastAsia="微软雅黑" w:hAnsi="微软雅黑" w:cs="宋体"/>
          <w:kern w:val="0"/>
          <w:sz w:val="24"/>
          <w:szCs w:val="24"/>
        </w:rPr>
        <w:t>）</w:t>
      </w:r>
      <w:r w:rsidRPr="007B6BA0">
        <w:rPr>
          <w:rFonts w:ascii="微软雅黑" w:eastAsia="微软雅黑" w:hAnsi="微软雅黑" w:cs="宋体"/>
          <w:kern w:val="0"/>
          <w:sz w:val="24"/>
          <w:szCs w:val="24"/>
          <w:vertAlign w:val="superscript"/>
        </w:rPr>
        <w:t>[ </w:t>
      </w:r>
      <w:hyperlink r:id="rId14" w:anchor="advs10347-bib-0009" w:history="1">
        <w:r w:rsidRPr="007B6BA0">
          <w:rPr>
            <w:rFonts w:ascii="微软雅黑" w:eastAsia="微软雅黑" w:hAnsi="微软雅黑" w:cs="宋体"/>
            <w:kern w:val="0"/>
            <w:sz w:val="24"/>
            <w:szCs w:val="24"/>
            <w:u w:val="single"/>
            <w:vertAlign w:val="superscript"/>
          </w:rPr>
          <w:t>9</w:t>
        </w:r>
      </w:hyperlink>
      <w:r w:rsidRPr="007B6BA0">
        <w:rPr>
          <w:rFonts w:ascii="微软雅黑" w:eastAsia="微软雅黑" w:hAnsi="微软雅黑" w:cs="宋体"/>
          <w:kern w:val="0"/>
          <w:sz w:val="24"/>
          <w:szCs w:val="24"/>
          <w:vertAlign w:val="superscript"/>
        </w:rPr>
        <w:t> ]</w:t>
      </w:r>
      <w:r w:rsidRPr="007B6BA0">
        <w:rPr>
          <w:rFonts w:ascii="微软雅黑" w:eastAsia="微软雅黑" w:hAnsi="微软雅黑" w:cs="宋体"/>
          <w:kern w:val="0"/>
          <w:sz w:val="24"/>
          <w:szCs w:val="24"/>
        </w:rPr>
        <w:t>和 SY-1365 </w:t>
      </w:r>
      <w:r w:rsidRPr="007B6BA0">
        <w:rPr>
          <w:rFonts w:ascii="微软雅黑" w:eastAsia="微软雅黑" w:hAnsi="微软雅黑" w:cs="宋体"/>
          <w:kern w:val="0"/>
          <w:sz w:val="24"/>
          <w:szCs w:val="24"/>
          <w:vertAlign w:val="superscript"/>
        </w:rPr>
        <w:t>[ </w:t>
      </w:r>
      <w:hyperlink r:id="rId15" w:anchor="advs10347-bib-0010" w:history="1">
        <w:r w:rsidRPr="007B6BA0">
          <w:rPr>
            <w:rFonts w:ascii="微软雅黑" w:eastAsia="微软雅黑" w:hAnsi="微软雅黑" w:cs="宋体"/>
            <w:kern w:val="0"/>
            <w:sz w:val="24"/>
            <w:szCs w:val="24"/>
            <w:u w:val="single"/>
            <w:vertAlign w:val="superscript"/>
          </w:rPr>
          <w:t>10</w:t>
        </w:r>
      </w:hyperlink>
      <w:r w:rsidRPr="007B6BA0">
        <w:rPr>
          <w:rFonts w:ascii="微软雅黑" w:eastAsia="微软雅黑" w:hAnsi="微软雅黑" w:cs="宋体"/>
          <w:kern w:val="0"/>
          <w:sz w:val="24"/>
          <w:szCs w:val="24"/>
          <w:vertAlign w:val="superscript"/>
        </w:rPr>
        <w:t> ]</w:t>
      </w:r>
      <w:r w:rsidRPr="007B6BA0">
        <w:rPr>
          <w:rFonts w:ascii="微软雅黑" w:eastAsia="微软雅黑" w:hAnsi="微软雅黑" w:cs="宋体"/>
          <w:kern w:val="0"/>
          <w:sz w:val="24"/>
          <w:szCs w:val="24"/>
        </w:rPr>
        <w:t>，以实现更高的选择性。令人鼓舞的是，其中几种化合物已进入 I/II 期临床试验。目前，高选择性 CDK7 抑制剂的研究主要集中</w:t>
      </w:r>
      <w:proofErr w:type="gramStart"/>
      <w:r w:rsidRPr="007B6BA0">
        <w:rPr>
          <w:rFonts w:ascii="微软雅黑" w:eastAsia="微软雅黑" w:hAnsi="微软雅黑" w:cs="宋体"/>
          <w:kern w:val="0"/>
          <w:sz w:val="24"/>
          <w:szCs w:val="24"/>
        </w:rPr>
        <w:t>在泛癌领域</w:t>
      </w:r>
      <w:proofErr w:type="gramEnd"/>
      <w:r w:rsidRPr="007B6BA0">
        <w:rPr>
          <w:rFonts w:ascii="微软雅黑" w:eastAsia="微软雅黑" w:hAnsi="微软雅黑" w:cs="宋体"/>
          <w:kern w:val="0"/>
          <w:sz w:val="24"/>
          <w:szCs w:val="24"/>
        </w:rPr>
        <w:t>，其在三阴性乳腺癌 (TNBC) 中的作用和潜在机制尚未得到充分研究。</w:t>
      </w:r>
    </w:p>
    <w:p w14:paraId="03BAA90C" w14:textId="77777777" w:rsidR="007B6BA0" w:rsidRPr="007B6BA0" w:rsidRDefault="007B6BA0" w:rsidP="007B6BA0">
      <w:pPr>
        <w:widowControl/>
        <w:spacing w:before="450"/>
        <w:rPr>
          <w:rFonts w:ascii="微软雅黑" w:eastAsia="微软雅黑" w:hAnsi="微软雅黑" w:cs="宋体"/>
          <w:kern w:val="0"/>
          <w:sz w:val="24"/>
          <w:szCs w:val="24"/>
        </w:rPr>
      </w:pPr>
      <w:r w:rsidRPr="007B6BA0">
        <w:rPr>
          <w:rFonts w:ascii="微软雅黑" w:eastAsia="微软雅黑" w:hAnsi="微软雅黑" w:cs="宋体"/>
          <w:kern w:val="0"/>
          <w:sz w:val="24"/>
          <w:szCs w:val="24"/>
        </w:rPr>
        <w:t xml:space="preserve">口服细胞周期蛋白依赖性激酶4和6 (CDK4/6) 抑制剂，如帕博西尼、瑞博西尼和阿贝西利，与内分泌治疗联合应用时，显著改善了激素受体 (HR) 阳性、HER2 </w:t>
      </w:r>
      <w:r w:rsidRPr="007B6BA0">
        <w:rPr>
          <w:rFonts w:ascii="微软雅黑" w:eastAsia="微软雅黑" w:hAnsi="微软雅黑" w:cs="宋体"/>
          <w:kern w:val="0"/>
          <w:sz w:val="24"/>
          <w:szCs w:val="24"/>
        </w:rPr>
        <w:lastRenderedPageBreak/>
        <w:t>阴性 (HR+/HER2-) 转移性或晚期乳腺癌患者的无进展生存期。</w:t>
      </w:r>
      <w:r w:rsidRPr="007B6BA0">
        <w:rPr>
          <w:rFonts w:ascii="微软雅黑" w:eastAsia="微软雅黑" w:hAnsi="微软雅黑" w:cs="宋体"/>
          <w:kern w:val="0"/>
          <w:sz w:val="24"/>
          <w:szCs w:val="24"/>
          <w:vertAlign w:val="superscript"/>
        </w:rPr>
        <w:t>[ </w:t>
      </w:r>
      <w:hyperlink r:id="rId16" w:anchor="advs10347-bib-0011" w:history="1">
        <w:r w:rsidRPr="007B6BA0">
          <w:rPr>
            <w:rFonts w:ascii="微软雅黑" w:eastAsia="微软雅黑" w:hAnsi="微软雅黑" w:cs="宋体"/>
            <w:kern w:val="0"/>
            <w:sz w:val="24"/>
            <w:szCs w:val="24"/>
            <w:u w:val="single"/>
            <w:vertAlign w:val="superscript"/>
          </w:rPr>
          <w:t>11</w:t>
        </w:r>
      </w:hyperlink>
      <w:r w:rsidRPr="007B6BA0">
        <w:rPr>
          <w:rFonts w:ascii="微软雅黑" w:eastAsia="微软雅黑" w:hAnsi="微软雅黑" w:cs="宋体"/>
          <w:kern w:val="0"/>
          <w:sz w:val="24"/>
          <w:szCs w:val="24"/>
        </w:rPr>
        <w:t> , </w:t>
      </w:r>
      <w:hyperlink r:id="rId17" w:anchor="advs10347-bib-0012" w:history="1">
        <w:r w:rsidRPr="007B6BA0">
          <w:rPr>
            <w:rFonts w:ascii="微软雅黑" w:eastAsia="微软雅黑" w:hAnsi="微软雅黑" w:cs="宋体"/>
            <w:kern w:val="0"/>
            <w:sz w:val="24"/>
            <w:szCs w:val="24"/>
            <w:u w:val="single"/>
            <w:vertAlign w:val="superscript"/>
          </w:rPr>
          <w:t>12</w:t>
        </w:r>
      </w:hyperlink>
      <w:r w:rsidRPr="007B6BA0">
        <w:rPr>
          <w:rFonts w:ascii="微软雅黑" w:eastAsia="微软雅黑" w:hAnsi="微软雅黑" w:cs="宋体"/>
          <w:kern w:val="0"/>
          <w:sz w:val="24"/>
          <w:szCs w:val="24"/>
        </w:rPr>
        <w:t> , </w:t>
      </w:r>
      <w:hyperlink r:id="rId18" w:anchor="advs10347-bib-0013" w:history="1">
        <w:r w:rsidRPr="007B6BA0">
          <w:rPr>
            <w:rFonts w:ascii="微软雅黑" w:eastAsia="微软雅黑" w:hAnsi="微软雅黑" w:cs="宋体"/>
            <w:kern w:val="0"/>
            <w:sz w:val="24"/>
            <w:szCs w:val="24"/>
            <w:u w:val="single"/>
            <w:vertAlign w:val="superscript"/>
          </w:rPr>
          <w:t>13</w:t>
        </w:r>
      </w:hyperlink>
      <w:r w:rsidRPr="007B6BA0">
        <w:rPr>
          <w:rFonts w:ascii="微软雅黑" w:eastAsia="微软雅黑" w:hAnsi="微软雅黑" w:cs="宋体"/>
          <w:kern w:val="0"/>
          <w:sz w:val="24"/>
          <w:szCs w:val="24"/>
        </w:rPr>
        <w:t> , </w:t>
      </w:r>
      <w:hyperlink r:id="rId19" w:anchor="advs10347-bib-0014" w:history="1">
        <w:r w:rsidRPr="007B6BA0">
          <w:rPr>
            <w:rFonts w:ascii="微软雅黑" w:eastAsia="微软雅黑" w:hAnsi="微软雅黑" w:cs="宋体"/>
            <w:kern w:val="0"/>
            <w:sz w:val="24"/>
            <w:szCs w:val="24"/>
            <w:u w:val="single"/>
            <w:vertAlign w:val="superscript"/>
          </w:rPr>
          <w:t>14</w:t>
        </w:r>
      </w:hyperlink>
      <w:r w:rsidRPr="007B6BA0">
        <w:rPr>
          <w:rFonts w:ascii="微软雅黑" w:eastAsia="微软雅黑" w:hAnsi="微软雅黑" w:cs="宋体"/>
          <w:kern w:val="0"/>
          <w:sz w:val="24"/>
          <w:szCs w:val="24"/>
        </w:rPr>
        <w:t> , </w:t>
      </w:r>
      <w:hyperlink r:id="rId20" w:anchor="advs10347-bib-0015" w:history="1">
        <w:r w:rsidRPr="007B6BA0">
          <w:rPr>
            <w:rFonts w:ascii="微软雅黑" w:eastAsia="微软雅黑" w:hAnsi="微软雅黑" w:cs="宋体"/>
            <w:kern w:val="0"/>
            <w:sz w:val="24"/>
            <w:szCs w:val="24"/>
            <w:u w:val="single"/>
            <w:vertAlign w:val="superscript"/>
          </w:rPr>
          <w:t>15</w:t>
        </w:r>
      </w:hyperlink>
      <w:r w:rsidRPr="007B6BA0">
        <w:rPr>
          <w:rFonts w:ascii="微软雅黑" w:eastAsia="微软雅黑" w:hAnsi="微软雅黑" w:cs="宋体"/>
          <w:kern w:val="0"/>
          <w:sz w:val="24"/>
          <w:szCs w:val="24"/>
        </w:rPr>
        <w:t> , </w:t>
      </w:r>
      <w:hyperlink r:id="rId21" w:anchor="advs10347-bib-0016" w:history="1">
        <w:r w:rsidRPr="007B6BA0">
          <w:rPr>
            <w:rFonts w:ascii="微软雅黑" w:eastAsia="微软雅黑" w:hAnsi="微软雅黑" w:cs="宋体"/>
            <w:kern w:val="0"/>
            <w:sz w:val="24"/>
            <w:szCs w:val="24"/>
            <w:u w:val="single"/>
            <w:vertAlign w:val="superscript"/>
          </w:rPr>
          <w:t>16</w:t>
        </w:r>
      </w:hyperlink>
      <w:r w:rsidRPr="007B6BA0">
        <w:rPr>
          <w:rFonts w:ascii="微软雅黑" w:eastAsia="微软雅黑" w:hAnsi="微软雅黑" w:cs="宋体"/>
          <w:kern w:val="0"/>
          <w:sz w:val="24"/>
          <w:szCs w:val="24"/>
          <w:vertAlign w:val="superscript"/>
        </w:rPr>
        <w:t> ]</w:t>
      </w:r>
      <w:r w:rsidRPr="007B6BA0">
        <w:rPr>
          <w:rFonts w:ascii="微软雅黑" w:eastAsia="微软雅黑" w:hAnsi="微软雅黑" w:cs="宋体"/>
          <w:kern w:val="0"/>
          <w:sz w:val="24"/>
          <w:szCs w:val="24"/>
        </w:rPr>
        <w:t> </w:t>
      </w:r>
      <w:proofErr w:type="spellStart"/>
      <w:r w:rsidRPr="007B6BA0">
        <w:rPr>
          <w:rFonts w:ascii="微软雅黑" w:eastAsia="微软雅黑" w:hAnsi="微软雅黑" w:cs="宋体"/>
          <w:kern w:val="0"/>
          <w:sz w:val="24"/>
          <w:szCs w:val="24"/>
        </w:rPr>
        <w:t>MonarchE</w:t>
      </w:r>
      <w:proofErr w:type="spellEnd"/>
      <w:r w:rsidRPr="007B6BA0">
        <w:rPr>
          <w:rFonts w:ascii="微软雅黑" w:eastAsia="微软雅黑" w:hAnsi="微软雅黑" w:cs="宋体"/>
          <w:kern w:val="0"/>
          <w:sz w:val="24"/>
          <w:szCs w:val="24"/>
        </w:rPr>
        <w:t xml:space="preserve"> 试验</w:t>
      </w:r>
      <w:r w:rsidRPr="007B6BA0">
        <w:rPr>
          <w:rFonts w:ascii="微软雅黑" w:eastAsia="微软雅黑" w:hAnsi="微软雅黑" w:cs="宋体"/>
          <w:kern w:val="0"/>
          <w:sz w:val="24"/>
          <w:szCs w:val="24"/>
          <w:vertAlign w:val="superscript"/>
        </w:rPr>
        <w:t>[ </w:t>
      </w:r>
      <w:hyperlink r:id="rId22" w:anchor="advs10347-bib-0017" w:history="1">
        <w:r w:rsidRPr="007B6BA0">
          <w:rPr>
            <w:rFonts w:ascii="微软雅黑" w:eastAsia="微软雅黑" w:hAnsi="微软雅黑" w:cs="宋体"/>
            <w:kern w:val="0"/>
            <w:sz w:val="24"/>
            <w:szCs w:val="24"/>
            <w:u w:val="single"/>
            <w:vertAlign w:val="superscript"/>
          </w:rPr>
          <w:t>17</w:t>
        </w:r>
      </w:hyperlink>
      <w:r w:rsidRPr="007B6BA0">
        <w:rPr>
          <w:rFonts w:ascii="微软雅黑" w:eastAsia="微软雅黑" w:hAnsi="微软雅黑" w:cs="宋体"/>
          <w:kern w:val="0"/>
          <w:sz w:val="24"/>
          <w:szCs w:val="24"/>
        </w:rPr>
        <w:t> , </w:t>
      </w:r>
      <w:hyperlink r:id="rId23" w:anchor="advs10347-bib-0018" w:history="1">
        <w:r w:rsidRPr="007B6BA0">
          <w:rPr>
            <w:rFonts w:ascii="微软雅黑" w:eastAsia="微软雅黑" w:hAnsi="微软雅黑" w:cs="宋体"/>
            <w:kern w:val="0"/>
            <w:sz w:val="24"/>
            <w:szCs w:val="24"/>
            <w:u w:val="single"/>
            <w:vertAlign w:val="superscript"/>
          </w:rPr>
          <w:t>18</w:t>
        </w:r>
      </w:hyperlink>
      <w:r w:rsidRPr="007B6BA0">
        <w:rPr>
          <w:rFonts w:ascii="微软雅黑" w:eastAsia="微软雅黑" w:hAnsi="微软雅黑" w:cs="宋体"/>
          <w:kern w:val="0"/>
          <w:sz w:val="24"/>
          <w:szCs w:val="24"/>
          <w:vertAlign w:val="superscript"/>
        </w:rPr>
        <w:t> ]</w:t>
      </w:r>
      <w:r w:rsidRPr="007B6BA0">
        <w:rPr>
          <w:rFonts w:ascii="微软雅黑" w:eastAsia="微软雅黑" w:hAnsi="微软雅黑" w:cs="宋体"/>
          <w:kern w:val="0"/>
          <w:sz w:val="24"/>
          <w:szCs w:val="24"/>
        </w:rPr>
        <w:t>进一步拓展了治疗领域，该试验表明阿贝西利不仅在转移性乳腺癌中有效，而且在 HR 阳性、高危早期乳腺癌中也有效。因此，CDK4/6 抑制剂的临床试验主要集中在 HR 阳性乳腺癌患者，而这些药物在三阴性乳腺癌 (TNBC) 患者中的应用仍十分有限。在临床前研究中，人们越来越重视克服三阴性乳腺癌（TNBC）对 CDK4/6 抑制剂的固有耐药性。</w:t>
      </w:r>
      <w:r w:rsidRPr="007B6BA0">
        <w:rPr>
          <w:rFonts w:ascii="微软雅黑" w:eastAsia="微软雅黑" w:hAnsi="微软雅黑" w:cs="宋体"/>
          <w:kern w:val="0"/>
          <w:sz w:val="24"/>
          <w:szCs w:val="24"/>
          <w:vertAlign w:val="superscript"/>
        </w:rPr>
        <w:t>[ </w:t>
      </w:r>
      <w:hyperlink r:id="rId24" w:anchor="advs10347-bib-0019" w:history="1">
        <w:r w:rsidRPr="007B6BA0">
          <w:rPr>
            <w:rFonts w:ascii="微软雅黑" w:eastAsia="微软雅黑" w:hAnsi="微软雅黑" w:cs="宋体"/>
            <w:kern w:val="0"/>
            <w:sz w:val="24"/>
            <w:szCs w:val="24"/>
            <w:u w:val="single"/>
            <w:vertAlign w:val="superscript"/>
          </w:rPr>
          <w:t>19</w:t>
        </w:r>
      </w:hyperlink>
      <w:r w:rsidRPr="007B6BA0">
        <w:rPr>
          <w:rFonts w:ascii="微软雅黑" w:eastAsia="微软雅黑" w:hAnsi="微软雅黑" w:cs="宋体"/>
          <w:kern w:val="0"/>
          <w:sz w:val="24"/>
          <w:szCs w:val="24"/>
          <w:vertAlign w:val="superscript"/>
        </w:rPr>
        <w:t> ]</w:t>
      </w:r>
      <w:r w:rsidRPr="007B6BA0">
        <w:rPr>
          <w:rFonts w:ascii="微软雅黑" w:eastAsia="微软雅黑" w:hAnsi="微软雅黑" w:cs="宋体"/>
          <w:kern w:val="0"/>
          <w:sz w:val="24"/>
          <w:szCs w:val="24"/>
        </w:rPr>
        <w:t>多种药物</w:t>
      </w:r>
      <w:r w:rsidRPr="007B6BA0">
        <w:rPr>
          <w:rFonts w:ascii="微软雅黑" w:eastAsia="微软雅黑" w:hAnsi="微软雅黑" w:cs="宋体"/>
          <w:kern w:val="0"/>
          <w:sz w:val="24"/>
          <w:szCs w:val="24"/>
          <w:vertAlign w:val="superscript"/>
        </w:rPr>
        <w:t>[ </w:t>
      </w:r>
      <w:hyperlink r:id="rId25" w:anchor="advs10347-bib-0020" w:history="1">
        <w:r w:rsidRPr="007B6BA0">
          <w:rPr>
            <w:rFonts w:ascii="微软雅黑" w:eastAsia="微软雅黑" w:hAnsi="微软雅黑" w:cs="宋体"/>
            <w:kern w:val="0"/>
            <w:sz w:val="24"/>
            <w:szCs w:val="24"/>
            <w:u w:val="single"/>
            <w:vertAlign w:val="superscript"/>
          </w:rPr>
          <w:t>20</w:t>
        </w:r>
      </w:hyperlink>
      <w:r w:rsidRPr="007B6BA0">
        <w:rPr>
          <w:rFonts w:ascii="微软雅黑" w:eastAsia="微软雅黑" w:hAnsi="微软雅黑" w:cs="宋体"/>
          <w:kern w:val="0"/>
          <w:sz w:val="24"/>
          <w:szCs w:val="24"/>
        </w:rPr>
        <w:t> , </w:t>
      </w:r>
      <w:hyperlink r:id="rId26" w:anchor="advs10347-bib-0021" w:history="1">
        <w:r w:rsidRPr="007B6BA0">
          <w:rPr>
            <w:rFonts w:ascii="微软雅黑" w:eastAsia="微软雅黑" w:hAnsi="微软雅黑" w:cs="宋体"/>
            <w:kern w:val="0"/>
            <w:sz w:val="24"/>
            <w:szCs w:val="24"/>
            <w:u w:val="single"/>
            <w:vertAlign w:val="superscript"/>
          </w:rPr>
          <w:t>21</w:t>
        </w:r>
      </w:hyperlink>
      <w:r w:rsidRPr="007B6BA0">
        <w:rPr>
          <w:rFonts w:ascii="微软雅黑" w:eastAsia="微软雅黑" w:hAnsi="微软雅黑" w:cs="宋体"/>
          <w:kern w:val="0"/>
          <w:sz w:val="24"/>
          <w:szCs w:val="24"/>
        </w:rPr>
        <w:t> , </w:t>
      </w:r>
      <w:hyperlink r:id="rId27" w:anchor="advs10347-bib-0022" w:history="1">
        <w:r w:rsidRPr="007B6BA0">
          <w:rPr>
            <w:rFonts w:ascii="微软雅黑" w:eastAsia="微软雅黑" w:hAnsi="微软雅黑" w:cs="宋体"/>
            <w:kern w:val="0"/>
            <w:sz w:val="24"/>
            <w:szCs w:val="24"/>
            <w:u w:val="single"/>
            <w:vertAlign w:val="superscript"/>
          </w:rPr>
          <w:t>22</w:t>
        </w:r>
      </w:hyperlink>
      <w:r w:rsidRPr="007B6BA0">
        <w:rPr>
          <w:rFonts w:ascii="微软雅黑" w:eastAsia="微软雅黑" w:hAnsi="微软雅黑" w:cs="宋体"/>
          <w:kern w:val="0"/>
          <w:sz w:val="24"/>
          <w:szCs w:val="24"/>
        </w:rPr>
        <w:t> , </w:t>
      </w:r>
      <w:hyperlink r:id="rId28" w:anchor="advs10347-bib-0023" w:history="1">
        <w:r w:rsidRPr="007B6BA0">
          <w:rPr>
            <w:rFonts w:ascii="微软雅黑" w:eastAsia="微软雅黑" w:hAnsi="微软雅黑" w:cs="宋体"/>
            <w:kern w:val="0"/>
            <w:sz w:val="24"/>
            <w:szCs w:val="24"/>
            <w:u w:val="single"/>
            <w:vertAlign w:val="superscript"/>
          </w:rPr>
          <w:t>23</w:t>
        </w:r>
      </w:hyperlink>
      <w:r w:rsidRPr="007B6BA0">
        <w:rPr>
          <w:rFonts w:ascii="微软雅黑" w:eastAsia="微软雅黑" w:hAnsi="微软雅黑" w:cs="宋体"/>
          <w:kern w:val="0"/>
          <w:sz w:val="24"/>
          <w:szCs w:val="24"/>
        </w:rPr>
        <w:t> , </w:t>
      </w:r>
      <w:hyperlink r:id="rId29" w:anchor="advs10347-bib-0024" w:history="1">
        <w:r w:rsidRPr="007B6BA0">
          <w:rPr>
            <w:rFonts w:ascii="微软雅黑" w:eastAsia="微软雅黑" w:hAnsi="微软雅黑" w:cs="宋体"/>
            <w:kern w:val="0"/>
            <w:sz w:val="24"/>
            <w:szCs w:val="24"/>
            <w:u w:val="single"/>
            <w:vertAlign w:val="superscript"/>
          </w:rPr>
          <w:t>24</w:t>
        </w:r>
      </w:hyperlink>
      <w:r w:rsidRPr="007B6BA0">
        <w:rPr>
          <w:rFonts w:ascii="微软雅黑" w:eastAsia="微软雅黑" w:hAnsi="微软雅黑" w:cs="宋体"/>
          <w:kern w:val="0"/>
          <w:sz w:val="24"/>
          <w:szCs w:val="24"/>
        </w:rPr>
        <w:t> , </w:t>
      </w:r>
      <w:hyperlink r:id="rId30" w:anchor="advs10347-bib-0025" w:history="1">
        <w:r w:rsidRPr="007B6BA0">
          <w:rPr>
            <w:rFonts w:ascii="微软雅黑" w:eastAsia="微软雅黑" w:hAnsi="微软雅黑" w:cs="宋体"/>
            <w:kern w:val="0"/>
            <w:sz w:val="24"/>
            <w:szCs w:val="24"/>
            <w:u w:val="single"/>
            <w:vertAlign w:val="superscript"/>
          </w:rPr>
          <w:t>25</w:t>
        </w:r>
      </w:hyperlink>
      <w:r w:rsidRPr="007B6BA0">
        <w:rPr>
          <w:rFonts w:ascii="微软雅黑" w:eastAsia="微软雅黑" w:hAnsi="微软雅黑" w:cs="宋体"/>
          <w:kern w:val="0"/>
          <w:sz w:val="24"/>
          <w:szCs w:val="24"/>
        </w:rPr>
        <w:t> , </w:t>
      </w:r>
      <w:hyperlink r:id="rId31" w:anchor="advs10347-bib-0026" w:history="1">
        <w:r w:rsidRPr="007B6BA0">
          <w:rPr>
            <w:rFonts w:ascii="微软雅黑" w:eastAsia="微软雅黑" w:hAnsi="微软雅黑" w:cs="宋体"/>
            <w:kern w:val="0"/>
            <w:sz w:val="24"/>
            <w:szCs w:val="24"/>
            <w:u w:val="single"/>
            <w:vertAlign w:val="superscript"/>
          </w:rPr>
          <w:t>26</w:t>
        </w:r>
      </w:hyperlink>
      <w:r w:rsidRPr="007B6BA0">
        <w:rPr>
          <w:rFonts w:ascii="微软雅黑" w:eastAsia="微软雅黑" w:hAnsi="微软雅黑" w:cs="宋体"/>
          <w:kern w:val="0"/>
          <w:sz w:val="24"/>
          <w:szCs w:val="24"/>
        </w:rPr>
        <w:t> , </w:t>
      </w:r>
      <w:hyperlink r:id="rId32" w:anchor="advs10347-bib-0027" w:history="1">
        <w:r w:rsidRPr="007B6BA0">
          <w:rPr>
            <w:rFonts w:ascii="微软雅黑" w:eastAsia="微软雅黑" w:hAnsi="微软雅黑" w:cs="宋体"/>
            <w:kern w:val="0"/>
            <w:sz w:val="24"/>
            <w:szCs w:val="24"/>
            <w:u w:val="single"/>
            <w:vertAlign w:val="superscript"/>
          </w:rPr>
          <w:t>27</w:t>
        </w:r>
      </w:hyperlink>
      <w:r w:rsidRPr="007B6BA0">
        <w:rPr>
          <w:rFonts w:ascii="微软雅黑" w:eastAsia="微软雅黑" w:hAnsi="微软雅黑" w:cs="宋体"/>
          <w:kern w:val="0"/>
          <w:sz w:val="24"/>
          <w:szCs w:val="24"/>
          <w:vertAlign w:val="superscript"/>
        </w:rPr>
        <w:t> ]</w:t>
      </w:r>
      <w:r w:rsidRPr="007B6BA0">
        <w:rPr>
          <w:rFonts w:ascii="微软雅黑" w:eastAsia="微软雅黑" w:hAnsi="微软雅黑" w:cs="宋体"/>
          <w:kern w:val="0"/>
          <w:sz w:val="24"/>
          <w:szCs w:val="24"/>
        </w:rPr>
        <w:t>，包括 PI3K 抑制剂</w:t>
      </w:r>
      <w:r w:rsidRPr="007B6BA0">
        <w:rPr>
          <w:rFonts w:ascii="微软雅黑" w:eastAsia="微软雅黑" w:hAnsi="微软雅黑" w:cs="宋体"/>
          <w:kern w:val="0"/>
          <w:sz w:val="24"/>
          <w:szCs w:val="24"/>
          <w:vertAlign w:val="superscript"/>
        </w:rPr>
        <w:t>[ </w:t>
      </w:r>
      <w:hyperlink r:id="rId33" w:anchor="advs10347-bib-0020" w:history="1">
        <w:r w:rsidRPr="007B6BA0">
          <w:rPr>
            <w:rFonts w:ascii="微软雅黑" w:eastAsia="微软雅黑" w:hAnsi="微软雅黑" w:cs="宋体"/>
            <w:kern w:val="0"/>
            <w:sz w:val="24"/>
            <w:szCs w:val="24"/>
            <w:u w:val="single"/>
            <w:vertAlign w:val="superscript"/>
          </w:rPr>
          <w:t>20</w:t>
        </w:r>
      </w:hyperlink>
      <w:r w:rsidRPr="007B6BA0">
        <w:rPr>
          <w:rFonts w:ascii="微软雅黑" w:eastAsia="微软雅黑" w:hAnsi="微软雅黑" w:cs="宋体"/>
          <w:kern w:val="0"/>
          <w:sz w:val="24"/>
          <w:szCs w:val="24"/>
        </w:rPr>
        <w:t> , </w:t>
      </w:r>
      <w:hyperlink r:id="rId34" w:anchor="advs10347-bib-0025" w:history="1">
        <w:r w:rsidRPr="007B6BA0">
          <w:rPr>
            <w:rFonts w:ascii="微软雅黑" w:eastAsia="微软雅黑" w:hAnsi="微软雅黑" w:cs="宋体"/>
            <w:kern w:val="0"/>
            <w:sz w:val="24"/>
            <w:szCs w:val="24"/>
            <w:u w:val="single"/>
            <w:vertAlign w:val="superscript"/>
          </w:rPr>
          <w:t>25</w:t>
        </w:r>
      </w:hyperlink>
      <w:r w:rsidRPr="007B6BA0">
        <w:rPr>
          <w:rFonts w:ascii="微软雅黑" w:eastAsia="微软雅黑" w:hAnsi="微软雅黑" w:cs="宋体"/>
          <w:kern w:val="0"/>
          <w:sz w:val="24"/>
          <w:szCs w:val="24"/>
          <w:vertAlign w:val="superscript"/>
        </w:rPr>
        <w:t> ]</w:t>
      </w:r>
      <w:r w:rsidRPr="007B6BA0">
        <w:rPr>
          <w:rFonts w:ascii="微软雅黑" w:eastAsia="微软雅黑" w:hAnsi="微软雅黑" w:cs="宋体"/>
          <w:kern w:val="0"/>
          <w:sz w:val="24"/>
          <w:szCs w:val="24"/>
        </w:rPr>
        <w:t> 、 BET 抑制剂</w:t>
      </w:r>
      <w:r w:rsidRPr="007B6BA0">
        <w:rPr>
          <w:rFonts w:ascii="微软雅黑" w:eastAsia="微软雅黑" w:hAnsi="微软雅黑" w:cs="宋体"/>
          <w:kern w:val="0"/>
          <w:sz w:val="24"/>
          <w:szCs w:val="24"/>
          <w:vertAlign w:val="superscript"/>
        </w:rPr>
        <w:t>[ </w:t>
      </w:r>
      <w:hyperlink r:id="rId35" w:anchor="advs10347-bib-0022" w:history="1">
        <w:r w:rsidRPr="007B6BA0">
          <w:rPr>
            <w:rFonts w:ascii="微软雅黑" w:eastAsia="微软雅黑" w:hAnsi="微软雅黑" w:cs="宋体"/>
            <w:kern w:val="0"/>
            <w:sz w:val="24"/>
            <w:szCs w:val="24"/>
            <w:u w:val="single"/>
            <w:vertAlign w:val="superscript"/>
          </w:rPr>
          <w:t>22</w:t>
        </w:r>
      </w:hyperlink>
      <w:r w:rsidRPr="007B6BA0">
        <w:rPr>
          <w:rFonts w:ascii="微软雅黑" w:eastAsia="微软雅黑" w:hAnsi="微软雅黑" w:cs="宋体"/>
          <w:kern w:val="0"/>
          <w:sz w:val="24"/>
          <w:szCs w:val="24"/>
        </w:rPr>
        <w:t> , </w:t>
      </w:r>
      <w:hyperlink r:id="rId36" w:anchor="advs10347-bib-0024" w:history="1">
        <w:r w:rsidRPr="007B6BA0">
          <w:rPr>
            <w:rFonts w:ascii="微软雅黑" w:eastAsia="微软雅黑" w:hAnsi="微软雅黑" w:cs="宋体"/>
            <w:kern w:val="0"/>
            <w:sz w:val="24"/>
            <w:szCs w:val="24"/>
            <w:u w:val="single"/>
            <w:vertAlign w:val="superscript"/>
          </w:rPr>
          <w:t>24</w:t>
        </w:r>
      </w:hyperlink>
      <w:r w:rsidRPr="007B6BA0">
        <w:rPr>
          <w:rFonts w:ascii="微软雅黑" w:eastAsia="微软雅黑" w:hAnsi="微软雅黑" w:cs="宋体"/>
          <w:kern w:val="0"/>
          <w:sz w:val="24"/>
          <w:szCs w:val="24"/>
          <w:vertAlign w:val="superscript"/>
        </w:rPr>
        <w:t> ]</w:t>
      </w:r>
      <w:r w:rsidRPr="007B6BA0">
        <w:rPr>
          <w:rFonts w:ascii="微软雅黑" w:eastAsia="微软雅黑" w:hAnsi="微软雅黑" w:cs="宋体"/>
          <w:kern w:val="0"/>
          <w:sz w:val="24"/>
          <w:szCs w:val="24"/>
        </w:rPr>
        <w:t>和溶酶体降解化合物</w:t>
      </w:r>
      <w:r w:rsidRPr="007B6BA0">
        <w:rPr>
          <w:rFonts w:ascii="微软雅黑" w:eastAsia="微软雅黑" w:hAnsi="微软雅黑" w:cs="宋体"/>
          <w:kern w:val="0"/>
          <w:sz w:val="24"/>
          <w:szCs w:val="24"/>
          <w:vertAlign w:val="superscript"/>
        </w:rPr>
        <w:t>[ </w:t>
      </w:r>
      <w:hyperlink r:id="rId37" w:anchor="advs10347-bib-0021" w:history="1">
        <w:r w:rsidRPr="007B6BA0">
          <w:rPr>
            <w:rFonts w:ascii="微软雅黑" w:eastAsia="微软雅黑" w:hAnsi="微软雅黑" w:cs="宋体"/>
            <w:kern w:val="0"/>
            <w:sz w:val="24"/>
            <w:szCs w:val="24"/>
            <w:u w:val="single"/>
            <w:vertAlign w:val="superscript"/>
          </w:rPr>
          <w:t>21</w:t>
        </w:r>
      </w:hyperlink>
      <w:r w:rsidRPr="007B6BA0">
        <w:rPr>
          <w:rFonts w:ascii="微软雅黑" w:eastAsia="微软雅黑" w:hAnsi="微软雅黑" w:cs="宋体"/>
          <w:kern w:val="0"/>
          <w:sz w:val="24"/>
          <w:szCs w:val="24"/>
          <w:vertAlign w:val="superscript"/>
        </w:rPr>
        <w:t> ]</w:t>
      </w:r>
      <w:r w:rsidRPr="007B6BA0">
        <w:rPr>
          <w:rFonts w:ascii="微软雅黑" w:eastAsia="微软雅黑" w:hAnsi="微软雅黑" w:cs="宋体"/>
          <w:kern w:val="0"/>
          <w:sz w:val="24"/>
          <w:szCs w:val="24"/>
        </w:rPr>
        <w:t> ，均显示出与 CDK4/6 抑制剂在 TNBC 中具有协同作用的潜力。这凸显了联合治疗作为一种对抗固有耐药性的有效策略。在此，我们发现了一个新的靶点 CDK7，它影响 TNBC 对 CDK4/6 抑制的反应。我们的研究结果进一步证实了 CDK7 和 CDK4/6 联合抑制在 TNBC 中的协同致死作用，为 TNBC 患者提供了一种潜在的治疗途径。</w:t>
      </w:r>
    </w:p>
    <w:p w14:paraId="2AF3DF97" w14:textId="77777777" w:rsidR="007B6BA0" w:rsidRPr="007B6BA0" w:rsidRDefault="007B6BA0" w:rsidP="007B6BA0">
      <w:pPr>
        <w:widowControl/>
        <w:pBdr>
          <w:bottom w:val="single" w:sz="6" w:space="0" w:color="97B1C8"/>
        </w:pBdr>
        <w:spacing w:line="450" w:lineRule="atLeast"/>
        <w:outlineLvl w:val="1"/>
        <w:rPr>
          <w:rFonts w:ascii="微软雅黑" w:eastAsia="微软雅黑" w:hAnsi="微软雅黑" w:cs="宋体"/>
          <w:kern w:val="0"/>
          <w:sz w:val="34"/>
          <w:szCs w:val="34"/>
        </w:rPr>
      </w:pPr>
      <w:r w:rsidRPr="007B6BA0">
        <w:rPr>
          <w:rFonts w:ascii="微软雅黑" w:eastAsia="微软雅黑" w:hAnsi="微软雅黑" w:cs="宋体"/>
          <w:kern w:val="0"/>
          <w:sz w:val="34"/>
          <w:szCs w:val="34"/>
        </w:rPr>
        <w:t>2. 结果</w:t>
      </w:r>
    </w:p>
    <w:p w14:paraId="68D58077" w14:textId="77777777" w:rsidR="007B6BA0" w:rsidRPr="007B6BA0" w:rsidRDefault="007B6BA0" w:rsidP="007B6BA0">
      <w:pPr>
        <w:widowControl/>
        <w:spacing w:line="450" w:lineRule="atLeast"/>
        <w:outlineLvl w:val="2"/>
        <w:rPr>
          <w:rFonts w:ascii="微软雅黑" w:eastAsia="微软雅黑" w:hAnsi="微软雅黑" w:cs="宋体"/>
          <w:kern w:val="0"/>
          <w:sz w:val="32"/>
          <w:szCs w:val="32"/>
        </w:rPr>
      </w:pPr>
      <w:r w:rsidRPr="007B6BA0">
        <w:rPr>
          <w:rFonts w:ascii="微软雅黑" w:eastAsia="微软雅黑" w:hAnsi="微软雅黑" w:cs="宋体"/>
          <w:kern w:val="0"/>
          <w:sz w:val="32"/>
          <w:szCs w:val="32"/>
        </w:rPr>
        <w:t>2.1. CDK7抑制剂上调管腔基因特征并使TNBC对阿贝西利更敏感</w:t>
      </w:r>
    </w:p>
    <w:p w14:paraId="61AE428D" w14:textId="77777777" w:rsidR="007B6BA0" w:rsidRPr="007B6BA0" w:rsidRDefault="007B6BA0" w:rsidP="007B6BA0">
      <w:pPr>
        <w:widowControl/>
        <w:spacing w:before="450"/>
        <w:rPr>
          <w:rFonts w:ascii="微软雅黑" w:eastAsia="微软雅黑" w:hAnsi="微软雅黑" w:cs="宋体"/>
          <w:kern w:val="0"/>
          <w:sz w:val="24"/>
          <w:szCs w:val="24"/>
        </w:rPr>
      </w:pPr>
      <w:r w:rsidRPr="007B6BA0">
        <w:rPr>
          <w:rFonts w:ascii="微软雅黑" w:eastAsia="微软雅黑" w:hAnsi="微软雅黑" w:cs="宋体"/>
          <w:kern w:val="0"/>
          <w:sz w:val="24"/>
          <w:szCs w:val="24"/>
        </w:rPr>
        <w:t>既往研究表明，三阴性乳腺癌（TNBC）细胞系（而非激素受体阳性乳腺癌细胞系）的增殖需要 CDK7。</w:t>
      </w:r>
      <w:r w:rsidRPr="007B6BA0">
        <w:rPr>
          <w:rFonts w:ascii="微软雅黑" w:eastAsia="微软雅黑" w:hAnsi="微软雅黑" w:cs="宋体"/>
          <w:kern w:val="0"/>
          <w:sz w:val="24"/>
          <w:szCs w:val="24"/>
          <w:vertAlign w:val="superscript"/>
        </w:rPr>
        <w:fldChar w:fldCharType="begin"/>
      </w:r>
      <w:r w:rsidRPr="007B6BA0">
        <w:rPr>
          <w:rFonts w:ascii="微软雅黑" w:eastAsia="微软雅黑" w:hAnsi="微软雅黑" w:cs="宋体"/>
          <w:kern w:val="0"/>
          <w:sz w:val="24"/>
          <w:szCs w:val="24"/>
          <w:vertAlign w:val="superscript"/>
        </w:rPr>
        <w:instrText xml:space="preserve"> HYPERLINK "https://pmc.ncbi.nlm.nih.gov/articles/PMC11791979/" \l "advs10347-fig-0001" </w:instrText>
      </w:r>
      <w:r w:rsidRPr="007B6BA0">
        <w:rPr>
          <w:rFonts w:ascii="微软雅黑" w:eastAsia="微软雅黑" w:hAnsi="微软雅黑" w:cs="宋体"/>
          <w:kern w:val="0"/>
          <w:sz w:val="24"/>
          <w:szCs w:val="24"/>
          <w:vertAlign w:val="superscript"/>
        </w:rPr>
        <w:fldChar w:fldCharType="separate"/>
      </w:r>
      <w:r w:rsidRPr="007B6BA0">
        <w:rPr>
          <w:rFonts w:ascii="微软雅黑" w:eastAsia="微软雅黑" w:hAnsi="微软雅黑" w:cs="宋体"/>
          <w:kern w:val="0"/>
          <w:sz w:val="24"/>
          <w:szCs w:val="24"/>
          <w:vertAlign w:val="superscript"/>
        </w:rPr>
        <w:t>[ </w:t>
      </w:r>
      <w:r w:rsidRPr="007B6BA0">
        <w:rPr>
          <w:rFonts w:ascii="微软雅黑" w:eastAsia="微软雅黑" w:hAnsi="微软雅黑" w:cs="宋体"/>
          <w:kern w:val="0"/>
          <w:sz w:val="24"/>
          <w:szCs w:val="24"/>
          <w:vertAlign w:val="superscript"/>
        </w:rPr>
        <w:fldChar w:fldCharType="end"/>
      </w:r>
      <w:r w:rsidRPr="007B6BA0">
        <w:rPr>
          <w:rFonts w:ascii="微软雅黑" w:eastAsia="微软雅黑" w:hAnsi="微软雅黑" w:cs="宋体"/>
          <w:kern w:val="0"/>
          <w:sz w:val="24"/>
          <w:szCs w:val="24"/>
          <w:vertAlign w:val="superscript"/>
        </w:rPr>
        <w:t>5 </w:t>
      </w:r>
      <w:hyperlink r:id="rId38" w:anchor="advs10347-bib-0005" w:history="1">
        <w:r w:rsidRPr="007B6BA0">
          <w:rPr>
            <w:rFonts w:ascii="微软雅黑" w:eastAsia="微软雅黑" w:hAnsi="微软雅黑" w:cs="宋体"/>
            <w:kern w:val="0"/>
            <w:sz w:val="24"/>
            <w:szCs w:val="24"/>
            <w:vertAlign w:val="superscript"/>
          </w:rPr>
          <w:t>]</w:t>
        </w:r>
      </w:hyperlink>
      <w:r w:rsidRPr="007B6BA0">
        <w:rPr>
          <w:rFonts w:ascii="微软雅黑" w:eastAsia="微软雅黑" w:hAnsi="微软雅黑" w:cs="宋体"/>
          <w:kern w:val="0"/>
          <w:sz w:val="24"/>
          <w:szCs w:val="24"/>
        </w:rPr>
        <w:t>利用</w:t>
      </w:r>
      <w:proofErr w:type="spellStart"/>
      <w:r w:rsidRPr="007B6BA0">
        <w:rPr>
          <w:rFonts w:ascii="微软雅黑" w:eastAsia="微软雅黑" w:hAnsi="微软雅黑" w:cs="宋体"/>
          <w:kern w:val="0"/>
          <w:sz w:val="24"/>
          <w:szCs w:val="24"/>
        </w:rPr>
        <w:t>DepMap</w:t>
      </w:r>
      <w:proofErr w:type="spellEnd"/>
      <w:r w:rsidRPr="007B6BA0">
        <w:rPr>
          <w:rFonts w:ascii="微软雅黑" w:eastAsia="微软雅黑" w:hAnsi="微软雅黑" w:cs="宋体"/>
          <w:kern w:val="0"/>
          <w:sz w:val="24"/>
          <w:szCs w:val="24"/>
        </w:rPr>
        <w:t xml:space="preserve"> CRISPR 筛选数据集，我们发现 CDK7 在 TNBC 中表现出比其他 CDK 更强的依赖性（</w:t>
      </w:r>
      <w:r w:rsidRPr="007B6BA0">
        <w:rPr>
          <w:rFonts w:ascii="微软雅黑" w:eastAsia="微软雅黑" w:hAnsi="微软雅黑" w:cs="宋体"/>
          <w:b/>
          <w:bCs/>
          <w:kern w:val="0"/>
          <w:sz w:val="24"/>
          <w:szCs w:val="24"/>
        </w:rPr>
        <w:t>图</w:t>
      </w:r>
      <w:hyperlink r:id="rId39" w:anchor="advs10347-fig-0001" w:history="1">
        <w:r w:rsidRPr="007B6BA0">
          <w:rPr>
            <w:rFonts w:ascii="微软雅黑" w:eastAsia="微软雅黑" w:hAnsi="微软雅黑" w:cs="宋体"/>
            <w:b/>
            <w:bCs/>
            <w:kern w:val="0"/>
            <w:sz w:val="24"/>
            <w:szCs w:val="24"/>
            <w:u w:val="single"/>
          </w:rPr>
          <w:t>1A</w:t>
        </w:r>
      </w:hyperlink>
      <w:r w:rsidRPr="007B6BA0">
        <w:rPr>
          <w:rFonts w:ascii="微软雅黑" w:eastAsia="微软雅黑" w:hAnsi="微软雅黑" w:cs="宋体"/>
          <w:kern w:val="0"/>
          <w:sz w:val="24"/>
          <w:szCs w:val="24"/>
        </w:rPr>
        <w:t>）。此外，与非 TNBC 乳腺癌细胞相比，TNBC 细胞对 CDK7 的依赖性更高（图 </w:t>
      </w:r>
      <w:hyperlink r:id="rId40" w:anchor="advs10347-fig-0001" w:history="1">
        <w:r w:rsidRPr="007B6BA0">
          <w:rPr>
            <w:rFonts w:ascii="微软雅黑" w:eastAsia="微软雅黑" w:hAnsi="微软雅黑" w:cs="宋体"/>
            <w:kern w:val="0"/>
            <w:sz w:val="24"/>
            <w:szCs w:val="24"/>
            <w:u w:val="single"/>
          </w:rPr>
          <w:t>1B</w:t>
        </w:r>
      </w:hyperlink>
      <w:r w:rsidRPr="007B6BA0">
        <w:rPr>
          <w:rFonts w:ascii="微软雅黑" w:eastAsia="微软雅黑" w:hAnsi="微软雅黑" w:cs="宋体"/>
          <w:kern w:val="0"/>
          <w:sz w:val="24"/>
          <w:szCs w:val="24"/>
        </w:rPr>
        <w:t xml:space="preserve">）。对 TCGA 和 </w:t>
      </w:r>
      <w:proofErr w:type="spellStart"/>
      <w:r w:rsidRPr="007B6BA0">
        <w:rPr>
          <w:rFonts w:ascii="微软雅黑" w:eastAsia="微软雅黑" w:hAnsi="微软雅黑" w:cs="宋体"/>
          <w:kern w:val="0"/>
          <w:sz w:val="24"/>
          <w:szCs w:val="24"/>
        </w:rPr>
        <w:t>GTEx</w:t>
      </w:r>
      <w:proofErr w:type="spellEnd"/>
      <w:r w:rsidRPr="007B6BA0">
        <w:rPr>
          <w:rFonts w:ascii="微软雅黑" w:eastAsia="微软雅黑" w:hAnsi="微软雅黑" w:cs="宋体"/>
          <w:kern w:val="0"/>
          <w:sz w:val="24"/>
          <w:szCs w:val="24"/>
        </w:rPr>
        <w:t xml:space="preserve"> 数据库的分析显示，CDK7 mRNA 的表达在四种乳腺癌亚型中最低（图 </w:t>
      </w:r>
      <w:hyperlink r:id="rId41" w:anchor="advs10347-supinfo-0001" w:history="1">
        <w:r w:rsidRPr="007B6BA0">
          <w:rPr>
            <w:rFonts w:ascii="微软雅黑" w:eastAsia="微软雅黑" w:hAnsi="微软雅黑" w:cs="宋体"/>
            <w:kern w:val="0"/>
            <w:sz w:val="24"/>
            <w:szCs w:val="24"/>
            <w:u w:val="single"/>
          </w:rPr>
          <w:t>S1A</w:t>
        </w:r>
      </w:hyperlink>
      <w:r w:rsidRPr="007B6BA0">
        <w:rPr>
          <w:rFonts w:ascii="微软雅黑" w:eastAsia="微软雅黑" w:hAnsi="微软雅黑" w:cs="宋体"/>
          <w:kern w:val="0"/>
          <w:sz w:val="24"/>
          <w:szCs w:val="24"/>
        </w:rPr>
        <w:t>，补充信息），但仍显著高于正常乳腺组织（图 </w:t>
      </w:r>
      <w:hyperlink r:id="rId42" w:anchor="advs10347-fig-0001" w:history="1">
        <w:r w:rsidRPr="007B6BA0">
          <w:rPr>
            <w:rFonts w:ascii="微软雅黑" w:eastAsia="微软雅黑" w:hAnsi="微软雅黑" w:cs="宋体"/>
            <w:kern w:val="0"/>
            <w:sz w:val="24"/>
            <w:szCs w:val="24"/>
            <w:u w:val="single"/>
          </w:rPr>
          <w:t>1C</w:t>
        </w:r>
      </w:hyperlink>
      <w:r w:rsidRPr="007B6BA0">
        <w:rPr>
          <w:rFonts w:ascii="微软雅黑" w:eastAsia="微软雅黑" w:hAnsi="微软雅黑" w:cs="宋体"/>
          <w:kern w:val="0"/>
          <w:sz w:val="24"/>
          <w:szCs w:val="24"/>
        </w:rPr>
        <w:t xml:space="preserve">）。CDK7 </w:t>
      </w:r>
      <w:proofErr w:type="gramStart"/>
      <w:r w:rsidRPr="007B6BA0">
        <w:rPr>
          <w:rFonts w:ascii="微软雅黑" w:eastAsia="微软雅黑" w:hAnsi="微软雅黑" w:cs="宋体"/>
          <w:kern w:val="0"/>
          <w:sz w:val="24"/>
          <w:szCs w:val="24"/>
        </w:rPr>
        <w:t>高表达</w:t>
      </w:r>
      <w:proofErr w:type="gramEnd"/>
      <w:r w:rsidRPr="007B6BA0">
        <w:rPr>
          <w:rFonts w:ascii="微软雅黑" w:eastAsia="微软雅黑" w:hAnsi="微软雅黑" w:cs="宋体"/>
          <w:kern w:val="0"/>
          <w:sz w:val="24"/>
          <w:szCs w:val="24"/>
        </w:rPr>
        <w:lastRenderedPageBreak/>
        <w:t>的 TNBC 患者的总生存期（OS）、无复发生存期（RFS）和无远处转移生存期（DMFS）均较差（图 </w:t>
      </w:r>
      <w:hyperlink r:id="rId43" w:anchor="advs10347-fig-0001" w:history="1">
        <w:r w:rsidRPr="007B6BA0">
          <w:rPr>
            <w:rFonts w:ascii="微软雅黑" w:eastAsia="微软雅黑" w:hAnsi="微软雅黑" w:cs="宋体"/>
            <w:kern w:val="0"/>
            <w:sz w:val="24"/>
            <w:szCs w:val="24"/>
            <w:u w:val="single"/>
          </w:rPr>
          <w:t>1D</w:t>
        </w:r>
      </w:hyperlink>
      <w:r w:rsidRPr="007B6BA0">
        <w:rPr>
          <w:rFonts w:ascii="微软雅黑" w:eastAsia="微软雅黑" w:hAnsi="微软雅黑" w:cs="宋体"/>
          <w:kern w:val="0"/>
          <w:sz w:val="24"/>
          <w:szCs w:val="24"/>
        </w:rPr>
        <w:t>；图 </w:t>
      </w:r>
      <w:hyperlink r:id="rId44" w:anchor="advs10347-supinfo-0001" w:history="1">
        <w:r w:rsidRPr="007B6BA0">
          <w:rPr>
            <w:rFonts w:ascii="微软雅黑" w:eastAsia="微软雅黑" w:hAnsi="微软雅黑" w:cs="宋体"/>
            <w:kern w:val="0"/>
            <w:sz w:val="24"/>
            <w:szCs w:val="24"/>
            <w:u w:val="single"/>
          </w:rPr>
          <w:t>S1B</w:t>
        </w:r>
      </w:hyperlink>
      <w:r w:rsidRPr="007B6BA0">
        <w:rPr>
          <w:rFonts w:ascii="微软雅黑" w:eastAsia="微软雅黑" w:hAnsi="微软雅黑" w:cs="宋体"/>
          <w:kern w:val="0"/>
          <w:sz w:val="24"/>
          <w:szCs w:val="24"/>
        </w:rPr>
        <w:t>，补充信息）。然而，在其余乳腺癌亚型中，CDK7表达并未显示出预后意义（图 </w:t>
      </w:r>
      <w:hyperlink r:id="rId45" w:anchor="advs10347-supinfo-0001" w:history="1">
        <w:r w:rsidRPr="007B6BA0">
          <w:rPr>
            <w:rFonts w:ascii="微软雅黑" w:eastAsia="微软雅黑" w:hAnsi="微软雅黑" w:cs="宋体"/>
            <w:kern w:val="0"/>
            <w:sz w:val="24"/>
            <w:szCs w:val="24"/>
            <w:u w:val="single"/>
          </w:rPr>
          <w:t>S1C</w:t>
        </w:r>
      </w:hyperlink>
      <w:r w:rsidRPr="007B6BA0">
        <w:rPr>
          <w:rFonts w:ascii="微软雅黑" w:eastAsia="微软雅黑" w:hAnsi="微软雅黑" w:cs="宋体"/>
          <w:kern w:val="0"/>
          <w:sz w:val="24"/>
          <w:szCs w:val="24"/>
        </w:rPr>
        <w:t>，补充信息），表明CDK7的预后价值可能仅限于三阴性乳腺癌（TNBC）。为了探究CDK7与临床结局之间的潜在机制，我们根据CDK7表达水平对癌症基因组图谱（TCGA）和复旦大学附属肿瘤医院（FUSCC）的TNBC患者进行了分层。有趣的是，基因集富集分析（GSEA）显示，在两个队列中，CDK7低表达</w:t>
      </w:r>
      <w:proofErr w:type="gramStart"/>
      <w:r w:rsidRPr="007B6BA0">
        <w:rPr>
          <w:rFonts w:ascii="微软雅黑" w:eastAsia="微软雅黑" w:hAnsi="微软雅黑" w:cs="宋体"/>
          <w:kern w:val="0"/>
          <w:sz w:val="24"/>
          <w:szCs w:val="24"/>
        </w:rPr>
        <w:t>亚组中管腔</w:t>
      </w:r>
      <w:proofErr w:type="gramEnd"/>
      <w:r w:rsidRPr="007B6BA0">
        <w:rPr>
          <w:rFonts w:ascii="微软雅黑" w:eastAsia="微软雅黑" w:hAnsi="微软雅黑" w:cs="宋体"/>
          <w:kern w:val="0"/>
          <w:sz w:val="24"/>
          <w:szCs w:val="24"/>
        </w:rPr>
        <w:t>基因特征均上调（图 </w:t>
      </w:r>
      <w:hyperlink r:id="rId46" w:anchor="advs10347-fig-0001" w:history="1">
        <w:r w:rsidRPr="007B6BA0">
          <w:rPr>
            <w:rFonts w:ascii="微软雅黑" w:eastAsia="微软雅黑" w:hAnsi="微软雅黑" w:cs="宋体"/>
            <w:kern w:val="0"/>
            <w:sz w:val="24"/>
            <w:szCs w:val="24"/>
            <w:u w:val="single"/>
          </w:rPr>
          <w:t>1E、F</w:t>
        </w:r>
      </w:hyperlink>
      <w:r w:rsidRPr="007B6BA0">
        <w:rPr>
          <w:rFonts w:ascii="微软雅黑" w:eastAsia="微软雅黑" w:hAnsi="微软雅黑" w:cs="宋体"/>
          <w:kern w:val="0"/>
          <w:sz w:val="24"/>
          <w:szCs w:val="24"/>
        </w:rPr>
        <w:t>）。在Hs578T细胞</w:t>
      </w:r>
      <w:proofErr w:type="gramStart"/>
      <w:r w:rsidRPr="007B6BA0">
        <w:rPr>
          <w:rFonts w:ascii="微软雅黑" w:eastAsia="微软雅黑" w:hAnsi="微软雅黑" w:cs="宋体"/>
          <w:kern w:val="0"/>
          <w:sz w:val="24"/>
          <w:szCs w:val="24"/>
        </w:rPr>
        <w:t>中敲低</w:t>
      </w:r>
      <w:proofErr w:type="gramEnd"/>
      <w:r w:rsidRPr="007B6BA0">
        <w:rPr>
          <w:rFonts w:ascii="微软雅黑" w:eastAsia="微软雅黑" w:hAnsi="微软雅黑" w:cs="宋体"/>
          <w:kern w:val="0"/>
          <w:sz w:val="24"/>
          <w:szCs w:val="24"/>
        </w:rPr>
        <w:t>CDK7（ShCDK7）后，也观察到了类似的管腔转录活性增加（图 </w:t>
      </w:r>
      <w:hyperlink r:id="rId47" w:anchor="advs10347-fig-0001" w:history="1">
        <w:r w:rsidRPr="007B6BA0">
          <w:rPr>
            <w:rFonts w:ascii="微软雅黑" w:eastAsia="微软雅黑" w:hAnsi="微软雅黑" w:cs="宋体"/>
            <w:kern w:val="0"/>
            <w:sz w:val="24"/>
            <w:szCs w:val="24"/>
            <w:u w:val="single"/>
          </w:rPr>
          <w:t>1G</w:t>
        </w:r>
      </w:hyperlink>
      <w:r w:rsidRPr="007B6BA0">
        <w:rPr>
          <w:rFonts w:ascii="微软雅黑" w:eastAsia="微软雅黑" w:hAnsi="微软雅黑" w:cs="宋体"/>
          <w:kern w:val="0"/>
          <w:sz w:val="24"/>
          <w:szCs w:val="24"/>
        </w:rPr>
        <w:t>；图 </w:t>
      </w:r>
      <w:hyperlink r:id="rId48" w:anchor="advs10347-supinfo-0001" w:history="1">
        <w:r w:rsidRPr="007B6BA0">
          <w:rPr>
            <w:rFonts w:ascii="微软雅黑" w:eastAsia="微软雅黑" w:hAnsi="微软雅黑" w:cs="宋体"/>
            <w:kern w:val="0"/>
            <w:sz w:val="24"/>
            <w:szCs w:val="24"/>
            <w:u w:val="single"/>
          </w:rPr>
          <w:t>S1D</w:t>
        </w:r>
      </w:hyperlink>
      <w:r w:rsidRPr="007B6BA0">
        <w:rPr>
          <w:rFonts w:ascii="微软雅黑" w:eastAsia="微软雅黑" w:hAnsi="微软雅黑" w:cs="宋体"/>
          <w:kern w:val="0"/>
          <w:sz w:val="24"/>
          <w:szCs w:val="24"/>
        </w:rPr>
        <w:t>，补充信息）。</w:t>
      </w:r>
      <w:r w:rsidRPr="007B6BA0">
        <w:rPr>
          <w:rFonts w:ascii="微软雅黑" w:eastAsia="微软雅黑" w:hAnsi="微软雅黑" w:cs="宋体"/>
          <w:kern w:val="0"/>
          <w:sz w:val="24"/>
          <w:szCs w:val="24"/>
        </w:rPr>
        <w:fldChar w:fldCharType="begin"/>
      </w:r>
      <w:r w:rsidRPr="007B6BA0">
        <w:rPr>
          <w:rFonts w:ascii="微软雅黑" w:eastAsia="微软雅黑" w:hAnsi="微软雅黑" w:cs="宋体"/>
          <w:kern w:val="0"/>
          <w:sz w:val="24"/>
          <w:szCs w:val="24"/>
        </w:rPr>
        <w:instrText xml:space="preserve"> HYPERLINK "https://pmc.ncbi.nlm.nih.gov/articles/PMC11791979/" \l "advs10347-bib-0005" </w:instrText>
      </w:r>
      <w:r w:rsidRPr="007B6BA0">
        <w:rPr>
          <w:rFonts w:ascii="微软雅黑" w:eastAsia="微软雅黑" w:hAnsi="微软雅黑" w:cs="宋体"/>
          <w:kern w:val="0"/>
          <w:sz w:val="24"/>
          <w:szCs w:val="24"/>
        </w:rPr>
        <w:fldChar w:fldCharType="separate"/>
      </w:r>
      <w:r w:rsidRPr="007B6BA0">
        <w:rPr>
          <w:rFonts w:ascii="微软雅黑" w:eastAsia="微软雅黑" w:hAnsi="微软雅黑" w:cs="宋体"/>
          <w:kern w:val="0"/>
          <w:sz w:val="24"/>
          <w:szCs w:val="24"/>
          <w:u w:val="single"/>
        </w:rPr>
        <w:t> </w:t>
      </w:r>
      <w:r w:rsidRPr="007B6BA0">
        <w:rPr>
          <w:rFonts w:ascii="微软雅黑" w:eastAsia="微软雅黑" w:hAnsi="微软雅黑" w:cs="宋体"/>
          <w:kern w:val="0"/>
          <w:sz w:val="24"/>
          <w:szCs w:val="24"/>
        </w:rPr>
        <w:fldChar w:fldCharType="end"/>
      </w:r>
      <w:r w:rsidRPr="007B6BA0">
        <w:rPr>
          <w:rFonts w:ascii="微软雅黑" w:eastAsia="微软雅黑" w:hAnsi="微软雅黑" w:cs="宋体"/>
          <w:kern w:val="0"/>
          <w:sz w:val="24"/>
          <w:szCs w:val="24"/>
        </w:rPr>
        <w:t> </w:t>
      </w:r>
    </w:p>
    <w:p w14:paraId="753BF595" w14:textId="77777777" w:rsidR="007B6BA0" w:rsidRPr="007B6BA0" w:rsidRDefault="007B6BA0" w:rsidP="007B6BA0">
      <w:pPr>
        <w:widowControl/>
        <w:spacing w:line="450" w:lineRule="atLeast"/>
        <w:outlineLvl w:val="3"/>
        <w:rPr>
          <w:rFonts w:ascii="微软雅黑" w:eastAsia="微软雅黑" w:hAnsi="微软雅黑" w:cs="宋体"/>
          <w:kern w:val="0"/>
          <w:sz w:val="30"/>
          <w:szCs w:val="30"/>
        </w:rPr>
      </w:pPr>
      <w:r w:rsidRPr="007B6BA0">
        <w:rPr>
          <w:rFonts w:ascii="微软雅黑" w:eastAsia="微软雅黑" w:hAnsi="微软雅黑" w:cs="宋体"/>
          <w:kern w:val="0"/>
          <w:sz w:val="30"/>
          <w:szCs w:val="30"/>
        </w:rPr>
        <w:t>图1。</w:t>
      </w:r>
    </w:p>
    <w:p w14:paraId="18495795" w14:textId="5044AC5A" w:rsidR="007B6BA0" w:rsidRPr="007B6BA0" w:rsidRDefault="007B6BA0" w:rsidP="007B6BA0">
      <w:pPr>
        <w:widowControl/>
        <w:spacing w:before="450"/>
        <w:rPr>
          <w:rFonts w:ascii="微软雅黑" w:eastAsia="微软雅黑" w:hAnsi="微软雅黑" w:cs="宋体"/>
          <w:kern w:val="0"/>
          <w:sz w:val="24"/>
          <w:szCs w:val="24"/>
        </w:rPr>
      </w:pPr>
      <w:r w:rsidRPr="005E56A4">
        <w:rPr>
          <w:rFonts w:ascii="微软雅黑" w:eastAsia="微软雅黑" w:hAnsi="微软雅黑" w:cs="宋体"/>
          <w:noProof/>
          <w:kern w:val="0"/>
          <w:sz w:val="24"/>
          <w:szCs w:val="24"/>
        </w:rPr>
        <w:lastRenderedPageBreak/>
        <w:drawing>
          <wp:inline distT="0" distB="0" distL="0" distR="0" wp14:anchorId="50703537" wp14:editId="0F1914EE">
            <wp:extent cx="5202555" cy="4618355"/>
            <wp:effectExtent l="0" t="0" r="0" b="0"/>
            <wp:docPr id="6" name="图片 6" descr="图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ats-graphic-3" descr="图 1"/>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5202555" cy="4618355"/>
                    </a:xfrm>
                    <a:prstGeom prst="rect">
                      <a:avLst/>
                    </a:prstGeom>
                    <a:noFill/>
                    <a:ln>
                      <a:noFill/>
                    </a:ln>
                  </pic:spPr>
                </pic:pic>
              </a:graphicData>
            </a:graphic>
          </wp:inline>
        </w:drawing>
      </w:r>
    </w:p>
    <w:p w14:paraId="4B169634" w14:textId="77777777" w:rsidR="007B6BA0" w:rsidRPr="007B6BA0" w:rsidRDefault="007B6BA0" w:rsidP="007B6BA0">
      <w:pPr>
        <w:widowControl/>
        <w:rPr>
          <w:rFonts w:ascii="微软雅黑" w:eastAsia="微软雅黑" w:hAnsi="微软雅黑" w:cs="宋体"/>
          <w:kern w:val="0"/>
          <w:sz w:val="24"/>
          <w:szCs w:val="24"/>
        </w:rPr>
      </w:pPr>
      <w:r w:rsidRPr="007B6BA0">
        <w:rPr>
          <w:rFonts w:ascii="微软雅黑" w:eastAsia="微软雅黑" w:hAnsi="微软雅黑" w:cs="宋体"/>
          <w:kern w:val="0"/>
          <w:sz w:val="24"/>
          <w:szCs w:val="24"/>
        </w:rPr>
        <w:t>CDK7抑制可提高管</w:t>
      </w:r>
      <w:proofErr w:type="gramStart"/>
      <w:r w:rsidRPr="007B6BA0">
        <w:rPr>
          <w:rFonts w:ascii="微软雅黑" w:eastAsia="微软雅黑" w:hAnsi="微软雅黑" w:cs="宋体"/>
          <w:kern w:val="0"/>
          <w:sz w:val="24"/>
          <w:szCs w:val="24"/>
        </w:rPr>
        <w:t>腔相关</w:t>
      </w:r>
      <w:proofErr w:type="gramEnd"/>
      <w:r w:rsidRPr="007B6BA0">
        <w:rPr>
          <w:rFonts w:ascii="微软雅黑" w:eastAsia="微软雅黑" w:hAnsi="微软雅黑" w:cs="宋体"/>
          <w:kern w:val="0"/>
          <w:sz w:val="24"/>
          <w:szCs w:val="24"/>
        </w:rPr>
        <w:t>转录活性，并使TNBC对阿贝西利更敏感。A）箱线图展示了使用来自Broad研究所</w:t>
      </w:r>
      <w:proofErr w:type="spellStart"/>
      <w:r w:rsidRPr="007B6BA0">
        <w:rPr>
          <w:rFonts w:ascii="微软雅黑" w:eastAsia="微软雅黑" w:hAnsi="微软雅黑" w:cs="宋体"/>
          <w:kern w:val="0"/>
          <w:sz w:val="24"/>
          <w:szCs w:val="24"/>
        </w:rPr>
        <w:t>DepMap</w:t>
      </w:r>
      <w:proofErr w:type="spellEnd"/>
      <w:r w:rsidRPr="007B6BA0">
        <w:rPr>
          <w:rFonts w:ascii="微软雅黑" w:eastAsia="微软雅黑" w:hAnsi="微软雅黑" w:cs="宋体"/>
          <w:kern w:val="0"/>
          <w:sz w:val="24"/>
          <w:szCs w:val="24"/>
        </w:rPr>
        <w:t>门户网站的CRISPR筛选数据集，在TNBC细胞（ </w:t>
      </w:r>
      <w:r w:rsidRPr="007B6BA0">
        <w:rPr>
          <w:rFonts w:ascii="微软雅黑" w:eastAsia="微软雅黑" w:hAnsi="微软雅黑" w:cs="宋体"/>
          <w:i/>
          <w:iCs/>
          <w:kern w:val="0"/>
          <w:sz w:val="24"/>
          <w:szCs w:val="24"/>
        </w:rPr>
        <w:t>n = 25）中CDK7和其他几种CDK的依赖性评分。p</w:t>
      </w:r>
      <w:r w:rsidRPr="007B6BA0">
        <w:rPr>
          <w:rFonts w:ascii="微软雅黑" w:eastAsia="微软雅黑" w:hAnsi="微软雅黑" w:cs="宋体"/>
          <w:kern w:val="0"/>
          <w:sz w:val="24"/>
          <w:szCs w:val="24"/>
        </w:rPr>
        <w:t>值采用单因素方差分析计算，**** </w:t>
      </w:r>
      <w:r w:rsidRPr="007B6BA0">
        <w:rPr>
          <w:rFonts w:ascii="微软雅黑" w:eastAsia="微软雅黑" w:hAnsi="微软雅黑" w:cs="宋体"/>
          <w:i/>
          <w:iCs/>
          <w:kern w:val="0"/>
          <w:sz w:val="24"/>
          <w:szCs w:val="24"/>
        </w:rPr>
        <w:t>p</w:t>
      </w:r>
      <w:r w:rsidRPr="007B6BA0">
        <w:rPr>
          <w:rFonts w:ascii="微软雅黑" w:eastAsia="微软雅黑" w:hAnsi="微软雅黑" w:cs="宋体"/>
          <w:kern w:val="0"/>
          <w:sz w:val="24"/>
          <w:szCs w:val="24"/>
        </w:rPr>
        <w:t> &lt; 0.0001。B）小提琴图展示了使用来自Broad研究所</w:t>
      </w:r>
      <w:proofErr w:type="spellStart"/>
      <w:r w:rsidRPr="007B6BA0">
        <w:rPr>
          <w:rFonts w:ascii="微软雅黑" w:eastAsia="微软雅黑" w:hAnsi="微软雅黑" w:cs="宋体"/>
          <w:kern w:val="0"/>
          <w:sz w:val="24"/>
          <w:szCs w:val="24"/>
        </w:rPr>
        <w:t>DepMap</w:t>
      </w:r>
      <w:proofErr w:type="spellEnd"/>
      <w:r w:rsidRPr="007B6BA0">
        <w:rPr>
          <w:rFonts w:ascii="微软雅黑" w:eastAsia="微软雅黑" w:hAnsi="微软雅黑" w:cs="宋体"/>
          <w:kern w:val="0"/>
          <w:sz w:val="24"/>
          <w:szCs w:val="24"/>
        </w:rPr>
        <w:t>门户网站的CRISPR和RNAi筛选数据集，在TNBC和非TNBC乳腺癌细胞（TNBC </w:t>
      </w:r>
      <w:r w:rsidRPr="007B6BA0">
        <w:rPr>
          <w:rFonts w:ascii="微软雅黑" w:eastAsia="微软雅黑" w:hAnsi="微软雅黑" w:cs="宋体"/>
          <w:i/>
          <w:iCs/>
          <w:kern w:val="0"/>
          <w:sz w:val="24"/>
          <w:szCs w:val="24"/>
        </w:rPr>
        <w:t>n</w:t>
      </w:r>
      <w:r w:rsidRPr="007B6BA0">
        <w:rPr>
          <w:rFonts w:ascii="微软雅黑" w:eastAsia="微软雅黑" w:hAnsi="微软雅黑" w:cs="宋体"/>
          <w:kern w:val="0"/>
          <w:sz w:val="24"/>
          <w:szCs w:val="24"/>
        </w:rPr>
        <w:t> = 24，非TNBC </w:t>
      </w:r>
      <w:r w:rsidRPr="007B6BA0">
        <w:rPr>
          <w:rFonts w:ascii="微软雅黑" w:eastAsia="微软雅黑" w:hAnsi="微软雅黑" w:cs="宋体"/>
          <w:i/>
          <w:iCs/>
          <w:kern w:val="0"/>
          <w:sz w:val="24"/>
          <w:szCs w:val="24"/>
        </w:rPr>
        <w:t>n = 17）中CDK7依赖性评分。p值</w:t>
      </w:r>
      <w:r w:rsidRPr="007B6BA0">
        <w:rPr>
          <w:rFonts w:ascii="微软雅黑" w:eastAsia="微软雅黑" w:hAnsi="微软雅黑" w:cs="宋体"/>
          <w:kern w:val="0"/>
          <w:sz w:val="24"/>
          <w:szCs w:val="24"/>
        </w:rPr>
        <w:t>采用非配对</w:t>
      </w:r>
      <w:r w:rsidRPr="007B6BA0">
        <w:rPr>
          <w:rFonts w:ascii="微软雅黑" w:eastAsia="微软雅黑" w:hAnsi="微软雅黑" w:cs="宋体"/>
          <w:i/>
          <w:iCs/>
          <w:kern w:val="0"/>
          <w:sz w:val="24"/>
          <w:szCs w:val="24"/>
        </w:rPr>
        <w:t>t</w:t>
      </w:r>
      <w:r w:rsidRPr="007B6BA0">
        <w:rPr>
          <w:rFonts w:ascii="微软雅黑" w:eastAsia="微软雅黑" w:hAnsi="微软雅黑" w:cs="宋体"/>
          <w:kern w:val="0"/>
          <w:sz w:val="24"/>
          <w:szCs w:val="24"/>
        </w:rPr>
        <w:t>检验计算，* </w:t>
      </w:r>
      <w:r w:rsidRPr="007B6BA0">
        <w:rPr>
          <w:rFonts w:ascii="微软雅黑" w:eastAsia="微软雅黑" w:hAnsi="微软雅黑" w:cs="宋体"/>
          <w:i/>
          <w:iCs/>
          <w:kern w:val="0"/>
          <w:sz w:val="24"/>
          <w:szCs w:val="24"/>
        </w:rPr>
        <w:t>p</w:t>
      </w:r>
      <w:r w:rsidRPr="007B6BA0">
        <w:rPr>
          <w:rFonts w:ascii="微软雅黑" w:eastAsia="微软雅黑" w:hAnsi="微软雅黑" w:cs="宋体"/>
          <w:kern w:val="0"/>
          <w:sz w:val="24"/>
          <w:szCs w:val="24"/>
        </w:rPr>
        <w:t> &lt; 0.05，** </w:t>
      </w:r>
      <w:r w:rsidRPr="007B6BA0">
        <w:rPr>
          <w:rFonts w:ascii="微软雅黑" w:eastAsia="微软雅黑" w:hAnsi="微软雅黑" w:cs="宋体"/>
          <w:i/>
          <w:iCs/>
          <w:kern w:val="0"/>
          <w:sz w:val="24"/>
          <w:szCs w:val="24"/>
        </w:rPr>
        <w:t>p</w:t>
      </w:r>
      <w:r w:rsidRPr="007B6BA0">
        <w:rPr>
          <w:rFonts w:ascii="微软雅黑" w:eastAsia="微软雅黑" w:hAnsi="微软雅黑" w:cs="宋体"/>
          <w:kern w:val="0"/>
          <w:sz w:val="24"/>
          <w:szCs w:val="24"/>
        </w:rPr>
        <w:t> &lt; 0.01。 C) TCGA-TNBC 数据集（</w:t>
      </w:r>
      <w:r w:rsidRPr="007B6BA0">
        <w:rPr>
          <w:rFonts w:ascii="微软雅黑" w:eastAsia="微软雅黑" w:hAnsi="微软雅黑" w:cs="宋体"/>
          <w:i/>
          <w:iCs/>
          <w:kern w:val="0"/>
          <w:sz w:val="24"/>
          <w:szCs w:val="24"/>
        </w:rPr>
        <w:t>n</w:t>
      </w:r>
      <w:r w:rsidRPr="007B6BA0">
        <w:rPr>
          <w:rFonts w:ascii="微软雅黑" w:eastAsia="微软雅黑" w:hAnsi="微软雅黑" w:cs="宋体"/>
          <w:kern w:val="0"/>
          <w:sz w:val="24"/>
          <w:szCs w:val="24"/>
        </w:rPr>
        <w:t xml:space="preserve"> = 140）和 </w:t>
      </w:r>
      <w:proofErr w:type="spellStart"/>
      <w:r w:rsidRPr="007B6BA0">
        <w:rPr>
          <w:rFonts w:ascii="微软雅黑" w:eastAsia="微软雅黑" w:hAnsi="微软雅黑" w:cs="宋体"/>
          <w:kern w:val="0"/>
          <w:sz w:val="24"/>
          <w:szCs w:val="24"/>
        </w:rPr>
        <w:t>GTEx</w:t>
      </w:r>
      <w:proofErr w:type="spellEnd"/>
      <w:r w:rsidRPr="007B6BA0">
        <w:rPr>
          <w:rFonts w:ascii="微软雅黑" w:eastAsia="微软雅黑" w:hAnsi="微软雅黑" w:cs="宋体"/>
          <w:kern w:val="0"/>
          <w:sz w:val="24"/>
          <w:szCs w:val="24"/>
        </w:rPr>
        <w:t xml:space="preserve"> 数据集（</w:t>
      </w:r>
      <w:r w:rsidRPr="007B6BA0">
        <w:rPr>
          <w:rFonts w:ascii="微软雅黑" w:eastAsia="微软雅黑" w:hAnsi="微软雅黑" w:cs="宋体"/>
          <w:i/>
          <w:iCs/>
          <w:kern w:val="0"/>
          <w:sz w:val="24"/>
          <w:szCs w:val="24"/>
        </w:rPr>
        <w:t>n</w:t>
      </w:r>
      <w:r w:rsidRPr="007B6BA0">
        <w:rPr>
          <w:rFonts w:ascii="微软雅黑" w:eastAsia="微软雅黑" w:hAnsi="微软雅黑" w:cs="宋体"/>
          <w:kern w:val="0"/>
          <w:sz w:val="24"/>
          <w:szCs w:val="24"/>
        </w:rPr>
        <w:t> = 459）中正常乳腺组织 CDK7 mRNA 表达水平的小提琴图。P 值采用非配对</w:t>
      </w:r>
      <w:r w:rsidRPr="007B6BA0">
        <w:rPr>
          <w:rFonts w:ascii="微软雅黑" w:eastAsia="微软雅黑" w:hAnsi="微软雅黑" w:cs="宋体"/>
          <w:i/>
          <w:iCs/>
          <w:kern w:val="0"/>
          <w:sz w:val="24"/>
          <w:szCs w:val="24"/>
        </w:rPr>
        <w:t>t</w:t>
      </w:r>
      <w:r w:rsidRPr="007B6BA0">
        <w:rPr>
          <w:rFonts w:ascii="微软雅黑" w:eastAsia="微软雅黑" w:hAnsi="微软雅黑" w:cs="宋体"/>
          <w:kern w:val="0"/>
          <w:sz w:val="24"/>
          <w:szCs w:val="24"/>
        </w:rPr>
        <w:t>检验计算，**** </w:t>
      </w:r>
      <w:r w:rsidRPr="007B6BA0">
        <w:rPr>
          <w:rFonts w:ascii="微软雅黑" w:eastAsia="微软雅黑" w:hAnsi="微软雅黑" w:cs="宋体"/>
          <w:i/>
          <w:iCs/>
          <w:kern w:val="0"/>
          <w:sz w:val="24"/>
          <w:szCs w:val="24"/>
        </w:rPr>
        <w:t>p</w:t>
      </w:r>
      <w:r w:rsidRPr="007B6BA0">
        <w:rPr>
          <w:rFonts w:ascii="微软雅黑" w:eastAsia="微软雅黑" w:hAnsi="微软雅黑" w:cs="宋体"/>
          <w:kern w:val="0"/>
          <w:sz w:val="24"/>
          <w:szCs w:val="24"/>
        </w:rPr>
        <w:t xml:space="preserve"> &lt; 0.0001。D) 使用 TCGA 队列和 </w:t>
      </w:r>
      <w:proofErr w:type="spellStart"/>
      <w:r w:rsidRPr="007B6BA0">
        <w:rPr>
          <w:rFonts w:ascii="微软雅黑" w:eastAsia="微软雅黑" w:hAnsi="微软雅黑" w:cs="宋体"/>
          <w:kern w:val="0"/>
          <w:sz w:val="24"/>
          <w:szCs w:val="24"/>
        </w:rPr>
        <w:t>KMplot</w:t>
      </w:r>
      <w:proofErr w:type="spellEnd"/>
      <w:r w:rsidRPr="007B6BA0">
        <w:rPr>
          <w:rFonts w:ascii="微软雅黑" w:eastAsia="微软雅黑" w:hAnsi="微软雅黑" w:cs="宋体"/>
          <w:kern w:val="0"/>
          <w:sz w:val="24"/>
          <w:szCs w:val="24"/>
        </w:rPr>
        <w:t xml:space="preserve"> 队列绘制 TNBC 患者 CDK7 表达的 Kaplan-Meier 生存曲线。数据</w:t>
      </w:r>
      <w:r w:rsidRPr="007B6BA0">
        <w:rPr>
          <w:rFonts w:ascii="微软雅黑" w:eastAsia="微软雅黑" w:hAnsi="微软雅黑" w:cs="宋体"/>
          <w:kern w:val="0"/>
          <w:sz w:val="24"/>
          <w:szCs w:val="24"/>
        </w:rPr>
        <w:lastRenderedPageBreak/>
        <w:t xml:space="preserve">采用对数秩检验进行分析。E、F) 对 TCGA-TNBC (E) 和 FUSCC-TNBC (F) 队列中 CDK7 </w:t>
      </w:r>
      <w:proofErr w:type="gramStart"/>
      <w:r w:rsidRPr="007B6BA0">
        <w:rPr>
          <w:rFonts w:ascii="微软雅黑" w:eastAsia="微软雅黑" w:hAnsi="微软雅黑" w:cs="宋体"/>
          <w:kern w:val="0"/>
          <w:sz w:val="24"/>
          <w:szCs w:val="24"/>
        </w:rPr>
        <w:t>高表达</w:t>
      </w:r>
      <w:proofErr w:type="gramEnd"/>
      <w:r w:rsidRPr="007B6BA0">
        <w:rPr>
          <w:rFonts w:ascii="微软雅黑" w:eastAsia="微软雅黑" w:hAnsi="微软雅黑" w:cs="宋体"/>
          <w:kern w:val="0"/>
          <w:sz w:val="24"/>
          <w:szCs w:val="24"/>
        </w:rPr>
        <w:t xml:space="preserve">和 CDK7 低表达患者的 RNA-Seq 数据进行基因集富集分析 (GSEA)。NES，标准化富集评分；NOM，名义值；FDR，错误发现率。 G) </w:t>
      </w:r>
      <w:proofErr w:type="gramStart"/>
      <w:r w:rsidRPr="007B6BA0">
        <w:rPr>
          <w:rFonts w:ascii="微软雅黑" w:eastAsia="微软雅黑" w:hAnsi="微软雅黑" w:cs="宋体"/>
          <w:kern w:val="0"/>
          <w:sz w:val="24"/>
          <w:szCs w:val="24"/>
        </w:rPr>
        <w:t>热图总结</w:t>
      </w:r>
      <w:proofErr w:type="gramEnd"/>
      <w:r w:rsidRPr="007B6BA0">
        <w:rPr>
          <w:rFonts w:ascii="微软雅黑" w:eastAsia="微软雅黑" w:hAnsi="微软雅黑" w:cs="宋体"/>
          <w:kern w:val="0"/>
          <w:sz w:val="24"/>
          <w:szCs w:val="24"/>
        </w:rPr>
        <w:t xml:space="preserve">了正常对照 (NC) 和 CDK7 </w:t>
      </w:r>
      <w:proofErr w:type="gramStart"/>
      <w:r w:rsidRPr="007B6BA0">
        <w:rPr>
          <w:rFonts w:ascii="微软雅黑" w:eastAsia="微软雅黑" w:hAnsi="微软雅黑" w:cs="宋体"/>
          <w:kern w:val="0"/>
          <w:sz w:val="24"/>
          <w:szCs w:val="24"/>
        </w:rPr>
        <w:t>敲低</w:t>
      </w:r>
      <w:proofErr w:type="gramEnd"/>
      <w:r w:rsidRPr="007B6BA0">
        <w:rPr>
          <w:rFonts w:ascii="微软雅黑" w:eastAsia="微软雅黑" w:hAnsi="微软雅黑" w:cs="宋体"/>
          <w:kern w:val="0"/>
          <w:sz w:val="24"/>
          <w:szCs w:val="24"/>
        </w:rPr>
        <w:t xml:space="preserve"> (ShCDK7) Hs578T 细胞中选定的管腔/上皮标志基因和基底/侵袭标志基因的 RNA-Seq 数据 ( </w:t>
      </w:r>
      <w:r w:rsidRPr="007B6BA0">
        <w:rPr>
          <w:rFonts w:ascii="微软雅黑" w:eastAsia="微软雅黑" w:hAnsi="微软雅黑" w:cs="宋体"/>
          <w:i/>
          <w:iCs/>
          <w:kern w:val="0"/>
          <w:sz w:val="24"/>
          <w:szCs w:val="24"/>
        </w:rPr>
        <w:t>n</w:t>
      </w:r>
      <w:r w:rsidRPr="007B6BA0">
        <w:rPr>
          <w:rFonts w:ascii="微软雅黑" w:eastAsia="微软雅黑" w:hAnsi="微软雅黑" w:cs="宋体"/>
          <w:kern w:val="0"/>
          <w:sz w:val="24"/>
          <w:szCs w:val="24"/>
        </w:rPr>
        <w:t> = 3)。H) 通过免疫印迹验证了 MDA-MB-468 和 Hs578T 细胞中 CDK7 的敲低。I) MDA-MB-468-NC 和 MDA-MB-468-ShCDK7 细胞之间以及 Hs578T-NC 和 Hs578T-ShCDK7 细胞之间药物敏感性的差异。数据为 5 次重复实验的平均值 ± 标准差。J,K) 他</w:t>
      </w:r>
      <w:proofErr w:type="gramStart"/>
      <w:r w:rsidRPr="007B6BA0">
        <w:rPr>
          <w:rFonts w:ascii="微软雅黑" w:eastAsia="微软雅黑" w:hAnsi="微软雅黑" w:cs="宋体"/>
          <w:kern w:val="0"/>
          <w:sz w:val="24"/>
          <w:szCs w:val="24"/>
        </w:rPr>
        <w:t>莫昔芬</w:t>
      </w:r>
      <w:proofErr w:type="gramEnd"/>
      <w:r w:rsidRPr="007B6BA0">
        <w:rPr>
          <w:rFonts w:ascii="微软雅黑" w:eastAsia="微软雅黑" w:hAnsi="微软雅黑" w:cs="宋体"/>
          <w:kern w:val="0"/>
          <w:sz w:val="24"/>
          <w:szCs w:val="24"/>
        </w:rPr>
        <w:t xml:space="preserve"> (J) 和阿贝西利 (K) 在 NC 和 ShCDK7 MDA-MB-468 和 Hs578T 细胞中的剂量反应曲线。数据为3-5次实验重复的平均值±标准差。p</w:t>
      </w:r>
      <w:r w:rsidRPr="007B6BA0">
        <w:rPr>
          <w:rFonts w:ascii="微软雅黑" w:eastAsia="微软雅黑" w:hAnsi="微软雅黑" w:cs="宋体"/>
          <w:i/>
          <w:iCs/>
          <w:kern w:val="0"/>
          <w:sz w:val="24"/>
          <w:szCs w:val="24"/>
        </w:rPr>
        <w:t>值</w:t>
      </w:r>
      <w:r w:rsidRPr="007B6BA0">
        <w:rPr>
          <w:rFonts w:ascii="微软雅黑" w:eastAsia="微软雅黑" w:hAnsi="微软雅黑" w:cs="宋体"/>
          <w:kern w:val="0"/>
          <w:sz w:val="24"/>
          <w:szCs w:val="24"/>
        </w:rPr>
        <w:t>采用Bonferroni校正的</w:t>
      </w:r>
      <w:proofErr w:type="gramStart"/>
      <w:r w:rsidRPr="007B6BA0">
        <w:rPr>
          <w:rFonts w:ascii="微软雅黑" w:eastAsia="微软雅黑" w:hAnsi="微软雅黑" w:cs="宋体"/>
          <w:kern w:val="0"/>
          <w:sz w:val="24"/>
          <w:szCs w:val="24"/>
        </w:rPr>
        <w:t>双因素</w:t>
      </w:r>
      <w:proofErr w:type="gramEnd"/>
      <w:r w:rsidRPr="007B6BA0">
        <w:rPr>
          <w:rFonts w:ascii="微软雅黑" w:eastAsia="微软雅黑" w:hAnsi="微软雅黑" w:cs="宋体"/>
          <w:kern w:val="0"/>
          <w:sz w:val="24"/>
          <w:szCs w:val="24"/>
        </w:rPr>
        <w:t>方差分析进行分析。</w:t>
      </w:r>
    </w:p>
    <w:p w14:paraId="3C8D1E3C" w14:textId="77777777" w:rsidR="007B6BA0" w:rsidRPr="007B6BA0" w:rsidRDefault="007B6BA0" w:rsidP="007B6BA0">
      <w:pPr>
        <w:widowControl/>
        <w:spacing w:before="450"/>
        <w:rPr>
          <w:rFonts w:ascii="微软雅黑" w:eastAsia="微软雅黑" w:hAnsi="微软雅黑" w:cs="宋体"/>
          <w:kern w:val="0"/>
          <w:sz w:val="24"/>
          <w:szCs w:val="24"/>
        </w:rPr>
      </w:pPr>
      <w:r w:rsidRPr="007B6BA0">
        <w:rPr>
          <w:rFonts w:ascii="微软雅黑" w:eastAsia="微软雅黑" w:hAnsi="微软雅黑" w:cs="宋体"/>
          <w:kern w:val="0"/>
          <w:sz w:val="24"/>
          <w:szCs w:val="24"/>
        </w:rPr>
        <w:t>这些发现提示，CDK7抑制可能诱导TNBC细胞分化程度更高，呈现HR阳性样状态。因此，我们假设CDK7表达可能影响内分泌治疗和CDK4/6抑制剂的敏感性，而这些药物常用于HR阳性患者。随后，我们使用12种针对不同亚型的临床常用药物，对正常对照（NC）和ShCDK7 TNBC细胞进行了细胞活力筛选（图 </w:t>
      </w:r>
      <w:hyperlink r:id="rId50" w:anchor="advs10347-fig-0001" w:history="1">
        <w:r w:rsidRPr="007B6BA0">
          <w:rPr>
            <w:rFonts w:ascii="微软雅黑" w:eastAsia="微软雅黑" w:hAnsi="微软雅黑" w:cs="宋体"/>
            <w:kern w:val="0"/>
            <w:sz w:val="24"/>
            <w:szCs w:val="24"/>
            <w:u w:val="single"/>
          </w:rPr>
          <w:t>1H</w:t>
        </w:r>
      </w:hyperlink>
      <w:r w:rsidRPr="007B6BA0">
        <w:rPr>
          <w:rFonts w:ascii="微软雅黑" w:eastAsia="微软雅黑" w:hAnsi="微软雅黑" w:cs="宋体"/>
          <w:kern w:val="0"/>
          <w:sz w:val="24"/>
          <w:szCs w:val="24"/>
        </w:rPr>
        <w:t>）。我们的观察结果证实，ShCDK7细胞对阿贝西利的敏感性更高，而其他药物的敏感性在ShCDK7和NC细胞之间没有显著差异（图 </w:t>
      </w:r>
      <w:hyperlink r:id="rId51" w:anchor="advs10347-fig-0001" w:history="1">
        <w:r w:rsidRPr="007B6BA0">
          <w:rPr>
            <w:rFonts w:ascii="微软雅黑" w:eastAsia="微软雅黑" w:hAnsi="微软雅黑" w:cs="宋体"/>
            <w:kern w:val="0"/>
            <w:sz w:val="24"/>
            <w:szCs w:val="24"/>
            <w:u w:val="single"/>
          </w:rPr>
          <w:t>1I</w:t>
        </w:r>
      </w:hyperlink>
      <w:r w:rsidRPr="007B6BA0">
        <w:rPr>
          <w:rFonts w:ascii="微软雅黑" w:eastAsia="微软雅黑" w:hAnsi="微软雅黑" w:cs="宋体"/>
          <w:kern w:val="0"/>
          <w:sz w:val="24"/>
          <w:szCs w:val="24"/>
        </w:rPr>
        <w:t>；补充信息图 </w:t>
      </w:r>
      <w:hyperlink r:id="rId52" w:anchor="advs10347-supinfo-0001" w:history="1">
        <w:r w:rsidRPr="007B6BA0">
          <w:rPr>
            <w:rFonts w:ascii="微软雅黑" w:eastAsia="微软雅黑" w:hAnsi="微软雅黑" w:cs="宋体"/>
            <w:kern w:val="0"/>
            <w:sz w:val="24"/>
            <w:szCs w:val="24"/>
            <w:u w:val="single"/>
          </w:rPr>
          <w:t>S1E、F</w:t>
        </w:r>
      </w:hyperlink>
      <w:r w:rsidRPr="007B6BA0">
        <w:rPr>
          <w:rFonts w:ascii="微软雅黑" w:eastAsia="微软雅黑" w:hAnsi="微软雅黑" w:cs="宋体"/>
          <w:kern w:val="0"/>
          <w:sz w:val="24"/>
          <w:szCs w:val="24"/>
        </w:rPr>
        <w:t>）。为了验证CDK7对CDK4/6抑制剂而非其他内分泌治疗药物的特异性影响，我们构建了额外的NC/ShCDK7 TNBC细胞（ 补充信息图</w:t>
      </w:r>
      <w:r w:rsidRPr="007B6BA0">
        <w:rPr>
          <w:rFonts w:ascii="微软雅黑" w:eastAsia="微软雅黑" w:hAnsi="微软雅黑" w:cs="宋体"/>
          <w:kern w:val="0"/>
          <w:sz w:val="24"/>
          <w:szCs w:val="24"/>
        </w:rPr>
        <w:fldChar w:fldCharType="begin"/>
      </w:r>
      <w:r w:rsidRPr="007B6BA0">
        <w:rPr>
          <w:rFonts w:ascii="微软雅黑" w:eastAsia="微软雅黑" w:hAnsi="微软雅黑" w:cs="宋体"/>
          <w:kern w:val="0"/>
          <w:sz w:val="24"/>
          <w:szCs w:val="24"/>
        </w:rPr>
        <w:instrText xml:space="preserve"> HYPERLINK "https://pmc.ncbi.nlm.nih.gov/articles/PMC11791979/" \l "advs10347-supinfo-0001" </w:instrText>
      </w:r>
      <w:r w:rsidRPr="007B6BA0">
        <w:rPr>
          <w:rFonts w:ascii="微软雅黑" w:eastAsia="微软雅黑" w:hAnsi="微软雅黑" w:cs="宋体"/>
          <w:kern w:val="0"/>
          <w:sz w:val="24"/>
          <w:szCs w:val="24"/>
        </w:rPr>
        <w:fldChar w:fldCharType="separate"/>
      </w:r>
      <w:r w:rsidRPr="007B6BA0">
        <w:rPr>
          <w:rFonts w:ascii="微软雅黑" w:eastAsia="微软雅黑" w:hAnsi="微软雅黑" w:cs="宋体"/>
          <w:kern w:val="0"/>
          <w:sz w:val="24"/>
          <w:szCs w:val="24"/>
          <w:u w:val="single"/>
        </w:rPr>
        <w:t>S1G</w:t>
      </w:r>
      <w:r w:rsidRPr="007B6BA0">
        <w:rPr>
          <w:rFonts w:ascii="微软雅黑" w:eastAsia="微软雅黑" w:hAnsi="微软雅黑" w:cs="宋体"/>
          <w:kern w:val="0"/>
          <w:sz w:val="24"/>
          <w:szCs w:val="24"/>
        </w:rPr>
        <w:fldChar w:fldCharType="end"/>
      </w:r>
      <w:r w:rsidRPr="007B6BA0">
        <w:rPr>
          <w:rFonts w:ascii="微软雅黑" w:eastAsia="微软雅黑" w:hAnsi="微软雅黑" w:cs="宋体"/>
          <w:kern w:val="0"/>
          <w:sz w:val="24"/>
          <w:szCs w:val="24"/>
        </w:rPr>
        <w:t> ）。利用构建的TNBC细胞系，我们进一步证实了CDK7</w:t>
      </w:r>
      <w:proofErr w:type="gramStart"/>
      <w:r w:rsidRPr="007B6BA0">
        <w:rPr>
          <w:rFonts w:ascii="微软雅黑" w:eastAsia="微软雅黑" w:hAnsi="微软雅黑" w:cs="宋体"/>
          <w:kern w:val="0"/>
          <w:sz w:val="24"/>
          <w:szCs w:val="24"/>
        </w:rPr>
        <w:t>敲低后</w:t>
      </w:r>
      <w:proofErr w:type="gramEnd"/>
      <w:r w:rsidRPr="007B6BA0">
        <w:rPr>
          <w:rFonts w:ascii="微软雅黑" w:eastAsia="微软雅黑" w:hAnsi="微软雅黑" w:cs="宋体"/>
          <w:kern w:val="0"/>
          <w:sz w:val="24"/>
          <w:szCs w:val="24"/>
        </w:rPr>
        <w:t>细胞对阿贝西利的</w:t>
      </w:r>
      <w:r w:rsidRPr="007B6BA0">
        <w:rPr>
          <w:rFonts w:ascii="微软雅黑" w:eastAsia="微软雅黑" w:hAnsi="微软雅黑" w:cs="宋体"/>
          <w:kern w:val="0"/>
          <w:sz w:val="24"/>
          <w:szCs w:val="24"/>
        </w:rPr>
        <w:lastRenderedPageBreak/>
        <w:t>超敏反应，而对三苯氧胺的反应没有变化（图 </w:t>
      </w:r>
      <w:hyperlink r:id="rId53" w:anchor="advs10347-fig-0001" w:history="1">
        <w:r w:rsidRPr="007B6BA0">
          <w:rPr>
            <w:rFonts w:ascii="微软雅黑" w:eastAsia="微软雅黑" w:hAnsi="微软雅黑" w:cs="宋体"/>
            <w:kern w:val="0"/>
            <w:sz w:val="24"/>
            <w:szCs w:val="24"/>
            <w:u w:val="single"/>
          </w:rPr>
          <w:t>1J、K</w:t>
        </w:r>
      </w:hyperlink>
      <w:r w:rsidRPr="007B6BA0">
        <w:rPr>
          <w:rFonts w:ascii="微软雅黑" w:eastAsia="微软雅黑" w:hAnsi="微软雅黑" w:cs="宋体"/>
          <w:kern w:val="0"/>
          <w:sz w:val="24"/>
          <w:szCs w:val="24"/>
        </w:rPr>
        <w:t>；补充信息图 </w:t>
      </w:r>
      <w:hyperlink r:id="rId54" w:anchor="advs10347-supinfo-0001" w:history="1">
        <w:r w:rsidRPr="007B6BA0">
          <w:rPr>
            <w:rFonts w:ascii="微软雅黑" w:eastAsia="微软雅黑" w:hAnsi="微软雅黑" w:cs="宋体"/>
            <w:kern w:val="0"/>
            <w:sz w:val="24"/>
            <w:szCs w:val="24"/>
            <w:u w:val="single"/>
          </w:rPr>
          <w:t>S1H、I</w:t>
        </w:r>
      </w:hyperlink>
      <w:r w:rsidRPr="007B6BA0">
        <w:rPr>
          <w:rFonts w:ascii="微软雅黑" w:eastAsia="微软雅黑" w:hAnsi="微软雅黑" w:cs="宋体"/>
          <w:kern w:val="0"/>
          <w:sz w:val="24"/>
          <w:szCs w:val="24"/>
        </w:rPr>
        <w:t>）。因此，CDK7抑制选择性地增强了TNBC细胞对CDK4/6抑制剂的敏感性。</w:t>
      </w:r>
    </w:p>
    <w:p w14:paraId="0CCDB95E" w14:textId="77777777" w:rsidR="007B6BA0" w:rsidRPr="007B6BA0" w:rsidRDefault="007B6BA0" w:rsidP="007B6BA0">
      <w:pPr>
        <w:widowControl/>
        <w:spacing w:line="450" w:lineRule="atLeast"/>
        <w:outlineLvl w:val="2"/>
        <w:rPr>
          <w:rFonts w:ascii="微软雅黑" w:eastAsia="微软雅黑" w:hAnsi="微软雅黑" w:cs="宋体"/>
          <w:kern w:val="0"/>
          <w:sz w:val="32"/>
          <w:szCs w:val="32"/>
        </w:rPr>
      </w:pPr>
      <w:r w:rsidRPr="007B6BA0">
        <w:rPr>
          <w:rFonts w:ascii="微软雅黑" w:eastAsia="微软雅黑" w:hAnsi="微软雅黑" w:cs="宋体"/>
          <w:kern w:val="0"/>
          <w:sz w:val="32"/>
          <w:szCs w:val="32"/>
        </w:rPr>
        <w:t>2.2. 体外和体内联合治疗的协同致死性</w:t>
      </w:r>
    </w:p>
    <w:p w14:paraId="4B4D0F42" w14:textId="77777777" w:rsidR="007B6BA0" w:rsidRPr="007B6BA0" w:rsidRDefault="007B6BA0" w:rsidP="007B6BA0">
      <w:pPr>
        <w:widowControl/>
        <w:spacing w:before="450"/>
        <w:rPr>
          <w:rFonts w:ascii="微软雅黑" w:eastAsia="微软雅黑" w:hAnsi="微软雅黑" w:cs="宋体"/>
          <w:kern w:val="0"/>
          <w:sz w:val="24"/>
          <w:szCs w:val="24"/>
        </w:rPr>
      </w:pPr>
      <w:r w:rsidRPr="007B6BA0">
        <w:rPr>
          <w:rFonts w:ascii="微软雅黑" w:eastAsia="微软雅黑" w:hAnsi="微软雅黑" w:cs="宋体"/>
          <w:kern w:val="0"/>
          <w:sz w:val="24"/>
          <w:szCs w:val="24"/>
        </w:rPr>
        <w:t xml:space="preserve">为了评估联合靶向 CDK4/6 和 CDK7 的疗效，我们优先选择 FDA 批准的药物或已完成临床试验的药物，以提高临床相关性。由于 </w:t>
      </w:r>
      <w:proofErr w:type="spellStart"/>
      <w:r w:rsidRPr="007B6BA0">
        <w:rPr>
          <w:rFonts w:ascii="微软雅黑" w:eastAsia="微软雅黑" w:hAnsi="微软雅黑" w:cs="宋体"/>
          <w:kern w:val="0"/>
          <w:sz w:val="24"/>
          <w:szCs w:val="24"/>
        </w:rPr>
        <w:t>Abemaciclib</w:t>
      </w:r>
      <w:proofErr w:type="spellEnd"/>
      <w:r w:rsidRPr="007B6BA0">
        <w:rPr>
          <w:rFonts w:ascii="微软雅黑" w:eastAsia="微软雅黑" w:hAnsi="微软雅黑" w:cs="宋体"/>
          <w:kern w:val="0"/>
          <w:sz w:val="24"/>
          <w:szCs w:val="24"/>
        </w:rPr>
        <w:t xml:space="preserve"> 和 </w:t>
      </w:r>
      <w:proofErr w:type="spellStart"/>
      <w:r w:rsidRPr="007B6BA0">
        <w:rPr>
          <w:rFonts w:ascii="微软雅黑" w:eastAsia="微软雅黑" w:hAnsi="微软雅黑" w:cs="宋体"/>
          <w:kern w:val="0"/>
          <w:sz w:val="24"/>
          <w:szCs w:val="24"/>
        </w:rPr>
        <w:t>palbociclib</w:t>
      </w:r>
      <w:proofErr w:type="spellEnd"/>
      <w:r w:rsidRPr="007B6BA0">
        <w:rPr>
          <w:rFonts w:ascii="微软雅黑" w:eastAsia="微软雅黑" w:hAnsi="微软雅黑" w:cs="宋体"/>
          <w:kern w:val="0"/>
          <w:sz w:val="24"/>
          <w:szCs w:val="24"/>
        </w:rPr>
        <w:t xml:space="preserve"> 具有广泛的治疗应用前景，因此被选为 CDK4/6 抑制剂。我们使用 IC50 测定法确定最佳药物浓度（见补充信息图 </w:t>
      </w:r>
      <w:hyperlink r:id="rId55" w:anchor="advs10347-supinfo-0001" w:history="1">
        <w:r w:rsidRPr="007B6BA0">
          <w:rPr>
            <w:rFonts w:ascii="微软雅黑" w:eastAsia="微软雅黑" w:hAnsi="微软雅黑" w:cs="宋体"/>
            <w:kern w:val="0"/>
            <w:sz w:val="24"/>
            <w:szCs w:val="24"/>
            <w:u w:val="single"/>
          </w:rPr>
          <w:t>S2A</w:t>
        </w:r>
      </w:hyperlink>
      <w:r w:rsidRPr="007B6BA0">
        <w:rPr>
          <w:rFonts w:ascii="微软雅黑" w:eastAsia="微软雅黑" w:hAnsi="微软雅黑" w:cs="宋体"/>
          <w:kern w:val="0"/>
          <w:sz w:val="24"/>
          <w:szCs w:val="24"/>
        </w:rPr>
        <w:t xml:space="preserve">），发现 </w:t>
      </w:r>
      <w:proofErr w:type="spellStart"/>
      <w:r w:rsidRPr="007B6BA0">
        <w:rPr>
          <w:rFonts w:ascii="微软雅黑" w:eastAsia="微软雅黑" w:hAnsi="微软雅黑" w:cs="宋体"/>
          <w:kern w:val="0"/>
          <w:sz w:val="24"/>
          <w:szCs w:val="24"/>
        </w:rPr>
        <w:t>Abemaciclib</w:t>
      </w:r>
      <w:proofErr w:type="spellEnd"/>
      <w:r w:rsidRPr="007B6BA0">
        <w:rPr>
          <w:rFonts w:ascii="微软雅黑" w:eastAsia="微软雅黑" w:hAnsi="微软雅黑" w:cs="宋体"/>
          <w:kern w:val="0"/>
          <w:sz w:val="24"/>
          <w:szCs w:val="24"/>
        </w:rPr>
        <w:t xml:space="preserve"> 或 </w:t>
      </w:r>
      <w:proofErr w:type="spellStart"/>
      <w:r w:rsidRPr="007B6BA0">
        <w:rPr>
          <w:rFonts w:ascii="微软雅黑" w:eastAsia="微软雅黑" w:hAnsi="微软雅黑" w:cs="宋体"/>
          <w:kern w:val="0"/>
          <w:sz w:val="24"/>
          <w:szCs w:val="24"/>
        </w:rPr>
        <w:t>palbociclib</w:t>
      </w:r>
      <w:proofErr w:type="spellEnd"/>
      <w:r w:rsidRPr="007B6BA0">
        <w:rPr>
          <w:rFonts w:ascii="微软雅黑" w:eastAsia="微软雅黑" w:hAnsi="微软雅黑" w:cs="宋体"/>
          <w:kern w:val="0"/>
          <w:sz w:val="24"/>
          <w:szCs w:val="24"/>
        </w:rPr>
        <w:t xml:space="preserve"> 与 YKL-5-124 联合用药可显著抑制 TNBC 细胞的克隆形成能力（</w:t>
      </w:r>
      <w:r w:rsidRPr="007B6BA0">
        <w:rPr>
          <w:rFonts w:ascii="微软雅黑" w:eastAsia="微软雅黑" w:hAnsi="微软雅黑" w:cs="宋体"/>
          <w:b/>
          <w:bCs/>
          <w:kern w:val="0"/>
          <w:sz w:val="24"/>
          <w:szCs w:val="24"/>
        </w:rPr>
        <w:t>图</w:t>
      </w:r>
      <w:r w:rsidRPr="007B6BA0">
        <w:rPr>
          <w:rFonts w:ascii="微软雅黑" w:eastAsia="微软雅黑" w:hAnsi="微软雅黑" w:cs="宋体"/>
          <w:kern w:val="0"/>
          <w:sz w:val="24"/>
          <w:szCs w:val="24"/>
        </w:rPr>
        <w:t> </w:t>
      </w:r>
      <w:hyperlink r:id="rId56" w:anchor="advs10347-fig-0002" w:history="1">
        <w:r w:rsidRPr="007B6BA0">
          <w:rPr>
            <w:rFonts w:ascii="微软雅黑" w:eastAsia="微软雅黑" w:hAnsi="微软雅黑" w:cs="宋体"/>
            <w:b/>
            <w:bCs/>
            <w:kern w:val="0"/>
            <w:sz w:val="24"/>
            <w:szCs w:val="24"/>
            <w:u w:val="single"/>
          </w:rPr>
          <w:t>2A</w:t>
        </w:r>
      </w:hyperlink>
      <w:hyperlink r:id="rId57" w:anchor="advs10347-fig-0002" w:history="1">
        <w:r w:rsidRPr="007B6BA0">
          <w:rPr>
            <w:rFonts w:ascii="微软雅黑" w:eastAsia="微软雅黑" w:hAnsi="微软雅黑" w:cs="宋体"/>
            <w:kern w:val="0"/>
            <w:sz w:val="24"/>
            <w:szCs w:val="24"/>
            <w:u w:val="single"/>
          </w:rPr>
          <w:t>、B</w:t>
        </w:r>
      </w:hyperlink>
      <w:r w:rsidRPr="007B6BA0">
        <w:rPr>
          <w:rFonts w:ascii="微软雅黑" w:eastAsia="微软雅黑" w:hAnsi="微软雅黑" w:cs="宋体"/>
          <w:kern w:val="0"/>
          <w:sz w:val="24"/>
          <w:szCs w:val="24"/>
        </w:rPr>
        <w:t>）。正如预期，与单药治疗相比，</w:t>
      </w:r>
      <w:proofErr w:type="spellStart"/>
      <w:r w:rsidRPr="007B6BA0">
        <w:rPr>
          <w:rFonts w:ascii="微软雅黑" w:eastAsia="微软雅黑" w:hAnsi="微软雅黑" w:cs="宋体"/>
          <w:kern w:val="0"/>
          <w:sz w:val="24"/>
          <w:szCs w:val="24"/>
        </w:rPr>
        <w:t>Abemaciclib</w:t>
      </w:r>
      <w:proofErr w:type="spellEnd"/>
      <w:r w:rsidRPr="007B6BA0">
        <w:rPr>
          <w:rFonts w:ascii="微软雅黑" w:eastAsia="微软雅黑" w:hAnsi="微软雅黑" w:cs="宋体"/>
          <w:kern w:val="0"/>
          <w:sz w:val="24"/>
          <w:szCs w:val="24"/>
        </w:rPr>
        <w:t xml:space="preserve"> 联合 YKL-5-124 能更有效地抑制 TNBC 细胞增殖（见补充信息图 </w:t>
      </w:r>
      <w:hyperlink r:id="rId58" w:anchor="advs10347-supinfo-0001" w:history="1">
        <w:r w:rsidRPr="007B6BA0">
          <w:rPr>
            <w:rFonts w:ascii="微软雅黑" w:eastAsia="微软雅黑" w:hAnsi="微软雅黑" w:cs="宋体"/>
            <w:kern w:val="0"/>
            <w:sz w:val="24"/>
            <w:szCs w:val="24"/>
            <w:u w:val="single"/>
          </w:rPr>
          <w:t>S2B</w:t>
        </w:r>
      </w:hyperlink>
      <w:r w:rsidRPr="007B6BA0">
        <w:rPr>
          <w:rFonts w:ascii="微软雅黑" w:eastAsia="微软雅黑" w:hAnsi="微软雅黑" w:cs="宋体"/>
          <w:kern w:val="0"/>
          <w:sz w:val="24"/>
          <w:szCs w:val="24"/>
        </w:rPr>
        <w:t>）。为了确定这些药物的作用是协同作用还是叠加作用，我们进行了联合指数分析（图 </w:t>
      </w:r>
      <w:hyperlink r:id="rId59" w:anchor="advs10347-fig-0002" w:history="1">
        <w:r w:rsidRPr="007B6BA0">
          <w:rPr>
            <w:rFonts w:ascii="微软雅黑" w:eastAsia="微软雅黑" w:hAnsi="微软雅黑" w:cs="宋体"/>
            <w:kern w:val="0"/>
            <w:sz w:val="24"/>
            <w:szCs w:val="24"/>
            <w:u w:val="single"/>
          </w:rPr>
          <w:t>2C</w:t>
        </w:r>
      </w:hyperlink>
      <w:r w:rsidRPr="007B6BA0">
        <w:rPr>
          <w:rFonts w:ascii="微软雅黑" w:eastAsia="微软雅黑" w:hAnsi="微软雅黑" w:cs="宋体"/>
          <w:kern w:val="0"/>
          <w:sz w:val="24"/>
          <w:szCs w:val="24"/>
        </w:rPr>
        <w:t> ；见补充信息图 </w:t>
      </w:r>
      <w:hyperlink r:id="rId60" w:anchor="advs10347-supinfo-0001" w:history="1">
        <w:r w:rsidRPr="007B6BA0">
          <w:rPr>
            <w:rFonts w:ascii="微软雅黑" w:eastAsia="微软雅黑" w:hAnsi="微软雅黑" w:cs="宋体"/>
            <w:kern w:val="0"/>
            <w:sz w:val="24"/>
            <w:szCs w:val="24"/>
            <w:u w:val="single"/>
          </w:rPr>
          <w:t>S2C</w:t>
        </w:r>
      </w:hyperlink>
      <w:r w:rsidRPr="007B6BA0">
        <w:rPr>
          <w:rFonts w:ascii="微软雅黑" w:eastAsia="微软雅黑" w:hAnsi="微软雅黑" w:cs="宋体"/>
          <w:kern w:val="0"/>
          <w:sz w:val="24"/>
          <w:szCs w:val="24"/>
        </w:rPr>
        <w:t> ）。结果表明，在所有五种受试的三阴性乳腺癌（TNBC）细胞系中，阿贝西利与YKL-5-124以及帕博西尼与YKL-5-124均表现出广泛的协同效应（图 </w:t>
      </w:r>
      <w:hyperlink r:id="rId61" w:anchor="advs10347-fig-0002" w:history="1">
        <w:r w:rsidRPr="007B6BA0">
          <w:rPr>
            <w:rFonts w:ascii="微软雅黑" w:eastAsia="微软雅黑" w:hAnsi="微软雅黑" w:cs="宋体"/>
            <w:kern w:val="0"/>
            <w:sz w:val="24"/>
            <w:szCs w:val="24"/>
            <w:u w:val="single"/>
          </w:rPr>
          <w:t>2D</w:t>
        </w:r>
      </w:hyperlink>
      <w:r w:rsidRPr="007B6BA0">
        <w:rPr>
          <w:rFonts w:ascii="微软雅黑" w:eastAsia="微软雅黑" w:hAnsi="微软雅黑" w:cs="宋体"/>
          <w:kern w:val="0"/>
          <w:sz w:val="24"/>
          <w:szCs w:val="24"/>
        </w:rPr>
        <w:t>；补充信息图 </w:t>
      </w:r>
      <w:hyperlink r:id="rId62" w:anchor="advs10347-supinfo-0001" w:history="1">
        <w:r w:rsidRPr="007B6BA0">
          <w:rPr>
            <w:rFonts w:ascii="微软雅黑" w:eastAsia="微软雅黑" w:hAnsi="微软雅黑" w:cs="宋体"/>
            <w:kern w:val="0"/>
            <w:sz w:val="24"/>
            <w:szCs w:val="24"/>
            <w:u w:val="single"/>
          </w:rPr>
          <w:t>S2D</w:t>
        </w:r>
      </w:hyperlink>
      <w:r w:rsidRPr="007B6BA0">
        <w:rPr>
          <w:rFonts w:ascii="微软雅黑" w:eastAsia="微软雅黑" w:hAnsi="微软雅黑" w:cs="宋体"/>
          <w:kern w:val="0"/>
          <w:sz w:val="24"/>
          <w:szCs w:val="24"/>
        </w:rPr>
        <w:t>）。我们还选择了CT-7001作为另一种CDK7抑制剂，因为其选择性更高，且已完成的I期临床试验结果令人鼓舞。</w:t>
      </w:r>
      <w:r w:rsidRPr="007B6BA0">
        <w:rPr>
          <w:rFonts w:ascii="微软雅黑" w:eastAsia="微软雅黑" w:hAnsi="微软雅黑" w:cs="宋体"/>
          <w:kern w:val="0"/>
          <w:sz w:val="24"/>
          <w:szCs w:val="24"/>
          <w:vertAlign w:val="superscript"/>
        </w:rPr>
        <w:t>[ </w:t>
      </w:r>
      <w:hyperlink r:id="rId63" w:anchor="advs10347-bib-0028" w:history="1">
        <w:r w:rsidRPr="007B6BA0">
          <w:rPr>
            <w:rFonts w:ascii="微软雅黑" w:eastAsia="微软雅黑" w:hAnsi="微软雅黑" w:cs="宋体"/>
            <w:kern w:val="0"/>
            <w:sz w:val="24"/>
            <w:szCs w:val="24"/>
            <w:u w:val="single"/>
            <w:vertAlign w:val="superscript"/>
          </w:rPr>
          <w:t>28</w:t>
        </w:r>
      </w:hyperlink>
      <w:r w:rsidRPr="007B6BA0">
        <w:rPr>
          <w:rFonts w:ascii="微软雅黑" w:eastAsia="微软雅黑" w:hAnsi="微软雅黑" w:cs="宋体"/>
          <w:kern w:val="0"/>
          <w:sz w:val="24"/>
          <w:szCs w:val="24"/>
          <w:vertAlign w:val="superscript"/>
        </w:rPr>
        <w:t> ]</w:t>
      </w:r>
      <w:r w:rsidRPr="007B6BA0">
        <w:rPr>
          <w:rFonts w:ascii="微软雅黑" w:eastAsia="微软雅黑" w:hAnsi="微软雅黑" w:cs="宋体"/>
          <w:kern w:val="0"/>
          <w:sz w:val="24"/>
          <w:szCs w:val="24"/>
        </w:rPr>
        <w:t> CT-7001与阿贝西利的联合用药也显著抑制了克隆形成（ 补充信息图</w:t>
      </w:r>
      <w:r w:rsidRPr="007B6BA0">
        <w:rPr>
          <w:rFonts w:ascii="微软雅黑" w:eastAsia="微软雅黑" w:hAnsi="微软雅黑" w:cs="宋体"/>
          <w:kern w:val="0"/>
          <w:sz w:val="24"/>
          <w:szCs w:val="24"/>
        </w:rPr>
        <w:fldChar w:fldCharType="begin"/>
      </w:r>
      <w:r w:rsidRPr="007B6BA0">
        <w:rPr>
          <w:rFonts w:ascii="微软雅黑" w:eastAsia="微软雅黑" w:hAnsi="微软雅黑" w:cs="宋体"/>
          <w:kern w:val="0"/>
          <w:sz w:val="24"/>
          <w:szCs w:val="24"/>
        </w:rPr>
        <w:instrText xml:space="preserve"> HYPERLINK "https://pmc.ncbi.nlm.nih.gov/articles/PMC11791979/" \l "advs10347-supinfo-0001" </w:instrText>
      </w:r>
      <w:r w:rsidRPr="007B6BA0">
        <w:rPr>
          <w:rFonts w:ascii="微软雅黑" w:eastAsia="微软雅黑" w:hAnsi="微软雅黑" w:cs="宋体"/>
          <w:kern w:val="0"/>
          <w:sz w:val="24"/>
          <w:szCs w:val="24"/>
        </w:rPr>
        <w:fldChar w:fldCharType="separate"/>
      </w:r>
      <w:r w:rsidRPr="007B6BA0">
        <w:rPr>
          <w:rFonts w:ascii="微软雅黑" w:eastAsia="微软雅黑" w:hAnsi="微软雅黑" w:cs="宋体"/>
          <w:kern w:val="0"/>
          <w:sz w:val="24"/>
          <w:szCs w:val="24"/>
          <w:u w:val="single"/>
        </w:rPr>
        <w:t>S2E ）。</w:t>
      </w:r>
      <w:r w:rsidRPr="007B6BA0">
        <w:rPr>
          <w:rFonts w:ascii="微软雅黑" w:eastAsia="微软雅黑" w:hAnsi="微软雅黑" w:cs="宋体"/>
          <w:kern w:val="0"/>
          <w:sz w:val="24"/>
          <w:szCs w:val="24"/>
        </w:rPr>
        <w:fldChar w:fldCharType="end"/>
      </w:r>
    </w:p>
    <w:p w14:paraId="664F3516" w14:textId="77777777" w:rsidR="007B6BA0" w:rsidRPr="007B6BA0" w:rsidRDefault="007B6BA0" w:rsidP="007B6BA0">
      <w:pPr>
        <w:widowControl/>
        <w:spacing w:line="450" w:lineRule="atLeast"/>
        <w:outlineLvl w:val="3"/>
        <w:rPr>
          <w:rFonts w:ascii="微软雅黑" w:eastAsia="微软雅黑" w:hAnsi="微软雅黑" w:cs="宋体"/>
          <w:kern w:val="0"/>
          <w:sz w:val="30"/>
          <w:szCs w:val="30"/>
        </w:rPr>
      </w:pPr>
      <w:r w:rsidRPr="007B6BA0">
        <w:rPr>
          <w:rFonts w:ascii="微软雅黑" w:eastAsia="微软雅黑" w:hAnsi="微软雅黑" w:cs="宋体"/>
          <w:kern w:val="0"/>
          <w:sz w:val="30"/>
          <w:szCs w:val="30"/>
        </w:rPr>
        <w:t>图2。</w:t>
      </w:r>
    </w:p>
    <w:p w14:paraId="07B46C3B" w14:textId="55B4647B" w:rsidR="007B6BA0" w:rsidRPr="007B6BA0" w:rsidRDefault="007B6BA0" w:rsidP="007B6BA0">
      <w:pPr>
        <w:widowControl/>
        <w:spacing w:before="450"/>
        <w:rPr>
          <w:rFonts w:ascii="微软雅黑" w:eastAsia="微软雅黑" w:hAnsi="微软雅黑" w:cs="宋体"/>
          <w:kern w:val="0"/>
          <w:sz w:val="24"/>
          <w:szCs w:val="24"/>
        </w:rPr>
      </w:pPr>
      <w:r w:rsidRPr="005E56A4">
        <w:rPr>
          <w:rFonts w:ascii="微软雅黑" w:eastAsia="微软雅黑" w:hAnsi="微软雅黑" w:cs="宋体"/>
          <w:noProof/>
          <w:kern w:val="0"/>
          <w:sz w:val="24"/>
          <w:szCs w:val="24"/>
        </w:rPr>
        <w:lastRenderedPageBreak/>
        <w:drawing>
          <wp:inline distT="0" distB="0" distL="0" distR="0" wp14:anchorId="7BB662C8" wp14:editId="57D306B0">
            <wp:extent cx="5202555" cy="5951855"/>
            <wp:effectExtent l="0" t="0" r="0" b="0"/>
            <wp:docPr id="5" name="图片 5" descr="图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ats-graphic-5" descr="图 2"/>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5202555" cy="5951855"/>
                    </a:xfrm>
                    <a:prstGeom prst="rect">
                      <a:avLst/>
                    </a:prstGeom>
                    <a:noFill/>
                    <a:ln>
                      <a:noFill/>
                    </a:ln>
                  </pic:spPr>
                </pic:pic>
              </a:graphicData>
            </a:graphic>
          </wp:inline>
        </w:drawing>
      </w:r>
    </w:p>
    <w:p w14:paraId="781D533D" w14:textId="77777777" w:rsidR="007B6BA0" w:rsidRPr="007B6BA0" w:rsidRDefault="007B6BA0" w:rsidP="007B6BA0">
      <w:pPr>
        <w:widowControl/>
        <w:rPr>
          <w:rFonts w:ascii="微软雅黑" w:eastAsia="微软雅黑" w:hAnsi="微软雅黑" w:cs="宋体"/>
          <w:kern w:val="0"/>
          <w:sz w:val="24"/>
          <w:szCs w:val="24"/>
        </w:rPr>
      </w:pPr>
      <w:r w:rsidRPr="007B6BA0">
        <w:rPr>
          <w:rFonts w:ascii="微软雅黑" w:eastAsia="微软雅黑" w:hAnsi="微软雅黑" w:cs="宋体"/>
          <w:kern w:val="0"/>
          <w:sz w:val="24"/>
          <w:szCs w:val="24"/>
        </w:rPr>
        <w:t xml:space="preserve">CDK4/6 和 CDK7 共抑制在三阴性乳腺癌 (TNBC) 中的协同致死作用。A) TNBC 细胞经 </w:t>
      </w:r>
      <w:proofErr w:type="spellStart"/>
      <w:r w:rsidRPr="007B6BA0">
        <w:rPr>
          <w:rFonts w:ascii="微软雅黑" w:eastAsia="微软雅黑" w:hAnsi="微软雅黑" w:cs="宋体"/>
          <w:kern w:val="0"/>
          <w:sz w:val="24"/>
          <w:szCs w:val="24"/>
        </w:rPr>
        <w:t>abemaciclib</w:t>
      </w:r>
      <w:proofErr w:type="spellEnd"/>
      <w:r w:rsidRPr="007B6BA0">
        <w:rPr>
          <w:rFonts w:ascii="微软雅黑" w:eastAsia="微软雅黑" w:hAnsi="微软雅黑" w:cs="宋体"/>
          <w:kern w:val="0"/>
          <w:sz w:val="24"/>
          <w:szCs w:val="24"/>
        </w:rPr>
        <w:t xml:space="preserve"> 和 YKL-5-124 联合处理 48 小时后的克隆形成图像。图中展示了 3 </w:t>
      </w:r>
      <w:proofErr w:type="gramStart"/>
      <w:r w:rsidRPr="007B6BA0">
        <w:rPr>
          <w:rFonts w:ascii="微软雅黑" w:eastAsia="微软雅黑" w:hAnsi="微软雅黑" w:cs="宋体"/>
          <w:kern w:val="0"/>
          <w:sz w:val="24"/>
          <w:szCs w:val="24"/>
        </w:rPr>
        <w:t>个</w:t>
      </w:r>
      <w:proofErr w:type="gramEnd"/>
      <w:r w:rsidRPr="007B6BA0">
        <w:rPr>
          <w:rFonts w:ascii="微软雅黑" w:eastAsia="微软雅黑" w:hAnsi="微软雅黑" w:cs="宋体"/>
          <w:kern w:val="0"/>
          <w:sz w:val="24"/>
          <w:szCs w:val="24"/>
        </w:rPr>
        <w:t xml:space="preserve">生物学重复的代表性图像。B) TNBC 细胞经 </w:t>
      </w:r>
      <w:proofErr w:type="spellStart"/>
      <w:r w:rsidRPr="007B6BA0">
        <w:rPr>
          <w:rFonts w:ascii="微软雅黑" w:eastAsia="微软雅黑" w:hAnsi="微软雅黑" w:cs="宋体"/>
          <w:kern w:val="0"/>
          <w:sz w:val="24"/>
          <w:szCs w:val="24"/>
        </w:rPr>
        <w:t>palbociclib</w:t>
      </w:r>
      <w:proofErr w:type="spellEnd"/>
      <w:r w:rsidRPr="007B6BA0">
        <w:rPr>
          <w:rFonts w:ascii="微软雅黑" w:eastAsia="微软雅黑" w:hAnsi="微软雅黑" w:cs="宋体"/>
          <w:kern w:val="0"/>
          <w:sz w:val="24"/>
          <w:szCs w:val="24"/>
        </w:rPr>
        <w:t xml:space="preserve"> 和 YKL-5-124 联合处理 48 小时后的克隆形成图像。图中展示了 3 </w:t>
      </w:r>
      <w:proofErr w:type="gramStart"/>
      <w:r w:rsidRPr="007B6BA0">
        <w:rPr>
          <w:rFonts w:ascii="微软雅黑" w:eastAsia="微软雅黑" w:hAnsi="微软雅黑" w:cs="宋体"/>
          <w:kern w:val="0"/>
          <w:sz w:val="24"/>
          <w:szCs w:val="24"/>
        </w:rPr>
        <w:t>个</w:t>
      </w:r>
      <w:proofErr w:type="gramEnd"/>
      <w:r w:rsidRPr="007B6BA0">
        <w:rPr>
          <w:rFonts w:ascii="微软雅黑" w:eastAsia="微软雅黑" w:hAnsi="微软雅黑" w:cs="宋体"/>
          <w:kern w:val="0"/>
          <w:sz w:val="24"/>
          <w:szCs w:val="24"/>
        </w:rPr>
        <w:t xml:space="preserve">生物学重复的代表性图像。C) TNBC 细胞经不同浓度 </w:t>
      </w:r>
      <w:proofErr w:type="spellStart"/>
      <w:r w:rsidRPr="007B6BA0">
        <w:rPr>
          <w:rFonts w:ascii="微软雅黑" w:eastAsia="微软雅黑" w:hAnsi="微软雅黑" w:cs="宋体"/>
          <w:kern w:val="0"/>
          <w:sz w:val="24"/>
          <w:szCs w:val="24"/>
        </w:rPr>
        <w:t>abemaciclib</w:t>
      </w:r>
      <w:proofErr w:type="spellEnd"/>
      <w:r w:rsidRPr="007B6BA0">
        <w:rPr>
          <w:rFonts w:ascii="微软雅黑" w:eastAsia="微软雅黑" w:hAnsi="微软雅黑" w:cs="宋体"/>
          <w:kern w:val="0"/>
          <w:sz w:val="24"/>
          <w:szCs w:val="24"/>
        </w:rPr>
        <w:t xml:space="preserve">、YKL-5-124 以及联合处理（不同浓度 </w:t>
      </w:r>
      <w:proofErr w:type="spellStart"/>
      <w:r w:rsidRPr="007B6BA0">
        <w:rPr>
          <w:rFonts w:ascii="微软雅黑" w:eastAsia="微软雅黑" w:hAnsi="微软雅黑" w:cs="宋体"/>
          <w:kern w:val="0"/>
          <w:sz w:val="24"/>
          <w:szCs w:val="24"/>
        </w:rPr>
        <w:t>abemaciclib</w:t>
      </w:r>
      <w:proofErr w:type="spellEnd"/>
      <w:r w:rsidRPr="007B6BA0">
        <w:rPr>
          <w:rFonts w:ascii="微软雅黑" w:eastAsia="微软雅黑" w:hAnsi="微软雅黑" w:cs="宋体"/>
          <w:kern w:val="0"/>
          <w:sz w:val="24"/>
          <w:szCs w:val="24"/>
        </w:rPr>
        <w:t xml:space="preserve"> 与固定浓度 YKL-5-124）处理 48 小时后的存活率热图。数据以平均值表示（</w:t>
      </w:r>
      <w:r w:rsidRPr="007B6BA0">
        <w:rPr>
          <w:rFonts w:ascii="微软雅黑" w:eastAsia="微软雅黑" w:hAnsi="微软雅黑" w:cs="宋体"/>
          <w:i/>
          <w:iCs/>
          <w:kern w:val="0"/>
          <w:sz w:val="24"/>
          <w:szCs w:val="24"/>
        </w:rPr>
        <w:t>n</w:t>
      </w:r>
      <w:r w:rsidRPr="007B6BA0">
        <w:rPr>
          <w:rFonts w:ascii="微软雅黑" w:eastAsia="微软雅黑" w:hAnsi="微软雅黑" w:cs="宋体"/>
          <w:kern w:val="0"/>
          <w:sz w:val="24"/>
          <w:szCs w:val="24"/>
        </w:rPr>
        <w:t xml:space="preserve"> = 3 </w:t>
      </w:r>
      <w:proofErr w:type="gramStart"/>
      <w:r w:rsidRPr="007B6BA0">
        <w:rPr>
          <w:rFonts w:ascii="微软雅黑" w:eastAsia="微软雅黑" w:hAnsi="微软雅黑" w:cs="宋体"/>
          <w:kern w:val="0"/>
          <w:sz w:val="24"/>
          <w:szCs w:val="24"/>
        </w:rPr>
        <w:t>个</w:t>
      </w:r>
      <w:proofErr w:type="gramEnd"/>
      <w:r w:rsidRPr="007B6BA0">
        <w:rPr>
          <w:rFonts w:ascii="微软雅黑" w:eastAsia="微软雅黑" w:hAnsi="微软雅黑" w:cs="宋体"/>
          <w:kern w:val="0"/>
          <w:sz w:val="24"/>
          <w:szCs w:val="24"/>
        </w:rPr>
        <w:t xml:space="preserve">生物学重复）。D) 使用 </w:t>
      </w:r>
      <w:proofErr w:type="spellStart"/>
      <w:r w:rsidRPr="007B6BA0">
        <w:rPr>
          <w:rFonts w:ascii="微软雅黑" w:eastAsia="微软雅黑" w:hAnsi="微软雅黑" w:cs="宋体"/>
          <w:kern w:val="0"/>
          <w:sz w:val="24"/>
          <w:szCs w:val="24"/>
        </w:rPr>
        <w:lastRenderedPageBreak/>
        <w:t>CompuSyn</w:t>
      </w:r>
      <w:proofErr w:type="spellEnd"/>
      <w:r w:rsidRPr="007B6BA0">
        <w:rPr>
          <w:rFonts w:ascii="微软雅黑" w:eastAsia="微软雅黑" w:hAnsi="微软雅黑" w:cs="宋体"/>
          <w:kern w:val="0"/>
          <w:sz w:val="24"/>
          <w:szCs w:val="24"/>
        </w:rPr>
        <w:t xml:space="preserve"> 软件计算的 </w:t>
      </w:r>
      <w:proofErr w:type="spellStart"/>
      <w:r w:rsidRPr="007B6BA0">
        <w:rPr>
          <w:rFonts w:ascii="微软雅黑" w:eastAsia="微软雅黑" w:hAnsi="微软雅黑" w:cs="宋体"/>
          <w:kern w:val="0"/>
          <w:sz w:val="24"/>
          <w:szCs w:val="24"/>
        </w:rPr>
        <w:t>abemaciclib</w:t>
      </w:r>
      <w:proofErr w:type="spellEnd"/>
      <w:r w:rsidRPr="007B6BA0">
        <w:rPr>
          <w:rFonts w:ascii="微软雅黑" w:eastAsia="微软雅黑" w:hAnsi="微软雅黑" w:cs="宋体"/>
          <w:kern w:val="0"/>
          <w:sz w:val="24"/>
          <w:szCs w:val="24"/>
        </w:rPr>
        <w:t xml:space="preserve"> 联合 YKL-5-124 处理 TNBC 细胞的组合指数值。数据以均值±标准差表示。E) MDA-MB-468 和患者来源的异种移植瘤 (PDX) 在接受对照组、阿贝西利 (50 mg kg</w:t>
      </w:r>
      <w:r w:rsidRPr="007B6BA0">
        <w:rPr>
          <w:rFonts w:ascii="MS Gothic" w:eastAsia="MS Gothic" w:hAnsi="MS Gothic" w:cs="MS Gothic" w:hint="eastAsia"/>
          <w:kern w:val="0"/>
          <w:sz w:val="24"/>
          <w:szCs w:val="24"/>
        </w:rPr>
        <w:t>⁻</w:t>
      </w:r>
      <w:r w:rsidRPr="007B6BA0">
        <w:rPr>
          <w:rFonts w:ascii="微软雅黑" w:eastAsia="微软雅黑" w:hAnsi="微软雅黑" w:cs="宋体" w:hint="eastAsia"/>
          <w:kern w:val="0"/>
          <w:sz w:val="24"/>
          <w:szCs w:val="24"/>
        </w:rPr>
        <w:t>¹</w:t>
      </w:r>
      <w:r w:rsidRPr="007B6BA0">
        <w:rPr>
          <w:rFonts w:ascii="微软雅黑" w:eastAsia="微软雅黑" w:hAnsi="微软雅黑" w:cs="宋体"/>
          <w:kern w:val="0"/>
          <w:sz w:val="24"/>
          <w:szCs w:val="24"/>
        </w:rPr>
        <w:t>)、YKL-5-124 (2 mg kg</w:t>
      </w:r>
      <w:r w:rsidRPr="007B6BA0">
        <w:rPr>
          <w:rFonts w:ascii="MS Gothic" w:eastAsia="MS Gothic" w:hAnsi="MS Gothic" w:cs="MS Gothic" w:hint="eastAsia"/>
          <w:kern w:val="0"/>
          <w:sz w:val="24"/>
          <w:szCs w:val="24"/>
        </w:rPr>
        <w:t>⁻</w:t>
      </w:r>
      <w:r w:rsidRPr="007B6BA0">
        <w:rPr>
          <w:rFonts w:ascii="微软雅黑" w:eastAsia="微软雅黑" w:hAnsi="微软雅黑" w:cs="宋体" w:hint="eastAsia"/>
          <w:kern w:val="0"/>
          <w:sz w:val="24"/>
          <w:szCs w:val="24"/>
        </w:rPr>
        <w:t>¹</w:t>
      </w:r>
      <w:r w:rsidRPr="007B6BA0">
        <w:rPr>
          <w:rFonts w:ascii="微软雅黑" w:eastAsia="微软雅黑" w:hAnsi="微软雅黑" w:cs="宋体"/>
          <w:kern w:val="0"/>
          <w:sz w:val="24"/>
          <w:szCs w:val="24"/>
        </w:rPr>
        <w:t>) 或联合治疗 21 天后的肿瘤重量</w:t>
      </w:r>
      <w:r w:rsidRPr="007B6BA0">
        <w:rPr>
          <w:rFonts w:ascii="微软雅黑" w:eastAsia="微软雅黑" w:hAnsi="微软雅黑" w:cs="宋体"/>
          <w:kern w:val="0"/>
          <w:sz w:val="24"/>
          <w:szCs w:val="24"/>
          <w:vertAlign w:val="superscript"/>
        </w:rPr>
        <w:t>(</w:t>
      </w:r>
      <w:r w:rsidRPr="007B6BA0">
        <w:rPr>
          <w:rFonts w:ascii="微软雅黑" w:eastAsia="微软雅黑" w:hAnsi="微软雅黑" w:cs="宋体"/>
          <w:kern w:val="0"/>
          <w:sz w:val="24"/>
          <w:szCs w:val="24"/>
        </w:rPr>
        <w:t> n </w:t>
      </w:r>
      <w:r w:rsidRPr="007B6BA0">
        <w:rPr>
          <w:rFonts w:ascii="微软雅黑" w:eastAsia="微软雅黑" w:hAnsi="微软雅黑" w:cs="宋体"/>
          <w:i/>
          <w:iCs/>
          <w:kern w:val="0"/>
          <w:sz w:val="24"/>
          <w:szCs w:val="24"/>
        </w:rPr>
        <w:t>=</w:t>
      </w:r>
      <w:r w:rsidRPr="007B6BA0">
        <w:rPr>
          <w:rFonts w:ascii="微软雅黑" w:eastAsia="微软雅黑" w:hAnsi="微软雅黑" w:cs="宋体"/>
          <w:kern w:val="0"/>
          <w:sz w:val="24"/>
          <w:szCs w:val="24"/>
        </w:rPr>
        <w:t> 5)。MDA-MB-231 异种移植瘤在接受对照组、阿贝西利 (50 mg kg</w:t>
      </w:r>
      <w:r w:rsidRPr="007B6BA0">
        <w:rPr>
          <w:rFonts w:ascii="MS Gothic" w:eastAsia="MS Gothic" w:hAnsi="MS Gothic" w:cs="MS Gothic" w:hint="eastAsia"/>
          <w:kern w:val="0"/>
          <w:sz w:val="24"/>
          <w:szCs w:val="24"/>
        </w:rPr>
        <w:t>⁻</w:t>
      </w:r>
      <w:r w:rsidRPr="007B6BA0">
        <w:rPr>
          <w:rFonts w:ascii="微软雅黑" w:eastAsia="微软雅黑" w:hAnsi="微软雅黑" w:cs="宋体" w:hint="eastAsia"/>
          <w:kern w:val="0"/>
          <w:sz w:val="24"/>
          <w:szCs w:val="24"/>
        </w:rPr>
        <w:t>¹</w:t>
      </w:r>
      <w:r w:rsidRPr="007B6BA0">
        <w:rPr>
          <w:rFonts w:ascii="微软雅黑" w:eastAsia="微软雅黑" w:hAnsi="微软雅黑" w:cs="宋体"/>
          <w:kern w:val="0"/>
          <w:sz w:val="24"/>
          <w:szCs w:val="24"/>
        </w:rPr>
        <w:t>)、YKL-5-124 (5 mg kg</w:t>
      </w:r>
      <w:r w:rsidRPr="007B6BA0">
        <w:rPr>
          <w:rFonts w:ascii="MS Gothic" w:eastAsia="MS Gothic" w:hAnsi="MS Gothic" w:cs="MS Gothic" w:hint="eastAsia"/>
          <w:kern w:val="0"/>
          <w:sz w:val="24"/>
          <w:szCs w:val="24"/>
        </w:rPr>
        <w:t>⁻</w:t>
      </w:r>
      <w:r w:rsidRPr="007B6BA0">
        <w:rPr>
          <w:rFonts w:ascii="微软雅黑" w:eastAsia="微软雅黑" w:hAnsi="微软雅黑" w:cs="宋体" w:hint="eastAsia"/>
          <w:kern w:val="0"/>
          <w:sz w:val="24"/>
          <w:szCs w:val="24"/>
        </w:rPr>
        <w:t>¹</w:t>
      </w:r>
      <w:r w:rsidRPr="007B6BA0">
        <w:rPr>
          <w:rFonts w:ascii="微软雅黑" w:eastAsia="微软雅黑" w:hAnsi="微软雅黑" w:cs="宋体"/>
          <w:kern w:val="0"/>
          <w:sz w:val="24"/>
          <w:szCs w:val="24"/>
        </w:rPr>
        <w:t>) 或联合治疗 14 天后的肿瘤重量</w:t>
      </w:r>
      <w:r w:rsidRPr="007B6BA0">
        <w:rPr>
          <w:rFonts w:ascii="微软雅黑" w:eastAsia="微软雅黑" w:hAnsi="微软雅黑" w:cs="宋体"/>
          <w:kern w:val="0"/>
          <w:sz w:val="24"/>
          <w:szCs w:val="24"/>
          <w:vertAlign w:val="superscript"/>
        </w:rPr>
        <w:t>(</w:t>
      </w:r>
      <w:r w:rsidRPr="007B6BA0">
        <w:rPr>
          <w:rFonts w:ascii="微软雅黑" w:eastAsia="微软雅黑" w:hAnsi="微软雅黑" w:cs="宋体"/>
          <w:kern w:val="0"/>
          <w:sz w:val="24"/>
          <w:szCs w:val="24"/>
        </w:rPr>
        <w:t> n </w:t>
      </w:r>
      <w:r w:rsidRPr="007B6BA0">
        <w:rPr>
          <w:rFonts w:ascii="微软雅黑" w:eastAsia="微软雅黑" w:hAnsi="微软雅黑" w:cs="宋体"/>
          <w:kern w:val="0"/>
          <w:sz w:val="24"/>
          <w:szCs w:val="24"/>
          <w:vertAlign w:val="superscript"/>
        </w:rPr>
        <w:t>=</w:t>
      </w:r>
      <w:r w:rsidRPr="007B6BA0">
        <w:rPr>
          <w:rFonts w:ascii="微软雅黑" w:eastAsia="微软雅黑" w:hAnsi="微软雅黑" w:cs="宋体"/>
          <w:kern w:val="0"/>
          <w:sz w:val="24"/>
          <w:szCs w:val="24"/>
        </w:rPr>
        <w:t> 6 </w:t>
      </w:r>
      <w:r w:rsidRPr="007B6BA0">
        <w:rPr>
          <w:rFonts w:ascii="微软雅黑" w:eastAsia="微软雅黑" w:hAnsi="微软雅黑" w:cs="宋体"/>
          <w:i/>
          <w:iCs/>
          <w:kern w:val="0"/>
          <w:sz w:val="24"/>
          <w:szCs w:val="24"/>
        </w:rPr>
        <w:t>)</w:t>
      </w:r>
      <w:r w:rsidRPr="007B6BA0">
        <w:rPr>
          <w:rFonts w:ascii="微软雅黑" w:eastAsia="微软雅黑" w:hAnsi="微软雅黑" w:cs="宋体"/>
          <w:kern w:val="0"/>
          <w:sz w:val="24"/>
          <w:szCs w:val="24"/>
        </w:rPr>
        <w:t>。数据以均值±标准差表示。p</w:t>
      </w:r>
      <w:r w:rsidRPr="007B6BA0">
        <w:rPr>
          <w:rFonts w:ascii="微软雅黑" w:eastAsia="微软雅黑" w:hAnsi="微软雅黑" w:cs="宋体"/>
          <w:i/>
          <w:iCs/>
          <w:kern w:val="0"/>
          <w:sz w:val="24"/>
          <w:szCs w:val="24"/>
        </w:rPr>
        <w:t>值</w:t>
      </w:r>
      <w:r w:rsidRPr="007B6BA0">
        <w:rPr>
          <w:rFonts w:ascii="微软雅黑" w:eastAsia="微软雅黑" w:hAnsi="微软雅黑" w:cs="宋体"/>
          <w:kern w:val="0"/>
          <w:sz w:val="24"/>
          <w:szCs w:val="24"/>
        </w:rPr>
        <w:t>采用单因素方差分析计算，* </w:t>
      </w:r>
      <w:r w:rsidRPr="007B6BA0">
        <w:rPr>
          <w:rFonts w:ascii="微软雅黑" w:eastAsia="微软雅黑" w:hAnsi="微软雅黑" w:cs="宋体"/>
          <w:i/>
          <w:iCs/>
          <w:kern w:val="0"/>
          <w:sz w:val="24"/>
          <w:szCs w:val="24"/>
        </w:rPr>
        <w:t>p</w:t>
      </w:r>
      <w:r w:rsidRPr="007B6BA0">
        <w:rPr>
          <w:rFonts w:ascii="微软雅黑" w:eastAsia="微软雅黑" w:hAnsi="微软雅黑" w:cs="宋体"/>
          <w:kern w:val="0"/>
          <w:sz w:val="24"/>
          <w:szCs w:val="24"/>
        </w:rPr>
        <w:t> &lt; 0.05，** </w:t>
      </w:r>
      <w:r w:rsidRPr="007B6BA0">
        <w:rPr>
          <w:rFonts w:ascii="微软雅黑" w:eastAsia="微软雅黑" w:hAnsi="微软雅黑" w:cs="宋体"/>
          <w:i/>
          <w:iCs/>
          <w:kern w:val="0"/>
          <w:sz w:val="24"/>
          <w:szCs w:val="24"/>
        </w:rPr>
        <w:t>p</w:t>
      </w:r>
      <w:r w:rsidRPr="007B6BA0">
        <w:rPr>
          <w:rFonts w:ascii="微软雅黑" w:eastAsia="微软雅黑" w:hAnsi="微软雅黑" w:cs="宋体"/>
          <w:kern w:val="0"/>
          <w:sz w:val="24"/>
          <w:szCs w:val="24"/>
        </w:rPr>
        <w:t> &lt; 0.01，*** </w:t>
      </w:r>
      <w:r w:rsidRPr="007B6BA0">
        <w:rPr>
          <w:rFonts w:ascii="微软雅黑" w:eastAsia="微软雅黑" w:hAnsi="微软雅黑" w:cs="宋体"/>
          <w:i/>
          <w:iCs/>
          <w:kern w:val="0"/>
          <w:sz w:val="24"/>
          <w:szCs w:val="24"/>
        </w:rPr>
        <w:t>p</w:t>
      </w:r>
      <w:r w:rsidRPr="007B6BA0">
        <w:rPr>
          <w:rFonts w:ascii="微软雅黑" w:eastAsia="微软雅黑" w:hAnsi="微软雅黑" w:cs="宋体"/>
          <w:kern w:val="0"/>
          <w:sz w:val="24"/>
          <w:szCs w:val="24"/>
        </w:rPr>
        <w:t> &lt; 0.001，**** </w:t>
      </w:r>
      <w:r w:rsidRPr="007B6BA0">
        <w:rPr>
          <w:rFonts w:ascii="微软雅黑" w:eastAsia="微软雅黑" w:hAnsi="微软雅黑" w:cs="宋体"/>
          <w:i/>
          <w:iCs/>
          <w:kern w:val="0"/>
          <w:sz w:val="24"/>
          <w:szCs w:val="24"/>
        </w:rPr>
        <w:t>p</w:t>
      </w:r>
      <w:r w:rsidRPr="007B6BA0">
        <w:rPr>
          <w:rFonts w:ascii="微软雅黑" w:eastAsia="微软雅黑" w:hAnsi="微软雅黑" w:cs="宋体"/>
          <w:kern w:val="0"/>
          <w:sz w:val="24"/>
          <w:szCs w:val="24"/>
        </w:rPr>
        <w:t> &lt; 0.0001。 F) MDA-MB-468、MDA-MB-231 和患者来源的异种移植瘤肿瘤切片中 Ki-67 的免疫组织化学 (IHC) 染色。比例尺，100 µm。G) MDA-MB-468 ( </w:t>
      </w:r>
      <w:r w:rsidRPr="007B6BA0">
        <w:rPr>
          <w:rFonts w:ascii="微软雅黑" w:eastAsia="微软雅黑" w:hAnsi="微软雅黑" w:cs="宋体"/>
          <w:i/>
          <w:iCs/>
          <w:kern w:val="0"/>
          <w:sz w:val="24"/>
          <w:szCs w:val="24"/>
        </w:rPr>
        <w:t>n</w:t>
      </w:r>
      <w:r w:rsidRPr="007B6BA0">
        <w:rPr>
          <w:rFonts w:ascii="微软雅黑" w:eastAsia="微软雅黑" w:hAnsi="微软雅黑" w:cs="宋体"/>
          <w:kern w:val="0"/>
          <w:sz w:val="24"/>
          <w:szCs w:val="24"/>
        </w:rPr>
        <w:t> = 10)、MDA-MB-231 ( </w:t>
      </w:r>
      <w:r w:rsidRPr="007B6BA0">
        <w:rPr>
          <w:rFonts w:ascii="微软雅黑" w:eastAsia="微软雅黑" w:hAnsi="微软雅黑" w:cs="宋体"/>
          <w:i/>
          <w:iCs/>
          <w:kern w:val="0"/>
          <w:sz w:val="24"/>
          <w:szCs w:val="24"/>
        </w:rPr>
        <w:t>n</w:t>
      </w:r>
      <w:r w:rsidRPr="007B6BA0">
        <w:rPr>
          <w:rFonts w:ascii="微软雅黑" w:eastAsia="微软雅黑" w:hAnsi="微软雅黑" w:cs="宋体"/>
          <w:kern w:val="0"/>
          <w:sz w:val="24"/>
          <w:szCs w:val="24"/>
        </w:rPr>
        <w:t> = 12) 和患者来源的异种移植瘤 ( </w:t>
      </w:r>
      <w:r w:rsidRPr="007B6BA0">
        <w:rPr>
          <w:rFonts w:ascii="微软雅黑" w:eastAsia="微软雅黑" w:hAnsi="微软雅黑" w:cs="宋体"/>
          <w:i/>
          <w:iCs/>
          <w:kern w:val="0"/>
          <w:sz w:val="24"/>
          <w:szCs w:val="24"/>
        </w:rPr>
        <w:t>n</w:t>
      </w:r>
      <w:r w:rsidRPr="007B6BA0">
        <w:rPr>
          <w:rFonts w:ascii="微软雅黑" w:eastAsia="微软雅黑" w:hAnsi="微软雅黑" w:cs="宋体"/>
          <w:kern w:val="0"/>
          <w:sz w:val="24"/>
          <w:szCs w:val="24"/>
        </w:rPr>
        <w:t> = 10) 肿瘤切片中 Ki-67 染色的定量分析。每个肿瘤取两张代表性图像进行 Ki-67 阳性定量。数据以均值 ± 标准差表示。p</w:t>
      </w:r>
      <w:r w:rsidRPr="007B6BA0">
        <w:rPr>
          <w:rFonts w:ascii="微软雅黑" w:eastAsia="微软雅黑" w:hAnsi="微软雅黑" w:cs="宋体"/>
          <w:i/>
          <w:iCs/>
          <w:kern w:val="0"/>
          <w:sz w:val="24"/>
          <w:szCs w:val="24"/>
        </w:rPr>
        <w:t>值</w:t>
      </w:r>
      <w:r w:rsidRPr="007B6BA0">
        <w:rPr>
          <w:rFonts w:ascii="微软雅黑" w:eastAsia="微软雅黑" w:hAnsi="微软雅黑" w:cs="宋体"/>
          <w:kern w:val="0"/>
          <w:sz w:val="24"/>
          <w:szCs w:val="24"/>
        </w:rPr>
        <w:t>采用单因素方差分析计算，* </w:t>
      </w:r>
      <w:r w:rsidRPr="007B6BA0">
        <w:rPr>
          <w:rFonts w:ascii="微软雅黑" w:eastAsia="微软雅黑" w:hAnsi="微软雅黑" w:cs="宋体"/>
          <w:i/>
          <w:iCs/>
          <w:kern w:val="0"/>
          <w:sz w:val="24"/>
          <w:szCs w:val="24"/>
        </w:rPr>
        <w:t>p</w:t>
      </w:r>
      <w:r w:rsidRPr="007B6BA0">
        <w:rPr>
          <w:rFonts w:ascii="微软雅黑" w:eastAsia="微软雅黑" w:hAnsi="微软雅黑" w:cs="宋体"/>
          <w:kern w:val="0"/>
          <w:sz w:val="24"/>
          <w:szCs w:val="24"/>
        </w:rPr>
        <w:t> &lt; 0.05，**** </w:t>
      </w:r>
      <w:r w:rsidRPr="007B6BA0">
        <w:rPr>
          <w:rFonts w:ascii="微软雅黑" w:eastAsia="微软雅黑" w:hAnsi="微软雅黑" w:cs="宋体"/>
          <w:i/>
          <w:iCs/>
          <w:kern w:val="0"/>
          <w:sz w:val="24"/>
          <w:szCs w:val="24"/>
        </w:rPr>
        <w:t>p</w:t>
      </w:r>
      <w:r w:rsidRPr="007B6BA0">
        <w:rPr>
          <w:rFonts w:ascii="微软雅黑" w:eastAsia="微软雅黑" w:hAnsi="微软雅黑" w:cs="宋体"/>
          <w:kern w:val="0"/>
          <w:sz w:val="24"/>
          <w:szCs w:val="24"/>
        </w:rPr>
        <w:t xml:space="preserve"> &lt; 0.0001。H) 用 </w:t>
      </w:r>
      <w:proofErr w:type="spellStart"/>
      <w:r w:rsidRPr="007B6BA0">
        <w:rPr>
          <w:rFonts w:ascii="微软雅黑" w:eastAsia="微软雅黑" w:hAnsi="微软雅黑" w:cs="宋体"/>
          <w:kern w:val="0"/>
          <w:sz w:val="24"/>
          <w:szCs w:val="24"/>
        </w:rPr>
        <w:t>abemaciclib</w:t>
      </w:r>
      <w:proofErr w:type="spellEnd"/>
      <w:r w:rsidRPr="007B6BA0">
        <w:rPr>
          <w:rFonts w:ascii="微软雅黑" w:eastAsia="微软雅黑" w:hAnsi="微软雅黑" w:cs="宋体"/>
          <w:kern w:val="0"/>
          <w:sz w:val="24"/>
          <w:szCs w:val="24"/>
        </w:rPr>
        <w:t>、YKL-5-124 和二者联合治疗 96 小时后，总凋亡细胞的百分比 ( </w:t>
      </w:r>
      <w:r w:rsidRPr="007B6BA0">
        <w:rPr>
          <w:rFonts w:ascii="微软雅黑" w:eastAsia="微软雅黑" w:hAnsi="微软雅黑" w:cs="宋体"/>
          <w:i/>
          <w:iCs/>
          <w:kern w:val="0"/>
          <w:sz w:val="24"/>
          <w:szCs w:val="24"/>
        </w:rPr>
        <w:t>n</w:t>
      </w:r>
      <w:r w:rsidRPr="007B6BA0">
        <w:rPr>
          <w:rFonts w:ascii="微软雅黑" w:eastAsia="微软雅黑" w:hAnsi="微软雅黑" w:cs="宋体"/>
          <w:kern w:val="0"/>
          <w:sz w:val="24"/>
          <w:szCs w:val="24"/>
        </w:rPr>
        <w:t> = 3)。数据以均值±标准差（SD）表示。p</w:t>
      </w:r>
      <w:r w:rsidRPr="007B6BA0">
        <w:rPr>
          <w:rFonts w:ascii="微软雅黑" w:eastAsia="微软雅黑" w:hAnsi="微软雅黑" w:cs="宋体"/>
          <w:i/>
          <w:iCs/>
          <w:kern w:val="0"/>
          <w:sz w:val="24"/>
          <w:szCs w:val="24"/>
        </w:rPr>
        <w:t>值</w:t>
      </w:r>
      <w:r w:rsidRPr="007B6BA0">
        <w:rPr>
          <w:rFonts w:ascii="微软雅黑" w:eastAsia="微软雅黑" w:hAnsi="微软雅黑" w:cs="宋体"/>
          <w:kern w:val="0"/>
          <w:sz w:val="24"/>
          <w:szCs w:val="24"/>
        </w:rPr>
        <w:t>采用单因素方差分析（ANOVA）计算，**** </w:t>
      </w:r>
      <w:r w:rsidRPr="007B6BA0">
        <w:rPr>
          <w:rFonts w:ascii="微软雅黑" w:eastAsia="微软雅黑" w:hAnsi="微软雅黑" w:cs="宋体"/>
          <w:i/>
          <w:iCs/>
          <w:kern w:val="0"/>
          <w:sz w:val="24"/>
          <w:szCs w:val="24"/>
        </w:rPr>
        <w:t>p</w:t>
      </w:r>
      <w:r w:rsidRPr="007B6BA0">
        <w:rPr>
          <w:rFonts w:ascii="微软雅黑" w:eastAsia="微软雅黑" w:hAnsi="微软雅黑" w:cs="宋体"/>
          <w:kern w:val="0"/>
          <w:sz w:val="24"/>
          <w:szCs w:val="24"/>
        </w:rPr>
        <w:t> &lt; 0.0001。I）MDA-MB-468、MDA-MB-231和患者来源异种移植瘤肿瘤切片中裂解型caspase-3的免疫组化染色。比例尺，100 µm。J）MDA-MB-468（</w:t>
      </w:r>
      <w:r w:rsidRPr="007B6BA0">
        <w:rPr>
          <w:rFonts w:ascii="微软雅黑" w:eastAsia="微软雅黑" w:hAnsi="微软雅黑" w:cs="宋体"/>
          <w:i/>
          <w:iCs/>
          <w:kern w:val="0"/>
          <w:sz w:val="24"/>
          <w:szCs w:val="24"/>
        </w:rPr>
        <w:t>n</w:t>
      </w:r>
      <w:r w:rsidRPr="007B6BA0">
        <w:rPr>
          <w:rFonts w:ascii="微软雅黑" w:eastAsia="微软雅黑" w:hAnsi="微软雅黑" w:cs="宋体"/>
          <w:kern w:val="0"/>
          <w:sz w:val="24"/>
          <w:szCs w:val="24"/>
        </w:rPr>
        <w:t> = 10）、MDA-MB-231（ n = 12）和患者来源异种移植瘤（ </w:t>
      </w:r>
      <w:r w:rsidRPr="007B6BA0">
        <w:rPr>
          <w:rFonts w:ascii="微软雅黑" w:eastAsia="微软雅黑" w:hAnsi="微软雅黑" w:cs="宋体"/>
          <w:i/>
          <w:iCs/>
          <w:kern w:val="0"/>
          <w:sz w:val="24"/>
          <w:szCs w:val="24"/>
        </w:rPr>
        <w:t>n</w:t>
      </w:r>
      <w:r w:rsidRPr="007B6BA0">
        <w:rPr>
          <w:rFonts w:ascii="微软雅黑" w:eastAsia="微软雅黑" w:hAnsi="微软雅黑" w:cs="宋体"/>
          <w:kern w:val="0"/>
          <w:sz w:val="24"/>
          <w:szCs w:val="24"/>
        </w:rPr>
        <w:t> = 12）肿瘤切片中裂解型caspase-3染色的H评分</w:t>
      </w:r>
      <w:r w:rsidRPr="007B6BA0">
        <w:rPr>
          <w:rFonts w:ascii="微软雅黑" w:eastAsia="微软雅黑" w:hAnsi="微软雅黑" w:cs="宋体"/>
          <w:i/>
          <w:iCs/>
          <w:kern w:val="0"/>
          <w:sz w:val="24"/>
          <w:szCs w:val="24"/>
        </w:rPr>
        <w:t>。</w:t>
      </w:r>
      <w:r w:rsidRPr="007B6BA0">
        <w:rPr>
          <w:rFonts w:ascii="微软雅黑" w:eastAsia="微软雅黑" w:hAnsi="微软雅黑" w:cs="宋体"/>
          <w:kern w:val="0"/>
          <w:sz w:val="24"/>
          <w:szCs w:val="24"/>
        </w:rPr>
        <w:t>= 10）。每个肿瘤选取两张代表性图像，用于量化裂解型 caspase-3 染色。数据以均值 ± 标准差表示。p</w:t>
      </w:r>
      <w:r w:rsidRPr="007B6BA0">
        <w:rPr>
          <w:rFonts w:ascii="微软雅黑" w:eastAsia="微软雅黑" w:hAnsi="微软雅黑" w:cs="宋体"/>
          <w:i/>
          <w:iCs/>
          <w:kern w:val="0"/>
          <w:sz w:val="24"/>
          <w:szCs w:val="24"/>
        </w:rPr>
        <w:t>值</w:t>
      </w:r>
      <w:r w:rsidRPr="007B6BA0">
        <w:rPr>
          <w:rFonts w:ascii="微软雅黑" w:eastAsia="微软雅黑" w:hAnsi="微软雅黑" w:cs="宋体"/>
          <w:kern w:val="0"/>
          <w:sz w:val="24"/>
          <w:szCs w:val="24"/>
        </w:rPr>
        <w:t>采用单因素方差分析计算，**** </w:t>
      </w:r>
      <w:r w:rsidRPr="007B6BA0">
        <w:rPr>
          <w:rFonts w:ascii="微软雅黑" w:eastAsia="微软雅黑" w:hAnsi="微软雅黑" w:cs="宋体"/>
          <w:i/>
          <w:iCs/>
          <w:kern w:val="0"/>
          <w:sz w:val="24"/>
          <w:szCs w:val="24"/>
        </w:rPr>
        <w:t>p</w:t>
      </w:r>
      <w:r w:rsidRPr="007B6BA0">
        <w:rPr>
          <w:rFonts w:ascii="微软雅黑" w:eastAsia="微软雅黑" w:hAnsi="微软雅黑" w:cs="宋体"/>
          <w:kern w:val="0"/>
          <w:sz w:val="24"/>
          <w:szCs w:val="24"/>
        </w:rPr>
        <w:t> &lt; 0.0001。</w:t>
      </w:r>
    </w:p>
    <w:p w14:paraId="180F345D" w14:textId="77777777" w:rsidR="007B6BA0" w:rsidRPr="007B6BA0" w:rsidRDefault="007B6BA0" w:rsidP="007B6BA0">
      <w:pPr>
        <w:widowControl/>
        <w:spacing w:before="450"/>
        <w:rPr>
          <w:rFonts w:ascii="微软雅黑" w:eastAsia="微软雅黑" w:hAnsi="微软雅黑" w:cs="宋体"/>
          <w:kern w:val="0"/>
          <w:sz w:val="24"/>
          <w:szCs w:val="24"/>
        </w:rPr>
      </w:pPr>
      <w:r w:rsidRPr="007B6BA0">
        <w:rPr>
          <w:rFonts w:ascii="微软雅黑" w:eastAsia="微软雅黑" w:hAnsi="微软雅黑" w:cs="宋体"/>
          <w:kern w:val="0"/>
          <w:sz w:val="24"/>
          <w:szCs w:val="24"/>
        </w:rPr>
        <w:lastRenderedPageBreak/>
        <w:t>为了验证体内协同效应，我们利用MDA-MB-468和MDA-MB-231细胞系建立了细胞来源的异种移植模型，并建立了患者来源的异种移植模型（PDX）。与单药治疗相比，联合治疗显著降低了肿瘤重量（图 </w:t>
      </w:r>
      <w:hyperlink r:id="rId65" w:anchor="advs10347-fig-0002" w:history="1">
        <w:r w:rsidRPr="007B6BA0">
          <w:rPr>
            <w:rFonts w:ascii="微软雅黑" w:eastAsia="微软雅黑" w:hAnsi="微软雅黑" w:cs="宋体"/>
            <w:kern w:val="0"/>
            <w:sz w:val="24"/>
            <w:szCs w:val="24"/>
            <w:u w:val="single"/>
          </w:rPr>
          <w:t>2E</w:t>
        </w:r>
      </w:hyperlink>
      <w:r w:rsidRPr="007B6BA0">
        <w:rPr>
          <w:rFonts w:ascii="微软雅黑" w:eastAsia="微软雅黑" w:hAnsi="微软雅黑" w:cs="宋体"/>
          <w:kern w:val="0"/>
          <w:sz w:val="24"/>
          <w:szCs w:val="24"/>
        </w:rPr>
        <w:t>）。增殖标志物Ki-67的免疫组化染色强度降低证实了这些抗肿瘤作用（图 </w:t>
      </w:r>
      <w:hyperlink r:id="rId66" w:anchor="advs10347-fig-0002" w:history="1">
        <w:r w:rsidRPr="007B6BA0">
          <w:rPr>
            <w:rFonts w:ascii="微软雅黑" w:eastAsia="微软雅黑" w:hAnsi="微软雅黑" w:cs="宋体"/>
            <w:kern w:val="0"/>
            <w:sz w:val="24"/>
            <w:szCs w:val="24"/>
            <w:u w:val="single"/>
          </w:rPr>
          <w:t>2F、G</w:t>
        </w:r>
      </w:hyperlink>
      <w:r w:rsidRPr="007B6BA0">
        <w:rPr>
          <w:rFonts w:ascii="微软雅黑" w:eastAsia="微软雅黑" w:hAnsi="微软雅黑" w:cs="宋体"/>
          <w:kern w:val="0"/>
          <w:sz w:val="24"/>
          <w:szCs w:val="24"/>
        </w:rPr>
        <w:t>）。此外，体外实验表明，阿贝西利和YKL-5-124联合给药可协同诱导细胞凋亡，表现为Annexin V阳性细胞数量增加（图 </w:t>
      </w:r>
      <w:hyperlink r:id="rId67" w:anchor="advs10347-fig-0002" w:history="1">
        <w:r w:rsidRPr="007B6BA0">
          <w:rPr>
            <w:rFonts w:ascii="微软雅黑" w:eastAsia="微软雅黑" w:hAnsi="微软雅黑" w:cs="宋体"/>
            <w:kern w:val="0"/>
            <w:sz w:val="24"/>
            <w:szCs w:val="24"/>
            <w:u w:val="single"/>
          </w:rPr>
          <w:t>2H</w:t>
        </w:r>
      </w:hyperlink>
      <w:r w:rsidRPr="007B6BA0">
        <w:rPr>
          <w:rFonts w:ascii="微软雅黑" w:eastAsia="微软雅黑" w:hAnsi="微软雅黑" w:cs="宋体"/>
          <w:kern w:val="0"/>
          <w:sz w:val="24"/>
          <w:szCs w:val="24"/>
        </w:rPr>
        <w:t>）以及异种移植模型中cleaved caspase-3染色上调（图 </w:t>
      </w:r>
      <w:hyperlink r:id="rId68" w:anchor="advs10347-fig-0002" w:history="1">
        <w:r w:rsidRPr="007B6BA0">
          <w:rPr>
            <w:rFonts w:ascii="微软雅黑" w:eastAsia="微软雅黑" w:hAnsi="微软雅黑" w:cs="宋体"/>
            <w:kern w:val="0"/>
            <w:sz w:val="24"/>
            <w:szCs w:val="24"/>
            <w:u w:val="single"/>
          </w:rPr>
          <w:t>2I、J</w:t>
        </w:r>
      </w:hyperlink>
      <w:r w:rsidRPr="007B6BA0">
        <w:rPr>
          <w:rFonts w:ascii="微软雅黑" w:eastAsia="微软雅黑" w:hAnsi="微软雅黑" w:cs="宋体"/>
          <w:kern w:val="0"/>
          <w:sz w:val="24"/>
          <w:szCs w:val="24"/>
        </w:rPr>
        <w:t>），进一步验证了增强的细胞凋亡反应。综上所述，我们的研究结果表明，同时靶向 CDK4/6 和 CDK7 可协同抑制 TNBC 增殖，并在体外和体内促进细胞凋亡。</w:t>
      </w:r>
    </w:p>
    <w:p w14:paraId="1A58882A" w14:textId="77777777" w:rsidR="007B6BA0" w:rsidRPr="007B6BA0" w:rsidRDefault="007B6BA0" w:rsidP="007B6BA0">
      <w:pPr>
        <w:widowControl/>
        <w:spacing w:line="450" w:lineRule="atLeast"/>
        <w:outlineLvl w:val="2"/>
        <w:rPr>
          <w:rFonts w:ascii="微软雅黑" w:eastAsia="微软雅黑" w:hAnsi="微软雅黑" w:cs="宋体"/>
          <w:kern w:val="0"/>
          <w:sz w:val="32"/>
          <w:szCs w:val="32"/>
        </w:rPr>
      </w:pPr>
      <w:r w:rsidRPr="007B6BA0">
        <w:rPr>
          <w:rFonts w:ascii="微软雅黑" w:eastAsia="微软雅黑" w:hAnsi="微软雅黑" w:cs="宋体"/>
          <w:kern w:val="0"/>
          <w:sz w:val="32"/>
          <w:szCs w:val="32"/>
        </w:rPr>
        <w:t>2.3. 联合治疗抑制SREBP1调节的胆固醇合成</w:t>
      </w:r>
    </w:p>
    <w:p w14:paraId="516C6576" w14:textId="77777777" w:rsidR="007B6BA0" w:rsidRPr="007B6BA0" w:rsidRDefault="007B6BA0" w:rsidP="007B6BA0">
      <w:pPr>
        <w:widowControl/>
        <w:spacing w:before="450"/>
        <w:rPr>
          <w:rFonts w:ascii="微软雅黑" w:eastAsia="微软雅黑" w:hAnsi="微软雅黑" w:cs="宋体"/>
          <w:kern w:val="0"/>
          <w:sz w:val="24"/>
          <w:szCs w:val="24"/>
        </w:rPr>
      </w:pPr>
      <w:r w:rsidRPr="007B6BA0">
        <w:rPr>
          <w:rFonts w:ascii="微软雅黑" w:eastAsia="微软雅黑" w:hAnsi="微软雅黑" w:cs="宋体"/>
          <w:kern w:val="0"/>
          <w:sz w:val="24"/>
          <w:szCs w:val="24"/>
        </w:rPr>
        <w:t>为了研究合成致死机制，我们对联合治疗后的细胞进行了</w:t>
      </w:r>
      <w:proofErr w:type="gramStart"/>
      <w:r w:rsidRPr="007B6BA0">
        <w:rPr>
          <w:rFonts w:ascii="微软雅黑" w:eastAsia="微软雅黑" w:hAnsi="微软雅黑" w:cs="宋体"/>
          <w:kern w:val="0"/>
          <w:sz w:val="24"/>
          <w:szCs w:val="24"/>
        </w:rPr>
        <w:t>转录组</w:t>
      </w:r>
      <w:proofErr w:type="gramEnd"/>
      <w:r w:rsidRPr="007B6BA0">
        <w:rPr>
          <w:rFonts w:ascii="微软雅黑" w:eastAsia="微软雅黑" w:hAnsi="微软雅黑" w:cs="宋体"/>
          <w:kern w:val="0"/>
          <w:sz w:val="24"/>
          <w:szCs w:val="24"/>
        </w:rPr>
        <w:t>分析。由于联合治疗组中未发现重叠的标志性通路富集，我们将研究重点转移到DMSO组中富集的重叠通路（</w:t>
      </w:r>
      <w:r w:rsidRPr="007B6BA0">
        <w:rPr>
          <w:rFonts w:ascii="微软雅黑" w:eastAsia="微软雅黑" w:hAnsi="微软雅黑" w:cs="宋体"/>
          <w:b/>
          <w:bCs/>
          <w:kern w:val="0"/>
          <w:sz w:val="24"/>
          <w:szCs w:val="24"/>
        </w:rPr>
        <w:t>图</w:t>
      </w:r>
      <w:r w:rsidRPr="007B6BA0">
        <w:rPr>
          <w:rFonts w:ascii="微软雅黑" w:eastAsia="微软雅黑" w:hAnsi="微软雅黑" w:cs="宋体"/>
          <w:kern w:val="0"/>
          <w:sz w:val="24"/>
          <w:szCs w:val="24"/>
        </w:rPr>
        <w:t> </w:t>
      </w:r>
      <w:hyperlink r:id="rId69" w:anchor="advs10347-fig-0003" w:history="1">
        <w:r w:rsidRPr="007B6BA0">
          <w:rPr>
            <w:rFonts w:ascii="微软雅黑" w:eastAsia="微软雅黑" w:hAnsi="微软雅黑" w:cs="宋体"/>
            <w:b/>
            <w:bCs/>
            <w:kern w:val="0"/>
            <w:sz w:val="24"/>
            <w:szCs w:val="24"/>
            <w:u w:val="single"/>
          </w:rPr>
          <w:t>3A</w:t>
        </w:r>
      </w:hyperlink>
      <w:hyperlink r:id="rId70" w:anchor="advs10347-fig-0003" w:history="1">
        <w:r w:rsidRPr="007B6BA0">
          <w:rPr>
            <w:rFonts w:ascii="微软雅黑" w:eastAsia="微软雅黑" w:hAnsi="微软雅黑" w:cs="宋体"/>
            <w:kern w:val="0"/>
            <w:sz w:val="24"/>
            <w:szCs w:val="24"/>
            <w:u w:val="single"/>
          </w:rPr>
          <w:t> ） 。</w:t>
        </w:r>
      </w:hyperlink>
      <w:r w:rsidRPr="007B6BA0">
        <w:rPr>
          <w:rFonts w:ascii="微软雅黑" w:eastAsia="微软雅黑" w:hAnsi="微软雅黑" w:cs="宋体"/>
          <w:kern w:val="0"/>
          <w:sz w:val="24"/>
          <w:szCs w:val="24"/>
        </w:rPr>
        <w:t>由于富集程度最高的通路“上皮间质转化”（</w:t>
      </w:r>
      <w:proofErr w:type="spellStart"/>
      <w:r w:rsidRPr="007B6BA0">
        <w:rPr>
          <w:rFonts w:ascii="微软雅黑" w:eastAsia="微软雅黑" w:hAnsi="微软雅黑" w:cs="宋体"/>
          <w:kern w:val="0"/>
          <w:sz w:val="24"/>
          <w:szCs w:val="24"/>
        </w:rPr>
        <w:t>Epithelial_Mesenchymal_Transition</w:t>
      </w:r>
      <w:proofErr w:type="spellEnd"/>
      <w:r w:rsidRPr="007B6BA0">
        <w:rPr>
          <w:rFonts w:ascii="微软雅黑" w:eastAsia="微软雅黑" w:hAnsi="微软雅黑" w:cs="宋体"/>
          <w:kern w:val="0"/>
          <w:sz w:val="24"/>
          <w:szCs w:val="24"/>
        </w:rPr>
        <w:t>）已在CDK4/6抑制的背景下进行过研究</w:t>
      </w:r>
      <w:r w:rsidRPr="007B6BA0">
        <w:rPr>
          <w:rFonts w:ascii="微软雅黑" w:eastAsia="微软雅黑" w:hAnsi="微软雅黑" w:cs="宋体"/>
          <w:kern w:val="0"/>
          <w:sz w:val="24"/>
          <w:szCs w:val="24"/>
          <w:vertAlign w:val="superscript"/>
        </w:rPr>
        <w:t>[ </w:t>
      </w:r>
      <w:hyperlink r:id="rId71" w:anchor="advs10347-bib-0029" w:history="1">
        <w:r w:rsidRPr="007B6BA0">
          <w:rPr>
            <w:rFonts w:ascii="微软雅黑" w:eastAsia="微软雅黑" w:hAnsi="微软雅黑" w:cs="宋体"/>
            <w:kern w:val="0"/>
            <w:sz w:val="24"/>
            <w:szCs w:val="24"/>
            <w:u w:val="single"/>
            <w:vertAlign w:val="superscript"/>
          </w:rPr>
          <w:t>29</w:t>
        </w:r>
      </w:hyperlink>
      <w:r w:rsidRPr="007B6BA0">
        <w:rPr>
          <w:rFonts w:ascii="微软雅黑" w:eastAsia="微软雅黑" w:hAnsi="微软雅黑" w:cs="宋体"/>
          <w:kern w:val="0"/>
          <w:sz w:val="24"/>
          <w:szCs w:val="24"/>
          <w:vertAlign w:val="superscript"/>
        </w:rPr>
        <w:t> ]</w:t>
      </w:r>
      <w:r w:rsidRPr="007B6BA0">
        <w:rPr>
          <w:rFonts w:ascii="微软雅黑" w:eastAsia="微软雅黑" w:hAnsi="微软雅黑" w:cs="宋体"/>
          <w:kern w:val="0"/>
          <w:sz w:val="24"/>
          <w:szCs w:val="24"/>
        </w:rPr>
        <w:t> ，因此我们将注意力转向了尚未研究的通路“胆固醇稳态”（</w:t>
      </w:r>
      <w:proofErr w:type="spellStart"/>
      <w:r w:rsidRPr="007B6BA0">
        <w:rPr>
          <w:rFonts w:ascii="微软雅黑" w:eastAsia="微软雅黑" w:hAnsi="微软雅黑" w:cs="宋体"/>
          <w:kern w:val="0"/>
          <w:sz w:val="24"/>
          <w:szCs w:val="24"/>
        </w:rPr>
        <w:t>Cholesterol_Homeostasis</w:t>
      </w:r>
      <w:proofErr w:type="spellEnd"/>
      <w:r w:rsidRPr="007B6BA0">
        <w:rPr>
          <w:rFonts w:ascii="微软雅黑" w:eastAsia="微软雅黑" w:hAnsi="微软雅黑" w:cs="宋体"/>
          <w:kern w:val="0"/>
          <w:sz w:val="24"/>
          <w:szCs w:val="24"/>
        </w:rPr>
        <w:t>）（图 </w:t>
      </w:r>
      <w:hyperlink r:id="rId72" w:anchor="advs10347-fig-0003" w:history="1">
        <w:r w:rsidRPr="007B6BA0">
          <w:rPr>
            <w:rFonts w:ascii="微软雅黑" w:eastAsia="微软雅黑" w:hAnsi="微软雅黑" w:cs="宋体"/>
            <w:kern w:val="0"/>
            <w:sz w:val="24"/>
            <w:szCs w:val="24"/>
            <w:u w:val="single"/>
          </w:rPr>
          <w:t>3B</w:t>
        </w:r>
      </w:hyperlink>
      <w:r w:rsidRPr="007B6BA0">
        <w:rPr>
          <w:rFonts w:ascii="微软雅黑" w:eastAsia="微软雅黑" w:hAnsi="微软雅黑" w:cs="宋体"/>
          <w:kern w:val="0"/>
          <w:sz w:val="24"/>
          <w:szCs w:val="24"/>
        </w:rPr>
        <w:t>）。MDA-MB-468和Hs578T细胞的DMSO组均显示出与胆固醇稳态和胆固醇合成调控相关的基因</w:t>
      </w:r>
      <w:proofErr w:type="gramStart"/>
      <w:r w:rsidRPr="007B6BA0">
        <w:rPr>
          <w:rFonts w:ascii="微软雅黑" w:eastAsia="微软雅黑" w:hAnsi="微软雅黑" w:cs="宋体"/>
          <w:kern w:val="0"/>
          <w:sz w:val="24"/>
          <w:szCs w:val="24"/>
        </w:rPr>
        <w:t>集显著</w:t>
      </w:r>
      <w:proofErr w:type="gramEnd"/>
      <w:r w:rsidRPr="007B6BA0">
        <w:rPr>
          <w:rFonts w:ascii="微软雅黑" w:eastAsia="微软雅黑" w:hAnsi="微软雅黑" w:cs="宋体"/>
          <w:kern w:val="0"/>
          <w:sz w:val="24"/>
          <w:szCs w:val="24"/>
        </w:rPr>
        <w:t>富集（图 </w:t>
      </w:r>
      <w:hyperlink r:id="rId73" w:anchor="advs10347-fig-0003" w:history="1">
        <w:r w:rsidRPr="007B6BA0">
          <w:rPr>
            <w:rFonts w:ascii="微软雅黑" w:eastAsia="微软雅黑" w:hAnsi="微软雅黑" w:cs="宋体"/>
            <w:kern w:val="0"/>
            <w:sz w:val="24"/>
            <w:szCs w:val="24"/>
            <w:u w:val="single"/>
          </w:rPr>
          <w:t>3C</w:t>
        </w:r>
      </w:hyperlink>
      <w:r w:rsidRPr="007B6BA0">
        <w:rPr>
          <w:rFonts w:ascii="微软雅黑" w:eastAsia="微软雅黑" w:hAnsi="微软雅黑" w:cs="宋体"/>
          <w:kern w:val="0"/>
          <w:sz w:val="24"/>
          <w:szCs w:val="24"/>
        </w:rPr>
        <w:t>；补充信息图 </w:t>
      </w:r>
      <w:hyperlink r:id="rId74" w:anchor="advs10347-supinfo-0001" w:history="1">
        <w:r w:rsidRPr="007B6BA0">
          <w:rPr>
            <w:rFonts w:ascii="微软雅黑" w:eastAsia="微软雅黑" w:hAnsi="微软雅黑" w:cs="宋体"/>
            <w:kern w:val="0"/>
            <w:sz w:val="24"/>
            <w:szCs w:val="24"/>
            <w:u w:val="single"/>
          </w:rPr>
          <w:t>S3A</w:t>
        </w:r>
      </w:hyperlink>
      <w:r w:rsidRPr="007B6BA0">
        <w:rPr>
          <w:rFonts w:ascii="微软雅黑" w:eastAsia="微软雅黑" w:hAnsi="微软雅黑" w:cs="宋体"/>
          <w:kern w:val="0"/>
          <w:sz w:val="24"/>
          <w:szCs w:val="24"/>
        </w:rPr>
        <w:t> ）。联合治疗显著降低了合成级联反应中 关键酶（蓝色高亮显示，图</w:t>
      </w:r>
      <w:r w:rsidRPr="007B6BA0">
        <w:rPr>
          <w:rFonts w:ascii="微软雅黑" w:eastAsia="微软雅黑" w:hAnsi="微软雅黑" w:cs="宋体"/>
          <w:kern w:val="0"/>
          <w:sz w:val="24"/>
          <w:szCs w:val="24"/>
        </w:rPr>
        <w:fldChar w:fldCharType="begin"/>
      </w:r>
      <w:r w:rsidRPr="007B6BA0">
        <w:rPr>
          <w:rFonts w:ascii="微软雅黑" w:eastAsia="微软雅黑" w:hAnsi="微软雅黑" w:cs="宋体"/>
          <w:kern w:val="0"/>
          <w:sz w:val="24"/>
          <w:szCs w:val="24"/>
        </w:rPr>
        <w:instrText xml:space="preserve"> HYPERLINK "https://pmc.ncbi.nlm.nih.gov/articles/PMC11791979/" \l "advs10347-fig-0003" </w:instrText>
      </w:r>
      <w:r w:rsidRPr="007B6BA0">
        <w:rPr>
          <w:rFonts w:ascii="微软雅黑" w:eastAsia="微软雅黑" w:hAnsi="微软雅黑" w:cs="宋体"/>
          <w:kern w:val="0"/>
          <w:sz w:val="24"/>
          <w:szCs w:val="24"/>
        </w:rPr>
        <w:fldChar w:fldCharType="separate"/>
      </w:r>
      <w:r w:rsidRPr="007B6BA0">
        <w:rPr>
          <w:rFonts w:ascii="微软雅黑" w:eastAsia="微软雅黑" w:hAnsi="微软雅黑" w:cs="宋体"/>
          <w:kern w:val="0"/>
          <w:sz w:val="24"/>
          <w:szCs w:val="24"/>
          <w:u w:val="single"/>
        </w:rPr>
        <w:t>3D</w:t>
      </w:r>
      <w:r w:rsidRPr="007B6BA0">
        <w:rPr>
          <w:rFonts w:ascii="微软雅黑" w:eastAsia="微软雅黑" w:hAnsi="微软雅黑" w:cs="宋体"/>
          <w:kern w:val="0"/>
          <w:sz w:val="24"/>
          <w:szCs w:val="24"/>
        </w:rPr>
        <w:fldChar w:fldCharType="end"/>
      </w:r>
      <w:r w:rsidRPr="007B6BA0">
        <w:rPr>
          <w:rFonts w:ascii="微软雅黑" w:eastAsia="微软雅黑" w:hAnsi="微软雅黑" w:cs="宋体"/>
          <w:kern w:val="0"/>
          <w:sz w:val="24"/>
          <w:szCs w:val="24"/>
        </w:rPr>
        <w:t> ）的mRNA和蛋白水平 （图</w:t>
      </w:r>
      <w:r w:rsidRPr="007B6BA0">
        <w:rPr>
          <w:rFonts w:ascii="微软雅黑" w:eastAsia="微软雅黑" w:hAnsi="微软雅黑" w:cs="宋体"/>
          <w:kern w:val="0"/>
          <w:sz w:val="24"/>
          <w:szCs w:val="24"/>
        </w:rPr>
        <w:fldChar w:fldCharType="begin"/>
      </w:r>
      <w:r w:rsidRPr="007B6BA0">
        <w:rPr>
          <w:rFonts w:ascii="微软雅黑" w:eastAsia="微软雅黑" w:hAnsi="微软雅黑" w:cs="宋体"/>
          <w:kern w:val="0"/>
          <w:sz w:val="24"/>
          <w:szCs w:val="24"/>
        </w:rPr>
        <w:instrText xml:space="preserve"> HYPERLINK "https://pmc.ncbi.nlm.nih.gov/articles/PMC11791979/" \l "advs10347-fig-0003" </w:instrText>
      </w:r>
      <w:r w:rsidRPr="007B6BA0">
        <w:rPr>
          <w:rFonts w:ascii="微软雅黑" w:eastAsia="微软雅黑" w:hAnsi="微软雅黑" w:cs="宋体"/>
          <w:kern w:val="0"/>
          <w:sz w:val="24"/>
          <w:szCs w:val="24"/>
        </w:rPr>
        <w:fldChar w:fldCharType="separate"/>
      </w:r>
      <w:r w:rsidRPr="007B6BA0">
        <w:rPr>
          <w:rFonts w:ascii="微软雅黑" w:eastAsia="微软雅黑" w:hAnsi="微软雅黑" w:cs="宋体"/>
          <w:kern w:val="0"/>
          <w:sz w:val="24"/>
          <w:szCs w:val="24"/>
          <w:u w:val="single"/>
        </w:rPr>
        <w:t>3E、F</w:t>
      </w:r>
      <w:r w:rsidRPr="007B6BA0">
        <w:rPr>
          <w:rFonts w:ascii="微软雅黑" w:eastAsia="微软雅黑" w:hAnsi="微软雅黑" w:cs="宋体"/>
          <w:kern w:val="0"/>
          <w:sz w:val="24"/>
          <w:szCs w:val="24"/>
        </w:rPr>
        <w:fldChar w:fldCharType="end"/>
      </w:r>
      <w:r w:rsidRPr="007B6BA0">
        <w:rPr>
          <w:rFonts w:ascii="微软雅黑" w:eastAsia="微软雅黑" w:hAnsi="微软雅黑" w:cs="宋体"/>
          <w:kern w:val="0"/>
          <w:sz w:val="24"/>
          <w:szCs w:val="24"/>
        </w:rPr>
        <w:t>）。这些关键酶的调控轴由甾醇调节元件结合蛋白 (SREBP) 家族控制，该家族主要包括 SREBP1 和 SREBP2（分别由 SREBF1 和 SREBF2 编码）。</w:t>
      </w:r>
      <w:r w:rsidRPr="007B6BA0">
        <w:rPr>
          <w:rFonts w:ascii="微软雅黑" w:eastAsia="微软雅黑" w:hAnsi="微软雅黑" w:cs="宋体"/>
          <w:kern w:val="0"/>
          <w:sz w:val="24"/>
          <w:szCs w:val="24"/>
          <w:vertAlign w:val="superscript"/>
        </w:rPr>
        <w:t>[ </w:t>
      </w:r>
      <w:hyperlink r:id="rId75" w:anchor="advs10347-bib-0030" w:history="1">
        <w:r w:rsidRPr="007B6BA0">
          <w:rPr>
            <w:rFonts w:ascii="微软雅黑" w:eastAsia="微软雅黑" w:hAnsi="微软雅黑" w:cs="宋体"/>
            <w:kern w:val="0"/>
            <w:sz w:val="24"/>
            <w:szCs w:val="24"/>
            <w:u w:val="single"/>
            <w:vertAlign w:val="superscript"/>
          </w:rPr>
          <w:t>30</w:t>
        </w:r>
      </w:hyperlink>
      <w:r w:rsidRPr="007B6BA0">
        <w:rPr>
          <w:rFonts w:ascii="微软雅黑" w:eastAsia="微软雅黑" w:hAnsi="微软雅黑" w:cs="宋体"/>
          <w:kern w:val="0"/>
          <w:sz w:val="24"/>
          <w:szCs w:val="24"/>
          <w:vertAlign w:val="superscript"/>
        </w:rPr>
        <w:t> ]</w:t>
      </w:r>
      <w:r w:rsidRPr="007B6BA0">
        <w:rPr>
          <w:rFonts w:ascii="微软雅黑" w:eastAsia="微软雅黑" w:hAnsi="微软雅黑" w:cs="宋体"/>
          <w:kern w:val="0"/>
          <w:sz w:val="24"/>
          <w:szCs w:val="24"/>
        </w:rPr>
        <w:t xml:space="preserve">双重抑制选择性地降低了 </w:t>
      </w:r>
      <w:r w:rsidRPr="007B6BA0">
        <w:rPr>
          <w:rFonts w:ascii="微软雅黑" w:eastAsia="微软雅黑" w:hAnsi="微软雅黑" w:cs="宋体"/>
          <w:kern w:val="0"/>
          <w:sz w:val="24"/>
          <w:szCs w:val="24"/>
        </w:rPr>
        <w:lastRenderedPageBreak/>
        <w:t>SREBP1 的 mRNA 和蛋白水平，而 SREBP2 未见明显变化（图 </w:t>
      </w:r>
      <w:hyperlink r:id="rId76" w:anchor="advs10347-fig-0003" w:history="1">
        <w:r w:rsidRPr="007B6BA0">
          <w:rPr>
            <w:rFonts w:ascii="微软雅黑" w:eastAsia="微软雅黑" w:hAnsi="微软雅黑" w:cs="宋体"/>
            <w:kern w:val="0"/>
            <w:sz w:val="24"/>
            <w:szCs w:val="24"/>
            <w:u w:val="single"/>
          </w:rPr>
          <w:t>3E、F</w:t>
        </w:r>
      </w:hyperlink>
      <w:r w:rsidRPr="007B6BA0">
        <w:rPr>
          <w:rFonts w:ascii="微软雅黑" w:eastAsia="微软雅黑" w:hAnsi="微软雅黑" w:cs="宋体"/>
          <w:kern w:val="0"/>
          <w:sz w:val="24"/>
          <w:szCs w:val="24"/>
        </w:rPr>
        <w:t>），表明调控作用主要归因于 SREBP1。体内肿瘤的免疫组织化学 (IHC) 证实了体外观察到的 SREBP1 和</w:t>
      </w:r>
      <w:proofErr w:type="gramStart"/>
      <w:r w:rsidRPr="007B6BA0">
        <w:rPr>
          <w:rFonts w:ascii="微软雅黑" w:eastAsia="微软雅黑" w:hAnsi="微软雅黑" w:cs="宋体"/>
          <w:kern w:val="0"/>
          <w:sz w:val="24"/>
          <w:szCs w:val="24"/>
        </w:rPr>
        <w:t>酶表达</w:t>
      </w:r>
      <w:proofErr w:type="gramEnd"/>
      <w:r w:rsidRPr="007B6BA0">
        <w:rPr>
          <w:rFonts w:ascii="微软雅黑" w:eastAsia="微软雅黑" w:hAnsi="微软雅黑" w:cs="宋体"/>
          <w:kern w:val="0"/>
          <w:sz w:val="24"/>
          <w:szCs w:val="24"/>
        </w:rPr>
        <w:t>的降低（图 </w:t>
      </w:r>
      <w:hyperlink r:id="rId77" w:anchor="advs10347-fig-0003" w:history="1">
        <w:r w:rsidRPr="007B6BA0">
          <w:rPr>
            <w:rFonts w:ascii="微软雅黑" w:eastAsia="微软雅黑" w:hAnsi="微软雅黑" w:cs="宋体"/>
            <w:kern w:val="0"/>
            <w:sz w:val="24"/>
            <w:szCs w:val="24"/>
            <w:u w:val="single"/>
          </w:rPr>
          <w:t>3G</w:t>
        </w:r>
      </w:hyperlink>
      <w:r w:rsidRPr="007B6BA0">
        <w:rPr>
          <w:rFonts w:ascii="微软雅黑" w:eastAsia="微软雅黑" w:hAnsi="微软雅黑" w:cs="宋体"/>
          <w:kern w:val="0"/>
          <w:sz w:val="24"/>
          <w:szCs w:val="24"/>
        </w:rPr>
        <w:t>、H；补充信息图 </w:t>
      </w:r>
      <w:hyperlink r:id="rId78" w:anchor="advs10347-supinfo-0001" w:history="1">
        <w:r w:rsidRPr="007B6BA0">
          <w:rPr>
            <w:rFonts w:ascii="微软雅黑" w:eastAsia="微软雅黑" w:hAnsi="微软雅黑" w:cs="宋体"/>
            <w:kern w:val="0"/>
            <w:sz w:val="24"/>
            <w:szCs w:val="24"/>
            <w:u w:val="single"/>
          </w:rPr>
          <w:t>S3B、C</w:t>
        </w:r>
      </w:hyperlink>
      <w:r w:rsidRPr="007B6BA0">
        <w:rPr>
          <w:rFonts w:ascii="微软雅黑" w:eastAsia="微软雅黑" w:hAnsi="微软雅黑" w:cs="宋体"/>
          <w:kern w:val="0"/>
          <w:sz w:val="24"/>
          <w:szCs w:val="24"/>
        </w:rPr>
        <w:t>）。</w:t>
      </w:r>
      <w:proofErr w:type="gramStart"/>
      <w:r w:rsidRPr="007B6BA0">
        <w:rPr>
          <w:rFonts w:ascii="微软雅黑" w:eastAsia="微软雅黑" w:hAnsi="微软雅黑" w:cs="宋体"/>
          <w:kern w:val="0"/>
          <w:sz w:val="24"/>
          <w:szCs w:val="24"/>
        </w:rPr>
        <w:t>代谢组</w:t>
      </w:r>
      <w:proofErr w:type="gramEnd"/>
      <w:r w:rsidRPr="007B6BA0">
        <w:rPr>
          <w:rFonts w:ascii="微软雅黑" w:eastAsia="微软雅黑" w:hAnsi="微软雅黑" w:cs="宋体"/>
          <w:kern w:val="0"/>
          <w:sz w:val="24"/>
          <w:szCs w:val="24"/>
        </w:rPr>
        <w:t>学分析表明，在细胞和动物模型中，胆固醇合成途径的中间代谢物（角鲨烯、羊毛甾醇）和最终产物（游离胆固醇）均显著减少（图 </w:t>
      </w:r>
      <w:hyperlink r:id="rId79" w:anchor="advs10347-fig-0003" w:history="1">
        <w:r w:rsidRPr="007B6BA0">
          <w:rPr>
            <w:rFonts w:ascii="微软雅黑" w:eastAsia="微软雅黑" w:hAnsi="微软雅黑" w:cs="宋体"/>
            <w:kern w:val="0"/>
            <w:sz w:val="24"/>
            <w:szCs w:val="24"/>
            <w:u w:val="single"/>
          </w:rPr>
          <w:t>3I</w:t>
        </w:r>
      </w:hyperlink>
      <w:r w:rsidRPr="007B6BA0">
        <w:rPr>
          <w:rFonts w:ascii="微软雅黑" w:eastAsia="微软雅黑" w:hAnsi="微软雅黑" w:cs="宋体"/>
          <w:kern w:val="0"/>
          <w:sz w:val="24"/>
          <w:szCs w:val="24"/>
        </w:rPr>
        <w:t>）。</w:t>
      </w:r>
    </w:p>
    <w:p w14:paraId="467D2E2B" w14:textId="77777777" w:rsidR="007B6BA0" w:rsidRPr="007B6BA0" w:rsidRDefault="007B6BA0" w:rsidP="007B6BA0">
      <w:pPr>
        <w:widowControl/>
        <w:spacing w:line="450" w:lineRule="atLeast"/>
        <w:outlineLvl w:val="3"/>
        <w:rPr>
          <w:rFonts w:ascii="微软雅黑" w:eastAsia="微软雅黑" w:hAnsi="微软雅黑" w:cs="宋体"/>
          <w:kern w:val="0"/>
          <w:sz w:val="30"/>
          <w:szCs w:val="30"/>
        </w:rPr>
      </w:pPr>
      <w:r w:rsidRPr="007B6BA0">
        <w:rPr>
          <w:rFonts w:ascii="微软雅黑" w:eastAsia="微软雅黑" w:hAnsi="微软雅黑" w:cs="宋体"/>
          <w:kern w:val="0"/>
          <w:sz w:val="30"/>
          <w:szCs w:val="30"/>
        </w:rPr>
        <w:t>图 3。</w:t>
      </w:r>
    </w:p>
    <w:p w14:paraId="4B60FA57" w14:textId="1F36AE49" w:rsidR="007B6BA0" w:rsidRPr="007B6BA0" w:rsidRDefault="007B6BA0" w:rsidP="007B6BA0">
      <w:pPr>
        <w:widowControl/>
        <w:spacing w:before="450"/>
        <w:rPr>
          <w:rFonts w:ascii="微软雅黑" w:eastAsia="微软雅黑" w:hAnsi="微软雅黑" w:cs="宋体"/>
          <w:kern w:val="0"/>
          <w:sz w:val="24"/>
          <w:szCs w:val="24"/>
        </w:rPr>
      </w:pPr>
      <w:r w:rsidRPr="005E56A4">
        <w:rPr>
          <w:rFonts w:ascii="微软雅黑" w:eastAsia="微软雅黑" w:hAnsi="微软雅黑" w:cs="宋体"/>
          <w:noProof/>
          <w:kern w:val="0"/>
          <w:sz w:val="24"/>
          <w:szCs w:val="24"/>
        </w:rPr>
        <w:lastRenderedPageBreak/>
        <w:drawing>
          <wp:inline distT="0" distB="0" distL="0" distR="0" wp14:anchorId="1EF890C3" wp14:editId="5D22E84D">
            <wp:extent cx="5274310" cy="6593205"/>
            <wp:effectExtent l="0" t="0" r="2540" b="0"/>
            <wp:docPr id="4" name="图片 4" descr="图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ats-graphic-7" descr="图 3"/>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5274310" cy="6593205"/>
                    </a:xfrm>
                    <a:prstGeom prst="rect">
                      <a:avLst/>
                    </a:prstGeom>
                    <a:noFill/>
                    <a:ln>
                      <a:noFill/>
                    </a:ln>
                  </pic:spPr>
                </pic:pic>
              </a:graphicData>
            </a:graphic>
          </wp:inline>
        </w:drawing>
      </w:r>
    </w:p>
    <w:p w14:paraId="1BFB84E9" w14:textId="77777777" w:rsidR="007B6BA0" w:rsidRPr="007B6BA0" w:rsidRDefault="007B6BA0" w:rsidP="007B6BA0">
      <w:pPr>
        <w:widowControl/>
        <w:rPr>
          <w:rFonts w:ascii="微软雅黑" w:eastAsia="微软雅黑" w:hAnsi="微软雅黑" w:cs="宋体"/>
          <w:kern w:val="0"/>
          <w:sz w:val="24"/>
          <w:szCs w:val="24"/>
        </w:rPr>
      </w:pPr>
      <w:r w:rsidRPr="007B6BA0">
        <w:rPr>
          <w:rFonts w:ascii="微软雅黑" w:eastAsia="微软雅黑" w:hAnsi="微软雅黑" w:cs="宋体"/>
          <w:kern w:val="0"/>
          <w:sz w:val="24"/>
          <w:szCs w:val="24"/>
        </w:rPr>
        <w:t>CDK4/6 和 CDK7 的同时抑制可抑制 SREBF1 调控的胆固醇合成。A) Venn 图展示了与药物组合（Combo）组相比，MDA-MB-468 和 Hs578T 细胞 DMSO 组中富集的重叠 GSEA 标志性通路。GSEA 分析使用 DMSO、</w:t>
      </w:r>
      <w:proofErr w:type="spellStart"/>
      <w:r w:rsidRPr="007B6BA0">
        <w:rPr>
          <w:rFonts w:ascii="微软雅黑" w:eastAsia="微软雅黑" w:hAnsi="微软雅黑" w:cs="宋体"/>
          <w:kern w:val="0"/>
          <w:sz w:val="24"/>
          <w:szCs w:val="24"/>
        </w:rPr>
        <w:t>abemaciclib</w:t>
      </w:r>
      <w:proofErr w:type="spellEnd"/>
      <w:r w:rsidRPr="007B6BA0">
        <w:rPr>
          <w:rFonts w:ascii="微软雅黑" w:eastAsia="微软雅黑" w:hAnsi="微软雅黑" w:cs="宋体"/>
          <w:kern w:val="0"/>
          <w:sz w:val="24"/>
          <w:szCs w:val="24"/>
        </w:rPr>
        <w:t>、YKL-5-124 或药物组合处理 48 小时后的 RNA-Seq 数据进行（</w:t>
      </w:r>
      <w:r w:rsidRPr="007B6BA0">
        <w:rPr>
          <w:rFonts w:ascii="微软雅黑" w:eastAsia="微软雅黑" w:hAnsi="微软雅黑" w:cs="宋体"/>
          <w:i/>
          <w:iCs/>
          <w:kern w:val="0"/>
          <w:sz w:val="24"/>
          <w:szCs w:val="24"/>
        </w:rPr>
        <w:t>n</w:t>
      </w:r>
      <w:r w:rsidRPr="007B6BA0">
        <w:rPr>
          <w:rFonts w:ascii="微软雅黑" w:eastAsia="微软雅黑" w:hAnsi="微软雅黑" w:cs="宋体"/>
          <w:kern w:val="0"/>
          <w:sz w:val="24"/>
          <w:szCs w:val="24"/>
        </w:rPr>
        <w:t xml:space="preserve"> = 2 </w:t>
      </w:r>
      <w:proofErr w:type="gramStart"/>
      <w:r w:rsidRPr="007B6BA0">
        <w:rPr>
          <w:rFonts w:ascii="微软雅黑" w:eastAsia="微软雅黑" w:hAnsi="微软雅黑" w:cs="宋体"/>
          <w:kern w:val="0"/>
          <w:sz w:val="24"/>
          <w:szCs w:val="24"/>
        </w:rPr>
        <w:t>个</w:t>
      </w:r>
      <w:proofErr w:type="gramEnd"/>
      <w:r w:rsidRPr="007B6BA0">
        <w:rPr>
          <w:rFonts w:ascii="微软雅黑" w:eastAsia="微软雅黑" w:hAnsi="微软雅黑" w:cs="宋体"/>
          <w:kern w:val="0"/>
          <w:sz w:val="24"/>
          <w:szCs w:val="24"/>
        </w:rPr>
        <w:t xml:space="preserve">生物学重复）。B) MDA-MB-468 和 Hs578T 细胞中按平均 NES </w:t>
      </w:r>
      <w:r w:rsidRPr="007B6BA0">
        <w:rPr>
          <w:rFonts w:ascii="微软雅黑" w:eastAsia="微软雅黑" w:hAnsi="微软雅黑" w:cs="宋体"/>
          <w:kern w:val="0"/>
          <w:sz w:val="24"/>
          <w:szCs w:val="24"/>
        </w:rPr>
        <w:lastRenderedPageBreak/>
        <w:t xml:space="preserve">排序的重叠标志性通路。C) MDA-MB-468 细胞 DMSO 组中胆固醇相关通路的 GSEA 富集图。D) 胆固醇生物合成途径示意图，包括中间代谢物（黑色）和关键酶（蓝色）。 E) </w:t>
      </w:r>
      <w:proofErr w:type="gramStart"/>
      <w:r w:rsidRPr="007B6BA0">
        <w:rPr>
          <w:rFonts w:ascii="微软雅黑" w:eastAsia="微软雅黑" w:hAnsi="微软雅黑" w:cs="宋体"/>
          <w:kern w:val="0"/>
          <w:sz w:val="24"/>
          <w:szCs w:val="24"/>
        </w:rPr>
        <w:t>热图总结</w:t>
      </w:r>
      <w:proofErr w:type="gramEnd"/>
      <w:r w:rsidRPr="007B6BA0">
        <w:rPr>
          <w:rFonts w:ascii="微软雅黑" w:eastAsia="微软雅黑" w:hAnsi="微软雅黑" w:cs="宋体"/>
          <w:kern w:val="0"/>
          <w:sz w:val="24"/>
          <w:szCs w:val="24"/>
        </w:rPr>
        <w:t>了两种三阴性乳腺癌 (TNBC) 细胞系（ </w:t>
      </w:r>
      <w:r w:rsidRPr="007B6BA0">
        <w:rPr>
          <w:rFonts w:ascii="微软雅黑" w:eastAsia="微软雅黑" w:hAnsi="微软雅黑" w:cs="宋体"/>
          <w:i/>
          <w:iCs/>
          <w:kern w:val="0"/>
          <w:sz w:val="24"/>
          <w:szCs w:val="24"/>
        </w:rPr>
        <w:t>n</w:t>
      </w:r>
      <w:r w:rsidRPr="007B6BA0">
        <w:rPr>
          <w:rFonts w:ascii="微软雅黑" w:eastAsia="微软雅黑" w:hAnsi="微软雅黑" w:cs="宋体"/>
          <w:kern w:val="0"/>
          <w:sz w:val="24"/>
          <w:szCs w:val="24"/>
        </w:rPr>
        <w:t> = 3）在单药或联合治疗后胆固醇合成相关基因的 RT-qPCR 结果。F) 免疫印迹分析了两种 TNBC 细胞系在单药或联合治疗后胆固醇合成相关蛋白的表达。G) MDA-MB-468 细胞和患者来源异种移植瘤肿瘤切片中 SREBP1 的免疫组化染色。比例尺：100 µm。H) MDA-MB-468 细胞（</w:t>
      </w:r>
      <w:r w:rsidRPr="007B6BA0">
        <w:rPr>
          <w:rFonts w:ascii="微软雅黑" w:eastAsia="微软雅黑" w:hAnsi="微软雅黑" w:cs="宋体"/>
          <w:i/>
          <w:iCs/>
          <w:kern w:val="0"/>
          <w:sz w:val="24"/>
          <w:szCs w:val="24"/>
        </w:rPr>
        <w:t>n</w:t>
      </w:r>
      <w:r w:rsidRPr="007B6BA0">
        <w:rPr>
          <w:rFonts w:ascii="微软雅黑" w:eastAsia="微软雅黑" w:hAnsi="微软雅黑" w:cs="宋体"/>
          <w:kern w:val="0"/>
          <w:sz w:val="24"/>
          <w:szCs w:val="24"/>
        </w:rPr>
        <w:t> = 10）和患者来源异种移植瘤（</w:t>
      </w:r>
      <w:r w:rsidRPr="007B6BA0">
        <w:rPr>
          <w:rFonts w:ascii="微软雅黑" w:eastAsia="微软雅黑" w:hAnsi="微软雅黑" w:cs="宋体"/>
          <w:i/>
          <w:iCs/>
          <w:kern w:val="0"/>
          <w:sz w:val="24"/>
          <w:szCs w:val="24"/>
        </w:rPr>
        <w:t>n</w:t>
      </w:r>
      <w:r w:rsidRPr="007B6BA0">
        <w:rPr>
          <w:rFonts w:ascii="微软雅黑" w:eastAsia="微软雅黑" w:hAnsi="微软雅黑" w:cs="宋体"/>
          <w:kern w:val="0"/>
          <w:sz w:val="24"/>
          <w:szCs w:val="24"/>
        </w:rPr>
        <w:t> = 10）肿瘤切片中 SREBP1 染色的 H 评分。每个肿瘤选取两张代表性图像进行 SREBP1 染色定量。数据以均值 ± 标准差表示。p</w:t>
      </w:r>
      <w:r w:rsidRPr="007B6BA0">
        <w:rPr>
          <w:rFonts w:ascii="微软雅黑" w:eastAsia="微软雅黑" w:hAnsi="微软雅黑" w:cs="宋体"/>
          <w:i/>
          <w:iCs/>
          <w:kern w:val="0"/>
          <w:sz w:val="24"/>
          <w:szCs w:val="24"/>
        </w:rPr>
        <w:t>值</w:t>
      </w:r>
      <w:r w:rsidRPr="007B6BA0">
        <w:rPr>
          <w:rFonts w:ascii="微软雅黑" w:eastAsia="微软雅黑" w:hAnsi="微软雅黑" w:cs="宋体"/>
          <w:kern w:val="0"/>
          <w:sz w:val="24"/>
          <w:szCs w:val="24"/>
        </w:rPr>
        <w:t>采用单因素方差分析计算，**** </w:t>
      </w:r>
      <w:r w:rsidRPr="007B6BA0">
        <w:rPr>
          <w:rFonts w:ascii="微软雅黑" w:eastAsia="微软雅黑" w:hAnsi="微软雅黑" w:cs="宋体"/>
          <w:i/>
          <w:iCs/>
          <w:kern w:val="0"/>
          <w:sz w:val="24"/>
          <w:szCs w:val="24"/>
        </w:rPr>
        <w:t>p</w:t>
      </w:r>
      <w:r w:rsidRPr="007B6BA0">
        <w:rPr>
          <w:rFonts w:ascii="微软雅黑" w:eastAsia="微软雅黑" w:hAnsi="微软雅黑" w:cs="宋体"/>
          <w:kern w:val="0"/>
          <w:sz w:val="24"/>
          <w:szCs w:val="24"/>
        </w:rPr>
        <w:t> &lt; 0.0001。 I) MDA-MB-468异种移植瘤（ </w:t>
      </w:r>
      <w:r w:rsidRPr="007B6BA0">
        <w:rPr>
          <w:rFonts w:ascii="微软雅黑" w:eastAsia="微软雅黑" w:hAnsi="微软雅黑" w:cs="宋体"/>
          <w:i/>
          <w:iCs/>
          <w:kern w:val="0"/>
          <w:sz w:val="24"/>
          <w:szCs w:val="24"/>
        </w:rPr>
        <w:t>n</w:t>
      </w:r>
      <w:r w:rsidRPr="007B6BA0">
        <w:rPr>
          <w:rFonts w:ascii="微软雅黑" w:eastAsia="微软雅黑" w:hAnsi="微软雅黑" w:cs="宋体"/>
          <w:kern w:val="0"/>
          <w:sz w:val="24"/>
          <w:szCs w:val="24"/>
        </w:rPr>
        <w:t> = 5）和Hs578T细胞（</w:t>
      </w:r>
      <w:r w:rsidRPr="007B6BA0">
        <w:rPr>
          <w:rFonts w:ascii="微软雅黑" w:eastAsia="微软雅黑" w:hAnsi="微软雅黑" w:cs="宋体"/>
          <w:i/>
          <w:iCs/>
          <w:kern w:val="0"/>
          <w:sz w:val="24"/>
          <w:szCs w:val="24"/>
        </w:rPr>
        <w:t>n</w:t>
      </w:r>
      <w:r w:rsidRPr="007B6BA0">
        <w:rPr>
          <w:rFonts w:ascii="微软雅黑" w:eastAsia="微软雅黑" w:hAnsi="微软雅黑" w:cs="宋体"/>
          <w:kern w:val="0"/>
          <w:sz w:val="24"/>
          <w:szCs w:val="24"/>
        </w:rPr>
        <w:t> = 5）中胆固醇相关代谢物的定量分析。数据以均值±标准差（SD）表示。p</w:t>
      </w:r>
      <w:r w:rsidRPr="007B6BA0">
        <w:rPr>
          <w:rFonts w:ascii="微软雅黑" w:eastAsia="微软雅黑" w:hAnsi="微软雅黑" w:cs="宋体"/>
          <w:i/>
          <w:iCs/>
          <w:kern w:val="0"/>
          <w:sz w:val="24"/>
          <w:szCs w:val="24"/>
        </w:rPr>
        <w:t>值</w:t>
      </w:r>
      <w:r w:rsidRPr="007B6BA0">
        <w:rPr>
          <w:rFonts w:ascii="微软雅黑" w:eastAsia="微软雅黑" w:hAnsi="微软雅黑" w:cs="宋体"/>
          <w:kern w:val="0"/>
          <w:sz w:val="24"/>
          <w:szCs w:val="24"/>
        </w:rPr>
        <w:t>采用单因素方差分析（ANOVA）计算，* </w:t>
      </w:r>
      <w:r w:rsidRPr="007B6BA0">
        <w:rPr>
          <w:rFonts w:ascii="微软雅黑" w:eastAsia="微软雅黑" w:hAnsi="微软雅黑" w:cs="宋体"/>
          <w:i/>
          <w:iCs/>
          <w:kern w:val="0"/>
          <w:sz w:val="24"/>
          <w:szCs w:val="24"/>
        </w:rPr>
        <w:t>p</w:t>
      </w:r>
      <w:r w:rsidRPr="007B6BA0">
        <w:rPr>
          <w:rFonts w:ascii="微软雅黑" w:eastAsia="微软雅黑" w:hAnsi="微软雅黑" w:cs="宋体"/>
          <w:kern w:val="0"/>
          <w:sz w:val="24"/>
          <w:szCs w:val="24"/>
        </w:rPr>
        <w:t> &lt; 0.05，** </w:t>
      </w:r>
      <w:r w:rsidRPr="007B6BA0">
        <w:rPr>
          <w:rFonts w:ascii="微软雅黑" w:eastAsia="微软雅黑" w:hAnsi="微软雅黑" w:cs="宋体"/>
          <w:i/>
          <w:iCs/>
          <w:kern w:val="0"/>
          <w:sz w:val="24"/>
          <w:szCs w:val="24"/>
        </w:rPr>
        <w:t>p</w:t>
      </w:r>
      <w:r w:rsidRPr="007B6BA0">
        <w:rPr>
          <w:rFonts w:ascii="微软雅黑" w:eastAsia="微软雅黑" w:hAnsi="微软雅黑" w:cs="宋体"/>
          <w:kern w:val="0"/>
          <w:sz w:val="24"/>
          <w:szCs w:val="24"/>
        </w:rPr>
        <w:t> &lt; 0.01，**** </w:t>
      </w:r>
      <w:r w:rsidRPr="007B6BA0">
        <w:rPr>
          <w:rFonts w:ascii="微软雅黑" w:eastAsia="微软雅黑" w:hAnsi="微软雅黑" w:cs="宋体"/>
          <w:i/>
          <w:iCs/>
          <w:kern w:val="0"/>
          <w:sz w:val="24"/>
          <w:szCs w:val="24"/>
        </w:rPr>
        <w:t>p</w:t>
      </w:r>
      <w:r w:rsidRPr="007B6BA0">
        <w:rPr>
          <w:rFonts w:ascii="微软雅黑" w:eastAsia="微软雅黑" w:hAnsi="微软雅黑" w:cs="宋体"/>
          <w:kern w:val="0"/>
          <w:sz w:val="24"/>
          <w:szCs w:val="24"/>
        </w:rPr>
        <w:t> &lt; 0.0001。J) 胆固醇挽救了MDA-MB-468和Hs578T细胞中联合组的集落形成。</w:t>
      </w:r>
      <w:proofErr w:type="gramStart"/>
      <w:r w:rsidRPr="007B6BA0">
        <w:rPr>
          <w:rFonts w:ascii="微软雅黑" w:eastAsia="微软雅黑" w:hAnsi="微软雅黑" w:cs="宋体"/>
          <w:kern w:val="0"/>
          <w:sz w:val="24"/>
          <w:szCs w:val="24"/>
        </w:rPr>
        <w:t>挽救组</w:t>
      </w:r>
      <w:proofErr w:type="gramEnd"/>
      <w:r w:rsidRPr="007B6BA0">
        <w:rPr>
          <w:rFonts w:ascii="微软雅黑" w:eastAsia="微软雅黑" w:hAnsi="微软雅黑" w:cs="宋体"/>
          <w:kern w:val="0"/>
          <w:sz w:val="24"/>
          <w:szCs w:val="24"/>
        </w:rPr>
        <w:t>额外补充0.2 µg mL</w:t>
      </w:r>
      <w:r w:rsidRPr="007B6BA0">
        <w:rPr>
          <w:rFonts w:ascii="MS Gothic" w:eastAsia="MS Gothic" w:hAnsi="MS Gothic" w:cs="MS Gothic" w:hint="eastAsia"/>
          <w:kern w:val="0"/>
          <w:sz w:val="24"/>
          <w:szCs w:val="24"/>
        </w:rPr>
        <w:t>⁻</w:t>
      </w:r>
      <w:r w:rsidRPr="007B6BA0">
        <w:rPr>
          <w:rFonts w:ascii="微软雅黑" w:eastAsia="微软雅黑" w:hAnsi="微软雅黑" w:cs="宋体" w:hint="eastAsia"/>
          <w:kern w:val="0"/>
          <w:sz w:val="24"/>
          <w:szCs w:val="24"/>
        </w:rPr>
        <w:t>¹</w:t>
      </w:r>
      <w:r w:rsidRPr="007B6BA0">
        <w:rPr>
          <w:rFonts w:ascii="微软雅黑" w:eastAsia="微软雅黑" w:hAnsi="微软雅黑" w:cs="宋体"/>
          <w:kern w:val="0"/>
          <w:sz w:val="24"/>
          <w:szCs w:val="24"/>
          <w:vertAlign w:val="superscript"/>
        </w:rPr>
        <w:t>胆固醇</w:t>
      </w:r>
      <w:r w:rsidRPr="007B6BA0">
        <w:rPr>
          <w:rFonts w:ascii="微软雅黑" w:eastAsia="微软雅黑" w:hAnsi="微软雅黑" w:cs="宋体"/>
          <w:kern w:val="0"/>
          <w:sz w:val="24"/>
          <w:szCs w:val="24"/>
        </w:rPr>
        <w:t>，持续14天。提供了3个生物学重复的代表性图像。p</w:t>
      </w:r>
      <w:r w:rsidRPr="007B6BA0">
        <w:rPr>
          <w:rFonts w:ascii="微软雅黑" w:eastAsia="微软雅黑" w:hAnsi="微软雅黑" w:cs="宋体"/>
          <w:i/>
          <w:iCs/>
          <w:kern w:val="0"/>
          <w:sz w:val="24"/>
          <w:szCs w:val="24"/>
        </w:rPr>
        <w:t>值</w:t>
      </w:r>
      <w:r w:rsidRPr="007B6BA0">
        <w:rPr>
          <w:rFonts w:ascii="微软雅黑" w:eastAsia="微软雅黑" w:hAnsi="微软雅黑" w:cs="宋体"/>
          <w:kern w:val="0"/>
          <w:sz w:val="24"/>
          <w:szCs w:val="24"/>
        </w:rPr>
        <w:t>采用单因素方差分析（ANOVA）计算，* </w:t>
      </w:r>
      <w:r w:rsidRPr="007B6BA0">
        <w:rPr>
          <w:rFonts w:ascii="微软雅黑" w:eastAsia="微软雅黑" w:hAnsi="微软雅黑" w:cs="宋体"/>
          <w:i/>
          <w:iCs/>
          <w:kern w:val="0"/>
          <w:sz w:val="24"/>
          <w:szCs w:val="24"/>
        </w:rPr>
        <w:t>p</w:t>
      </w:r>
      <w:r w:rsidRPr="007B6BA0">
        <w:rPr>
          <w:rFonts w:ascii="微软雅黑" w:eastAsia="微软雅黑" w:hAnsi="微软雅黑" w:cs="宋体"/>
          <w:kern w:val="0"/>
          <w:sz w:val="24"/>
          <w:szCs w:val="24"/>
        </w:rPr>
        <w:t> &lt; 0.05，**** </w:t>
      </w:r>
      <w:r w:rsidRPr="007B6BA0">
        <w:rPr>
          <w:rFonts w:ascii="微软雅黑" w:eastAsia="微软雅黑" w:hAnsi="微软雅黑" w:cs="宋体"/>
          <w:i/>
          <w:iCs/>
          <w:kern w:val="0"/>
          <w:sz w:val="24"/>
          <w:szCs w:val="24"/>
        </w:rPr>
        <w:t>p</w:t>
      </w:r>
      <w:r w:rsidRPr="007B6BA0">
        <w:rPr>
          <w:rFonts w:ascii="微软雅黑" w:eastAsia="微软雅黑" w:hAnsi="微软雅黑" w:cs="宋体"/>
          <w:kern w:val="0"/>
          <w:sz w:val="24"/>
          <w:szCs w:val="24"/>
        </w:rPr>
        <w:t> &lt; 0.0001。K) 体内胆固醇挽救实验的示意图。将携带MDA-MB-468异种移植瘤的小鼠随机分为四组，分别接受对照组或1.25%胆固醇强化饮食组，并分别联合或不联合阿贝西利（50 mg kg</w:t>
      </w:r>
      <w:r w:rsidRPr="007B6BA0">
        <w:rPr>
          <w:rFonts w:ascii="MS Gothic" w:eastAsia="MS Gothic" w:hAnsi="MS Gothic" w:cs="MS Gothic" w:hint="eastAsia"/>
          <w:kern w:val="0"/>
          <w:sz w:val="24"/>
          <w:szCs w:val="24"/>
        </w:rPr>
        <w:t>⁻</w:t>
      </w:r>
      <w:r w:rsidRPr="007B6BA0">
        <w:rPr>
          <w:rFonts w:ascii="微软雅黑" w:eastAsia="微软雅黑" w:hAnsi="微软雅黑" w:cs="宋体" w:hint="eastAsia"/>
          <w:kern w:val="0"/>
          <w:sz w:val="24"/>
          <w:szCs w:val="24"/>
        </w:rPr>
        <w:t>¹</w:t>
      </w:r>
      <w:r w:rsidRPr="007B6BA0">
        <w:rPr>
          <w:rFonts w:ascii="微软雅黑" w:eastAsia="微软雅黑" w:hAnsi="微软雅黑" w:cs="宋体"/>
          <w:kern w:val="0"/>
          <w:sz w:val="24"/>
          <w:szCs w:val="24"/>
        </w:rPr>
        <w:t xml:space="preserve"> </w:t>
      </w:r>
      <w:proofErr w:type="spellStart"/>
      <w:r w:rsidRPr="007B6BA0">
        <w:rPr>
          <w:rFonts w:ascii="微软雅黑" w:eastAsia="微软雅黑" w:hAnsi="微软雅黑" w:cs="宋体"/>
          <w:kern w:val="0"/>
          <w:sz w:val="24"/>
          <w:szCs w:val="24"/>
        </w:rPr>
        <w:t>abemaciclib</w:t>
      </w:r>
      <w:proofErr w:type="spellEnd"/>
      <w:r w:rsidRPr="007B6BA0">
        <w:rPr>
          <w:rFonts w:ascii="微软雅黑" w:eastAsia="微软雅黑" w:hAnsi="微软雅黑" w:cs="宋体"/>
          <w:kern w:val="0"/>
          <w:sz w:val="24"/>
          <w:szCs w:val="24"/>
        </w:rPr>
        <w:t xml:space="preserve"> + 2 mg kg</w:t>
      </w:r>
      <w:r w:rsidRPr="007B6BA0">
        <w:rPr>
          <w:rFonts w:ascii="MS Gothic" w:eastAsia="MS Gothic" w:hAnsi="MS Gothic" w:cs="MS Gothic" w:hint="eastAsia"/>
          <w:kern w:val="0"/>
          <w:sz w:val="24"/>
          <w:szCs w:val="24"/>
        </w:rPr>
        <w:t>⁻</w:t>
      </w:r>
      <w:r w:rsidRPr="007B6BA0">
        <w:rPr>
          <w:rFonts w:ascii="微软雅黑" w:eastAsia="微软雅黑" w:hAnsi="微软雅黑" w:cs="宋体" w:hint="eastAsia"/>
          <w:kern w:val="0"/>
          <w:sz w:val="24"/>
          <w:szCs w:val="24"/>
        </w:rPr>
        <w:t>¹</w:t>
      </w:r>
      <w:r w:rsidRPr="007B6BA0">
        <w:rPr>
          <w:rFonts w:ascii="微软雅黑" w:eastAsia="微软雅黑" w:hAnsi="微软雅黑" w:cs="宋体"/>
          <w:kern w:val="0"/>
          <w:sz w:val="24"/>
          <w:szCs w:val="24"/>
        </w:rPr>
        <w:t xml:space="preserve"> YKL-5-124）治疗</w:t>
      </w:r>
      <w:r w:rsidRPr="007B6BA0">
        <w:rPr>
          <w:rFonts w:ascii="微软雅黑" w:eastAsia="微软雅黑" w:hAnsi="微软雅黑" w:cs="宋体"/>
          <w:kern w:val="0"/>
          <w:sz w:val="24"/>
          <w:szCs w:val="24"/>
          <w:vertAlign w:val="superscript"/>
        </w:rPr>
        <w:t>。</w:t>
      </w:r>
      <w:r w:rsidRPr="007B6BA0">
        <w:rPr>
          <w:rFonts w:ascii="微软雅黑" w:eastAsia="微软雅黑" w:hAnsi="微软雅黑" w:cs="宋体"/>
          <w:kern w:val="0"/>
          <w:sz w:val="24"/>
          <w:szCs w:val="24"/>
        </w:rPr>
        <w:t>在</w:t>
      </w:r>
      <w:r w:rsidRPr="007B6BA0">
        <w:rPr>
          <w:rFonts w:ascii="微软雅黑" w:eastAsia="微软雅黑" w:hAnsi="微软雅黑" w:cs="宋体"/>
          <w:kern w:val="0"/>
          <w:sz w:val="24"/>
          <w:szCs w:val="24"/>
          <w:vertAlign w:val="superscript"/>
        </w:rPr>
        <w:t>研究</w:t>
      </w:r>
      <w:r w:rsidRPr="007B6BA0">
        <w:rPr>
          <w:rFonts w:ascii="微软雅黑" w:eastAsia="微软雅黑" w:hAnsi="微软雅黑" w:cs="宋体"/>
          <w:kern w:val="0"/>
          <w:sz w:val="24"/>
          <w:szCs w:val="24"/>
        </w:rPr>
        <w:t>终点，收集四组治疗组的肿瘤重量：对照组（普通饲料）、对照组（1.25%胆固醇强化饮食）、联合治疗组（普通饲料）和联合治疗组（1.25%胆固醇强化饮食）（</w:t>
      </w:r>
      <w:r w:rsidRPr="007B6BA0">
        <w:rPr>
          <w:rFonts w:ascii="微软雅黑" w:eastAsia="微软雅黑" w:hAnsi="微软雅黑" w:cs="宋体"/>
          <w:i/>
          <w:iCs/>
          <w:kern w:val="0"/>
          <w:sz w:val="24"/>
          <w:szCs w:val="24"/>
        </w:rPr>
        <w:t>n=）。</w:t>
      </w:r>
      <w:r w:rsidRPr="007B6BA0">
        <w:rPr>
          <w:rFonts w:ascii="微软雅黑" w:eastAsia="微软雅黑" w:hAnsi="微软雅黑" w:cs="宋体"/>
          <w:kern w:val="0"/>
          <w:sz w:val="24"/>
          <w:szCs w:val="24"/>
        </w:rPr>
        <w:t>= 5）。数据以均值±标准差（SD）表示。肿瘤重量的</w:t>
      </w:r>
      <w:r w:rsidRPr="007B6BA0">
        <w:rPr>
          <w:rFonts w:ascii="微软雅黑" w:eastAsia="微软雅黑" w:hAnsi="微软雅黑" w:cs="宋体"/>
          <w:i/>
          <w:iCs/>
          <w:kern w:val="0"/>
          <w:sz w:val="24"/>
          <w:szCs w:val="24"/>
        </w:rPr>
        <w:t>p</w:t>
      </w:r>
      <w:r w:rsidRPr="007B6BA0">
        <w:rPr>
          <w:rFonts w:ascii="微软雅黑" w:eastAsia="微软雅黑" w:hAnsi="微软雅黑" w:cs="宋体"/>
          <w:kern w:val="0"/>
          <w:sz w:val="24"/>
          <w:szCs w:val="24"/>
        </w:rPr>
        <w:t>值采用双尾Student's </w:t>
      </w:r>
      <w:r w:rsidRPr="007B6BA0">
        <w:rPr>
          <w:rFonts w:ascii="微软雅黑" w:eastAsia="微软雅黑" w:hAnsi="微软雅黑" w:cs="宋体"/>
          <w:i/>
          <w:iCs/>
          <w:kern w:val="0"/>
          <w:sz w:val="24"/>
          <w:szCs w:val="24"/>
        </w:rPr>
        <w:t>t</w:t>
      </w:r>
      <w:r w:rsidRPr="007B6BA0">
        <w:rPr>
          <w:rFonts w:ascii="微软雅黑" w:eastAsia="微软雅黑" w:hAnsi="微软雅黑" w:cs="宋体"/>
          <w:kern w:val="0"/>
          <w:sz w:val="24"/>
          <w:szCs w:val="24"/>
        </w:rPr>
        <w:t>检验确定，*** </w:t>
      </w:r>
      <w:r w:rsidRPr="007B6BA0">
        <w:rPr>
          <w:rFonts w:ascii="微软雅黑" w:eastAsia="微软雅黑" w:hAnsi="微软雅黑" w:cs="宋体"/>
          <w:i/>
          <w:iCs/>
          <w:kern w:val="0"/>
          <w:sz w:val="24"/>
          <w:szCs w:val="24"/>
        </w:rPr>
        <w:t>p</w:t>
      </w:r>
      <w:r w:rsidRPr="007B6BA0">
        <w:rPr>
          <w:rFonts w:ascii="微软雅黑" w:eastAsia="微软雅黑" w:hAnsi="微软雅黑" w:cs="宋体"/>
          <w:kern w:val="0"/>
          <w:sz w:val="24"/>
          <w:szCs w:val="24"/>
        </w:rPr>
        <w:t> &lt; 0.001。L）SREBF1过表达（OE）</w:t>
      </w:r>
      <w:r w:rsidRPr="007B6BA0">
        <w:rPr>
          <w:rFonts w:ascii="微软雅黑" w:eastAsia="微软雅黑" w:hAnsi="微软雅黑" w:cs="宋体"/>
          <w:kern w:val="0"/>
          <w:sz w:val="24"/>
          <w:szCs w:val="24"/>
        </w:rPr>
        <w:lastRenderedPageBreak/>
        <w:t>对药物协同作用的影响。左图：SREBF1-NC和SREBF1-OE细胞在暴露于指定浓度的阿贝西利、YKL-5-124以及联合治疗（梯度浓度的阿贝西利联合1 µM YKL-5-124）48小时后的细胞活力热图。数据为三个生物学重复的平均值。右图：SREBF1-NC和SREBF1-OE细胞在联合治疗后的联合指数值。数据以均值±标准差（SD）表示。p</w:t>
      </w:r>
      <w:r w:rsidRPr="007B6BA0">
        <w:rPr>
          <w:rFonts w:ascii="微软雅黑" w:eastAsia="微软雅黑" w:hAnsi="微软雅黑" w:cs="宋体"/>
          <w:i/>
          <w:iCs/>
          <w:kern w:val="0"/>
          <w:sz w:val="24"/>
          <w:szCs w:val="24"/>
        </w:rPr>
        <w:t>值采用非配对t</w:t>
      </w:r>
      <w:r w:rsidRPr="007B6BA0">
        <w:rPr>
          <w:rFonts w:ascii="微软雅黑" w:eastAsia="微软雅黑" w:hAnsi="微软雅黑" w:cs="宋体"/>
          <w:kern w:val="0"/>
          <w:sz w:val="24"/>
          <w:szCs w:val="24"/>
        </w:rPr>
        <w:t>检验确定，**** </w:t>
      </w:r>
      <w:r w:rsidRPr="007B6BA0">
        <w:rPr>
          <w:rFonts w:ascii="微软雅黑" w:eastAsia="微软雅黑" w:hAnsi="微软雅黑" w:cs="宋体"/>
          <w:i/>
          <w:iCs/>
          <w:kern w:val="0"/>
          <w:sz w:val="24"/>
          <w:szCs w:val="24"/>
        </w:rPr>
        <w:t>p</w:t>
      </w:r>
      <w:r w:rsidRPr="007B6BA0">
        <w:rPr>
          <w:rFonts w:ascii="微软雅黑" w:eastAsia="微软雅黑" w:hAnsi="微软雅黑" w:cs="宋体"/>
          <w:kern w:val="0"/>
          <w:sz w:val="24"/>
          <w:szCs w:val="24"/>
        </w:rPr>
        <w:t> &lt; 0.0001。</w:t>
      </w:r>
    </w:p>
    <w:p w14:paraId="1B26AFA5" w14:textId="77777777" w:rsidR="007B6BA0" w:rsidRPr="007B6BA0" w:rsidRDefault="007B6BA0" w:rsidP="007B6BA0">
      <w:pPr>
        <w:widowControl/>
        <w:spacing w:before="450"/>
        <w:rPr>
          <w:rFonts w:ascii="微软雅黑" w:eastAsia="微软雅黑" w:hAnsi="微软雅黑" w:cs="宋体"/>
          <w:kern w:val="0"/>
          <w:sz w:val="24"/>
          <w:szCs w:val="24"/>
        </w:rPr>
      </w:pPr>
      <w:r w:rsidRPr="007B6BA0">
        <w:rPr>
          <w:rFonts w:ascii="微软雅黑" w:eastAsia="微软雅黑" w:hAnsi="微软雅黑" w:cs="宋体"/>
          <w:kern w:val="0"/>
          <w:sz w:val="24"/>
          <w:szCs w:val="24"/>
        </w:rPr>
        <w:t>为了确定胆固醇合成抑制是否</w:t>
      </w:r>
      <w:proofErr w:type="gramStart"/>
      <w:r w:rsidRPr="007B6BA0">
        <w:rPr>
          <w:rFonts w:ascii="微软雅黑" w:eastAsia="微软雅黑" w:hAnsi="微软雅黑" w:cs="宋体"/>
          <w:kern w:val="0"/>
          <w:sz w:val="24"/>
          <w:szCs w:val="24"/>
        </w:rPr>
        <w:t>介</w:t>
      </w:r>
      <w:proofErr w:type="gramEnd"/>
      <w:r w:rsidRPr="007B6BA0">
        <w:rPr>
          <w:rFonts w:ascii="微软雅黑" w:eastAsia="微软雅黑" w:hAnsi="微软雅黑" w:cs="宋体"/>
          <w:kern w:val="0"/>
          <w:sz w:val="24"/>
          <w:szCs w:val="24"/>
        </w:rPr>
        <w:t>导了协同致死作用，我们用外源性胆固醇培养细胞。我们发现，补充胆固醇及其前体角鲨烯和羊毛甾醇可以恢复双重抑制的疗效，并增加集落形成数量（图 </w:t>
      </w:r>
      <w:hyperlink r:id="rId81" w:anchor="advs10347-fig-0003" w:history="1">
        <w:r w:rsidRPr="007B6BA0">
          <w:rPr>
            <w:rFonts w:ascii="微软雅黑" w:eastAsia="微软雅黑" w:hAnsi="微软雅黑" w:cs="宋体"/>
            <w:kern w:val="0"/>
            <w:sz w:val="24"/>
            <w:szCs w:val="24"/>
            <w:u w:val="single"/>
          </w:rPr>
          <w:t>3J</w:t>
        </w:r>
      </w:hyperlink>
      <w:r w:rsidRPr="007B6BA0">
        <w:rPr>
          <w:rFonts w:ascii="微软雅黑" w:eastAsia="微软雅黑" w:hAnsi="微软雅黑" w:cs="宋体"/>
          <w:kern w:val="0"/>
          <w:sz w:val="24"/>
          <w:szCs w:val="24"/>
        </w:rPr>
        <w:t>；图 </w:t>
      </w:r>
      <w:hyperlink r:id="rId82" w:anchor="advs10347-supinfo-0001" w:history="1">
        <w:r w:rsidRPr="007B6BA0">
          <w:rPr>
            <w:rFonts w:ascii="微软雅黑" w:eastAsia="微软雅黑" w:hAnsi="微软雅黑" w:cs="宋体"/>
            <w:kern w:val="0"/>
            <w:sz w:val="24"/>
            <w:szCs w:val="24"/>
            <w:u w:val="single"/>
          </w:rPr>
          <w:t>S3D</w:t>
        </w:r>
      </w:hyperlink>
      <w:r w:rsidRPr="007B6BA0">
        <w:rPr>
          <w:rFonts w:ascii="微软雅黑" w:eastAsia="微软雅黑" w:hAnsi="微软雅黑" w:cs="宋体"/>
          <w:kern w:val="0"/>
          <w:sz w:val="24"/>
          <w:szCs w:val="24"/>
        </w:rPr>
        <w:t>，补充信息）。同样，喂食1.25%高胆固醇饮食的小鼠在体内表现出抗肿瘤作用减弱，肿瘤负荷高于喂食标准饲料的小鼠（图 </w:t>
      </w:r>
      <w:hyperlink r:id="rId83" w:anchor="advs10347-fig-0003" w:history="1">
        <w:r w:rsidRPr="007B6BA0">
          <w:rPr>
            <w:rFonts w:ascii="微软雅黑" w:eastAsia="微软雅黑" w:hAnsi="微软雅黑" w:cs="宋体"/>
            <w:kern w:val="0"/>
            <w:sz w:val="24"/>
            <w:szCs w:val="24"/>
            <w:u w:val="single"/>
          </w:rPr>
          <w:t>3K</w:t>
        </w:r>
      </w:hyperlink>
      <w:r w:rsidRPr="007B6BA0">
        <w:rPr>
          <w:rFonts w:ascii="微软雅黑" w:eastAsia="微软雅黑" w:hAnsi="微软雅黑" w:cs="宋体"/>
          <w:kern w:val="0"/>
          <w:sz w:val="24"/>
          <w:szCs w:val="24"/>
        </w:rPr>
        <w:t>）。然而，额外补充胆固醇并不能恢复细胞凋亡水平（图 </w:t>
      </w:r>
      <w:hyperlink r:id="rId84" w:anchor="advs10347-supinfo-0001" w:history="1">
        <w:r w:rsidRPr="007B6BA0">
          <w:rPr>
            <w:rFonts w:ascii="微软雅黑" w:eastAsia="微软雅黑" w:hAnsi="微软雅黑" w:cs="宋体"/>
            <w:kern w:val="0"/>
            <w:sz w:val="24"/>
            <w:szCs w:val="24"/>
            <w:u w:val="single"/>
          </w:rPr>
          <w:t>S3E</w:t>
        </w:r>
      </w:hyperlink>
      <w:r w:rsidRPr="007B6BA0">
        <w:rPr>
          <w:rFonts w:ascii="微软雅黑" w:eastAsia="微软雅黑" w:hAnsi="微软雅黑" w:cs="宋体"/>
          <w:kern w:val="0"/>
          <w:sz w:val="24"/>
          <w:szCs w:val="24"/>
        </w:rPr>
        <w:t>，补充信息）。此外，SREBF1过表达会损害联合用药的疗效，表现为不同细胞系的联合指数和克隆形成能力显著增加（图 </w:t>
      </w:r>
      <w:hyperlink r:id="rId85" w:anchor="advs10347-fig-0003" w:history="1">
        <w:r w:rsidRPr="007B6BA0">
          <w:rPr>
            <w:rFonts w:ascii="微软雅黑" w:eastAsia="微软雅黑" w:hAnsi="微软雅黑" w:cs="宋体"/>
            <w:kern w:val="0"/>
            <w:sz w:val="24"/>
            <w:szCs w:val="24"/>
            <w:u w:val="single"/>
          </w:rPr>
          <w:t>3L</w:t>
        </w:r>
      </w:hyperlink>
      <w:r w:rsidRPr="007B6BA0">
        <w:rPr>
          <w:rFonts w:ascii="微软雅黑" w:eastAsia="微软雅黑" w:hAnsi="微软雅黑" w:cs="宋体"/>
          <w:kern w:val="0"/>
          <w:sz w:val="24"/>
          <w:szCs w:val="24"/>
        </w:rPr>
        <w:t>；图 </w:t>
      </w:r>
      <w:hyperlink r:id="rId86" w:anchor="advs10347-supinfo-0001" w:history="1">
        <w:r w:rsidRPr="007B6BA0">
          <w:rPr>
            <w:rFonts w:ascii="微软雅黑" w:eastAsia="微软雅黑" w:hAnsi="微软雅黑" w:cs="宋体"/>
            <w:kern w:val="0"/>
            <w:sz w:val="24"/>
            <w:szCs w:val="24"/>
            <w:u w:val="single"/>
          </w:rPr>
          <w:t>S3F、G</w:t>
        </w:r>
      </w:hyperlink>
      <w:r w:rsidRPr="007B6BA0">
        <w:rPr>
          <w:rFonts w:ascii="微软雅黑" w:eastAsia="微软雅黑" w:hAnsi="微软雅黑" w:cs="宋体"/>
          <w:kern w:val="0"/>
          <w:sz w:val="24"/>
          <w:szCs w:val="24"/>
        </w:rPr>
        <w:t>，补充信息）。</w:t>
      </w:r>
    </w:p>
    <w:p w14:paraId="362D0DFB" w14:textId="77777777" w:rsidR="007B6BA0" w:rsidRPr="007B6BA0" w:rsidRDefault="007B6BA0" w:rsidP="007B6BA0">
      <w:pPr>
        <w:widowControl/>
        <w:spacing w:line="450" w:lineRule="atLeast"/>
        <w:outlineLvl w:val="2"/>
        <w:rPr>
          <w:rFonts w:ascii="微软雅黑" w:eastAsia="微软雅黑" w:hAnsi="微软雅黑" w:cs="宋体"/>
          <w:kern w:val="0"/>
          <w:sz w:val="32"/>
          <w:szCs w:val="32"/>
        </w:rPr>
      </w:pPr>
      <w:r w:rsidRPr="007B6BA0">
        <w:rPr>
          <w:rFonts w:ascii="微软雅黑" w:eastAsia="微软雅黑" w:hAnsi="微软雅黑" w:cs="宋体"/>
          <w:kern w:val="0"/>
          <w:sz w:val="32"/>
          <w:szCs w:val="32"/>
        </w:rPr>
        <w:t>2.4. FOXM1通过直接与SREBF1结合来调节胆固醇代谢</w:t>
      </w:r>
    </w:p>
    <w:p w14:paraId="797E2322" w14:textId="77777777" w:rsidR="007B6BA0" w:rsidRPr="007B6BA0" w:rsidRDefault="007B6BA0" w:rsidP="007B6BA0">
      <w:pPr>
        <w:widowControl/>
        <w:spacing w:before="450"/>
        <w:rPr>
          <w:rFonts w:ascii="微软雅黑" w:eastAsia="微软雅黑" w:hAnsi="微软雅黑" w:cs="宋体"/>
          <w:kern w:val="0"/>
          <w:sz w:val="24"/>
          <w:szCs w:val="24"/>
        </w:rPr>
      </w:pPr>
      <w:r w:rsidRPr="007B6BA0">
        <w:rPr>
          <w:rFonts w:ascii="微软雅黑" w:eastAsia="微软雅黑" w:hAnsi="微软雅黑" w:cs="宋体"/>
          <w:kern w:val="0"/>
          <w:sz w:val="24"/>
          <w:szCs w:val="24"/>
        </w:rPr>
        <w:t>对MDA-MB-468和Hs578T细胞进行RNA-Seq分析，鉴定出三个潜在的上游转录因子：叉头框蛋白M1 (FOXM1)、E2F转录因子6 (E2F6)和CCAAT/增强子结合蛋白β (CEBPB)（</w:t>
      </w:r>
      <w:hyperlink r:id="rId87" w:anchor="advs10347-fig-0004" w:history="1">
        <w:r w:rsidRPr="007B6BA0">
          <w:rPr>
            <w:rFonts w:ascii="微软雅黑" w:eastAsia="微软雅黑" w:hAnsi="微软雅黑" w:cs="宋体"/>
            <w:kern w:val="0"/>
            <w:sz w:val="24"/>
            <w:szCs w:val="24"/>
            <w:u w:val="single"/>
          </w:rPr>
          <w:t>图</w:t>
        </w:r>
      </w:hyperlink>
      <w:r w:rsidRPr="007B6BA0">
        <w:rPr>
          <w:rFonts w:ascii="微软雅黑" w:eastAsia="微软雅黑" w:hAnsi="微软雅黑" w:cs="宋体"/>
          <w:b/>
          <w:bCs/>
          <w:kern w:val="0"/>
          <w:sz w:val="24"/>
          <w:szCs w:val="24"/>
        </w:rPr>
        <w:t>4A </w:t>
      </w:r>
      <w:r w:rsidRPr="007B6BA0">
        <w:rPr>
          <w:rFonts w:ascii="微软雅黑" w:eastAsia="微软雅黑" w:hAnsi="微软雅黑" w:cs="宋体"/>
          <w:kern w:val="0"/>
          <w:sz w:val="24"/>
          <w:szCs w:val="24"/>
        </w:rPr>
        <w:t> </w:t>
      </w:r>
      <w:hyperlink r:id="rId88" w:anchor="advs10347-fig-0004" w:history="1">
        <w:r w:rsidRPr="007B6BA0">
          <w:rPr>
            <w:rFonts w:ascii="微软雅黑" w:eastAsia="微软雅黑" w:hAnsi="微软雅黑" w:cs="宋体"/>
            <w:b/>
            <w:bCs/>
            <w:kern w:val="0"/>
            <w:sz w:val="24"/>
            <w:szCs w:val="24"/>
            <w:u w:val="single"/>
          </w:rPr>
          <w:t>）</w:t>
        </w:r>
      </w:hyperlink>
      <w:r w:rsidRPr="007B6BA0">
        <w:rPr>
          <w:rFonts w:ascii="微软雅黑" w:eastAsia="微软雅黑" w:hAnsi="微软雅黑" w:cs="宋体"/>
          <w:kern w:val="0"/>
          <w:sz w:val="24"/>
          <w:szCs w:val="24"/>
        </w:rPr>
        <w:t>。FOXM1和E2F6均与胆固醇合成</w:t>
      </w:r>
      <w:proofErr w:type="gramStart"/>
      <w:r w:rsidRPr="007B6BA0">
        <w:rPr>
          <w:rFonts w:ascii="微软雅黑" w:eastAsia="微软雅黑" w:hAnsi="微软雅黑" w:cs="宋体"/>
          <w:kern w:val="0"/>
          <w:sz w:val="24"/>
          <w:szCs w:val="24"/>
        </w:rPr>
        <w:t>特征呈弱正相关</w:t>
      </w:r>
      <w:proofErr w:type="gramEnd"/>
      <w:r w:rsidRPr="007B6BA0">
        <w:rPr>
          <w:rFonts w:ascii="微软雅黑" w:eastAsia="微软雅黑" w:hAnsi="微软雅黑" w:cs="宋体"/>
          <w:kern w:val="0"/>
          <w:sz w:val="24"/>
          <w:szCs w:val="24"/>
        </w:rPr>
        <w:t>（图 </w:t>
      </w:r>
      <w:hyperlink r:id="rId89" w:anchor="advs10347-fig-0004" w:history="1">
        <w:r w:rsidRPr="007B6BA0">
          <w:rPr>
            <w:rFonts w:ascii="微软雅黑" w:eastAsia="微软雅黑" w:hAnsi="微软雅黑" w:cs="宋体"/>
            <w:kern w:val="0"/>
            <w:sz w:val="24"/>
            <w:szCs w:val="24"/>
            <w:u w:val="single"/>
          </w:rPr>
          <w:t>4B</w:t>
        </w:r>
      </w:hyperlink>
      <w:r w:rsidRPr="007B6BA0">
        <w:rPr>
          <w:rFonts w:ascii="微软雅黑" w:eastAsia="微软雅黑" w:hAnsi="微软雅黑" w:cs="宋体"/>
          <w:kern w:val="0"/>
          <w:sz w:val="24"/>
          <w:szCs w:val="24"/>
        </w:rPr>
        <w:t>）。免疫印迹结果表明，联合治疗后E2F6表达无显著变化，而总FOXM1和磷酸化FOXM1 (Thr600)水平显著降低（图 </w:t>
      </w:r>
      <w:hyperlink r:id="rId90" w:anchor="advs10347-fig-0004" w:history="1">
        <w:r w:rsidRPr="007B6BA0">
          <w:rPr>
            <w:rFonts w:ascii="微软雅黑" w:eastAsia="微软雅黑" w:hAnsi="微软雅黑" w:cs="宋体"/>
            <w:kern w:val="0"/>
            <w:sz w:val="24"/>
            <w:szCs w:val="24"/>
            <w:u w:val="single"/>
          </w:rPr>
          <w:t>4C</w:t>
        </w:r>
      </w:hyperlink>
      <w:r w:rsidRPr="007B6BA0">
        <w:rPr>
          <w:rFonts w:ascii="微软雅黑" w:eastAsia="微软雅黑" w:hAnsi="微软雅黑" w:cs="宋体"/>
          <w:kern w:val="0"/>
          <w:sz w:val="24"/>
          <w:szCs w:val="24"/>
        </w:rPr>
        <w:t>）。此外，联合抑制后总FOXM1蛋白的减少</w:t>
      </w:r>
      <w:proofErr w:type="gramStart"/>
      <w:r w:rsidRPr="007B6BA0">
        <w:rPr>
          <w:rFonts w:ascii="微软雅黑" w:eastAsia="微软雅黑" w:hAnsi="微软雅黑" w:cs="宋体"/>
          <w:kern w:val="0"/>
          <w:sz w:val="24"/>
          <w:szCs w:val="24"/>
        </w:rPr>
        <w:t>呈时间</w:t>
      </w:r>
      <w:proofErr w:type="gramEnd"/>
      <w:r w:rsidRPr="007B6BA0">
        <w:rPr>
          <w:rFonts w:ascii="微软雅黑" w:eastAsia="微软雅黑" w:hAnsi="微软雅黑" w:cs="宋体"/>
          <w:kern w:val="0"/>
          <w:sz w:val="24"/>
          <w:szCs w:val="24"/>
        </w:rPr>
        <w:t>依赖性（图 </w:t>
      </w:r>
      <w:hyperlink r:id="rId91" w:anchor="advs10347-supinfo-0001" w:history="1">
        <w:r w:rsidRPr="007B6BA0">
          <w:rPr>
            <w:rFonts w:ascii="微软雅黑" w:eastAsia="微软雅黑" w:hAnsi="微软雅黑" w:cs="宋体"/>
            <w:kern w:val="0"/>
            <w:sz w:val="24"/>
            <w:szCs w:val="24"/>
            <w:u w:val="single"/>
          </w:rPr>
          <w:t>S4A</w:t>
        </w:r>
      </w:hyperlink>
      <w:r w:rsidRPr="007B6BA0">
        <w:rPr>
          <w:rFonts w:ascii="微软雅黑" w:eastAsia="微软雅黑" w:hAnsi="微软雅黑" w:cs="宋体"/>
          <w:kern w:val="0"/>
          <w:sz w:val="24"/>
          <w:szCs w:val="24"/>
        </w:rPr>
        <w:t>，补充信息），提示其可能作为下游胆固醇生物合成的关键调控因子发挥作用。</w:t>
      </w:r>
    </w:p>
    <w:p w14:paraId="7716BE18" w14:textId="77777777" w:rsidR="007B6BA0" w:rsidRPr="007B6BA0" w:rsidRDefault="007B6BA0" w:rsidP="007B6BA0">
      <w:pPr>
        <w:widowControl/>
        <w:spacing w:line="450" w:lineRule="atLeast"/>
        <w:outlineLvl w:val="3"/>
        <w:rPr>
          <w:rFonts w:ascii="微软雅黑" w:eastAsia="微软雅黑" w:hAnsi="微软雅黑" w:cs="宋体"/>
          <w:kern w:val="0"/>
          <w:sz w:val="30"/>
          <w:szCs w:val="30"/>
        </w:rPr>
      </w:pPr>
      <w:r w:rsidRPr="007B6BA0">
        <w:rPr>
          <w:rFonts w:ascii="微软雅黑" w:eastAsia="微软雅黑" w:hAnsi="微软雅黑" w:cs="宋体"/>
          <w:kern w:val="0"/>
          <w:sz w:val="30"/>
          <w:szCs w:val="30"/>
        </w:rPr>
        <w:t>图 4。</w:t>
      </w:r>
    </w:p>
    <w:p w14:paraId="3E878A8A" w14:textId="4E618A0C" w:rsidR="007B6BA0" w:rsidRPr="007B6BA0" w:rsidRDefault="007B6BA0" w:rsidP="007B6BA0">
      <w:pPr>
        <w:widowControl/>
        <w:spacing w:before="450"/>
        <w:rPr>
          <w:rFonts w:ascii="微软雅黑" w:eastAsia="微软雅黑" w:hAnsi="微软雅黑" w:cs="宋体"/>
          <w:kern w:val="0"/>
          <w:sz w:val="24"/>
          <w:szCs w:val="24"/>
        </w:rPr>
      </w:pPr>
      <w:r w:rsidRPr="005E56A4">
        <w:rPr>
          <w:rFonts w:ascii="微软雅黑" w:eastAsia="微软雅黑" w:hAnsi="微软雅黑" w:cs="宋体"/>
          <w:noProof/>
          <w:kern w:val="0"/>
          <w:sz w:val="24"/>
          <w:szCs w:val="24"/>
        </w:rPr>
        <w:lastRenderedPageBreak/>
        <w:drawing>
          <wp:inline distT="0" distB="0" distL="0" distR="0" wp14:anchorId="40D6574A" wp14:editId="2C478261">
            <wp:extent cx="5122545" cy="6345555"/>
            <wp:effectExtent l="0" t="0" r="1905" b="0"/>
            <wp:docPr id="3" name="图片 3" descr="图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ats-graphic-9" descr="图 4"/>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5122545" cy="6345555"/>
                    </a:xfrm>
                    <a:prstGeom prst="rect">
                      <a:avLst/>
                    </a:prstGeom>
                    <a:noFill/>
                    <a:ln>
                      <a:noFill/>
                    </a:ln>
                  </pic:spPr>
                </pic:pic>
              </a:graphicData>
            </a:graphic>
          </wp:inline>
        </w:drawing>
      </w:r>
    </w:p>
    <w:p w14:paraId="11EAEDC9" w14:textId="77777777" w:rsidR="007B6BA0" w:rsidRPr="007B6BA0" w:rsidRDefault="007B6BA0" w:rsidP="007B6BA0">
      <w:pPr>
        <w:widowControl/>
        <w:rPr>
          <w:rFonts w:ascii="微软雅黑" w:eastAsia="微软雅黑" w:hAnsi="微软雅黑" w:cs="宋体"/>
          <w:kern w:val="0"/>
          <w:sz w:val="24"/>
          <w:szCs w:val="24"/>
        </w:rPr>
      </w:pPr>
      <w:r w:rsidRPr="007B6BA0">
        <w:rPr>
          <w:rFonts w:ascii="微软雅黑" w:eastAsia="微软雅黑" w:hAnsi="微软雅黑" w:cs="宋体"/>
          <w:kern w:val="0"/>
          <w:sz w:val="24"/>
          <w:szCs w:val="24"/>
        </w:rPr>
        <w:t>FOXM1通过直接结合SREBF1调节胆固醇稳态。A）维恩图展示了使用ChEA3数据库（https://maayanlab.cloud/chea3/）从MDA-MB-468和Hs578T RNA-Seq数据预测的重叠转录因子。B）在FUSCC-TNBC队列（</w:t>
      </w:r>
      <w:r w:rsidRPr="007B6BA0">
        <w:rPr>
          <w:rFonts w:ascii="微软雅黑" w:eastAsia="微软雅黑" w:hAnsi="微软雅黑" w:cs="宋体"/>
          <w:i/>
          <w:iCs/>
          <w:kern w:val="0"/>
          <w:sz w:val="24"/>
          <w:szCs w:val="24"/>
        </w:rPr>
        <w:t>n</w:t>
      </w:r>
      <w:r w:rsidRPr="007B6BA0">
        <w:rPr>
          <w:rFonts w:ascii="微软雅黑" w:eastAsia="微软雅黑" w:hAnsi="微软雅黑" w:cs="宋体"/>
          <w:kern w:val="0"/>
          <w:sz w:val="24"/>
          <w:szCs w:val="24"/>
        </w:rPr>
        <w:t> = 360）中，FOXM1、E2F6和CEBPB表达与胆固醇合成特征评分的相关性分析。p</w:t>
      </w:r>
      <w:r w:rsidRPr="007B6BA0">
        <w:rPr>
          <w:rFonts w:ascii="微软雅黑" w:eastAsia="微软雅黑" w:hAnsi="微软雅黑" w:cs="宋体"/>
          <w:i/>
          <w:iCs/>
          <w:kern w:val="0"/>
          <w:sz w:val="24"/>
          <w:szCs w:val="24"/>
        </w:rPr>
        <w:t>值</w:t>
      </w:r>
      <w:r w:rsidRPr="007B6BA0">
        <w:rPr>
          <w:rFonts w:ascii="微软雅黑" w:eastAsia="微软雅黑" w:hAnsi="微软雅黑" w:cs="宋体"/>
          <w:kern w:val="0"/>
          <w:sz w:val="24"/>
          <w:szCs w:val="24"/>
        </w:rPr>
        <w:t>采用Pearson相关性检验获得。C）对用</w:t>
      </w:r>
      <w:proofErr w:type="spellStart"/>
      <w:r w:rsidRPr="007B6BA0">
        <w:rPr>
          <w:rFonts w:ascii="微软雅黑" w:eastAsia="微软雅黑" w:hAnsi="微软雅黑" w:cs="宋体"/>
          <w:kern w:val="0"/>
          <w:sz w:val="24"/>
          <w:szCs w:val="24"/>
        </w:rPr>
        <w:t>abemaciclib</w:t>
      </w:r>
      <w:proofErr w:type="spellEnd"/>
      <w:r w:rsidRPr="007B6BA0">
        <w:rPr>
          <w:rFonts w:ascii="微软雅黑" w:eastAsia="微软雅黑" w:hAnsi="微软雅黑" w:cs="宋体"/>
          <w:kern w:val="0"/>
          <w:sz w:val="24"/>
          <w:szCs w:val="24"/>
        </w:rPr>
        <w:t>、YKL-5-124及其联合用药处理48小时的MDA-MB-468和Hs578T细胞进行E2F6、FOXM1和p-FOXM1</w:t>
      </w:r>
      <w:r w:rsidRPr="007B6BA0">
        <w:rPr>
          <w:rFonts w:ascii="微软雅黑" w:eastAsia="微软雅黑" w:hAnsi="微软雅黑" w:cs="宋体"/>
          <w:kern w:val="0"/>
          <w:sz w:val="24"/>
          <w:szCs w:val="24"/>
        </w:rPr>
        <w:lastRenderedPageBreak/>
        <w:t>（Thr600）的免疫印迹分析。 D) FOXM1</w:t>
      </w:r>
      <w:proofErr w:type="gramStart"/>
      <w:r w:rsidRPr="007B6BA0">
        <w:rPr>
          <w:rFonts w:ascii="微软雅黑" w:eastAsia="微软雅黑" w:hAnsi="微软雅黑" w:cs="宋体"/>
          <w:kern w:val="0"/>
          <w:sz w:val="24"/>
          <w:szCs w:val="24"/>
        </w:rPr>
        <w:t>敲低后</w:t>
      </w:r>
      <w:proofErr w:type="gramEnd"/>
      <w:r w:rsidRPr="007B6BA0">
        <w:rPr>
          <w:rFonts w:ascii="微软雅黑" w:eastAsia="微软雅黑" w:hAnsi="微软雅黑" w:cs="宋体"/>
          <w:kern w:val="0"/>
          <w:sz w:val="24"/>
          <w:szCs w:val="24"/>
        </w:rPr>
        <w:t>胆固醇合成相关基因RT-qPCR结果的热图（</w:t>
      </w:r>
      <w:r w:rsidRPr="007B6BA0">
        <w:rPr>
          <w:rFonts w:ascii="微软雅黑" w:eastAsia="微软雅黑" w:hAnsi="微软雅黑" w:cs="宋体"/>
          <w:i/>
          <w:iCs/>
          <w:kern w:val="0"/>
          <w:sz w:val="24"/>
          <w:szCs w:val="24"/>
        </w:rPr>
        <w:t>n</w:t>
      </w:r>
      <w:r w:rsidRPr="007B6BA0">
        <w:rPr>
          <w:rFonts w:ascii="微软雅黑" w:eastAsia="微软雅黑" w:hAnsi="微软雅黑" w:cs="宋体"/>
          <w:kern w:val="0"/>
          <w:sz w:val="24"/>
          <w:szCs w:val="24"/>
        </w:rPr>
        <w:t xml:space="preserve"> = 3）。E) MDA-MB-468和Hs578T细胞经指定处理后，SREBF1启动子区域的FOXM1 </w:t>
      </w:r>
      <w:proofErr w:type="spellStart"/>
      <w:r w:rsidRPr="007B6BA0">
        <w:rPr>
          <w:rFonts w:ascii="微软雅黑" w:eastAsia="微软雅黑" w:hAnsi="微软雅黑" w:cs="宋体"/>
          <w:kern w:val="0"/>
          <w:sz w:val="24"/>
          <w:szCs w:val="24"/>
        </w:rPr>
        <w:t>ChIP</w:t>
      </w:r>
      <w:proofErr w:type="spellEnd"/>
      <w:r w:rsidRPr="007B6BA0">
        <w:rPr>
          <w:rFonts w:ascii="微软雅黑" w:eastAsia="微软雅黑" w:hAnsi="微软雅黑" w:cs="宋体"/>
          <w:kern w:val="0"/>
          <w:sz w:val="24"/>
          <w:szCs w:val="24"/>
        </w:rPr>
        <w:t>-qPCR结果（</w:t>
      </w:r>
      <w:r w:rsidRPr="007B6BA0">
        <w:rPr>
          <w:rFonts w:ascii="微软雅黑" w:eastAsia="微软雅黑" w:hAnsi="微软雅黑" w:cs="宋体"/>
          <w:i/>
          <w:iCs/>
          <w:kern w:val="0"/>
          <w:sz w:val="24"/>
          <w:szCs w:val="24"/>
        </w:rPr>
        <w:t>n</w:t>
      </w:r>
      <w:r w:rsidRPr="007B6BA0">
        <w:rPr>
          <w:rFonts w:ascii="微软雅黑" w:eastAsia="微软雅黑" w:hAnsi="微软雅黑" w:cs="宋体"/>
          <w:kern w:val="0"/>
          <w:sz w:val="24"/>
          <w:szCs w:val="24"/>
        </w:rPr>
        <w:t> = 3）。数据以平均值±标准差表示。P值采用单因素方差分析计算，**** </w:t>
      </w:r>
      <w:r w:rsidRPr="007B6BA0">
        <w:rPr>
          <w:rFonts w:ascii="微软雅黑" w:eastAsia="微软雅黑" w:hAnsi="微软雅黑" w:cs="宋体"/>
          <w:i/>
          <w:iCs/>
          <w:kern w:val="0"/>
          <w:sz w:val="24"/>
          <w:szCs w:val="24"/>
        </w:rPr>
        <w:t>p</w:t>
      </w:r>
      <w:r w:rsidRPr="007B6BA0">
        <w:rPr>
          <w:rFonts w:ascii="微软雅黑" w:eastAsia="微软雅黑" w:hAnsi="微软雅黑" w:cs="宋体"/>
          <w:kern w:val="0"/>
          <w:sz w:val="24"/>
          <w:szCs w:val="24"/>
        </w:rPr>
        <w:t> &lt; 0.0001。F) 使用</w:t>
      </w:r>
      <w:proofErr w:type="spellStart"/>
      <w:r w:rsidRPr="007B6BA0">
        <w:rPr>
          <w:rFonts w:ascii="微软雅黑" w:eastAsia="微软雅黑" w:hAnsi="微软雅黑" w:cs="宋体"/>
          <w:kern w:val="0"/>
          <w:sz w:val="24"/>
          <w:szCs w:val="24"/>
        </w:rPr>
        <w:t>hTFtarget</w:t>
      </w:r>
      <w:proofErr w:type="spellEnd"/>
      <w:r w:rsidRPr="007B6BA0">
        <w:rPr>
          <w:rFonts w:ascii="微软雅黑" w:eastAsia="微软雅黑" w:hAnsi="微软雅黑" w:cs="宋体"/>
          <w:kern w:val="0"/>
          <w:sz w:val="24"/>
          <w:szCs w:val="24"/>
        </w:rPr>
        <w:t>数据库鉴定SREBF1启动子区域中预测的FOXM1结合位点。突变型SREBF1启动子序列如下所示。G) MDA-MB-468细胞中荧光素酶活性的分析（</w:t>
      </w:r>
      <w:r w:rsidRPr="007B6BA0">
        <w:rPr>
          <w:rFonts w:ascii="微软雅黑" w:eastAsia="微软雅黑" w:hAnsi="微软雅黑" w:cs="宋体"/>
          <w:i/>
          <w:iCs/>
          <w:kern w:val="0"/>
          <w:sz w:val="24"/>
          <w:szCs w:val="24"/>
        </w:rPr>
        <w:t>n</w:t>
      </w:r>
      <w:r w:rsidRPr="007B6BA0">
        <w:rPr>
          <w:rFonts w:ascii="微软雅黑" w:eastAsia="微软雅黑" w:hAnsi="微软雅黑" w:cs="宋体"/>
          <w:kern w:val="0"/>
          <w:sz w:val="24"/>
          <w:szCs w:val="24"/>
        </w:rPr>
        <w:t> = 4）。数据以平均值±标准差表示。P值采用</w:t>
      </w:r>
      <w:proofErr w:type="gramStart"/>
      <w:r w:rsidRPr="007B6BA0">
        <w:rPr>
          <w:rFonts w:ascii="微软雅黑" w:eastAsia="微软雅黑" w:hAnsi="微软雅黑" w:cs="宋体"/>
          <w:kern w:val="0"/>
          <w:sz w:val="24"/>
          <w:szCs w:val="24"/>
        </w:rPr>
        <w:t>双因素</w:t>
      </w:r>
      <w:proofErr w:type="gramEnd"/>
      <w:r w:rsidRPr="007B6BA0">
        <w:rPr>
          <w:rFonts w:ascii="微软雅黑" w:eastAsia="微软雅黑" w:hAnsi="微软雅黑" w:cs="宋体"/>
          <w:kern w:val="0"/>
          <w:sz w:val="24"/>
          <w:szCs w:val="24"/>
        </w:rPr>
        <w:t>方差分析计算，** </w:t>
      </w:r>
      <w:r w:rsidRPr="007B6BA0">
        <w:rPr>
          <w:rFonts w:ascii="微软雅黑" w:eastAsia="微软雅黑" w:hAnsi="微软雅黑" w:cs="宋体"/>
          <w:i/>
          <w:iCs/>
          <w:kern w:val="0"/>
          <w:sz w:val="24"/>
          <w:szCs w:val="24"/>
        </w:rPr>
        <w:t>p</w:t>
      </w:r>
      <w:r w:rsidRPr="007B6BA0">
        <w:rPr>
          <w:rFonts w:ascii="微软雅黑" w:eastAsia="微软雅黑" w:hAnsi="微软雅黑" w:cs="宋体"/>
          <w:kern w:val="0"/>
          <w:sz w:val="24"/>
          <w:szCs w:val="24"/>
        </w:rPr>
        <w:t> &lt; 0.01，*** </w:t>
      </w:r>
      <w:r w:rsidRPr="007B6BA0">
        <w:rPr>
          <w:rFonts w:ascii="微软雅黑" w:eastAsia="微软雅黑" w:hAnsi="微软雅黑" w:cs="宋体"/>
          <w:i/>
          <w:iCs/>
          <w:kern w:val="0"/>
          <w:sz w:val="24"/>
          <w:szCs w:val="24"/>
        </w:rPr>
        <w:t>p</w:t>
      </w:r>
      <w:r w:rsidRPr="007B6BA0">
        <w:rPr>
          <w:rFonts w:ascii="微软雅黑" w:eastAsia="微软雅黑" w:hAnsi="微软雅黑" w:cs="宋体"/>
          <w:kern w:val="0"/>
          <w:sz w:val="24"/>
          <w:szCs w:val="24"/>
        </w:rPr>
        <w:t xml:space="preserve"> &lt; 0.001。 H) FOXM1 </w:t>
      </w:r>
      <w:proofErr w:type="gramStart"/>
      <w:r w:rsidRPr="007B6BA0">
        <w:rPr>
          <w:rFonts w:ascii="微软雅黑" w:eastAsia="微软雅黑" w:hAnsi="微软雅黑" w:cs="宋体"/>
          <w:kern w:val="0"/>
          <w:sz w:val="24"/>
          <w:szCs w:val="24"/>
        </w:rPr>
        <w:t>敲低后</w:t>
      </w:r>
      <w:proofErr w:type="gramEnd"/>
      <w:r w:rsidRPr="007B6BA0">
        <w:rPr>
          <w:rFonts w:ascii="微软雅黑" w:eastAsia="微软雅黑" w:hAnsi="微软雅黑" w:cs="宋体"/>
          <w:kern w:val="0"/>
          <w:sz w:val="24"/>
          <w:szCs w:val="24"/>
        </w:rPr>
        <w:t xml:space="preserve"> MDA-MB-468 和 Hs578T 细胞的总胆固醇水平 ( </w:t>
      </w:r>
      <w:r w:rsidRPr="007B6BA0">
        <w:rPr>
          <w:rFonts w:ascii="微软雅黑" w:eastAsia="微软雅黑" w:hAnsi="微软雅黑" w:cs="宋体"/>
          <w:i/>
          <w:iCs/>
          <w:kern w:val="0"/>
          <w:sz w:val="24"/>
          <w:szCs w:val="24"/>
        </w:rPr>
        <w:t>n</w:t>
      </w:r>
      <w:r w:rsidRPr="007B6BA0">
        <w:rPr>
          <w:rFonts w:ascii="微软雅黑" w:eastAsia="微软雅黑" w:hAnsi="微软雅黑" w:cs="宋体"/>
          <w:kern w:val="0"/>
          <w:sz w:val="24"/>
          <w:szCs w:val="24"/>
        </w:rPr>
        <w:t> = 5)。胆固醇浓度已根据细胞数量进行标准化。数据以平均值 ± 标准差表示。P 值采用非配对</w:t>
      </w:r>
      <w:r w:rsidRPr="007B6BA0">
        <w:rPr>
          <w:rFonts w:ascii="微软雅黑" w:eastAsia="微软雅黑" w:hAnsi="微软雅黑" w:cs="宋体"/>
          <w:i/>
          <w:iCs/>
          <w:kern w:val="0"/>
          <w:sz w:val="24"/>
          <w:szCs w:val="24"/>
        </w:rPr>
        <w:t>t</w:t>
      </w:r>
      <w:r w:rsidRPr="007B6BA0">
        <w:rPr>
          <w:rFonts w:ascii="微软雅黑" w:eastAsia="微软雅黑" w:hAnsi="微软雅黑" w:cs="宋体"/>
          <w:kern w:val="0"/>
          <w:sz w:val="24"/>
          <w:szCs w:val="24"/>
        </w:rPr>
        <w:t>检验确定，** </w:t>
      </w:r>
      <w:r w:rsidRPr="007B6BA0">
        <w:rPr>
          <w:rFonts w:ascii="微软雅黑" w:eastAsia="微软雅黑" w:hAnsi="微软雅黑" w:cs="宋体"/>
          <w:i/>
          <w:iCs/>
          <w:kern w:val="0"/>
          <w:sz w:val="24"/>
          <w:szCs w:val="24"/>
        </w:rPr>
        <w:t>p</w:t>
      </w:r>
      <w:r w:rsidRPr="007B6BA0">
        <w:rPr>
          <w:rFonts w:ascii="微软雅黑" w:eastAsia="微软雅黑" w:hAnsi="微软雅黑" w:cs="宋体"/>
          <w:kern w:val="0"/>
          <w:sz w:val="24"/>
          <w:szCs w:val="24"/>
        </w:rPr>
        <w:t> &lt; 0.01，**** </w:t>
      </w:r>
      <w:r w:rsidRPr="007B6BA0">
        <w:rPr>
          <w:rFonts w:ascii="微软雅黑" w:eastAsia="微软雅黑" w:hAnsi="微软雅黑" w:cs="宋体"/>
          <w:i/>
          <w:iCs/>
          <w:kern w:val="0"/>
          <w:sz w:val="24"/>
          <w:szCs w:val="24"/>
        </w:rPr>
        <w:t>p</w:t>
      </w:r>
      <w:r w:rsidRPr="007B6BA0">
        <w:rPr>
          <w:rFonts w:ascii="微软雅黑" w:eastAsia="微软雅黑" w:hAnsi="微软雅黑" w:cs="宋体"/>
          <w:kern w:val="0"/>
          <w:sz w:val="24"/>
          <w:szCs w:val="24"/>
        </w:rPr>
        <w:t> &lt; 0.0001。I) FOXM1 过表达 (OE) 对药物协同作用的影响。左图：FOXM1-NC 和 FOXM1-OE 细胞在暴露于指定浓度的阿贝西利、YKL-5-124 以及联合治疗（梯度浓度的阿贝西利联合 0.5 µM YKL-5-124）48 小时后的细胞活力热图。数据为三个生物学重复的平均值。右图：FOXM1-NC 和 FOXM1-OE 细胞在联合治疗后的联合指数值。数据以均值±标准差表示。p</w:t>
      </w:r>
      <w:r w:rsidRPr="007B6BA0">
        <w:rPr>
          <w:rFonts w:ascii="微软雅黑" w:eastAsia="微软雅黑" w:hAnsi="微软雅黑" w:cs="宋体"/>
          <w:i/>
          <w:iCs/>
          <w:kern w:val="0"/>
          <w:sz w:val="24"/>
          <w:szCs w:val="24"/>
        </w:rPr>
        <w:t>值采用非配对t</w:t>
      </w:r>
      <w:r w:rsidRPr="007B6BA0">
        <w:rPr>
          <w:rFonts w:ascii="微软雅黑" w:eastAsia="微软雅黑" w:hAnsi="微软雅黑" w:cs="宋体"/>
          <w:kern w:val="0"/>
          <w:sz w:val="24"/>
          <w:szCs w:val="24"/>
        </w:rPr>
        <w:t>检验确定，** </w:t>
      </w:r>
      <w:r w:rsidRPr="007B6BA0">
        <w:rPr>
          <w:rFonts w:ascii="微软雅黑" w:eastAsia="微软雅黑" w:hAnsi="微软雅黑" w:cs="宋体"/>
          <w:i/>
          <w:iCs/>
          <w:kern w:val="0"/>
          <w:sz w:val="24"/>
          <w:szCs w:val="24"/>
        </w:rPr>
        <w:t>p</w:t>
      </w:r>
      <w:r w:rsidRPr="007B6BA0">
        <w:rPr>
          <w:rFonts w:ascii="微软雅黑" w:eastAsia="微软雅黑" w:hAnsi="微软雅黑" w:cs="宋体"/>
          <w:kern w:val="0"/>
          <w:sz w:val="24"/>
          <w:szCs w:val="24"/>
        </w:rPr>
        <w:t> &lt; 0.01，**** </w:t>
      </w:r>
      <w:r w:rsidRPr="007B6BA0">
        <w:rPr>
          <w:rFonts w:ascii="微软雅黑" w:eastAsia="微软雅黑" w:hAnsi="微软雅黑" w:cs="宋体"/>
          <w:i/>
          <w:iCs/>
          <w:kern w:val="0"/>
          <w:sz w:val="24"/>
          <w:szCs w:val="24"/>
        </w:rPr>
        <w:t>p</w:t>
      </w:r>
      <w:r w:rsidRPr="007B6BA0">
        <w:rPr>
          <w:rFonts w:ascii="微软雅黑" w:eastAsia="微软雅黑" w:hAnsi="微软雅黑" w:cs="宋体"/>
          <w:kern w:val="0"/>
          <w:sz w:val="24"/>
          <w:szCs w:val="24"/>
        </w:rPr>
        <w:t> &lt; 0.0001。J) FOXM1过表达挽救了MDA-MB-468和Hs578T细胞的克隆形成能力。提供了3个生物学重复的代表性图像。p</w:t>
      </w:r>
      <w:r w:rsidRPr="007B6BA0">
        <w:rPr>
          <w:rFonts w:ascii="微软雅黑" w:eastAsia="微软雅黑" w:hAnsi="微软雅黑" w:cs="宋体"/>
          <w:i/>
          <w:iCs/>
          <w:kern w:val="0"/>
          <w:sz w:val="24"/>
          <w:szCs w:val="24"/>
        </w:rPr>
        <w:t>值</w:t>
      </w:r>
      <w:r w:rsidRPr="007B6BA0">
        <w:rPr>
          <w:rFonts w:ascii="微软雅黑" w:eastAsia="微软雅黑" w:hAnsi="微软雅黑" w:cs="宋体"/>
          <w:kern w:val="0"/>
          <w:sz w:val="24"/>
          <w:szCs w:val="24"/>
        </w:rPr>
        <w:t>采用单因素方差分析计算，* </w:t>
      </w:r>
      <w:r w:rsidRPr="007B6BA0">
        <w:rPr>
          <w:rFonts w:ascii="微软雅黑" w:eastAsia="微软雅黑" w:hAnsi="微软雅黑" w:cs="宋体"/>
          <w:i/>
          <w:iCs/>
          <w:kern w:val="0"/>
          <w:sz w:val="24"/>
          <w:szCs w:val="24"/>
        </w:rPr>
        <w:t>p</w:t>
      </w:r>
      <w:r w:rsidRPr="007B6BA0">
        <w:rPr>
          <w:rFonts w:ascii="微软雅黑" w:eastAsia="微软雅黑" w:hAnsi="微软雅黑" w:cs="宋体"/>
          <w:kern w:val="0"/>
          <w:sz w:val="24"/>
          <w:szCs w:val="24"/>
        </w:rPr>
        <w:t> &lt; 0.05，** </w:t>
      </w:r>
      <w:r w:rsidRPr="007B6BA0">
        <w:rPr>
          <w:rFonts w:ascii="微软雅黑" w:eastAsia="微软雅黑" w:hAnsi="微软雅黑" w:cs="宋体"/>
          <w:i/>
          <w:iCs/>
          <w:kern w:val="0"/>
          <w:sz w:val="24"/>
          <w:szCs w:val="24"/>
        </w:rPr>
        <w:t>p</w:t>
      </w:r>
      <w:r w:rsidRPr="007B6BA0">
        <w:rPr>
          <w:rFonts w:ascii="微软雅黑" w:eastAsia="微软雅黑" w:hAnsi="微软雅黑" w:cs="宋体"/>
          <w:kern w:val="0"/>
          <w:sz w:val="24"/>
          <w:szCs w:val="24"/>
        </w:rPr>
        <w:t> &lt; 0.01。</w:t>
      </w:r>
    </w:p>
    <w:p w14:paraId="7CB0E918" w14:textId="77777777" w:rsidR="007B6BA0" w:rsidRPr="007B6BA0" w:rsidRDefault="007B6BA0" w:rsidP="007B6BA0">
      <w:pPr>
        <w:widowControl/>
        <w:spacing w:before="450"/>
        <w:rPr>
          <w:rFonts w:ascii="微软雅黑" w:eastAsia="微软雅黑" w:hAnsi="微软雅黑" w:cs="宋体"/>
          <w:kern w:val="0"/>
          <w:sz w:val="24"/>
          <w:szCs w:val="24"/>
        </w:rPr>
      </w:pPr>
      <w:r w:rsidRPr="007B6BA0">
        <w:rPr>
          <w:rFonts w:ascii="微软雅黑" w:eastAsia="微软雅黑" w:hAnsi="微软雅黑" w:cs="宋体"/>
          <w:kern w:val="0"/>
          <w:sz w:val="24"/>
          <w:szCs w:val="24"/>
        </w:rPr>
        <w:t>为了探究FOXM1耗竭的潜在机制，我们首先检测了FOXM1 mRNA水平，发现联合用药显著降低了FOXM1 RNA水平，但并未完全抑制（图 </w:t>
      </w:r>
      <w:hyperlink r:id="rId93" w:anchor="advs10347-supinfo-0001" w:history="1">
        <w:r w:rsidRPr="007B6BA0">
          <w:rPr>
            <w:rFonts w:ascii="微软雅黑" w:eastAsia="微软雅黑" w:hAnsi="微软雅黑" w:cs="宋体"/>
            <w:kern w:val="0"/>
            <w:sz w:val="24"/>
            <w:szCs w:val="24"/>
            <w:u w:val="single"/>
          </w:rPr>
          <w:t>S4B</w:t>
        </w:r>
      </w:hyperlink>
      <w:r w:rsidRPr="007B6BA0">
        <w:rPr>
          <w:rFonts w:ascii="微软雅黑" w:eastAsia="微软雅黑" w:hAnsi="微软雅黑" w:cs="宋体"/>
          <w:kern w:val="0"/>
          <w:sz w:val="24"/>
          <w:szCs w:val="24"/>
        </w:rPr>
        <w:t>，补充信息）。因此，我们推测联合用药不仅抑制了FOXM1的转录，还对其进行了转录</w:t>
      </w:r>
      <w:r w:rsidRPr="007B6BA0">
        <w:rPr>
          <w:rFonts w:ascii="微软雅黑" w:eastAsia="微软雅黑" w:hAnsi="微软雅黑" w:cs="宋体"/>
          <w:kern w:val="0"/>
          <w:sz w:val="24"/>
          <w:szCs w:val="24"/>
        </w:rPr>
        <w:lastRenderedPageBreak/>
        <w:t>后调控。为了排除蛋白质合成的影响，我们使用环己酰亚胺（CHX）处理细胞，观察到FOXM1的降解</w:t>
      </w:r>
      <w:proofErr w:type="gramStart"/>
      <w:r w:rsidRPr="007B6BA0">
        <w:rPr>
          <w:rFonts w:ascii="微软雅黑" w:eastAsia="微软雅黑" w:hAnsi="微软雅黑" w:cs="宋体"/>
          <w:kern w:val="0"/>
          <w:sz w:val="24"/>
          <w:szCs w:val="24"/>
        </w:rPr>
        <w:t>呈时间</w:t>
      </w:r>
      <w:proofErr w:type="gramEnd"/>
      <w:r w:rsidRPr="007B6BA0">
        <w:rPr>
          <w:rFonts w:ascii="微软雅黑" w:eastAsia="微软雅黑" w:hAnsi="微软雅黑" w:cs="宋体"/>
          <w:kern w:val="0"/>
          <w:sz w:val="24"/>
          <w:szCs w:val="24"/>
        </w:rPr>
        <w:t>依赖性（图 </w:t>
      </w:r>
      <w:hyperlink r:id="rId94" w:anchor="advs10347-supinfo-0001" w:history="1">
        <w:r w:rsidRPr="007B6BA0">
          <w:rPr>
            <w:rFonts w:ascii="微软雅黑" w:eastAsia="微软雅黑" w:hAnsi="微软雅黑" w:cs="宋体"/>
            <w:kern w:val="0"/>
            <w:sz w:val="24"/>
            <w:szCs w:val="24"/>
            <w:u w:val="single"/>
          </w:rPr>
          <w:t>S4C</w:t>
        </w:r>
      </w:hyperlink>
      <w:r w:rsidRPr="007B6BA0">
        <w:rPr>
          <w:rFonts w:ascii="微软雅黑" w:eastAsia="微软雅黑" w:hAnsi="微软雅黑" w:cs="宋体"/>
          <w:kern w:val="0"/>
          <w:sz w:val="24"/>
          <w:szCs w:val="24"/>
        </w:rPr>
        <w:t>，补充信息）。由于蛋白质降解主要由自噬-溶酶体系统</w:t>
      </w:r>
      <w:proofErr w:type="gramStart"/>
      <w:r w:rsidRPr="007B6BA0">
        <w:rPr>
          <w:rFonts w:ascii="微软雅黑" w:eastAsia="微软雅黑" w:hAnsi="微软雅黑" w:cs="宋体"/>
          <w:kern w:val="0"/>
          <w:sz w:val="24"/>
          <w:szCs w:val="24"/>
        </w:rPr>
        <w:t>和泛素</w:t>
      </w:r>
      <w:proofErr w:type="gramEnd"/>
      <w:r w:rsidRPr="007B6BA0">
        <w:rPr>
          <w:rFonts w:ascii="微软雅黑" w:eastAsia="微软雅黑" w:hAnsi="微软雅黑" w:cs="宋体"/>
          <w:kern w:val="0"/>
          <w:sz w:val="24"/>
          <w:szCs w:val="24"/>
        </w:rPr>
        <w:t>-蛋白酶体系统</w:t>
      </w:r>
      <w:proofErr w:type="gramStart"/>
      <w:r w:rsidRPr="007B6BA0">
        <w:rPr>
          <w:rFonts w:ascii="微软雅黑" w:eastAsia="微软雅黑" w:hAnsi="微软雅黑" w:cs="宋体"/>
          <w:kern w:val="0"/>
          <w:sz w:val="24"/>
          <w:szCs w:val="24"/>
        </w:rPr>
        <w:t>介</w:t>
      </w:r>
      <w:proofErr w:type="gramEnd"/>
      <w:r w:rsidRPr="007B6BA0">
        <w:rPr>
          <w:rFonts w:ascii="微软雅黑" w:eastAsia="微软雅黑" w:hAnsi="微软雅黑" w:cs="宋体"/>
          <w:kern w:val="0"/>
          <w:sz w:val="24"/>
          <w:szCs w:val="24"/>
        </w:rPr>
        <w:t>导</w:t>
      </w:r>
      <w:r w:rsidRPr="007B6BA0">
        <w:rPr>
          <w:rFonts w:ascii="微软雅黑" w:eastAsia="微软雅黑" w:hAnsi="微软雅黑" w:cs="宋体"/>
          <w:kern w:val="0"/>
          <w:sz w:val="24"/>
          <w:szCs w:val="24"/>
          <w:vertAlign w:val="superscript"/>
        </w:rPr>
        <w:t>[ </w:t>
      </w:r>
      <w:hyperlink r:id="rId95" w:anchor="advs10347-bib-0031" w:history="1">
        <w:r w:rsidRPr="007B6BA0">
          <w:rPr>
            <w:rFonts w:ascii="微软雅黑" w:eastAsia="微软雅黑" w:hAnsi="微软雅黑" w:cs="宋体"/>
            <w:kern w:val="0"/>
            <w:sz w:val="24"/>
            <w:szCs w:val="24"/>
            <w:u w:val="single"/>
            <w:vertAlign w:val="superscript"/>
          </w:rPr>
          <w:t>31</w:t>
        </w:r>
      </w:hyperlink>
      <w:r w:rsidRPr="007B6BA0">
        <w:rPr>
          <w:rFonts w:ascii="微软雅黑" w:eastAsia="微软雅黑" w:hAnsi="微软雅黑" w:cs="宋体"/>
          <w:kern w:val="0"/>
          <w:sz w:val="24"/>
          <w:szCs w:val="24"/>
          <w:vertAlign w:val="superscript"/>
        </w:rPr>
        <w:t> ]</w:t>
      </w:r>
      <w:r w:rsidRPr="007B6BA0">
        <w:rPr>
          <w:rFonts w:ascii="微软雅黑" w:eastAsia="微软雅黑" w:hAnsi="微软雅黑" w:cs="宋体"/>
          <w:kern w:val="0"/>
          <w:sz w:val="24"/>
          <w:szCs w:val="24"/>
        </w:rPr>
        <w:t> ，我们用联合用药方案，并分别加入自噬抑制剂3-MA、溶酶体抑制剂NH4Cl或蛋白酶体抑制剂MG132处理细胞。 MG132 部分挽救了 FOXM1 的表达（图 </w:t>
      </w:r>
      <w:hyperlink r:id="rId96" w:anchor="advs10347-supinfo-0001" w:history="1">
        <w:r w:rsidRPr="007B6BA0">
          <w:rPr>
            <w:rFonts w:ascii="微软雅黑" w:eastAsia="微软雅黑" w:hAnsi="微软雅黑" w:cs="宋体"/>
            <w:kern w:val="0"/>
            <w:sz w:val="24"/>
            <w:szCs w:val="24"/>
            <w:u w:val="single"/>
          </w:rPr>
          <w:t>S4D</w:t>
        </w:r>
      </w:hyperlink>
      <w:r w:rsidRPr="007B6BA0">
        <w:rPr>
          <w:rFonts w:ascii="微软雅黑" w:eastAsia="微软雅黑" w:hAnsi="微软雅黑" w:cs="宋体"/>
          <w:kern w:val="0"/>
          <w:sz w:val="24"/>
          <w:szCs w:val="24"/>
        </w:rPr>
        <w:t>，补充信息），表明 FOXM1 可能通过蛋白酶</w:t>
      </w:r>
      <w:proofErr w:type="gramStart"/>
      <w:r w:rsidRPr="007B6BA0">
        <w:rPr>
          <w:rFonts w:ascii="微软雅黑" w:eastAsia="微软雅黑" w:hAnsi="微软雅黑" w:cs="宋体"/>
          <w:kern w:val="0"/>
          <w:sz w:val="24"/>
          <w:szCs w:val="24"/>
        </w:rPr>
        <w:t>体途径</w:t>
      </w:r>
      <w:proofErr w:type="gramEnd"/>
      <w:r w:rsidRPr="007B6BA0">
        <w:rPr>
          <w:rFonts w:ascii="微软雅黑" w:eastAsia="微软雅黑" w:hAnsi="微软雅黑" w:cs="宋体"/>
          <w:kern w:val="0"/>
          <w:sz w:val="24"/>
          <w:szCs w:val="24"/>
        </w:rPr>
        <w:t>降解。</w:t>
      </w:r>
    </w:p>
    <w:p w14:paraId="29EB3CF3" w14:textId="77777777" w:rsidR="007B6BA0" w:rsidRPr="007B6BA0" w:rsidRDefault="007B6BA0" w:rsidP="007B6BA0">
      <w:pPr>
        <w:widowControl/>
        <w:spacing w:before="450"/>
        <w:rPr>
          <w:rFonts w:ascii="微软雅黑" w:eastAsia="微软雅黑" w:hAnsi="微软雅黑" w:cs="宋体"/>
          <w:kern w:val="0"/>
          <w:sz w:val="24"/>
          <w:szCs w:val="24"/>
        </w:rPr>
      </w:pPr>
      <w:r w:rsidRPr="007B6BA0">
        <w:rPr>
          <w:rFonts w:ascii="微软雅黑" w:eastAsia="微软雅黑" w:hAnsi="微软雅黑" w:cs="宋体"/>
          <w:kern w:val="0"/>
          <w:sz w:val="24"/>
          <w:szCs w:val="24"/>
        </w:rPr>
        <w:t>为了确定FOXM1是否直接影响胆固醇合成，我们构建了FOXM1</w:t>
      </w:r>
      <w:proofErr w:type="gramStart"/>
      <w:r w:rsidRPr="007B6BA0">
        <w:rPr>
          <w:rFonts w:ascii="微软雅黑" w:eastAsia="微软雅黑" w:hAnsi="微软雅黑" w:cs="宋体"/>
          <w:kern w:val="0"/>
          <w:sz w:val="24"/>
          <w:szCs w:val="24"/>
        </w:rPr>
        <w:t>敲低的</w:t>
      </w:r>
      <w:proofErr w:type="gramEnd"/>
      <w:r w:rsidRPr="007B6BA0">
        <w:rPr>
          <w:rFonts w:ascii="微软雅黑" w:eastAsia="微软雅黑" w:hAnsi="微软雅黑" w:cs="宋体"/>
          <w:kern w:val="0"/>
          <w:sz w:val="24"/>
          <w:szCs w:val="24"/>
        </w:rPr>
        <w:t>TNBC细胞系（图 </w:t>
      </w:r>
      <w:hyperlink r:id="rId97" w:anchor="advs10347-supinfo-0001" w:history="1">
        <w:r w:rsidRPr="007B6BA0">
          <w:rPr>
            <w:rFonts w:ascii="微软雅黑" w:eastAsia="微软雅黑" w:hAnsi="微软雅黑" w:cs="宋体"/>
            <w:kern w:val="0"/>
            <w:sz w:val="24"/>
            <w:szCs w:val="24"/>
            <w:u w:val="single"/>
          </w:rPr>
          <w:t>S4E</w:t>
        </w:r>
      </w:hyperlink>
      <w:r w:rsidRPr="007B6BA0">
        <w:rPr>
          <w:rFonts w:ascii="微软雅黑" w:eastAsia="微软雅黑" w:hAnsi="微软雅黑" w:cs="宋体"/>
          <w:kern w:val="0"/>
          <w:sz w:val="24"/>
          <w:szCs w:val="24"/>
        </w:rPr>
        <w:t>，补充信息），发现FOXM1</w:t>
      </w:r>
      <w:proofErr w:type="gramStart"/>
      <w:r w:rsidRPr="007B6BA0">
        <w:rPr>
          <w:rFonts w:ascii="微软雅黑" w:eastAsia="微软雅黑" w:hAnsi="微软雅黑" w:cs="宋体"/>
          <w:kern w:val="0"/>
          <w:sz w:val="24"/>
          <w:szCs w:val="24"/>
        </w:rPr>
        <w:t>敲低显著</w:t>
      </w:r>
      <w:proofErr w:type="gramEnd"/>
      <w:r w:rsidRPr="007B6BA0">
        <w:rPr>
          <w:rFonts w:ascii="微软雅黑" w:eastAsia="微软雅黑" w:hAnsi="微软雅黑" w:cs="宋体"/>
          <w:kern w:val="0"/>
          <w:sz w:val="24"/>
          <w:szCs w:val="24"/>
        </w:rPr>
        <w:t>降低了SREBF1及其下游胆固醇合成酶的表达（图 </w:t>
      </w:r>
      <w:hyperlink r:id="rId98" w:anchor="advs10347-fig-0004" w:history="1">
        <w:r w:rsidRPr="007B6BA0">
          <w:rPr>
            <w:rFonts w:ascii="微软雅黑" w:eastAsia="微软雅黑" w:hAnsi="微软雅黑" w:cs="宋体"/>
            <w:kern w:val="0"/>
            <w:sz w:val="24"/>
            <w:szCs w:val="24"/>
            <w:u w:val="single"/>
          </w:rPr>
          <w:t>4D</w:t>
        </w:r>
      </w:hyperlink>
      <w:r w:rsidRPr="007B6BA0">
        <w:rPr>
          <w:rFonts w:ascii="微软雅黑" w:eastAsia="微软雅黑" w:hAnsi="微软雅黑" w:cs="宋体"/>
          <w:kern w:val="0"/>
          <w:sz w:val="24"/>
          <w:szCs w:val="24"/>
        </w:rPr>
        <w:t>）。因此，我们假设FOXM1直接影响SREBF1，而SREBF1反过来调控下游关键胆固醇合成酶的表达。</w:t>
      </w:r>
      <w:proofErr w:type="spellStart"/>
      <w:r w:rsidRPr="007B6BA0">
        <w:rPr>
          <w:rFonts w:ascii="微软雅黑" w:eastAsia="微软雅黑" w:hAnsi="微软雅黑" w:cs="宋体"/>
          <w:kern w:val="0"/>
          <w:sz w:val="24"/>
          <w:szCs w:val="24"/>
        </w:rPr>
        <w:t>ChIP</w:t>
      </w:r>
      <w:proofErr w:type="spellEnd"/>
      <w:r w:rsidRPr="007B6BA0">
        <w:rPr>
          <w:rFonts w:ascii="微软雅黑" w:eastAsia="微软雅黑" w:hAnsi="微软雅黑" w:cs="宋体"/>
          <w:kern w:val="0"/>
          <w:sz w:val="24"/>
          <w:szCs w:val="24"/>
        </w:rPr>
        <w:t>-qPCR实验验证了FOXM1在SREBF1启动子区域的结合，而联合处理显著降低了FOXM1的结合（图 </w:t>
      </w:r>
      <w:hyperlink r:id="rId99" w:anchor="advs10347-fig-0004" w:history="1">
        <w:r w:rsidRPr="007B6BA0">
          <w:rPr>
            <w:rFonts w:ascii="微软雅黑" w:eastAsia="微软雅黑" w:hAnsi="微软雅黑" w:cs="宋体"/>
            <w:kern w:val="0"/>
            <w:sz w:val="24"/>
            <w:szCs w:val="24"/>
            <w:u w:val="single"/>
          </w:rPr>
          <w:t>4E</w:t>
        </w:r>
      </w:hyperlink>
      <w:r w:rsidRPr="007B6BA0">
        <w:rPr>
          <w:rFonts w:ascii="微软雅黑" w:eastAsia="微软雅黑" w:hAnsi="微软雅黑" w:cs="宋体"/>
          <w:kern w:val="0"/>
          <w:sz w:val="24"/>
          <w:szCs w:val="24"/>
        </w:rPr>
        <w:t>）。随后，我们利用</w:t>
      </w:r>
      <w:proofErr w:type="spellStart"/>
      <w:r w:rsidRPr="007B6BA0">
        <w:rPr>
          <w:rFonts w:ascii="微软雅黑" w:eastAsia="微软雅黑" w:hAnsi="微软雅黑" w:cs="宋体"/>
          <w:kern w:val="0"/>
          <w:sz w:val="24"/>
          <w:szCs w:val="24"/>
        </w:rPr>
        <w:t>hTFtarget</w:t>
      </w:r>
      <w:proofErr w:type="spellEnd"/>
      <w:r w:rsidRPr="007B6BA0">
        <w:rPr>
          <w:rFonts w:ascii="微软雅黑" w:eastAsia="微软雅黑" w:hAnsi="微软雅黑" w:cs="宋体"/>
          <w:kern w:val="0"/>
          <w:sz w:val="24"/>
          <w:szCs w:val="24"/>
        </w:rPr>
        <w:t>数据库预测了FOXM1的</w:t>
      </w:r>
      <w:proofErr w:type="gramStart"/>
      <w:r w:rsidRPr="007B6BA0">
        <w:rPr>
          <w:rFonts w:ascii="微软雅黑" w:eastAsia="微软雅黑" w:hAnsi="微软雅黑" w:cs="宋体"/>
          <w:kern w:val="0"/>
          <w:sz w:val="24"/>
          <w:szCs w:val="24"/>
        </w:rPr>
        <w:t>潜在结合</w:t>
      </w:r>
      <w:proofErr w:type="gramEnd"/>
      <w:r w:rsidRPr="007B6BA0">
        <w:rPr>
          <w:rFonts w:ascii="微软雅黑" w:eastAsia="微软雅黑" w:hAnsi="微软雅黑" w:cs="宋体"/>
          <w:kern w:val="0"/>
          <w:sz w:val="24"/>
          <w:szCs w:val="24"/>
        </w:rPr>
        <w:t>位点（图 </w:t>
      </w:r>
      <w:hyperlink r:id="rId100" w:anchor="advs10347-fig-0004" w:history="1">
        <w:r w:rsidRPr="007B6BA0">
          <w:rPr>
            <w:rFonts w:ascii="微软雅黑" w:eastAsia="微软雅黑" w:hAnsi="微软雅黑" w:cs="宋体"/>
            <w:kern w:val="0"/>
            <w:sz w:val="24"/>
            <w:szCs w:val="24"/>
            <w:u w:val="single"/>
          </w:rPr>
          <w:t>4F</w:t>
        </w:r>
      </w:hyperlink>
      <w:r w:rsidRPr="007B6BA0">
        <w:rPr>
          <w:rFonts w:ascii="微软雅黑" w:eastAsia="微软雅黑" w:hAnsi="微软雅黑" w:cs="宋体"/>
          <w:kern w:val="0"/>
          <w:sz w:val="24"/>
          <w:szCs w:val="24"/>
        </w:rPr>
        <w:t>）。荧光素</w:t>
      </w:r>
      <w:proofErr w:type="gramStart"/>
      <w:r w:rsidRPr="007B6BA0">
        <w:rPr>
          <w:rFonts w:ascii="微软雅黑" w:eastAsia="微软雅黑" w:hAnsi="微软雅黑" w:cs="宋体"/>
          <w:kern w:val="0"/>
          <w:sz w:val="24"/>
          <w:szCs w:val="24"/>
        </w:rPr>
        <w:t>酶报告</w:t>
      </w:r>
      <w:proofErr w:type="gramEnd"/>
      <w:r w:rsidRPr="007B6BA0">
        <w:rPr>
          <w:rFonts w:ascii="微软雅黑" w:eastAsia="微软雅黑" w:hAnsi="微软雅黑" w:cs="宋体"/>
          <w:kern w:val="0"/>
          <w:sz w:val="24"/>
          <w:szCs w:val="24"/>
        </w:rPr>
        <w:t>基因实验表明，FOXM1通过野生型启动子激活SREBF1的转录，而突变体则显著阻断了FOXM1诱导的转录活性（图 </w:t>
      </w:r>
      <w:hyperlink r:id="rId101" w:anchor="advs10347-fig-0004" w:history="1">
        <w:r w:rsidRPr="007B6BA0">
          <w:rPr>
            <w:rFonts w:ascii="微软雅黑" w:eastAsia="微软雅黑" w:hAnsi="微软雅黑" w:cs="宋体"/>
            <w:kern w:val="0"/>
            <w:sz w:val="24"/>
            <w:szCs w:val="24"/>
            <w:u w:val="single"/>
          </w:rPr>
          <w:t>4G</w:t>
        </w:r>
      </w:hyperlink>
      <w:r w:rsidRPr="007B6BA0">
        <w:rPr>
          <w:rFonts w:ascii="微软雅黑" w:eastAsia="微软雅黑" w:hAnsi="微软雅黑" w:cs="宋体"/>
          <w:kern w:val="0"/>
          <w:sz w:val="24"/>
          <w:szCs w:val="24"/>
        </w:rPr>
        <w:t>；图 </w:t>
      </w:r>
      <w:hyperlink r:id="rId102" w:anchor="advs10347-supinfo-0001" w:history="1">
        <w:r w:rsidRPr="007B6BA0">
          <w:rPr>
            <w:rFonts w:ascii="微软雅黑" w:eastAsia="微软雅黑" w:hAnsi="微软雅黑" w:cs="宋体"/>
            <w:kern w:val="0"/>
            <w:sz w:val="24"/>
            <w:szCs w:val="24"/>
            <w:u w:val="single"/>
          </w:rPr>
          <w:t>S4F</w:t>
        </w:r>
      </w:hyperlink>
      <w:r w:rsidRPr="007B6BA0">
        <w:rPr>
          <w:rFonts w:ascii="微软雅黑" w:eastAsia="微软雅黑" w:hAnsi="微软雅黑" w:cs="宋体"/>
          <w:kern w:val="0"/>
          <w:sz w:val="24"/>
          <w:szCs w:val="24"/>
        </w:rPr>
        <w:t>，补充信息）。 FOXM1</w:t>
      </w:r>
      <w:proofErr w:type="gramStart"/>
      <w:r w:rsidRPr="007B6BA0">
        <w:rPr>
          <w:rFonts w:ascii="微软雅黑" w:eastAsia="微软雅黑" w:hAnsi="微软雅黑" w:cs="宋体"/>
          <w:kern w:val="0"/>
          <w:sz w:val="24"/>
          <w:szCs w:val="24"/>
        </w:rPr>
        <w:t>敲低削弱</w:t>
      </w:r>
      <w:proofErr w:type="gramEnd"/>
      <w:r w:rsidRPr="007B6BA0">
        <w:rPr>
          <w:rFonts w:ascii="微软雅黑" w:eastAsia="微软雅黑" w:hAnsi="微软雅黑" w:cs="宋体"/>
          <w:kern w:val="0"/>
          <w:sz w:val="24"/>
          <w:szCs w:val="24"/>
        </w:rPr>
        <w:t>了SREBF1对胆固醇合成的调控，导致总胆固醇水平降低（图 </w:t>
      </w:r>
      <w:hyperlink r:id="rId103" w:anchor="advs10347-fig-0004" w:history="1">
        <w:r w:rsidRPr="007B6BA0">
          <w:rPr>
            <w:rFonts w:ascii="微软雅黑" w:eastAsia="微软雅黑" w:hAnsi="微软雅黑" w:cs="宋体"/>
            <w:kern w:val="0"/>
            <w:sz w:val="24"/>
            <w:szCs w:val="24"/>
            <w:u w:val="single"/>
          </w:rPr>
          <w:t>4H</w:t>
        </w:r>
      </w:hyperlink>
      <w:r w:rsidRPr="007B6BA0">
        <w:rPr>
          <w:rFonts w:ascii="微软雅黑" w:eastAsia="微软雅黑" w:hAnsi="微软雅黑" w:cs="宋体"/>
          <w:kern w:val="0"/>
          <w:sz w:val="24"/>
          <w:szCs w:val="24"/>
        </w:rPr>
        <w:t>）。此外，FOXM1过表达恢复了联合用药的疗效，表现为联合指数和细胞系克隆形成能力的显著提高（图 </w:t>
      </w:r>
      <w:hyperlink r:id="rId104" w:anchor="advs10347-fig-0004" w:history="1">
        <w:r w:rsidRPr="007B6BA0">
          <w:rPr>
            <w:rFonts w:ascii="微软雅黑" w:eastAsia="微软雅黑" w:hAnsi="微软雅黑" w:cs="宋体"/>
            <w:kern w:val="0"/>
            <w:sz w:val="24"/>
            <w:szCs w:val="24"/>
            <w:u w:val="single"/>
          </w:rPr>
          <w:t>4I、J</w:t>
        </w:r>
      </w:hyperlink>
      <w:r w:rsidRPr="007B6BA0">
        <w:rPr>
          <w:rFonts w:ascii="微软雅黑" w:eastAsia="微软雅黑" w:hAnsi="微软雅黑" w:cs="宋体"/>
          <w:kern w:val="0"/>
          <w:sz w:val="24"/>
          <w:szCs w:val="24"/>
        </w:rPr>
        <w:t>；补充信息图 </w:t>
      </w:r>
      <w:hyperlink r:id="rId105" w:anchor="advs10347-supinfo-0001" w:history="1">
        <w:r w:rsidRPr="007B6BA0">
          <w:rPr>
            <w:rFonts w:ascii="微软雅黑" w:eastAsia="微软雅黑" w:hAnsi="微软雅黑" w:cs="宋体"/>
            <w:kern w:val="0"/>
            <w:sz w:val="24"/>
            <w:szCs w:val="24"/>
            <w:u w:val="single"/>
          </w:rPr>
          <w:t>S4G</w:t>
        </w:r>
      </w:hyperlink>
      <w:r w:rsidRPr="007B6BA0">
        <w:rPr>
          <w:rFonts w:ascii="微软雅黑" w:eastAsia="微软雅黑" w:hAnsi="微软雅黑" w:cs="宋体"/>
          <w:kern w:val="0"/>
          <w:sz w:val="24"/>
          <w:szCs w:val="24"/>
        </w:rPr>
        <w:t>）。综上所述，这些结果表明FOXM1通过转录调控SREBF1的表达来促进胆固醇的生物合成。</w:t>
      </w:r>
    </w:p>
    <w:p w14:paraId="408DFA3D" w14:textId="77777777" w:rsidR="007B6BA0" w:rsidRPr="007B6BA0" w:rsidRDefault="007B6BA0" w:rsidP="007B6BA0">
      <w:pPr>
        <w:widowControl/>
        <w:spacing w:line="450" w:lineRule="atLeast"/>
        <w:outlineLvl w:val="2"/>
        <w:rPr>
          <w:rFonts w:ascii="微软雅黑" w:eastAsia="微软雅黑" w:hAnsi="微软雅黑" w:cs="宋体"/>
          <w:kern w:val="0"/>
          <w:sz w:val="32"/>
          <w:szCs w:val="32"/>
        </w:rPr>
      </w:pPr>
      <w:r w:rsidRPr="007B6BA0">
        <w:rPr>
          <w:rFonts w:ascii="微软雅黑" w:eastAsia="微软雅黑" w:hAnsi="微软雅黑" w:cs="宋体"/>
          <w:kern w:val="0"/>
          <w:sz w:val="32"/>
          <w:szCs w:val="32"/>
        </w:rPr>
        <w:t>2.5. SREBP1 与 p300 相互作用，共同调控从头胆固醇的合成</w:t>
      </w:r>
    </w:p>
    <w:p w14:paraId="21C5C656" w14:textId="77777777" w:rsidR="007B6BA0" w:rsidRPr="007B6BA0" w:rsidRDefault="007B6BA0" w:rsidP="007B6BA0">
      <w:pPr>
        <w:widowControl/>
        <w:spacing w:before="450"/>
        <w:rPr>
          <w:rFonts w:ascii="微软雅黑" w:eastAsia="微软雅黑" w:hAnsi="微软雅黑" w:cs="宋体"/>
          <w:kern w:val="0"/>
          <w:sz w:val="24"/>
          <w:szCs w:val="24"/>
        </w:rPr>
      </w:pPr>
      <w:r w:rsidRPr="007B6BA0">
        <w:rPr>
          <w:rFonts w:ascii="微软雅黑" w:eastAsia="微软雅黑" w:hAnsi="微软雅黑" w:cs="宋体"/>
          <w:kern w:val="0"/>
          <w:sz w:val="24"/>
          <w:szCs w:val="24"/>
        </w:rPr>
        <w:lastRenderedPageBreak/>
        <w:t>为了解SREBP1在联合治疗后如何调节胆固醇稳态，我们利用STRING和</w:t>
      </w:r>
      <w:proofErr w:type="spellStart"/>
      <w:r w:rsidRPr="007B6BA0">
        <w:rPr>
          <w:rFonts w:ascii="微软雅黑" w:eastAsia="微软雅黑" w:hAnsi="微软雅黑" w:cs="宋体"/>
          <w:kern w:val="0"/>
          <w:sz w:val="24"/>
          <w:szCs w:val="24"/>
        </w:rPr>
        <w:t>BioGRID</w:t>
      </w:r>
      <w:proofErr w:type="spellEnd"/>
      <w:r w:rsidRPr="007B6BA0">
        <w:rPr>
          <w:rFonts w:ascii="微软雅黑" w:eastAsia="微软雅黑" w:hAnsi="微软雅黑" w:cs="宋体"/>
          <w:kern w:val="0"/>
          <w:sz w:val="24"/>
          <w:szCs w:val="24"/>
        </w:rPr>
        <w:t>数据库筛选了SREBP1的相互作用蛋白（</w:t>
      </w:r>
      <w:r w:rsidRPr="007B6BA0">
        <w:rPr>
          <w:rFonts w:ascii="微软雅黑" w:eastAsia="微软雅黑" w:hAnsi="微软雅黑" w:cs="宋体"/>
          <w:kern w:val="0"/>
          <w:sz w:val="24"/>
          <w:szCs w:val="24"/>
        </w:rPr>
        <w:fldChar w:fldCharType="begin"/>
      </w:r>
      <w:r w:rsidRPr="007B6BA0">
        <w:rPr>
          <w:rFonts w:ascii="微软雅黑" w:eastAsia="微软雅黑" w:hAnsi="微软雅黑" w:cs="宋体"/>
          <w:kern w:val="0"/>
          <w:sz w:val="24"/>
          <w:szCs w:val="24"/>
        </w:rPr>
        <w:instrText xml:space="preserve"> HYPERLINK "https://pmc.ncbi.nlm.nih.gov/articles/PMC11791979/" \l "advs10347-fig-0005" </w:instrText>
      </w:r>
      <w:r w:rsidRPr="007B6BA0">
        <w:rPr>
          <w:rFonts w:ascii="微软雅黑" w:eastAsia="微软雅黑" w:hAnsi="微软雅黑" w:cs="宋体"/>
          <w:kern w:val="0"/>
          <w:sz w:val="24"/>
          <w:szCs w:val="24"/>
        </w:rPr>
        <w:fldChar w:fldCharType="separate"/>
      </w:r>
      <w:r w:rsidRPr="007B6BA0">
        <w:rPr>
          <w:rFonts w:ascii="微软雅黑" w:eastAsia="微软雅黑" w:hAnsi="微软雅黑" w:cs="宋体"/>
          <w:kern w:val="0"/>
          <w:sz w:val="24"/>
          <w:szCs w:val="24"/>
          <w:u w:val="single"/>
        </w:rPr>
        <w:t>图</w:t>
      </w:r>
      <w:r w:rsidRPr="007B6BA0">
        <w:rPr>
          <w:rFonts w:ascii="微软雅黑" w:eastAsia="微软雅黑" w:hAnsi="微软雅黑" w:cs="宋体"/>
          <w:kern w:val="0"/>
          <w:sz w:val="24"/>
          <w:szCs w:val="24"/>
        </w:rPr>
        <w:fldChar w:fldCharType="end"/>
      </w:r>
      <w:r w:rsidRPr="007B6BA0">
        <w:rPr>
          <w:rFonts w:ascii="微软雅黑" w:eastAsia="微软雅黑" w:hAnsi="微软雅黑" w:cs="宋体"/>
          <w:b/>
          <w:bCs/>
          <w:kern w:val="0"/>
          <w:sz w:val="24"/>
          <w:szCs w:val="24"/>
        </w:rPr>
        <w:t>5A </w:t>
      </w:r>
      <w:r w:rsidRPr="007B6BA0">
        <w:rPr>
          <w:rFonts w:ascii="微软雅黑" w:eastAsia="微软雅黑" w:hAnsi="微软雅黑" w:cs="宋体"/>
          <w:kern w:val="0"/>
          <w:sz w:val="24"/>
          <w:szCs w:val="24"/>
        </w:rPr>
        <w:t> </w:t>
      </w:r>
      <w:hyperlink r:id="rId106" w:anchor="advs10347-fig-0005" w:history="1">
        <w:r w:rsidRPr="007B6BA0">
          <w:rPr>
            <w:rFonts w:ascii="微软雅黑" w:eastAsia="微软雅黑" w:hAnsi="微软雅黑" w:cs="宋体"/>
            <w:b/>
            <w:bCs/>
            <w:kern w:val="0"/>
            <w:sz w:val="24"/>
            <w:szCs w:val="24"/>
            <w:u w:val="single"/>
          </w:rPr>
          <w:t>）</w:t>
        </w:r>
      </w:hyperlink>
      <w:r w:rsidRPr="007B6BA0">
        <w:rPr>
          <w:rFonts w:ascii="微软雅黑" w:eastAsia="微软雅黑" w:hAnsi="微软雅黑" w:cs="宋体"/>
          <w:kern w:val="0"/>
          <w:sz w:val="24"/>
          <w:szCs w:val="24"/>
        </w:rPr>
        <w:t>。该分析鉴定出组蛋白乙酰转移酶p300和CREB结合蛋白（CBP）（分别由EP300和CREBBP编码）是两个数据集中SREBP1的共同候选结合蛋白（图 </w:t>
      </w:r>
      <w:hyperlink r:id="rId107" w:anchor="advs10347-fig-0005" w:history="1">
        <w:r w:rsidRPr="007B6BA0">
          <w:rPr>
            <w:rFonts w:ascii="微软雅黑" w:eastAsia="微软雅黑" w:hAnsi="微软雅黑" w:cs="宋体"/>
            <w:kern w:val="0"/>
            <w:sz w:val="24"/>
            <w:szCs w:val="24"/>
            <w:u w:val="single"/>
          </w:rPr>
          <w:t>5B</w:t>
        </w:r>
      </w:hyperlink>
      <w:r w:rsidRPr="007B6BA0">
        <w:rPr>
          <w:rFonts w:ascii="微软雅黑" w:eastAsia="微软雅黑" w:hAnsi="微软雅黑" w:cs="宋体"/>
          <w:kern w:val="0"/>
          <w:sz w:val="24"/>
          <w:szCs w:val="24"/>
        </w:rPr>
        <w:t>）。免疫沉淀实验表明，在TNBC细胞中，p300而非CBP与SREBP1存在物理相互作用（图 </w:t>
      </w:r>
      <w:hyperlink r:id="rId108" w:anchor="advs10347-fig-0005" w:history="1">
        <w:r w:rsidRPr="007B6BA0">
          <w:rPr>
            <w:rFonts w:ascii="微软雅黑" w:eastAsia="微软雅黑" w:hAnsi="微软雅黑" w:cs="宋体"/>
            <w:kern w:val="0"/>
            <w:sz w:val="24"/>
            <w:szCs w:val="24"/>
            <w:u w:val="single"/>
          </w:rPr>
          <w:t>5C</w:t>
        </w:r>
      </w:hyperlink>
      <w:r w:rsidRPr="007B6BA0">
        <w:rPr>
          <w:rFonts w:ascii="微软雅黑" w:eastAsia="微软雅黑" w:hAnsi="微软雅黑" w:cs="宋体"/>
          <w:kern w:val="0"/>
          <w:sz w:val="24"/>
          <w:szCs w:val="24"/>
        </w:rPr>
        <w:t>）。SREBP1、p300和H3K27ac（组蛋白H3第27位赖氨酸的乙酰化）结合的</w:t>
      </w:r>
      <w:proofErr w:type="spellStart"/>
      <w:r w:rsidRPr="007B6BA0">
        <w:rPr>
          <w:rFonts w:ascii="微软雅黑" w:eastAsia="微软雅黑" w:hAnsi="微软雅黑" w:cs="宋体"/>
          <w:kern w:val="0"/>
          <w:sz w:val="24"/>
          <w:szCs w:val="24"/>
        </w:rPr>
        <w:t>CUT&amp;Tag</w:t>
      </w:r>
      <w:proofErr w:type="spellEnd"/>
      <w:r w:rsidRPr="007B6BA0">
        <w:rPr>
          <w:rFonts w:ascii="微软雅黑" w:eastAsia="微软雅黑" w:hAnsi="微软雅黑" w:cs="宋体"/>
          <w:kern w:val="0"/>
          <w:sz w:val="24"/>
          <w:szCs w:val="24"/>
        </w:rPr>
        <w:t>映射分析显示，双重抑制后SREBP1的占有率普遍降低，且p300和H3K27ac向SREBP1结合基因的募集也减少（图 </w:t>
      </w:r>
      <w:hyperlink r:id="rId109" w:anchor="advs10347-fig-0005" w:history="1">
        <w:r w:rsidRPr="007B6BA0">
          <w:rPr>
            <w:rFonts w:ascii="微软雅黑" w:eastAsia="微软雅黑" w:hAnsi="微软雅黑" w:cs="宋体"/>
            <w:kern w:val="0"/>
            <w:sz w:val="24"/>
            <w:szCs w:val="24"/>
            <w:u w:val="single"/>
          </w:rPr>
          <w:t>5D、E</w:t>
        </w:r>
      </w:hyperlink>
      <w:r w:rsidRPr="007B6BA0">
        <w:rPr>
          <w:rFonts w:ascii="微软雅黑" w:eastAsia="微软雅黑" w:hAnsi="微软雅黑" w:cs="宋体"/>
          <w:kern w:val="0"/>
          <w:sz w:val="24"/>
          <w:szCs w:val="24"/>
        </w:rPr>
        <w:t>）。此外，联合处理后，胆固醇稳态基因上的p300和H3K27ac信号强度显著降低（图 </w:t>
      </w:r>
      <w:hyperlink r:id="rId110" w:anchor="advs10347-fig-0005" w:history="1">
        <w:r w:rsidRPr="007B6BA0">
          <w:rPr>
            <w:rFonts w:ascii="微软雅黑" w:eastAsia="微软雅黑" w:hAnsi="微软雅黑" w:cs="宋体"/>
            <w:kern w:val="0"/>
            <w:sz w:val="24"/>
            <w:szCs w:val="24"/>
            <w:u w:val="single"/>
          </w:rPr>
          <w:t>5F</w:t>
        </w:r>
      </w:hyperlink>
      <w:r w:rsidRPr="007B6BA0">
        <w:rPr>
          <w:rFonts w:ascii="微软雅黑" w:eastAsia="微软雅黑" w:hAnsi="微软雅黑" w:cs="宋体"/>
          <w:kern w:val="0"/>
          <w:sz w:val="24"/>
          <w:szCs w:val="24"/>
        </w:rPr>
        <w:t>），表现为包括磷酸甲羟戊酸激酶（PMVK）、角鲨烯环氧化酶（SQLE）和羊毛甾醇合酶（LSS）在内的多个胆固醇合成基因启动子区域的p300和H3K27ac占位率降低（图 </w:t>
      </w:r>
      <w:hyperlink r:id="rId111" w:anchor="advs10347-fig-0005" w:history="1">
        <w:r w:rsidRPr="007B6BA0">
          <w:rPr>
            <w:rFonts w:ascii="微软雅黑" w:eastAsia="微软雅黑" w:hAnsi="微软雅黑" w:cs="宋体"/>
            <w:kern w:val="0"/>
            <w:sz w:val="24"/>
            <w:szCs w:val="24"/>
            <w:u w:val="single"/>
          </w:rPr>
          <w:t>5G</w:t>
        </w:r>
      </w:hyperlink>
      <w:r w:rsidRPr="007B6BA0">
        <w:rPr>
          <w:rFonts w:ascii="微软雅黑" w:eastAsia="微软雅黑" w:hAnsi="微软雅黑" w:cs="宋体"/>
          <w:kern w:val="0"/>
          <w:sz w:val="24"/>
          <w:szCs w:val="24"/>
        </w:rPr>
        <w:t>）。此外，使用A-485或C646阻断p300可显著抑制SREBF1和参与胆固醇合成的关键酶的转录活性（图 </w:t>
      </w:r>
      <w:hyperlink r:id="rId112" w:anchor="advs10347-fig-0005" w:history="1">
        <w:r w:rsidRPr="007B6BA0">
          <w:rPr>
            <w:rFonts w:ascii="微软雅黑" w:eastAsia="微软雅黑" w:hAnsi="微软雅黑" w:cs="宋体"/>
            <w:kern w:val="0"/>
            <w:sz w:val="24"/>
            <w:szCs w:val="24"/>
            <w:u w:val="single"/>
          </w:rPr>
          <w:t>5H</w:t>
        </w:r>
      </w:hyperlink>
      <w:r w:rsidRPr="007B6BA0">
        <w:rPr>
          <w:rFonts w:ascii="微软雅黑" w:eastAsia="微软雅黑" w:hAnsi="微软雅黑" w:cs="宋体"/>
          <w:kern w:val="0"/>
          <w:sz w:val="24"/>
          <w:szCs w:val="24"/>
        </w:rPr>
        <w:t>）。这些结果揭示了一个协同调控胆固醇合成途径的SREBP1-p300复合物。</w:t>
      </w:r>
    </w:p>
    <w:p w14:paraId="3B56925B" w14:textId="77777777" w:rsidR="007B6BA0" w:rsidRPr="007B6BA0" w:rsidRDefault="007B6BA0" w:rsidP="007B6BA0">
      <w:pPr>
        <w:widowControl/>
        <w:spacing w:line="450" w:lineRule="atLeast"/>
        <w:outlineLvl w:val="3"/>
        <w:rPr>
          <w:rFonts w:ascii="微软雅黑" w:eastAsia="微软雅黑" w:hAnsi="微软雅黑" w:cs="宋体"/>
          <w:kern w:val="0"/>
          <w:sz w:val="30"/>
          <w:szCs w:val="30"/>
        </w:rPr>
      </w:pPr>
      <w:r w:rsidRPr="007B6BA0">
        <w:rPr>
          <w:rFonts w:ascii="微软雅黑" w:eastAsia="微软雅黑" w:hAnsi="微软雅黑" w:cs="宋体"/>
          <w:kern w:val="0"/>
          <w:sz w:val="30"/>
          <w:szCs w:val="30"/>
        </w:rPr>
        <w:t>图 5。</w:t>
      </w:r>
    </w:p>
    <w:p w14:paraId="033980FB" w14:textId="5ACD7E34" w:rsidR="007B6BA0" w:rsidRPr="007B6BA0" w:rsidRDefault="007B6BA0" w:rsidP="007B6BA0">
      <w:pPr>
        <w:widowControl/>
        <w:spacing w:before="450"/>
        <w:rPr>
          <w:rFonts w:ascii="微软雅黑" w:eastAsia="微软雅黑" w:hAnsi="微软雅黑" w:cs="宋体"/>
          <w:kern w:val="0"/>
          <w:sz w:val="24"/>
          <w:szCs w:val="24"/>
        </w:rPr>
      </w:pPr>
      <w:r w:rsidRPr="005E56A4">
        <w:rPr>
          <w:rFonts w:ascii="微软雅黑" w:eastAsia="微软雅黑" w:hAnsi="微软雅黑" w:cs="宋体"/>
          <w:noProof/>
          <w:kern w:val="0"/>
          <w:sz w:val="24"/>
          <w:szCs w:val="24"/>
        </w:rPr>
        <w:lastRenderedPageBreak/>
        <w:drawing>
          <wp:inline distT="0" distB="0" distL="0" distR="0" wp14:anchorId="79DF9289" wp14:editId="153985C4">
            <wp:extent cx="5202555" cy="5020945"/>
            <wp:effectExtent l="0" t="0" r="0" b="8255"/>
            <wp:docPr id="2" name="图片 2" descr="图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ats-graphic-11" descr="图 5"/>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5202555" cy="5020945"/>
                    </a:xfrm>
                    <a:prstGeom prst="rect">
                      <a:avLst/>
                    </a:prstGeom>
                    <a:noFill/>
                    <a:ln>
                      <a:noFill/>
                    </a:ln>
                  </pic:spPr>
                </pic:pic>
              </a:graphicData>
            </a:graphic>
          </wp:inline>
        </w:drawing>
      </w:r>
    </w:p>
    <w:p w14:paraId="72769819" w14:textId="77777777" w:rsidR="007B6BA0" w:rsidRPr="007B6BA0" w:rsidRDefault="007B6BA0" w:rsidP="007B6BA0">
      <w:pPr>
        <w:widowControl/>
        <w:rPr>
          <w:rFonts w:ascii="微软雅黑" w:eastAsia="微软雅黑" w:hAnsi="微软雅黑" w:cs="宋体"/>
          <w:kern w:val="0"/>
          <w:sz w:val="24"/>
          <w:szCs w:val="24"/>
        </w:rPr>
      </w:pPr>
      <w:r w:rsidRPr="007B6BA0">
        <w:rPr>
          <w:rFonts w:ascii="微软雅黑" w:eastAsia="微软雅黑" w:hAnsi="微软雅黑" w:cs="宋体"/>
          <w:kern w:val="0"/>
          <w:sz w:val="24"/>
          <w:szCs w:val="24"/>
        </w:rPr>
        <w:t xml:space="preserve">SREBP1 与 p300 相互作用，共同调控胆固醇从头合成。A) STRING 数据库中以 SREBP1 为中心的蛋白质-蛋白质相互作用网络。B) Venn 图显示了在 STRING 和 </w:t>
      </w:r>
      <w:proofErr w:type="spellStart"/>
      <w:r w:rsidRPr="007B6BA0">
        <w:rPr>
          <w:rFonts w:ascii="微软雅黑" w:eastAsia="微软雅黑" w:hAnsi="微软雅黑" w:cs="宋体"/>
          <w:kern w:val="0"/>
          <w:sz w:val="24"/>
          <w:szCs w:val="24"/>
        </w:rPr>
        <w:t>BioGRID</w:t>
      </w:r>
      <w:proofErr w:type="spellEnd"/>
      <w:r w:rsidRPr="007B6BA0">
        <w:rPr>
          <w:rFonts w:ascii="微软雅黑" w:eastAsia="微软雅黑" w:hAnsi="微软雅黑" w:cs="宋体"/>
          <w:kern w:val="0"/>
          <w:sz w:val="24"/>
          <w:szCs w:val="24"/>
        </w:rPr>
        <w:t xml:space="preserve"> 数据库中鉴定出的与 SREBP1 相互作用的重叠蛋白。C) 对 MDA-MB-468 和 Hs578T 细胞中的 SREBP1 和 p300/CBP 进行免疫沉淀和免疫印迹分析。D) </w:t>
      </w:r>
      <w:proofErr w:type="gramStart"/>
      <w:r w:rsidRPr="007B6BA0">
        <w:rPr>
          <w:rFonts w:ascii="微软雅黑" w:eastAsia="微软雅黑" w:hAnsi="微软雅黑" w:cs="宋体"/>
          <w:kern w:val="0"/>
          <w:sz w:val="24"/>
          <w:szCs w:val="24"/>
        </w:rPr>
        <w:t>热图显示</w:t>
      </w:r>
      <w:proofErr w:type="gramEnd"/>
      <w:r w:rsidRPr="007B6BA0">
        <w:rPr>
          <w:rFonts w:ascii="微软雅黑" w:eastAsia="微软雅黑" w:hAnsi="微软雅黑" w:cs="宋体"/>
          <w:kern w:val="0"/>
          <w:sz w:val="24"/>
          <w:szCs w:val="24"/>
        </w:rPr>
        <w:t xml:space="preserve">了 DMSO 和联合处理 72 小时后 SREBP1 的占位情况。峰值位于 SREBP1 结合基因的转录起始位点 (TSS) 处。数据为两次独立实验的代表性结果。E) </w:t>
      </w:r>
      <w:proofErr w:type="gramStart"/>
      <w:r w:rsidRPr="007B6BA0">
        <w:rPr>
          <w:rFonts w:ascii="微软雅黑" w:eastAsia="微软雅黑" w:hAnsi="微软雅黑" w:cs="宋体"/>
          <w:kern w:val="0"/>
          <w:sz w:val="24"/>
          <w:szCs w:val="24"/>
        </w:rPr>
        <w:t>热图显示</w:t>
      </w:r>
      <w:proofErr w:type="gramEnd"/>
      <w:r w:rsidRPr="007B6BA0">
        <w:rPr>
          <w:rFonts w:ascii="微软雅黑" w:eastAsia="微软雅黑" w:hAnsi="微软雅黑" w:cs="宋体"/>
          <w:kern w:val="0"/>
          <w:sz w:val="24"/>
          <w:szCs w:val="24"/>
        </w:rPr>
        <w:t>了 SREBP1 靶基因上的 p300 和 H3K27ac 信号。数据为两次独立实验的代表性结果。 F) 胆固醇稳态基因转录起始位点 (TSS) 的 p300 和 H3K27ac 信号强度。数据为两次独立实验的代表</w:t>
      </w:r>
      <w:r w:rsidRPr="007B6BA0">
        <w:rPr>
          <w:rFonts w:ascii="微软雅黑" w:eastAsia="微软雅黑" w:hAnsi="微软雅黑" w:cs="宋体"/>
          <w:kern w:val="0"/>
          <w:sz w:val="24"/>
          <w:szCs w:val="24"/>
        </w:rPr>
        <w:lastRenderedPageBreak/>
        <w:t xml:space="preserve">性结果。G) </w:t>
      </w:r>
      <w:proofErr w:type="spellStart"/>
      <w:r w:rsidRPr="007B6BA0">
        <w:rPr>
          <w:rFonts w:ascii="微软雅黑" w:eastAsia="微软雅黑" w:hAnsi="微软雅黑" w:cs="宋体"/>
          <w:kern w:val="0"/>
          <w:sz w:val="24"/>
          <w:szCs w:val="24"/>
        </w:rPr>
        <w:t>CUT&amp;Tag</w:t>
      </w:r>
      <w:proofErr w:type="spellEnd"/>
      <w:r w:rsidRPr="007B6BA0">
        <w:rPr>
          <w:rFonts w:ascii="微软雅黑" w:eastAsia="微软雅黑" w:hAnsi="微软雅黑" w:cs="宋体"/>
          <w:kern w:val="0"/>
          <w:sz w:val="24"/>
          <w:szCs w:val="24"/>
        </w:rPr>
        <w:t xml:space="preserve"> 轨迹显示了 PMVK、SQLE 和 LSS 基因组位点的 SREBP1、p300 和 H3K27ac 信号。数据为两次独立实验的代表性结果。H) </w:t>
      </w:r>
      <w:proofErr w:type="gramStart"/>
      <w:r w:rsidRPr="007B6BA0">
        <w:rPr>
          <w:rFonts w:ascii="微软雅黑" w:eastAsia="微软雅黑" w:hAnsi="微软雅黑" w:cs="宋体"/>
          <w:kern w:val="0"/>
          <w:sz w:val="24"/>
          <w:szCs w:val="24"/>
        </w:rPr>
        <w:t>热图总结</w:t>
      </w:r>
      <w:proofErr w:type="gramEnd"/>
      <w:r w:rsidRPr="007B6BA0">
        <w:rPr>
          <w:rFonts w:ascii="微软雅黑" w:eastAsia="微软雅黑" w:hAnsi="微软雅黑" w:cs="宋体"/>
          <w:kern w:val="0"/>
          <w:sz w:val="24"/>
          <w:szCs w:val="24"/>
        </w:rPr>
        <w:t>了给予 p300 抑制剂后胆固醇合成相关基因的 RT-qPCR 结果 ( </w:t>
      </w:r>
      <w:r w:rsidRPr="007B6BA0">
        <w:rPr>
          <w:rFonts w:ascii="微软雅黑" w:eastAsia="微软雅黑" w:hAnsi="微软雅黑" w:cs="宋体"/>
          <w:i/>
          <w:iCs/>
          <w:kern w:val="0"/>
          <w:sz w:val="24"/>
          <w:szCs w:val="24"/>
        </w:rPr>
        <w:t>n</w:t>
      </w:r>
      <w:r w:rsidRPr="007B6BA0">
        <w:rPr>
          <w:rFonts w:ascii="微软雅黑" w:eastAsia="微软雅黑" w:hAnsi="微软雅黑" w:cs="宋体"/>
          <w:kern w:val="0"/>
          <w:sz w:val="24"/>
          <w:szCs w:val="24"/>
        </w:rPr>
        <w:t> = 3)。</w:t>
      </w:r>
    </w:p>
    <w:p w14:paraId="4AB5E514" w14:textId="77777777" w:rsidR="007B6BA0" w:rsidRPr="007B6BA0" w:rsidRDefault="007B6BA0" w:rsidP="007B6BA0">
      <w:pPr>
        <w:widowControl/>
        <w:spacing w:line="450" w:lineRule="atLeast"/>
        <w:outlineLvl w:val="2"/>
        <w:rPr>
          <w:rFonts w:ascii="微软雅黑" w:eastAsia="微软雅黑" w:hAnsi="微软雅黑" w:cs="宋体"/>
          <w:kern w:val="0"/>
          <w:sz w:val="32"/>
          <w:szCs w:val="32"/>
        </w:rPr>
      </w:pPr>
      <w:r w:rsidRPr="007B6BA0">
        <w:rPr>
          <w:rFonts w:ascii="微软雅黑" w:eastAsia="微软雅黑" w:hAnsi="微软雅黑" w:cs="宋体"/>
          <w:kern w:val="0"/>
          <w:sz w:val="32"/>
          <w:szCs w:val="32"/>
        </w:rPr>
        <w:t>2.6. SREBP1-p300-胆固醇合成通路在三阴性乳腺癌中的临床意义</w:t>
      </w:r>
    </w:p>
    <w:p w14:paraId="3F21FC9E" w14:textId="77777777" w:rsidR="007B6BA0" w:rsidRPr="007B6BA0" w:rsidRDefault="007B6BA0" w:rsidP="007B6BA0">
      <w:pPr>
        <w:widowControl/>
        <w:spacing w:before="450"/>
        <w:rPr>
          <w:rFonts w:ascii="微软雅黑" w:eastAsia="微软雅黑" w:hAnsi="微软雅黑" w:cs="宋体"/>
          <w:kern w:val="0"/>
          <w:sz w:val="24"/>
          <w:szCs w:val="24"/>
        </w:rPr>
      </w:pPr>
      <w:r w:rsidRPr="007B6BA0">
        <w:rPr>
          <w:rFonts w:ascii="微软雅黑" w:eastAsia="微软雅黑" w:hAnsi="微软雅黑" w:cs="宋体"/>
          <w:kern w:val="0"/>
          <w:sz w:val="24"/>
          <w:szCs w:val="24"/>
        </w:rPr>
        <w:t>为了探究我们研究结果的临床意义，我们利用FUSCC-TNBC、TCGA-TNBC和METABRIC-TNBC队列的</w:t>
      </w:r>
      <w:proofErr w:type="gramStart"/>
      <w:r w:rsidRPr="007B6BA0">
        <w:rPr>
          <w:rFonts w:ascii="微软雅黑" w:eastAsia="微软雅黑" w:hAnsi="微软雅黑" w:cs="宋体"/>
          <w:kern w:val="0"/>
          <w:sz w:val="24"/>
          <w:szCs w:val="24"/>
        </w:rPr>
        <w:t>转录组</w:t>
      </w:r>
      <w:proofErr w:type="gramEnd"/>
      <w:r w:rsidRPr="007B6BA0">
        <w:rPr>
          <w:rFonts w:ascii="微软雅黑" w:eastAsia="微软雅黑" w:hAnsi="微软雅黑" w:cs="宋体"/>
          <w:kern w:val="0"/>
          <w:sz w:val="24"/>
          <w:szCs w:val="24"/>
        </w:rPr>
        <w:t>数据，对SREBF1、EP300和胆固醇生成基因（PMVK、SQLE和LSS）进行了全面分析。在三个独立的TNBC队列中，我们</w:t>
      </w:r>
      <w:proofErr w:type="gramStart"/>
      <w:r w:rsidRPr="007B6BA0">
        <w:rPr>
          <w:rFonts w:ascii="微软雅黑" w:eastAsia="微软雅黑" w:hAnsi="微软雅黑" w:cs="宋体"/>
          <w:kern w:val="0"/>
          <w:sz w:val="24"/>
          <w:szCs w:val="24"/>
        </w:rPr>
        <w:t>均观察</w:t>
      </w:r>
      <w:proofErr w:type="gramEnd"/>
      <w:r w:rsidRPr="007B6BA0">
        <w:rPr>
          <w:rFonts w:ascii="微软雅黑" w:eastAsia="微软雅黑" w:hAnsi="微软雅黑" w:cs="宋体"/>
          <w:kern w:val="0"/>
          <w:sz w:val="24"/>
          <w:szCs w:val="24"/>
        </w:rPr>
        <w:t>到SREBF1/EP300与胆固醇生成基因（PMVK、SQLE和LSS）之间存在微弱的正相关性（</w:t>
      </w:r>
      <w:r w:rsidRPr="007B6BA0">
        <w:rPr>
          <w:rFonts w:ascii="微软雅黑" w:eastAsia="微软雅黑" w:hAnsi="微软雅黑" w:cs="宋体"/>
          <w:b/>
          <w:bCs/>
          <w:kern w:val="0"/>
          <w:sz w:val="24"/>
          <w:szCs w:val="24"/>
        </w:rPr>
        <w:t>图</w:t>
      </w:r>
      <w:r w:rsidRPr="007B6BA0">
        <w:rPr>
          <w:rFonts w:ascii="微软雅黑" w:eastAsia="微软雅黑" w:hAnsi="微软雅黑" w:cs="宋体"/>
          <w:kern w:val="0"/>
          <w:sz w:val="24"/>
          <w:szCs w:val="24"/>
        </w:rPr>
        <w:t> </w:t>
      </w:r>
      <w:hyperlink r:id="rId114" w:anchor="advs10347-fig-0006" w:history="1">
        <w:r w:rsidRPr="007B6BA0">
          <w:rPr>
            <w:rFonts w:ascii="微软雅黑" w:eastAsia="微软雅黑" w:hAnsi="微软雅黑" w:cs="宋体"/>
            <w:b/>
            <w:bCs/>
            <w:kern w:val="0"/>
            <w:sz w:val="24"/>
            <w:szCs w:val="24"/>
            <w:u w:val="single"/>
          </w:rPr>
          <w:t>6A</w:t>
        </w:r>
      </w:hyperlink>
      <w:hyperlink r:id="rId115" w:anchor="advs10347-fig-0006" w:history="1">
        <w:r w:rsidRPr="007B6BA0">
          <w:rPr>
            <w:rFonts w:ascii="微软雅黑" w:eastAsia="微软雅黑" w:hAnsi="微软雅黑" w:cs="宋体"/>
            <w:kern w:val="0"/>
            <w:sz w:val="24"/>
            <w:szCs w:val="24"/>
            <w:u w:val="single"/>
          </w:rPr>
          <w:t>、B</w:t>
        </w:r>
      </w:hyperlink>
      <w:r w:rsidRPr="007B6BA0">
        <w:rPr>
          <w:rFonts w:ascii="微软雅黑" w:eastAsia="微软雅黑" w:hAnsi="微软雅黑" w:cs="宋体"/>
          <w:kern w:val="0"/>
          <w:sz w:val="24"/>
          <w:szCs w:val="24"/>
        </w:rPr>
        <w:t>；补充信息图 </w:t>
      </w:r>
      <w:hyperlink r:id="rId116" w:anchor="advs10347-supinfo-0001" w:history="1">
        <w:r w:rsidRPr="007B6BA0">
          <w:rPr>
            <w:rFonts w:ascii="微软雅黑" w:eastAsia="微软雅黑" w:hAnsi="微软雅黑" w:cs="宋体"/>
            <w:kern w:val="0"/>
            <w:sz w:val="24"/>
            <w:szCs w:val="24"/>
            <w:u w:val="single"/>
          </w:rPr>
          <w:t>S5A</w:t>
        </w:r>
      </w:hyperlink>
      <w:r w:rsidRPr="007B6BA0">
        <w:rPr>
          <w:rFonts w:ascii="微软雅黑" w:eastAsia="微软雅黑" w:hAnsi="微软雅黑" w:cs="宋体"/>
          <w:kern w:val="0"/>
          <w:sz w:val="24"/>
          <w:szCs w:val="24"/>
        </w:rPr>
        <w:t>）。此外，在FUSCC-TNBC队列中，FOXM1/SREBF1和SREBF1/EP300</w:t>
      </w:r>
      <w:proofErr w:type="gramStart"/>
      <w:r w:rsidRPr="007B6BA0">
        <w:rPr>
          <w:rFonts w:ascii="微软雅黑" w:eastAsia="微软雅黑" w:hAnsi="微软雅黑" w:cs="宋体"/>
          <w:kern w:val="0"/>
          <w:sz w:val="24"/>
          <w:szCs w:val="24"/>
        </w:rPr>
        <w:t>高共表达</w:t>
      </w:r>
      <w:proofErr w:type="gramEnd"/>
      <w:r w:rsidRPr="007B6BA0">
        <w:rPr>
          <w:rFonts w:ascii="微软雅黑" w:eastAsia="微软雅黑" w:hAnsi="微软雅黑" w:cs="宋体"/>
          <w:kern w:val="0"/>
          <w:sz w:val="24"/>
          <w:szCs w:val="24"/>
        </w:rPr>
        <w:t>的患者的总生存期（OS）</w:t>
      </w:r>
      <w:proofErr w:type="gramStart"/>
      <w:r w:rsidRPr="007B6BA0">
        <w:rPr>
          <w:rFonts w:ascii="微软雅黑" w:eastAsia="微软雅黑" w:hAnsi="微软雅黑" w:cs="宋体"/>
          <w:kern w:val="0"/>
          <w:sz w:val="24"/>
          <w:szCs w:val="24"/>
        </w:rPr>
        <w:t>低于低</w:t>
      </w:r>
      <w:proofErr w:type="gramEnd"/>
      <w:r w:rsidRPr="007B6BA0">
        <w:rPr>
          <w:rFonts w:ascii="微软雅黑" w:eastAsia="微软雅黑" w:hAnsi="微软雅黑" w:cs="宋体"/>
          <w:kern w:val="0"/>
          <w:sz w:val="24"/>
          <w:szCs w:val="24"/>
        </w:rPr>
        <w:t>表达水平的患者（图 </w:t>
      </w:r>
      <w:hyperlink r:id="rId117" w:anchor="advs10347-fig-0006" w:history="1">
        <w:r w:rsidRPr="007B6BA0">
          <w:rPr>
            <w:rFonts w:ascii="微软雅黑" w:eastAsia="微软雅黑" w:hAnsi="微软雅黑" w:cs="宋体"/>
            <w:kern w:val="0"/>
            <w:sz w:val="24"/>
            <w:szCs w:val="24"/>
            <w:u w:val="single"/>
          </w:rPr>
          <w:t>6C</w:t>
        </w:r>
      </w:hyperlink>
      <w:r w:rsidRPr="007B6BA0">
        <w:rPr>
          <w:rFonts w:ascii="微软雅黑" w:eastAsia="微软雅黑" w:hAnsi="微软雅黑" w:cs="宋体"/>
          <w:kern w:val="0"/>
          <w:sz w:val="24"/>
          <w:szCs w:val="24"/>
        </w:rPr>
        <w:t>）。值得注意的是，通过基因集变异分析（GSVA）确定的高胆固醇稳态基因特征评分也与FUSCC-TNBC队列的不良预后密切相关（图 </w:t>
      </w:r>
      <w:hyperlink r:id="rId118" w:anchor="advs10347-fig-0006" w:history="1">
        <w:r w:rsidRPr="007B6BA0">
          <w:rPr>
            <w:rFonts w:ascii="微软雅黑" w:eastAsia="微软雅黑" w:hAnsi="微软雅黑" w:cs="宋体"/>
            <w:kern w:val="0"/>
            <w:sz w:val="24"/>
            <w:szCs w:val="24"/>
            <w:u w:val="single"/>
          </w:rPr>
          <w:t>6D</w:t>
        </w:r>
      </w:hyperlink>
      <w:r w:rsidRPr="007B6BA0">
        <w:rPr>
          <w:rFonts w:ascii="微软雅黑" w:eastAsia="微软雅黑" w:hAnsi="微软雅黑" w:cs="宋体"/>
          <w:kern w:val="0"/>
          <w:sz w:val="24"/>
          <w:szCs w:val="24"/>
        </w:rPr>
        <w:t>）。多因素分析证实，高胆固醇特征评分（风险比=3.84，</w:t>
      </w:r>
      <w:r w:rsidRPr="007B6BA0">
        <w:rPr>
          <w:rFonts w:ascii="微软雅黑" w:eastAsia="微软雅黑" w:hAnsi="微软雅黑" w:cs="宋体"/>
          <w:i/>
          <w:iCs/>
          <w:kern w:val="0"/>
          <w:sz w:val="24"/>
          <w:szCs w:val="24"/>
        </w:rPr>
        <w:t>p</w:t>
      </w:r>
      <w:r w:rsidRPr="007B6BA0">
        <w:rPr>
          <w:rFonts w:ascii="微软雅黑" w:eastAsia="微软雅黑" w:hAnsi="微软雅黑" w:cs="宋体"/>
          <w:kern w:val="0"/>
          <w:sz w:val="24"/>
          <w:szCs w:val="24"/>
        </w:rPr>
        <w:t> =0.012）是TNBC患者总生存期的独立预后因素（图 </w:t>
      </w:r>
      <w:hyperlink r:id="rId119" w:anchor="advs10347-supinfo-0001" w:history="1">
        <w:r w:rsidRPr="007B6BA0">
          <w:rPr>
            <w:rFonts w:ascii="微软雅黑" w:eastAsia="微软雅黑" w:hAnsi="微软雅黑" w:cs="宋体"/>
            <w:kern w:val="0"/>
            <w:sz w:val="24"/>
            <w:szCs w:val="24"/>
            <w:u w:val="single"/>
          </w:rPr>
          <w:t>S5B</w:t>
        </w:r>
      </w:hyperlink>
      <w:r w:rsidRPr="007B6BA0">
        <w:rPr>
          <w:rFonts w:ascii="微软雅黑" w:eastAsia="微软雅黑" w:hAnsi="微软雅黑" w:cs="宋体"/>
          <w:kern w:val="0"/>
          <w:sz w:val="24"/>
          <w:szCs w:val="24"/>
        </w:rPr>
        <w:t>，补充信息）。总而言之，来自独立TNBC队列的这些临床数据为我们的实验结果和提出的机制提供了进一步的支持，表明胆固醇代谢紊乱与更具侵袭性的TNBC相关。</w:t>
      </w:r>
    </w:p>
    <w:p w14:paraId="15E516C3" w14:textId="77777777" w:rsidR="007B6BA0" w:rsidRPr="007B6BA0" w:rsidRDefault="007B6BA0" w:rsidP="007B6BA0">
      <w:pPr>
        <w:widowControl/>
        <w:spacing w:line="450" w:lineRule="atLeast"/>
        <w:outlineLvl w:val="3"/>
        <w:rPr>
          <w:rFonts w:ascii="微软雅黑" w:eastAsia="微软雅黑" w:hAnsi="微软雅黑" w:cs="宋体"/>
          <w:kern w:val="0"/>
          <w:sz w:val="30"/>
          <w:szCs w:val="30"/>
        </w:rPr>
      </w:pPr>
      <w:r w:rsidRPr="007B6BA0">
        <w:rPr>
          <w:rFonts w:ascii="微软雅黑" w:eastAsia="微软雅黑" w:hAnsi="微软雅黑" w:cs="宋体"/>
          <w:kern w:val="0"/>
          <w:sz w:val="30"/>
          <w:szCs w:val="30"/>
        </w:rPr>
        <w:t>图 6。</w:t>
      </w:r>
    </w:p>
    <w:p w14:paraId="10A6F6C2" w14:textId="0E0C980A" w:rsidR="007B6BA0" w:rsidRPr="007B6BA0" w:rsidRDefault="007B6BA0" w:rsidP="007B6BA0">
      <w:pPr>
        <w:widowControl/>
        <w:spacing w:before="450"/>
        <w:rPr>
          <w:rFonts w:ascii="微软雅黑" w:eastAsia="微软雅黑" w:hAnsi="微软雅黑" w:cs="宋体"/>
          <w:kern w:val="0"/>
          <w:sz w:val="24"/>
          <w:szCs w:val="24"/>
        </w:rPr>
      </w:pPr>
      <w:r w:rsidRPr="005E56A4">
        <w:rPr>
          <w:rFonts w:ascii="微软雅黑" w:eastAsia="微软雅黑" w:hAnsi="微软雅黑" w:cs="宋体"/>
          <w:noProof/>
          <w:kern w:val="0"/>
          <w:sz w:val="24"/>
          <w:szCs w:val="24"/>
        </w:rPr>
        <w:lastRenderedPageBreak/>
        <w:drawing>
          <wp:inline distT="0" distB="0" distL="0" distR="0" wp14:anchorId="11059E1D" wp14:editId="7AC5B70E">
            <wp:extent cx="4679950" cy="8863330"/>
            <wp:effectExtent l="0" t="0" r="6350" b="0"/>
            <wp:docPr id="1" name="图片 1" descr="图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ats-graphic-13" descr="图 6"/>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bwMode="auto">
                    <a:xfrm>
                      <a:off x="0" y="0"/>
                      <a:ext cx="4679950" cy="8863330"/>
                    </a:xfrm>
                    <a:prstGeom prst="rect">
                      <a:avLst/>
                    </a:prstGeom>
                    <a:noFill/>
                    <a:ln>
                      <a:noFill/>
                    </a:ln>
                  </pic:spPr>
                </pic:pic>
              </a:graphicData>
            </a:graphic>
          </wp:inline>
        </w:drawing>
      </w:r>
    </w:p>
    <w:p w14:paraId="0CF7FD53" w14:textId="77777777" w:rsidR="007B6BA0" w:rsidRPr="007B6BA0" w:rsidRDefault="007B6BA0" w:rsidP="007B6BA0">
      <w:pPr>
        <w:widowControl/>
        <w:rPr>
          <w:rFonts w:ascii="微软雅黑" w:eastAsia="微软雅黑" w:hAnsi="微软雅黑" w:cs="宋体"/>
          <w:kern w:val="0"/>
          <w:sz w:val="24"/>
          <w:szCs w:val="24"/>
        </w:rPr>
      </w:pPr>
      <w:r w:rsidRPr="007B6BA0">
        <w:rPr>
          <w:rFonts w:ascii="微软雅黑" w:eastAsia="微软雅黑" w:hAnsi="微软雅黑" w:cs="宋体"/>
          <w:kern w:val="0"/>
          <w:sz w:val="24"/>
          <w:szCs w:val="24"/>
        </w:rPr>
        <w:lastRenderedPageBreak/>
        <w:t>SREBP1-p300-胆固醇合成通路在三阴性乳腺癌（TNBC）中的临床意义。A、B）FUSCC-TNBC（</w:t>
      </w:r>
      <w:r w:rsidRPr="007B6BA0">
        <w:rPr>
          <w:rFonts w:ascii="微软雅黑" w:eastAsia="微软雅黑" w:hAnsi="微软雅黑" w:cs="宋体"/>
          <w:i/>
          <w:iCs/>
          <w:kern w:val="0"/>
          <w:sz w:val="24"/>
          <w:szCs w:val="24"/>
        </w:rPr>
        <w:t>n</w:t>
      </w:r>
      <w:r w:rsidRPr="007B6BA0">
        <w:rPr>
          <w:rFonts w:ascii="微软雅黑" w:eastAsia="微软雅黑" w:hAnsi="微软雅黑" w:cs="宋体"/>
          <w:kern w:val="0"/>
          <w:sz w:val="24"/>
          <w:szCs w:val="24"/>
        </w:rPr>
        <w:t> = 360）（A）和TCGA-TNBC（</w:t>
      </w:r>
      <w:r w:rsidRPr="007B6BA0">
        <w:rPr>
          <w:rFonts w:ascii="微软雅黑" w:eastAsia="微软雅黑" w:hAnsi="微软雅黑" w:cs="宋体"/>
          <w:i/>
          <w:iCs/>
          <w:kern w:val="0"/>
          <w:sz w:val="24"/>
          <w:szCs w:val="24"/>
        </w:rPr>
        <w:t>n</w:t>
      </w:r>
      <w:r w:rsidRPr="007B6BA0">
        <w:rPr>
          <w:rFonts w:ascii="微软雅黑" w:eastAsia="微软雅黑" w:hAnsi="微软雅黑" w:cs="宋体"/>
          <w:kern w:val="0"/>
          <w:sz w:val="24"/>
          <w:szCs w:val="24"/>
        </w:rPr>
        <w:t> = 140）（B）队列中SREBF1、EP300和胆固醇生物合成基因（PMVK、SQLE和LSS）mRNA表达水平的相关性分析。相关系数采用Spearman</w:t>
      </w:r>
      <w:proofErr w:type="gramStart"/>
      <w:r w:rsidRPr="007B6BA0">
        <w:rPr>
          <w:rFonts w:ascii="微软雅黑" w:eastAsia="微软雅黑" w:hAnsi="微软雅黑" w:cs="宋体"/>
          <w:kern w:val="0"/>
          <w:sz w:val="24"/>
          <w:szCs w:val="24"/>
        </w:rPr>
        <w:t>秩</w:t>
      </w:r>
      <w:proofErr w:type="gramEnd"/>
      <w:r w:rsidRPr="007B6BA0">
        <w:rPr>
          <w:rFonts w:ascii="微软雅黑" w:eastAsia="微软雅黑" w:hAnsi="微软雅黑" w:cs="宋体"/>
          <w:kern w:val="0"/>
          <w:sz w:val="24"/>
          <w:szCs w:val="24"/>
        </w:rPr>
        <w:t>相关检验计算。p值采用Spearman</w:t>
      </w:r>
      <w:proofErr w:type="gramStart"/>
      <w:r w:rsidRPr="007B6BA0">
        <w:rPr>
          <w:rFonts w:ascii="微软雅黑" w:eastAsia="微软雅黑" w:hAnsi="微软雅黑" w:cs="宋体"/>
          <w:kern w:val="0"/>
          <w:sz w:val="24"/>
          <w:szCs w:val="24"/>
        </w:rPr>
        <w:t>秩</w:t>
      </w:r>
      <w:proofErr w:type="gramEnd"/>
      <w:r w:rsidRPr="007B6BA0">
        <w:rPr>
          <w:rFonts w:ascii="微软雅黑" w:eastAsia="微软雅黑" w:hAnsi="微软雅黑" w:cs="宋体"/>
          <w:kern w:val="0"/>
          <w:sz w:val="24"/>
          <w:szCs w:val="24"/>
        </w:rPr>
        <w:t>相关检验获得。C）FUSCC </w:t>
      </w:r>
      <w:r w:rsidRPr="007B6BA0">
        <w:rPr>
          <w:rFonts w:ascii="微软雅黑" w:eastAsia="微软雅黑" w:hAnsi="微软雅黑" w:cs="宋体"/>
          <w:i/>
          <w:iCs/>
          <w:kern w:val="0"/>
          <w:sz w:val="24"/>
          <w:szCs w:val="24"/>
        </w:rPr>
        <w:t>-</w:t>
      </w:r>
      <w:r w:rsidRPr="007B6BA0">
        <w:rPr>
          <w:rFonts w:ascii="微软雅黑" w:eastAsia="微软雅黑" w:hAnsi="微软雅黑" w:cs="宋体"/>
          <w:kern w:val="0"/>
          <w:sz w:val="24"/>
          <w:szCs w:val="24"/>
        </w:rPr>
        <w:t> TNBC队列中FOXM1、SREBF1和EP300表达的Kaplan-Meier生存曲线。数据采用log-rank检验进行分析。D）FUSCC-TNBC队列中胆固醇稳态基因集变异分析（GSVA）评分的Kaplan-Meier生存曲线。数据采用log-rank检验进行分析。 E) 示意图展示了CDK4/6和CDK7共抑制SREBP1调控的胆固醇生物合成的机制。CDK7表达降低会破坏三阴性乳腺癌（TNBC）内腔和基底转录活性，使肿瘤能够克服对CDK4/6抑制剂的固有耐药性。这种协同干预首先会降低FOXM1的激活，FOXM1直接与SREBF1启动子结合，从而调控SREBF1的转录活性。因此，SREBF1 mRNA和蛋白水平降低，减弱了SREBP1/p300与胆固醇合成基因启动子的共募集。这一级联反应在转录水平上抑制限速胆固醇生成酶，降低胆固醇合成，并维持抗肿瘤作用。</w:t>
      </w:r>
    </w:p>
    <w:p w14:paraId="20BE18EB" w14:textId="77777777" w:rsidR="007B6BA0" w:rsidRPr="007B6BA0" w:rsidRDefault="007B6BA0" w:rsidP="007B6BA0">
      <w:pPr>
        <w:widowControl/>
        <w:pBdr>
          <w:bottom w:val="single" w:sz="6" w:space="0" w:color="97B1C8"/>
        </w:pBdr>
        <w:spacing w:line="450" w:lineRule="atLeast"/>
        <w:outlineLvl w:val="1"/>
        <w:rPr>
          <w:rFonts w:ascii="微软雅黑" w:eastAsia="微软雅黑" w:hAnsi="微软雅黑" w:cs="宋体"/>
          <w:kern w:val="0"/>
          <w:sz w:val="34"/>
          <w:szCs w:val="34"/>
        </w:rPr>
      </w:pPr>
      <w:r w:rsidRPr="007B6BA0">
        <w:rPr>
          <w:rFonts w:ascii="微软雅黑" w:eastAsia="微软雅黑" w:hAnsi="微软雅黑" w:cs="宋体"/>
          <w:kern w:val="0"/>
          <w:sz w:val="34"/>
          <w:szCs w:val="34"/>
        </w:rPr>
        <w:t>3. 讨论</w:t>
      </w:r>
    </w:p>
    <w:p w14:paraId="37CEB8F4" w14:textId="77777777" w:rsidR="007B6BA0" w:rsidRPr="007B6BA0" w:rsidRDefault="007B6BA0" w:rsidP="007B6BA0">
      <w:pPr>
        <w:widowControl/>
        <w:spacing w:before="450"/>
        <w:rPr>
          <w:rFonts w:ascii="微软雅黑" w:eastAsia="微软雅黑" w:hAnsi="微软雅黑" w:cs="宋体"/>
          <w:kern w:val="0"/>
          <w:sz w:val="24"/>
          <w:szCs w:val="24"/>
        </w:rPr>
      </w:pPr>
      <w:r w:rsidRPr="007B6BA0">
        <w:rPr>
          <w:rFonts w:ascii="微软雅黑" w:eastAsia="微软雅黑" w:hAnsi="微软雅黑" w:cs="宋体"/>
          <w:kern w:val="0"/>
          <w:sz w:val="24"/>
          <w:szCs w:val="24"/>
        </w:rPr>
        <w:t>本文提供了多维度证据，展示了 CDK7 克服 TNBC 对 CDK4/6 抑制剂固有耐药性的潜力，为前景广阔的联合治疗铺平了道路。利用对帕博西尼敏感和耐药的 T47D 细胞（HR 阳性乳腺癌细胞系）进行全基因组 CRISPR 筛选，也发现 CDK7 是与 CDK4/6 抑制剂获得性耐药相关的首要关键基因。</w:t>
      </w:r>
      <w:r w:rsidRPr="007B6BA0">
        <w:rPr>
          <w:rFonts w:ascii="微软雅黑" w:eastAsia="微软雅黑" w:hAnsi="微软雅黑" w:cs="宋体"/>
          <w:kern w:val="0"/>
          <w:sz w:val="24"/>
          <w:szCs w:val="24"/>
          <w:vertAlign w:val="superscript"/>
        </w:rPr>
        <w:t>[ </w:t>
      </w:r>
      <w:hyperlink r:id="rId121" w:anchor="advs10347-bib-0032" w:history="1">
        <w:r w:rsidRPr="007B6BA0">
          <w:rPr>
            <w:rFonts w:ascii="微软雅黑" w:eastAsia="微软雅黑" w:hAnsi="微软雅黑" w:cs="宋体"/>
            <w:kern w:val="0"/>
            <w:sz w:val="24"/>
            <w:szCs w:val="24"/>
            <w:u w:val="single"/>
            <w:vertAlign w:val="superscript"/>
          </w:rPr>
          <w:t>32</w:t>
        </w:r>
      </w:hyperlink>
      <w:r w:rsidRPr="007B6BA0">
        <w:rPr>
          <w:rFonts w:ascii="微软雅黑" w:eastAsia="微软雅黑" w:hAnsi="微软雅黑" w:cs="宋体"/>
          <w:kern w:val="0"/>
          <w:sz w:val="24"/>
          <w:szCs w:val="24"/>
          <w:vertAlign w:val="superscript"/>
        </w:rPr>
        <w:t> ]</w:t>
      </w:r>
      <w:r w:rsidRPr="007B6BA0">
        <w:rPr>
          <w:rFonts w:ascii="微软雅黑" w:eastAsia="微软雅黑" w:hAnsi="微软雅黑" w:cs="宋体"/>
          <w:kern w:val="0"/>
          <w:sz w:val="24"/>
          <w:szCs w:val="24"/>
        </w:rPr>
        <w:t>联合治疗抑制了 FOXM1 的激活，从而影响了下游 SREBP1 调控的胆固醇生物合成通路（图 </w:t>
      </w:r>
      <w:hyperlink r:id="rId122" w:anchor="advs10347-fig-0006" w:history="1">
        <w:r w:rsidRPr="007B6BA0">
          <w:rPr>
            <w:rFonts w:ascii="微软雅黑" w:eastAsia="微软雅黑" w:hAnsi="微软雅黑" w:cs="宋体"/>
            <w:kern w:val="0"/>
            <w:sz w:val="24"/>
            <w:szCs w:val="24"/>
            <w:u w:val="single"/>
          </w:rPr>
          <w:t>6E</w:t>
        </w:r>
      </w:hyperlink>
      <w:r w:rsidRPr="007B6BA0">
        <w:rPr>
          <w:rFonts w:ascii="微软雅黑" w:eastAsia="微软雅黑" w:hAnsi="微软雅黑" w:cs="宋体"/>
          <w:kern w:val="0"/>
          <w:sz w:val="24"/>
          <w:szCs w:val="24"/>
        </w:rPr>
        <w:t xml:space="preserve">）。此外，一项 </w:t>
      </w:r>
      <w:proofErr w:type="spellStart"/>
      <w:r w:rsidRPr="007B6BA0">
        <w:rPr>
          <w:rFonts w:ascii="微软雅黑" w:eastAsia="微软雅黑" w:hAnsi="微软雅黑" w:cs="宋体"/>
          <w:kern w:val="0"/>
          <w:sz w:val="24"/>
          <w:szCs w:val="24"/>
        </w:rPr>
        <w:t>Ib</w:t>
      </w:r>
      <w:proofErr w:type="spellEnd"/>
      <w:r w:rsidRPr="007B6BA0">
        <w:rPr>
          <w:rFonts w:ascii="微软雅黑" w:eastAsia="微软雅黑" w:hAnsi="微软雅黑" w:cs="宋体"/>
          <w:kern w:val="0"/>
          <w:sz w:val="24"/>
          <w:szCs w:val="24"/>
        </w:rPr>
        <w:t xml:space="preserve"> 期临床试验表明，CT7001 不仅具有良好的耐受性，</w:t>
      </w:r>
      <w:r w:rsidRPr="007B6BA0">
        <w:rPr>
          <w:rFonts w:ascii="微软雅黑" w:eastAsia="微软雅黑" w:hAnsi="微软雅黑" w:cs="宋体"/>
          <w:kern w:val="0"/>
          <w:sz w:val="24"/>
          <w:szCs w:val="24"/>
        </w:rPr>
        <w:lastRenderedPageBreak/>
        <w:t>而且在 TNBC 患者中达到了 20% (4/20) 的临床获益率，</w:t>
      </w:r>
      <w:r w:rsidRPr="007B6BA0">
        <w:rPr>
          <w:rFonts w:ascii="微软雅黑" w:eastAsia="微软雅黑" w:hAnsi="微软雅黑" w:cs="宋体"/>
          <w:kern w:val="0"/>
          <w:sz w:val="24"/>
          <w:szCs w:val="24"/>
          <w:vertAlign w:val="superscript"/>
        </w:rPr>
        <w:t>[ </w:t>
      </w:r>
      <w:hyperlink r:id="rId123" w:anchor="advs10347-bib-0028" w:history="1">
        <w:r w:rsidRPr="007B6BA0">
          <w:rPr>
            <w:rFonts w:ascii="微软雅黑" w:eastAsia="微软雅黑" w:hAnsi="微软雅黑" w:cs="宋体"/>
            <w:kern w:val="0"/>
            <w:sz w:val="24"/>
            <w:szCs w:val="24"/>
            <w:u w:val="single"/>
            <w:vertAlign w:val="superscript"/>
          </w:rPr>
          <w:t>28</w:t>
        </w:r>
      </w:hyperlink>
      <w:r w:rsidRPr="007B6BA0">
        <w:rPr>
          <w:rFonts w:ascii="微软雅黑" w:eastAsia="微软雅黑" w:hAnsi="微软雅黑" w:cs="宋体"/>
          <w:kern w:val="0"/>
          <w:sz w:val="24"/>
          <w:szCs w:val="24"/>
          <w:vertAlign w:val="superscript"/>
        </w:rPr>
        <w:t> ]</w:t>
      </w:r>
      <w:r w:rsidRPr="007B6BA0">
        <w:rPr>
          <w:rFonts w:ascii="微软雅黑" w:eastAsia="微软雅黑" w:hAnsi="微软雅黑" w:cs="宋体"/>
          <w:kern w:val="0"/>
          <w:sz w:val="24"/>
          <w:szCs w:val="24"/>
        </w:rPr>
        <w:t>为我们的临床前研究结果提供了强有力的转化支持。</w:t>
      </w:r>
    </w:p>
    <w:p w14:paraId="109A2A5B" w14:textId="77777777" w:rsidR="007B6BA0" w:rsidRPr="007B6BA0" w:rsidRDefault="007B6BA0" w:rsidP="007B6BA0">
      <w:pPr>
        <w:widowControl/>
        <w:spacing w:before="450"/>
        <w:rPr>
          <w:rFonts w:ascii="微软雅黑" w:eastAsia="微软雅黑" w:hAnsi="微软雅黑" w:cs="宋体"/>
          <w:kern w:val="0"/>
          <w:sz w:val="24"/>
          <w:szCs w:val="24"/>
        </w:rPr>
      </w:pPr>
      <w:r w:rsidRPr="007B6BA0">
        <w:rPr>
          <w:rFonts w:ascii="微软雅黑" w:eastAsia="微软雅黑" w:hAnsi="微软雅黑" w:cs="宋体"/>
          <w:kern w:val="0"/>
          <w:sz w:val="24"/>
          <w:szCs w:val="24"/>
        </w:rPr>
        <w:t>胆固醇代谢在乳腺癌中的作用已被广泛研究。胆固醇代谢产物27-羟基胆固醇（27-HC）作为雌激素受体配体，可刺激雌激素受体（ER）依赖性乳腺癌细胞增殖。</w:t>
      </w:r>
      <w:r w:rsidRPr="007B6BA0">
        <w:rPr>
          <w:rFonts w:ascii="微软雅黑" w:eastAsia="微软雅黑" w:hAnsi="微软雅黑" w:cs="宋体"/>
          <w:kern w:val="0"/>
          <w:sz w:val="24"/>
          <w:szCs w:val="24"/>
          <w:vertAlign w:val="superscript"/>
        </w:rPr>
        <w:t>[ </w:t>
      </w:r>
      <w:hyperlink r:id="rId124" w:anchor="advs10347-bib-0033" w:history="1">
        <w:r w:rsidRPr="007B6BA0">
          <w:rPr>
            <w:rFonts w:ascii="微软雅黑" w:eastAsia="微软雅黑" w:hAnsi="微软雅黑" w:cs="宋体"/>
            <w:kern w:val="0"/>
            <w:sz w:val="24"/>
            <w:szCs w:val="24"/>
            <w:u w:val="single"/>
            <w:vertAlign w:val="superscript"/>
          </w:rPr>
          <w:t>33</w:t>
        </w:r>
      </w:hyperlink>
      <w:r w:rsidRPr="007B6BA0">
        <w:rPr>
          <w:rFonts w:ascii="微软雅黑" w:eastAsia="微软雅黑" w:hAnsi="微软雅黑" w:cs="宋体"/>
          <w:kern w:val="0"/>
          <w:sz w:val="24"/>
          <w:szCs w:val="24"/>
          <w:vertAlign w:val="superscript"/>
        </w:rPr>
        <w:t> ]</w:t>
      </w:r>
      <w:r w:rsidRPr="007B6BA0">
        <w:rPr>
          <w:rFonts w:ascii="微软雅黑" w:eastAsia="微软雅黑" w:hAnsi="微软雅黑" w:cs="宋体"/>
          <w:kern w:val="0"/>
          <w:sz w:val="24"/>
          <w:szCs w:val="24"/>
        </w:rPr>
        <w:t>此外，27-HC与肝X受体（LXR）的结合可促进乳腺癌小鼠模型中的转移过程。</w:t>
      </w:r>
      <w:r w:rsidRPr="007B6BA0">
        <w:rPr>
          <w:rFonts w:ascii="微软雅黑" w:eastAsia="微软雅黑" w:hAnsi="微软雅黑" w:cs="宋体"/>
          <w:kern w:val="0"/>
          <w:sz w:val="24"/>
          <w:szCs w:val="24"/>
          <w:vertAlign w:val="superscript"/>
        </w:rPr>
        <w:t>[ </w:t>
      </w:r>
      <w:hyperlink r:id="rId125" w:anchor="advs10347-bib-0033" w:history="1">
        <w:r w:rsidRPr="007B6BA0">
          <w:rPr>
            <w:rFonts w:ascii="微软雅黑" w:eastAsia="微软雅黑" w:hAnsi="微软雅黑" w:cs="宋体"/>
            <w:kern w:val="0"/>
            <w:sz w:val="24"/>
            <w:szCs w:val="24"/>
            <w:u w:val="single"/>
            <w:vertAlign w:val="superscript"/>
          </w:rPr>
          <w:t>33</w:t>
        </w:r>
      </w:hyperlink>
      <w:r w:rsidRPr="007B6BA0">
        <w:rPr>
          <w:rFonts w:ascii="微软雅黑" w:eastAsia="微软雅黑" w:hAnsi="微软雅黑" w:cs="宋体"/>
          <w:kern w:val="0"/>
          <w:sz w:val="24"/>
          <w:szCs w:val="24"/>
        </w:rPr>
        <w:t> , </w:t>
      </w:r>
      <w:hyperlink r:id="rId126" w:anchor="advs10347-bib-0034" w:history="1">
        <w:r w:rsidRPr="007B6BA0">
          <w:rPr>
            <w:rFonts w:ascii="微软雅黑" w:eastAsia="微软雅黑" w:hAnsi="微软雅黑" w:cs="宋体"/>
            <w:kern w:val="0"/>
            <w:sz w:val="24"/>
            <w:szCs w:val="24"/>
            <w:u w:val="single"/>
            <w:vertAlign w:val="superscript"/>
          </w:rPr>
          <w:t>34</w:t>
        </w:r>
      </w:hyperlink>
      <w:r w:rsidRPr="007B6BA0">
        <w:rPr>
          <w:rFonts w:ascii="微软雅黑" w:eastAsia="微软雅黑" w:hAnsi="微软雅黑" w:cs="宋体"/>
          <w:kern w:val="0"/>
          <w:sz w:val="24"/>
          <w:szCs w:val="24"/>
          <w:vertAlign w:val="superscript"/>
        </w:rPr>
        <w:t> ]</w:t>
      </w:r>
      <w:r w:rsidRPr="007B6BA0">
        <w:rPr>
          <w:rFonts w:ascii="微软雅黑" w:eastAsia="微软雅黑" w:hAnsi="微软雅黑" w:cs="宋体"/>
          <w:kern w:val="0"/>
          <w:sz w:val="24"/>
          <w:szCs w:val="24"/>
        </w:rPr>
        <w:t>除了这些促生长作用外，27-HC还能维持乳腺癌干细胞，诱导上皮-间质转化（EMT），并促进乳腺肿瘤的发生。</w:t>
      </w:r>
      <w:r w:rsidRPr="007B6BA0">
        <w:rPr>
          <w:rFonts w:ascii="微软雅黑" w:eastAsia="微软雅黑" w:hAnsi="微软雅黑" w:cs="宋体"/>
          <w:kern w:val="0"/>
          <w:sz w:val="24"/>
          <w:szCs w:val="24"/>
          <w:vertAlign w:val="superscript"/>
        </w:rPr>
        <w:t>[ </w:t>
      </w:r>
      <w:hyperlink r:id="rId127" w:anchor="advs10347-bib-0035" w:history="1">
        <w:r w:rsidRPr="007B6BA0">
          <w:rPr>
            <w:rFonts w:ascii="微软雅黑" w:eastAsia="微软雅黑" w:hAnsi="微软雅黑" w:cs="宋体"/>
            <w:kern w:val="0"/>
            <w:sz w:val="24"/>
            <w:szCs w:val="24"/>
            <w:u w:val="single"/>
            <w:vertAlign w:val="superscript"/>
          </w:rPr>
          <w:t>35</w:t>
        </w:r>
      </w:hyperlink>
      <w:r w:rsidRPr="007B6BA0">
        <w:rPr>
          <w:rFonts w:ascii="微软雅黑" w:eastAsia="微软雅黑" w:hAnsi="微软雅黑" w:cs="宋体"/>
          <w:kern w:val="0"/>
          <w:sz w:val="24"/>
          <w:szCs w:val="24"/>
          <w:vertAlign w:val="superscript"/>
        </w:rPr>
        <w:t> ]</w:t>
      </w:r>
      <w:r w:rsidRPr="007B6BA0">
        <w:rPr>
          <w:rFonts w:ascii="微软雅黑" w:eastAsia="微软雅黑" w:hAnsi="微软雅黑" w:cs="宋体"/>
          <w:kern w:val="0"/>
          <w:sz w:val="24"/>
          <w:szCs w:val="24"/>
        </w:rPr>
        <w:t>综上所述，这些发现揭示了胆固醇代谢广泛的促癌作用。关于胆固醇水平与乳腺癌预后之间相互作用的临床研究表明，降胆固醇药物，尤其是他</w:t>
      </w:r>
      <w:proofErr w:type="gramStart"/>
      <w:r w:rsidRPr="007B6BA0">
        <w:rPr>
          <w:rFonts w:ascii="微软雅黑" w:eastAsia="微软雅黑" w:hAnsi="微软雅黑" w:cs="宋体"/>
          <w:kern w:val="0"/>
          <w:sz w:val="24"/>
          <w:szCs w:val="24"/>
        </w:rPr>
        <w:t>汀</w:t>
      </w:r>
      <w:proofErr w:type="gramEnd"/>
      <w:r w:rsidRPr="007B6BA0">
        <w:rPr>
          <w:rFonts w:ascii="微软雅黑" w:eastAsia="微软雅黑" w:hAnsi="微软雅黑" w:cs="宋体"/>
          <w:kern w:val="0"/>
          <w:sz w:val="24"/>
          <w:szCs w:val="24"/>
        </w:rPr>
        <w:t>类药物，可有效降低激素受体阳性乳腺癌的复发风险。</w:t>
      </w:r>
      <w:r w:rsidRPr="007B6BA0">
        <w:rPr>
          <w:rFonts w:ascii="微软雅黑" w:eastAsia="微软雅黑" w:hAnsi="微软雅黑" w:cs="宋体"/>
          <w:kern w:val="0"/>
          <w:sz w:val="24"/>
          <w:szCs w:val="24"/>
          <w:vertAlign w:val="superscript"/>
        </w:rPr>
        <w:t>[ </w:t>
      </w:r>
      <w:hyperlink r:id="rId128" w:anchor="advs10347-bib-0036" w:history="1">
        <w:r w:rsidRPr="007B6BA0">
          <w:rPr>
            <w:rFonts w:ascii="微软雅黑" w:eastAsia="微软雅黑" w:hAnsi="微软雅黑" w:cs="宋体"/>
            <w:kern w:val="0"/>
            <w:sz w:val="24"/>
            <w:szCs w:val="24"/>
            <w:u w:val="single"/>
            <w:vertAlign w:val="superscript"/>
          </w:rPr>
          <w:t>36</w:t>
        </w:r>
      </w:hyperlink>
      <w:r w:rsidRPr="007B6BA0">
        <w:rPr>
          <w:rFonts w:ascii="微软雅黑" w:eastAsia="微软雅黑" w:hAnsi="微软雅黑" w:cs="宋体"/>
          <w:kern w:val="0"/>
          <w:sz w:val="24"/>
          <w:szCs w:val="24"/>
        </w:rPr>
        <w:t> , </w:t>
      </w:r>
      <w:hyperlink r:id="rId129" w:anchor="advs10347-bib-0037" w:history="1">
        <w:r w:rsidRPr="007B6BA0">
          <w:rPr>
            <w:rFonts w:ascii="微软雅黑" w:eastAsia="微软雅黑" w:hAnsi="微软雅黑" w:cs="宋体"/>
            <w:kern w:val="0"/>
            <w:sz w:val="24"/>
            <w:szCs w:val="24"/>
            <w:u w:val="single"/>
            <w:vertAlign w:val="superscript"/>
          </w:rPr>
          <w:t>37</w:t>
        </w:r>
      </w:hyperlink>
      <w:r w:rsidRPr="007B6BA0">
        <w:rPr>
          <w:rFonts w:ascii="微软雅黑" w:eastAsia="微软雅黑" w:hAnsi="微软雅黑" w:cs="宋体"/>
          <w:kern w:val="0"/>
          <w:sz w:val="24"/>
          <w:szCs w:val="24"/>
          <w:vertAlign w:val="superscript"/>
        </w:rPr>
        <w:t> ]</w:t>
      </w:r>
      <w:r w:rsidRPr="007B6BA0">
        <w:rPr>
          <w:rFonts w:ascii="微软雅黑" w:eastAsia="微软雅黑" w:hAnsi="微软雅黑" w:cs="宋体"/>
          <w:kern w:val="0"/>
          <w:sz w:val="24"/>
          <w:szCs w:val="24"/>
        </w:rPr>
        <w:t>虽然许多研究集中于胆固醇在激素受体阳性乳腺癌中的作用，但新出现的证据表明，异常的胆固醇生物合成也会促进三阴性乳腺癌（TNBC）的进展。</w:t>
      </w:r>
      <w:r w:rsidRPr="007B6BA0">
        <w:rPr>
          <w:rFonts w:ascii="微软雅黑" w:eastAsia="微软雅黑" w:hAnsi="微软雅黑" w:cs="宋体"/>
          <w:kern w:val="0"/>
          <w:sz w:val="24"/>
          <w:szCs w:val="24"/>
          <w:vertAlign w:val="superscript"/>
        </w:rPr>
        <w:t>[ </w:t>
      </w:r>
      <w:hyperlink r:id="rId130" w:anchor="advs10347-bib-0038" w:history="1">
        <w:r w:rsidRPr="007B6BA0">
          <w:rPr>
            <w:rFonts w:ascii="微软雅黑" w:eastAsia="微软雅黑" w:hAnsi="微软雅黑" w:cs="宋体"/>
            <w:kern w:val="0"/>
            <w:sz w:val="24"/>
            <w:szCs w:val="24"/>
            <w:u w:val="single"/>
            <w:vertAlign w:val="superscript"/>
          </w:rPr>
          <w:t>38</w:t>
        </w:r>
      </w:hyperlink>
      <w:r w:rsidRPr="007B6BA0">
        <w:rPr>
          <w:rFonts w:ascii="微软雅黑" w:eastAsia="微软雅黑" w:hAnsi="微软雅黑" w:cs="宋体"/>
          <w:kern w:val="0"/>
          <w:sz w:val="24"/>
          <w:szCs w:val="24"/>
        </w:rPr>
        <w:t> , </w:t>
      </w:r>
      <w:hyperlink r:id="rId131" w:anchor="advs10347-bib-0039" w:history="1">
        <w:r w:rsidRPr="007B6BA0">
          <w:rPr>
            <w:rFonts w:ascii="微软雅黑" w:eastAsia="微软雅黑" w:hAnsi="微软雅黑" w:cs="宋体"/>
            <w:kern w:val="0"/>
            <w:sz w:val="24"/>
            <w:szCs w:val="24"/>
            <w:u w:val="single"/>
            <w:vertAlign w:val="superscript"/>
          </w:rPr>
          <w:t>39</w:t>
        </w:r>
      </w:hyperlink>
      <w:r w:rsidRPr="007B6BA0">
        <w:rPr>
          <w:rFonts w:ascii="微软雅黑" w:eastAsia="微软雅黑" w:hAnsi="微软雅黑" w:cs="宋体"/>
          <w:kern w:val="0"/>
          <w:sz w:val="24"/>
          <w:szCs w:val="24"/>
        </w:rPr>
        <w:t> , </w:t>
      </w:r>
      <w:hyperlink r:id="rId132" w:anchor="advs10347-bib-0040" w:history="1">
        <w:r w:rsidRPr="007B6BA0">
          <w:rPr>
            <w:rFonts w:ascii="微软雅黑" w:eastAsia="微软雅黑" w:hAnsi="微软雅黑" w:cs="宋体"/>
            <w:kern w:val="0"/>
            <w:sz w:val="24"/>
            <w:szCs w:val="24"/>
            <w:u w:val="single"/>
            <w:vertAlign w:val="superscript"/>
          </w:rPr>
          <w:t>40</w:t>
        </w:r>
      </w:hyperlink>
      <w:r w:rsidRPr="007B6BA0">
        <w:rPr>
          <w:rFonts w:ascii="微软雅黑" w:eastAsia="微软雅黑" w:hAnsi="微软雅黑" w:cs="宋体"/>
          <w:kern w:val="0"/>
          <w:sz w:val="24"/>
          <w:szCs w:val="24"/>
          <w:vertAlign w:val="superscript"/>
        </w:rPr>
        <w:t> ]</w:t>
      </w:r>
      <w:r w:rsidRPr="007B6BA0">
        <w:rPr>
          <w:rFonts w:ascii="微软雅黑" w:eastAsia="微软雅黑" w:hAnsi="微软雅黑" w:cs="宋体"/>
          <w:kern w:val="0"/>
          <w:sz w:val="24"/>
          <w:szCs w:val="24"/>
        </w:rPr>
        <w:t>我们的研究提出，CDK4/6 和 CDK7 的双重抑制可通过减少胆固醇合成来抑制肿瘤生长。胆固醇稳态在 CDK4/6 抑制剂或 CDK7 抑制剂背景下的作用此前尚未被研究。此外，我们的体外和体内挽救实验进一步证实了我们的发现，即补充胆固醇会减弱联合治疗的疗效。</w:t>
      </w:r>
    </w:p>
    <w:p w14:paraId="0557A401" w14:textId="77777777" w:rsidR="007B6BA0" w:rsidRPr="007B6BA0" w:rsidRDefault="007B6BA0" w:rsidP="007B6BA0">
      <w:pPr>
        <w:widowControl/>
        <w:spacing w:before="450"/>
        <w:rPr>
          <w:rFonts w:ascii="微软雅黑" w:eastAsia="微软雅黑" w:hAnsi="微软雅黑" w:cs="宋体"/>
          <w:kern w:val="0"/>
          <w:sz w:val="24"/>
          <w:szCs w:val="24"/>
        </w:rPr>
      </w:pPr>
      <w:r w:rsidRPr="007B6BA0">
        <w:rPr>
          <w:rFonts w:ascii="微软雅黑" w:eastAsia="微软雅黑" w:hAnsi="微软雅黑" w:cs="宋体"/>
          <w:kern w:val="0"/>
          <w:sz w:val="24"/>
          <w:szCs w:val="24"/>
        </w:rPr>
        <w:t>作为一种多功能转录共激活因子，p300 调控多种参与细胞分化、稳态和肿瘤发生的信号通路。</w:t>
      </w:r>
      <w:r w:rsidRPr="007B6BA0">
        <w:rPr>
          <w:rFonts w:ascii="微软雅黑" w:eastAsia="微软雅黑" w:hAnsi="微软雅黑" w:cs="宋体"/>
          <w:kern w:val="0"/>
          <w:sz w:val="24"/>
          <w:szCs w:val="24"/>
          <w:vertAlign w:val="superscript"/>
        </w:rPr>
        <w:t>[ </w:t>
      </w:r>
      <w:hyperlink r:id="rId133" w:anchor="advs10347-bib-0041" w:history="1">
        <w:r w:rsidRPr="007B6BA0">
          <w:rPr>
            <w:rFonts w:ascii="微软雅黑" w:eastAsia="微软雅黑" w:hAnsi="微软雅黑" w:cs="宋体"/>
            <w:kern w:val="0"/>
            <w:sz w:val="24"/>
            <w:szCs w:val="24"/>
            <w:u w:val="single"/>
            <w:vertAlign w:val="superscript"/>
          </w:rPr>
          <w:t>41</w:t>
        </w:r>
      </w:hyperlink>
      <w:r w:rsidRPr="007B6BA0">
        <w:rPr>
          <w:rFonts w:ascii="微软雅黑" w:eastAsia="微软雅黑" w:hAnsi="微软雅黑" w:cs="宋体"/>
          <w:kern w:val="0"/>
          <w:sz w:val="24"/>
          <w:szCs w:val="24"/>
          <w:vertAlign w:val="superscript"/>
        </w:rPr>
        <w:t> ]</w:t>
      </w:r>
      <w:r w:rsidRPr="007B6BA0">
        <w:rPr>
          <w:rFonts w:ascii="微软雅黑" w:eastAsia="微软雅黑" w:hAnsi="微软雅黑" w:cs="宋体"/>
          <w:kern w:val="0"/>
          <w:sz w:val="24"/>
          <w:szCs w:val="24"/>
        </w:rPr>
        <w:t>在同源重组（HR）依赖性乳腺癌中，p300 与类固醇受体共激活因子 3 (SRC-3) 和雌激素受体 (ER) 相互作用形成 ER 激活复合物，该复合物调控雌激素反应元件的结合并促进 ER 靶基因的表达。</w:t>
      </w:r>
      <w:r w:rsidRPr="007B6BA0">
        <w:rPr>
          <w:rFonts w:ascii="微软雅黑" w:eastAsia="微软雅黑" w:hAnsi="微软雅黑" w:cs="宋体"/>
          <w:kern w:val="0"/>
          <w:sz w:val="24"/>
          <w:szCs w:val="24"/>
          <w:vertAlign w:val="superscript"/>
        </w:rPr>
        <w:t>[ </w:t>
      </w:r>
      <w:hyperlink r:id="rId134" w:anchor="advs10347-bib-0042" w:history="1">
        <w:r w:rsidRPr="007B6BA0">
          <w:rPr>
            <w:rFonts w:ascii="微软雅黑" w:eastAsia="微软雅黑" w:hAnsi="微软雅黑" w:cs="宋体"/>
            <w:kern w:val="0"/>
            <w:sz w:val="24"/>
            <w:szCs w:val="24"/>
            <w:u w:val="single"/>
            <w:vertAlign w:val="superscript"/>
          </w:rPr>
          <w:t>42</w:t>
        </w:r>
      </w:hyperlink>
      <w:r w:rsidRPr="007B6BA0">
        <w:rPr>
          <w:rFonts w:ascii="微软雅黑" w:eastAsia="微软雅黑" w:hAnsi="微软雅黑" w:cs="宋体"/>
          <w:kern w:val="0"/>
          <w:sz w:val="24"/>
          <w:szCs w:val="24"/>
          <w:vertAlign w:val="superscript"/>
        </w:rPr>
        <w:t> ]</w:t>
      </w:r>
      <w:r w:rsidRPr="007B6BA0">
        <w:rPr>
          <w:rFonts w:ascii="微软雅黑" w:eastAsia="微软雅黑" w:hAnsi="微软雅黑" w:cs="宋体"/>
          <w:kern w:val="0"/>
          <w:sz w:val="24"/>
          <w:szCs w:val="24"/>
        </w:rPr>
        <w:t xml:space="preserve">此外，p300/CBP </w:t>
      </w:r>
      <w:proofErr w:type="gramStart"/>
      <w:r w:rsidRPr="007B6BA0">
        <w:rPr>
          <w:rFonts w:ascii="微软雅黑" w:eastAsia="微软雅黑" w:hAnsi="微软雅黑" w:cs="宋体"/>
          <w:kern w:val="0"/>
          <w:sz w:val="24"/>
          <w:szCs w:val="24"/>
        </w:rPr>
        <w:t>介</w:t>
      </w:r>
      <w:proofErr w:type="gramEnd"/>
      <w:r w:rsidRPr="007B6BA0">
        <w:rPr>
          <w:rFonts w:ascii="微软雅黑" w:eastAsia="微软雅黑" w:hAnsi="微软雅黑" w:cs="宋体"/>
          <w:kern w:val="0"/>
          <w:sz w:val="24"/>
          <w:szCs w:val="24"/>
        </w:rPr>
        <w:t>导的乙酰化作用通过</w:t>
      </w:r>
      <w:proofErr w:type="gramStart"/>
      <w:r w:rsidRPr="007B6BA0">
        <w:rPr>
          <w:rFonts w:ascii="微软雅黑" w:eastAsia="微软雅黑" w:hAnsi="微软雅黑" w:cs="宋体"/>
          <w:kern w:val="0"/>
          <w:sz w:val="24"/>
          <w:szCs w:val="24"/>
        </w:rPr>
        <w:t>抑制泛素依赖性</w:t>
      </w:r>
      <w:proofErr w:type="gramEnd"/>
      <w:r w:rsidRPr="007B6BA0">
        <w:rPr>
          <w:rFonts w:ascii="微软雅黑" w:eastAsia="微软雅黑" w:hAnsi="微软雅黑" w:cs="宋体"/>
          <w:kern w:val="0"/>
          <w:sz w:val="24"/>
          <w:szCs w:val="24"/>
        </w:rPr>
        <w:t>降解来增强 SREBP 家族的稳定性和转录活性。</w:t>
      </w:r>
      <w:r w:rsidRPr="007B6BA0">
        <w:rPr>
          <w:rFonts w:ascii="微软雅黑" w:eastAsia="微软雅黑" w:hAnsi="微软雅黑" w:cs="宋体"/>
          <w:kern w:val="0"/>
          <w:sz w:val="24"/>
          <w:szCs w:val="24"/>
          <w:vertAlign w:val="superscript"/>
        </w:rPr>
        <w:t>[ </w:t>
      </w:r>
      <w:hyperlink r:id="rId135" w:anchor="advs10347-bib-0043" w:history="1">
        <w:r w:rsidRPr="007B6BA0">
          <w:rPr>
            <w:rFonts w:ascii="微软雅黑" w:eastAsia="微软雅黑" w:hAnsi="微软雅黑" w:cs="宋体"/>
            <w:kern w:val="0"/>
            <w:sz w:val="24"/>
            <w:szCs w:val="24"/>
            <w:u w:val="single"/>
            <w:vertAlign w:val="superscript"/>
          </w:rPr>
          <w:t>43</w:t>
        </w:r>
      </w:hyperlink>
      <w:r w:rsidRPr="007B6BA0">
        <w:rPr>
          <w:rFonts w:ascii="微软雅黑" w:eastAsia="微软雅黑" w:hAnsi="微软雅黑" w:cs="宋体"/>
          <w:kern w:val="0"/>
          <w:sz w:val="24"/>
          <w:szCs w:val="24"/>
        </w:rPr>
        <w:t> , </w:t>
      </w:r>
      <w:hyperlink r:id="rId136" w:anchor="advs10347-bib-0044" w:history="1">
        <w:r w:rsidRPr="007B6BA0">
          <w:rPr>
            <w:rFonts w:ascii="微软雅黑" w:eastAsia="微软雅黑" w:hAnsi="微软雅黑" w:cs="宋体"/>
            <w:kern w:val="0"/>
            <w:sz w:val="24"/>
            <w:szCs w:val="24"/>
            <w:u w:val="single"/>
            <w:vertAlign w:val="superscript"/>
          </w:rPr>
          <w:t>44</w:t>
        </w:r>
      </w:hyperlink>
      <w:r w:rsidRPr="007B6BA0">
        <w:rPr>
          <w:rFonts w:ascii="微软雅黑" w:eastAsia="微软雅黑" w:hAnsi="微软雅黑" w:cs="宋体"/>
          <w:kern w:val="0"/>
          <w:sz w:val="24"/>
          <w:szCs w:val="24"/>
          <w:vertAlign w:val="superscript"/>
        </w:rPr>
        <w:t> ]</w:t>
      </w:r>
      <w:r w:rsidRPr="007B6BA0">
        <w:rPr>
          <w:rFonts w:ascii="微软雅黑" w:eastAsia="微软雅黑" w:hAnsi="微软雅黑" w:cs="宋体"/>
          <w:kern w:val="0"/>
          <w:sz w:val="24"/>
          <w:szCs w:val="24"/>
        </w:rPr>
        <w:t>本文提出 p300 与 SREBP1 协同结合于编码胆固醇合成酶的</w:t>
      </w:r>
      <w:r w:rsidRPr="007B6BA0">
        <w:rPr>
          <w:rFonts w:ascii="微软雅黑" w:eastAsia="微软雅黑" w:hAnsi="微软雅黑" w:cs="宋体"/>
          <w:kern w:val="0"/>
          <w:sz w:val="24"/>
          <w:szCs w:val="24"/>
        </w:rPr>
        <w:lastRenderedPageBreak/>
        <w:t>基因启动子区域。值得注意的是，联合治疗干预可显著降低基因组中 p300、SREBP1 和 H3K27ac（与活性基因转录相关的标记）的结合，这与胆固醇生成基因的转录抑制相一致。</w:t>
      </w:r>
    </w:p>
    <w:p w14:paraId="0E3B5DA8" w14:textId="77777777" w:rsidR="007B6BA0" w:rsidRPr="007B6BA0" w:rsidRDefault="007B6BA0" w:rsidP="007B6BA0">
      <w:pPr>
        <w:widowControl/>
        <w:spacing w:before="450"/>
        <w:rPr>
          <w:rFonts w:ascii="微软雅黑" w:eastAsia="微软雅黑" w:hAnsi="微软雅黑" w:cs="宋体"/>
          <w:kern w:val="0"/>
          <w:sz w:val="24"/>
          <w:szCs w:val="24"/>
        </w:rPr>
      </w:pPr>
      <w:r w:rsidRPr="007B6BA0">
        <w:rPr>
          <w:rFonts w:ascii="微软雅黑" w:eastAsia="微软雅黑" w:hAnsi="微软雅黑" w:cs="宋体"/>
          <w:kern w:val="0"/>
          <w:sz w:val="24"/>
          <w:szCs w:val="24"/>
        </w:rPr>
        <w:t>总之，我们提出了一种针对三阴性乳腺癌（TNBC）患者的新型靶</w:t>
      </w:r>
      <w:proofErr w:type="gramStart"/>
      <w:r w:rsidRPr="007B6BA0">
        <w:rPr>
          <w:rFonts w:ascii="微软雅黑" w:eastAsia="微软雅黑" w:hAnsi="微软雅黑" w:cs="宋体"/>
          <w:kern w:val="0"/>
          <w:sz w:val="24"/>
          <w:szCs w:val="24"/>
        </w:rPr>
        <w:t>向治疗</w:t>
      </w:r>
      <w:proofErr w:type="gramEnd"/>
      <w:r w:rsidRPr="007B6BA0">
        <w:rPr>
          <w:rFonts w:ascii="微软雅黑" w:eastAsia="微软雅黑" w:hAnsi="微软雅黑" w:cs="宋体"/>
          <w:kern w:val="0"/>
          <w:sz w:val="24"/>
          <w:szCs w:val="24"/>
        </w:rPr>
        <w:t>策略，即双重抑制CDK4/6和CDK7。尽管我们推测协同疗效可能部分归因于FOXM1激活的减弱，但联合治疗是否对FOXM1</w:t>
      </w:r>
      <w:proofErr w:type="gramStart"/>
      <w:r w:rsidRPr="007B6BA0">
        <w:rPr>
          <w:rFonts w:ascii="微软雅黑" w:eastAsia="微软雅黑" w:hAnsi="微软雅黑" w:cs="宋体"/>
          <w:kern w:val="0"/>
          <w:sz w:val="24"/>
          <w:szCs w:val="24"/>
        </w:rPr>
        <w:t>高表达</w:t>
      </w:r>
      <w:proofErr w:type="gramEnd"/>
      <w:r w:rsidRPr="007B6BA0">
        <w:rPr>
          <w:rFonts w:ascii="微软雅黑" w:eastAsia="微软雅黑" w:hAnsi="微软雅黑" w:cs="宋体"/>
          <w:kern w:val="0"/>
          <w:sz w:val="24"/>
          <w:szCs w:val="24"/>
        </w:rPr>
        <w:t>的TNBC患者更有效仍有待验证。因此，有必要开展进一步研究，以寻找药物反应的潜在生物标志物，从而筛选出更敏感的患者亚群。</w:t>
      </w:r>
    </w:p>
    <w:p w14:paraId="1684BEB7" w14:textId="77777777" w:rsidR="007B6BA0" w:rsidRPr="007B6BA0" w:rsidRDefault="007B6BA0" w:rsidP="007B6BA0">
      <w:pPr>
        <w:widowControl/>
        <w:pBdr>
          <w:bottom w:val="single" w:sz="6" w:space="0" w:color="97B1C8"/>
        </w:pBdr>
        <w:spacing w:line="450" w:lineRule="atLeast"/>
        <w:outlineLvl w:val="1"/>
        <w:rPr>
          <w:rFonts w:ascii="微软雅黑" w:eastAsia="微软雅黑" w:hAnsi="微软雅黑" w:cs="宋体"/>
          <w:kern w:val="0"/>
          <w:sz w:val="34"/>
          <w:szCs w:val="34"/>
        </w:rPr>
      </w:pPr>
      <w:r w:rsidRPr="007B6BA0">
        <w:rPr>
          <w:rFonts w:ascii="微软雅黑" w:eastAsia="微软雅黑" w:hAnsi="微软雅黑" w:cs="宋体"/>
          <w:kern w:val="0"/>
          <w:sz w:val="34"/>
          <w:szCs w:val="34"/>
        </w:rPr>
        <w:t>4. 实验部分</w:t>
      </w:r>
    </w:p>
    <w:p w14:paraId="7D952D4C" w14:textId="77777777" w:rsidR="007B6BA0" w:rsidRPr="007B6BA0" w:rsidRDefault="007B6BA0" w:rsidP="007B6BA0">
      <w:pPr>
        <w:widowControl/>
        <w:spacing w:line="450" w:lineRule="atLeast"/>
        <w:outlineLvl w:val="2"/>
        <w:rPr>
          <w:rFonts w:ascii="微软雅黑" w:eastAsia="微软雅黑" w:hAnsi="微软雅黑" w:cs="宋体"/>
          <w:kern w:val="0"/>
          <w:sz w:val="32"/>
          <w:szCs w:val="32"/>
        </w:rPr>
      </w:pPr>
      <w:r w:rsidRPr="007B6BA0">
        <w:rPr>
          <w:rFonts w:ascii="微软雅黑" w:eastAsia="微软雅黑" w:hAnsi="微软雅黑" w:cs="宋体"/>
          <w:kern w:val="0"/>
          <w:sz w:val="32"/>
          <w:szCs w:val="32"/>
        </w:rPr>
        <w:t>细胞系</w:t>
      </w:r>
    </w:p>
    <w:p w14:paraId="5EF7AD00" w14:textId="77777777" w:rsidR="007B6BA0" w:rsidRPr="007B6BA0" w:rsidRDefault="007B6BA0" w:rsidP="007B6BA0">
      <w:pPr>
        <w:widowControl/>
        <w:spacing w:before="450"/>
        <w:rPr>
          <w:rFonts w:ascii="微软雅黑" w:eastAsia="微软雅黑" w:hAnsi="微软雅黑" w:cs="宋体"/>
          <w:kern w:val="0"/>
          <w:sz w:val="24"/>
          <w:szCs w:val="24"/>
        </w:rPr>
      </w:pPr>
      <w:r w:rsidRPr="007B6BA0">
        <w:rPr>
          <w:rFonts w:ascii="微软雅黑" w:eastAsia="微软雅黑" w:hAnsi="微软雅黑" w:cs="宋体"/>
          <w:kern w:val="0"/>
          <w:sz w:val="24"/>
          <w:szCs w:val="24"/>
        </w:rPr>
        <w:t>MDA-MB-231、Hs578T、MDA-MB-468 和 HEK293T 细胞系购自中国科学院细胞库/干细胞库。CAL-51 和 BT-549 细胞系购自美国典型培养物保藏中心 (ATCC)。除 MDA-MB-231 和 MDA-MB-468 细胞系在添加 10% 胎牛血清 (FBS) 的 DMEM 培养基中培养外，所有细胞系的培养条件均严格遵循供应商的建议。每种三阴性乳腺癌 (TNBC) 细胞系均经过 STR 鉴定，并定期进行检测以</w:t>
      </w:r>
      <w:proofErr w:type="gramStart"/>
      <w:r w:rsidRPr="007B6BA0">
        <w:rPr>
          <w:rFonts w:ascii="微软雅黑" w:eastAsia="微软雅黑" w:hAnsi="微软雅黑" w:cs="宋体"/>
          <w:kern w:val="0"/>
          <w:sz w:val="24"/>
          <w:szCs w:val="24"/>
        </w:rPr>
        <w:t>确保无支原体</w:t>
      </w:r>
      <w:proofErr w:type="gramEnd"/>
      <w:r w:rsidRPr="007B6BA0">
        <w:rPr>
          <w:rFonts w:ascii="微软雅黑" w:eastAsia="微软雅黑" w:hAnsi="微软雅黑" w:cs="宋体"/>
          <w:kern w:val="0"/>
          <w:sz w:val="24"/>
          <w:szCs w:val="24"/>
        </w:rPr>
        <w:t>污染。</w:t>
      </w:r>
    </w:p>
    <w:p w14:paraId="5EB4C485" w14:textId="77777777" w:rsidR="007B6BA0" w:rsidRPr="007B6BA0" w:rsidRDefault="007B6BA0" w:rsidP="007B6BA0">
      <w:pPr>
        <w:widowControl/>
        <w:spacing w:line="450" w:lineRule="atLeast"/>
        <w:outlineLvl w:val="2"/>
        <w:rPr>
          <w:rFonts w:ascii="微软雅黑" w:eastAsia="微软雅黑" w:hAnsi="微软雅黑" w:cs="宋体"/>
          <w:kern w:val="0"/>
          <w:sz w:val="32"/>
          <w:szCs w:val="32"/>
        </w:rPr>
      </w:pPr>
      <w:r w:rsidRPr="007B6BA0">
        <w:rPr>
          <w:rFonts w:ascii="微软雅黑" w:eastAsia="微软雅黑" w:hAnsi="微软雅黑" w:cs="宋体"/>
          <w:kern w:val="0"/>
          <w:sz w:val="32"/>
          <w:szCs w:val="32"/>
        </w:rPr>
        <w:t>化学品</w:t>
      </w:r>
    </w:p>
    <w:p w14:paraId="57E41541" w14:textId="77777777" w:rsidR="007B6BA0" w:rsidRPr="007B6BA0" w:rsidRDefault="007B6BA0" w:rsidP="007B6BA0">
      <w:pPr>
        <w:widowControl/>
        <w:spacing w:before="450"/>
        <w:rPr>
          <w:rFonts w:ascii="微软雅黑" w:eastAsia="微软雅黑" w:hAnsi="微软雅黑" w:cs="宋体"/>
          <w:kern w:val="0"/>
          <w:sz w:val="24"/>
          <w:szCs w:val="24"/>
        </w:rPr>
      </w:pPr>
      <w:r w:rsidRPr="007B6BA0">
        <w:rPr>
          <w:rFonts w:ascii="微软雅黑" w:eastAsia="微软雅黑" w:hAnsi="微软雅黑" w:cs="宋体"/>
          <w:kern w:val="0"/>
          <w:sz w:val="24"/>
          <w:szCs w:val="24"/>
        </w:rPr>
        <w:t>CDK4/6抑制剂阿贝西利（S7158）和帕博西尼（S1116）购自Selleck公司。CDK7抑制剂YKL-5-124（HY-101257B）和CT7001（HY-103712A）购自</w:t>
      </w:r>
      <w:proofErr w:type="spellStart"/>
      <w:r w:rsidRPr="007B6BA0">
        <w:rPr>
          <w:rFonts w:ascii="微软雅黑" w:eastAsia="微软雅黑" w:hAnsi="微软雅黑" w:cs="宋体"/>
          <w:kern w:val="0"/>
          <w:sz w:val="24"/>
          <w:szCs w:val="24"/>
        </w:rPr>
        <w:t>MedChemExpress</w:t>
      </w:r>
      <w:proofErr w:type="spellEnd"/>
      <w:r w:rsidRPr="007B6BA0">
        <w:rPr>
          <w:rFonts w:ascii="微软雅黑" w:eastAsia="微软雅黑" w:hAnsi="微软雅黑" w:cs="宋体"/>
          <w:kern w:val="0"/>
          <w:sz w:val="24"/>
          <w:szCs w:val="24"/>
        </w:rPr>
        <w:t>公司。本研究中使用的筛选药物包括紫杉醇（S1150）、</w:t>
      </w:r>
      <w:proofErr w:type="gramStart"/>
      <w:r w:rsidRPr="007B6BA0">
        <w:rPr>
          <w:rFonts w:ascii="微软雅黑" w:eastAsia="微软雅黑" w:hAnsi="微软雅黑" w:cs="宋体"/>
          <w:kern w:val="0"/>
          <w:sz w:val="24"/>
          <w:szCs w:val="24"/>
        </w:rPr>
        <w:t>表</w:t>
      </w:r>
      <w:r w:rsidRPr="007B6BA0">
        <w:rPr>
          <w:rFonts w:ascii="微软雅黑" w:eastAsia="微软雅黑" w:hAnsi="微软雅黑" w:cs="宋体"/>
          <w:kern w:val="0"/>
          <w:sz w:val="24"/>
          <w:szCs w:val="24"/>
        </w:rPr>
        <w:lastRenderedPageBreak/>
        <w:t>柔比</w:t>
      </w:r>
      <w:proofErr w:type="gramEnd"/>
      <w:r w:rsidRPr="007B6BA0">
        <w:rPr>
          <w:rFonts w:ascii="微软雅黑" w:eastAsia="微软雅黑" w:hAnsi="微软雅黑" w:cs="宋体"/>
          <w:kern w:val="0"/>
          <w:sz w:val="24"/>
          <w:szCs w:val="24"/>
        </w:rPr>
        <w:t>星（S1223）、</w:t>
      </w:r>
      <w:proofErr w:type="gramStart"/>
      <w:r w:rsidRPr="007B6BA0">
        <w:rPr>
          <w:rFonts w:ascii="微软雅黑" w:eastAsia="微软雅黑" w:hAnsi="微软雅黑" w:cs="宋体"/>
          <w:kern w:val="0"/>
          <w:sz w:val="24"/>
          <w:szCs w:val="24"/>
        </w:rPr>
        <w:t>卡培他</w:t>
      </w:r>
      <w:proofErr w:type="gramEnd"/>
      <w:r w:rsidRPr="007B6BA0">
        <w:rPr>
          <w:rFonts w:ascii="微软雅黑" w:eastAsia="微软雅黑" w:hAnsi="微软雅黑" w:cs="宋体"/>
          <w:kern w:val="0"/>
          <w:sz w:val="24"/>
          <w:szCs w:val="24"/>
        </w:rPr>
        <w:t>滨（S1156）、来曲</w:t>
      </w:r>
      <w:proofErr w:type="gramStart"/>
      <w:r w:rsidRPr="007B6BA0">
        <w:rPr>
          <w:rFonts w:ascii="微软雅黑" w:eastAsia="微软雅黑" w:hAnsi="微软雅黑" w:cs="宋体"/>
          <w:kern w:val="0"/>
          <w:sz w:val="24"/>
          <w:szCs w:val="24"/>
        </w:rPr>
        <w:t>唑</w:t>
      </w:r>
      <w:proofErr w:type="gramEnd"/>
      <w:r w:rsidRPr="007B6BA0">
        <w:rPr>
          <w:rFonts w:ascii="微软雅黑" w:eastAsia="微软雅黑" w:hAnsi="微软雅黑" w:cs="宋体"/>
          <w:kern w:val="0"/>
          <w:sz w:val="24"/>
          <w:szCs w:val="24"/>
        </w:rPr>
        <w:t>（S1235）、他</w:t>
      </w:r>
      <w:proofErr w:type="gramStart"/>
      <w:r w:rsidRPr="007B6BA0">
        <w:rPr>
          <w:rFonts w:ascii="微软雅黑" w:eastAsia="微软雅黑" w:hAnsi="微软雅黑" w:cs="宋体"/>
          <w:kern w:val="0"/>
          <w:sz w:val="24"/>
          <w:szCs w:val="24"/>
        </w:rPr>
        <w:t>莫昔芬</w:t>
      </w:r>
      <w:proofErr w:type="gramEnd"/>
      <w:r w:rsidRPr="007B6BA0">
        <w:rPr>
          <w:rFonts w:ascii="微软雅黑" w:eastAsia="微软雅黑" w:hAnsi="微软雅黑" w:cs="宋体"/>
          <w:kern w:val="0"/>
          <w:sz w:val="24"/>
          <w:szCs w:val="24"/>
        </w:rPr>
        <w:t>（S1972）、</w:t>
      </w:r>
      <w:proofErr w:type="gramStart"/>
      <w:r w:rsidRPr="007B6BA0">
        <w:rPr>
          <w:rFonts w:ascii="微软雅黑" w:eastAsia="微软雅黑" w:hAnsi="微软雅黑" w:cs="宋体"/>
          <w:kern w:val="0"/>
          <w:sz w:val="24"/>
          <w:szCs w:val="24"/>
        </w:rPr>
        <w:t>氟维司群</w:t>
      </w:r>
      <w:proofErr w:type="gramEnd"/>
      <w:r w:rsidRPr="007B6BA0">
        <w:rPr>
          <w:rFonts w:ascii="微软雅黑" w:eastAsia="微软雅黑" w:hAnsi="微软雅黑" w:cs="宋体"/>
          <w:kern w:val="0"/>
          <w:sz w:val="24"/>
          <w:szCs w:val="24"/>
        </w:rPr>
        <w:t>（S1191）、</w:t>
      </w:r>
      <w:proofErr w:type="gramStart"/>
      <w:r w:rsidRPr="007B6BA0">
        <w:rPr>
          <w:rFonts w:ascii="微软雅黑" w:eastAsia="微软雅黑" w:hAnsi="微软雅黑" w:cs="宋体"/>
          <w:kern w:val="0"/>
          <w:sz w:val="24"/>
          <w:szCs w:val="24"/>
        </w:rPr>
        <w:t>曲妥珠单</w:t>
      </w:r>
      <w:proofErr w:type="gramEnd"/>
      <w:r w:rsidRPr="007B6BA0">
        <w:rPr>
          <w:rFonts w:ascii="微软雅黑" w:eastAsia="微软雅黑" w:hAnsi="微软雅黑" w:cs="宋体"/>
          <w:kern w:val="0"/>
          <w:sz w:val="24"/>
          <w:szCs w:val="24"/>
        </w:rPr>
        <w:t>抗（A2007）、拉</w:t>
      </w:r>
      <w:proofErr w:type="gramStart"/>
      <w:r w:rsidRPr="007B6BA0">
        <w:rPr>
          <w:rFonts w:ascii="微软雅黑" w:eastAsia="微软雅黑" w:hAnsi="微软雅黑" w:cs="宋体"/>
          <w:kern w:val="0"/>
          <w:sz w:val="24"/>
          <w:szCs w:val="24"/>
        </w:rPr>
        <w:t>帕替尼</w:t>
      </w:r>
      <w:proofErr w:type="gramEnd"/>
      <w:r w:rsidRPr="007B6BA0">
        <w:rPr>
          <w:rFonts w:ascii="微软雅黑" w:eastAsia="微软雅黑" w:hAnsi="微软雅黑" w:cs="宋体"/>
          <w:kern w:val="0"/>
          <w:sz w:val="24"/>
          <w:szCs w:val="24"/>
        </w:rPr>
        <w:t>（S2111）、吡咯替尼（S8852）、奥拉帕尼（S1060）和阿培利西布（S2814），</w:t>
      </w:r>
      <w:proofErr w:type="gramStart"/>
      <w:r w:rsidRPr="007B6BA0">
        <w:rPr>
          <w:rFonts w:ascii="微软雅黑" w:eastAsia="微软雅黑" w:hAnsi="微软雅黑" w:cs="宋体"/>
          <w:kern w:val="0"/>
          <w:sz w:val="24"/>
          <w:szCs w:val="24"/>
        </w:rPr>
        <w:t>均购自</w:t>
      </w:r>
      <w:proofErr w:type="gramEnd"/>
      <w:r w:rsidRPr="007B6BA0">
        <w:rPr>
          <w:rFonts w:ascii="微软雅黑" w:eastAsia="微软雅黑" w:hAnsi="微软雅黑" w:cs="宋体"/>
          <w:kern w:val="0"/>
          <w:sz w:val="24"/>
          <w:szCs w:val="24"/>
        </w:rPr>
        <w:t>Selleck公司。在拯救实验中，胆固醇（S4154）、角鲨烯（S4862）和羊毛甾醇（S4755）购自Selleck公司。p300抑制剂A-485（S8740）和C646（S7152）购自Selleck公司。蛋白质合成抑制剂环己酰亚胺（S7418）、自噬抑制剂3-MA（S2767）和蛋白酶体抑制剂MG132（S2619）购自Selleck公司。溶酶体抑制剂NH4Cl（A9434）购自Sigma公司。</w:t>
      </w:r>
    </w:p>
    <w:p w14:paraId="641050E1" w14:textId="77777777" w:rsidR="007B6BA0" w:rsidRPr="007B6BA0" w:rsidRDefault="007B6BA0" w:rsidP="007B6BA0">
      <w:pPr>
        <w:widowControl/>
        <w:spacing w:line="450" w:lineRule="atLeast"/>
        <w:outlineLvl w:val="2"/>
        <w:rPr>
          <w:rFonts w:ascii="微软雅黑" w:eastAsia="微软雅黑" w:hAnsi="微软雅黑" w:cs="宋体"/>
          <w:kern w:val="0"/>
          <w:sz w:val="32"/>
          <w:szCs w:val="32"/>
        </w:rPr>
      </w:pPr>
      <w:r w:rsidRPr="007B6BA0">
        <w:rPr>
          <w:rFonts w:ascii="微软雅黑" w:eastAsia="微软雅黑" w:hAnsi="微软雅黑" w:cs="宋体"/>
          <w:kern w:val="0"/>
          <w:sz w:val="32"/>
          <w:szCs w:val="32"/>
        </w:rPr>
        <w:t>小鼠异种移植模型</w:t>
      </w:r>
    </w:p>
    <w:p w14:paraId="60FBA1A7" w14:textId="77777777" w:rsidR="007B6BA0" w:rsidRPr="007B6BA0" w:rsidRDefault="007B6BA0" w:rsidP="007B6BA0">
      <w:pPr>
        <w:widowControl/>
        <w:spacing w:before="450"/>
        <w:rPr>
          <w:rFonts w:ascii="微软雅黑" w:eastAsia="微软雅黑" w:hAnsi="微软雅黑" w:cs="宋体"/>
          <w:kern w:val="0"/>
          <w:sz w:val="24"/>
          <w:szCs w:val="24"/>
        </w:rPr>
      </w:pPr>
      <w:r w:rsidRPr="007B6BA0">
        <w:rPr>
          <w:rFonts w:ascii="微软雅黑" w:eastAsia="微软雅黑" w:hAnsi="微软雅黑" w:cs="宋体"/>
          <w:kern w:val="0"/>
          <w:sz w:val="24"/>
          <w:szCs w:val="24"/>
        </w:rPr>
        <w:t>动物实验均按照复旦大学上海医学院动物福利委员会批准的方案进行（方案编号：2019FUSCCJS‐226）。为评估MDA‐MB‐231和MDA‐MB‐468异种移植瘤的联合疗效，将500万个MDA‐MB‐231细胞和800万个MDA‐MB‐468细胞（悬浮于200 µL培养基中，培养基：Matrigel = 1:1）注射到雌性裸鼠（6周龄，nu/nu，上海模式生物）的第四乳腺脂肪垫中。待肿瘤体积达到50–75 mm³时</w:t>
      </w:r>
      <w:r w:rsidRPr="007B6BA0">
        <w:rPr>
          <w:rFonts w:ascii="微软雅黑" w:eastAsia="微软雅黑" w:hAnsi="微软雅黑" w:cs="宋体"/>
          <w:kern w:val="0"/>
          <w:sz w:val="24"/>
          <w:szCs w:val="24"/>
          <w:vertAlign w:val="superscript"/>
        </w:rPr>
        <w:t>，</w:t>
      </w:r>
      <w:r w:rsidRPr="007B6BA0">
        <w:rPr>
          <w:rFonts w:ascii="微软雅黑" w:eastAsia="微软雅黑" w:hAnsi="微软雅黑" w:cs="宋体"/>
          <w:kern w:val="0"/>
          <w:sz w:val="24"/>
          <w:szCs w:val="24"/>
        </w:rPr>
        <w:t>将小鼠随机分为四组，准备进行给药。对于TNBC PDX模型，从先前建立的NOD/SCID供体小鼠（第7代，NOD.CB17‐Prkdcscid/J，上海模式生物）中切取1–2 mm的肿瘤组织块。随后将这些碎片植入雌性裸鼠的乳腺脂肪垫中。当肿瘤体积达到 125 mm³ 时</w:t>
      </w:r>
      <w:r w:rsidRPr="007B6BA0">
        <w:rPr>
          <w:rFonts w:ascii="微软雅黑" w:eastAsia="微软雅黑" w:hAnsi="微软雅黑" w:cs="宋体"/>
          <w:kern w:val="0"/>
          <w:sz w:val="24"/>
          <w:szCs w:val="24"/>
          <w:vertAlign w:val="superscript"/>
        </w:rPr>
        <w:t>，</w:t>
      </w:r>
      <w:r w:rsidRPr="007B6BA0">
        <w:rPr>
          <w:rFonts w:ascii="微软雅黑" w:eastAsia="微软雅黑" w:hAnsi="微软雅黑" w:cs="宋体"/>
          <w:kern w:val="0"/>
          <w:sz w:val="24"/>
          <w:szCs w:val="24"/>
        </w:rPr>
        <w:t>将小鼠随机分组进行治疗。对于 MDA-MB-231、MDA-MB-468 和患者来源的异种移植瘤，小鼠接受以下治疗：对照组、阿贝西利（50 mg/kg，每日灌胃）、YKL-5-124（MDA-MB-231 异种移植瘤</w:t>
      </w:r>
      <w:r w:rsidRPr="007B6BA0">
        <w:rPr>
          <w:rFonts w:ascii="微软雅黑" w:eastAsia="微软雅黑" w:hAnsi="微软雅黑" w:cs="宋体"/>
          <w:kern w:val="0"/>
          <w:sz w:val="24"/>
          <w:szCs w:val="24"/>
          <w:vertAlign w:val="superscript"/>
        </w:rPr>
        <w:t>：</w:t>
      </w:r>
      <w:r w:rsidRPr="007B6BA0">
        <w:rPr>
          <w:rFonts w:ascii="微软雅黑" w:eastAsia="微软雅黑" w:hAnsi="微软雅黑" w:cs="宋体"/>
          <w:kern w:val="0"/>
          <w:sz w:val="24"/>
          <w:szCs w:val="24"/>
        </w:rPr>
        <w:t> 5 mg/kg ，每日</w:t>
      </w:r>
      <w:r w:rsidRPr="007B6BA0">
        <w:rPr>
          <w:rFonts w:ascii="微软雅黑" w:eastAsia="微软雅黑" w:hAnsi="微软雅黑" w:cs="宋体"/>
          <w:kern w:val="0"/>
          <w:sz w:val="24"/>
          <w:szCs w:val="24"/>
          <w:vertAlign w:val="superscript"/>
        </w:rPr>
        <w:t>腹腔</w:t>
      </w:r>
      <w:r w:rsidRPr="007B6BA0">
        <w:rPr>
          <w:rFonts w:ascii="微软雅黑" w:eastAsia="微软雅黑" w:hAnsi="微软雅黑" w:cs="宋体"/>
          <w:kern w:val="0"/>
          <w:sz w:val="24"/>
          <w:szCs w:val="24"/>
        </w:rPr>
        <w:t>注射；MDA-MB-468 异种移植瘤和 PDX：2 mg/kg ，每日腹腔</w:t>
      </w:r>
      <w:r w:rsidRPr="007B6BA0">
        <w:rPr>
          <w:rFonts w:ascii="微软雅黑" w:eastAsia="微软雅黑" w:hAnsi="微软雅黑" w:cs="宋体"/>
          <w:kern w:val="0"/>
          <w:sz w:val="24"/>
          <w:szCs w:val="24"/>
          <w:vertAlign w:val="superscript"/>
        </w:rPr>
        <w:t>注射</w:t>
      </w:r>
      <w:r w:rsidRPr="007B6BA0">
        <w:rPr>
          <w:rFonts w:ascii="微软雅黑" w:eastAsia="微软雅黑" w:hAnsi="微软雅黑" w:cs="宋体"/>
          <w:kern w:val="0"/>
          <w:sz w:val="24"/>
          <w:szCs w:val="24"/>
        </w:rPr>
        <w:t>）</w:t>
      </w:r>
      <w:r w:rsidRPr="007B6BA0">
        <w:rPr>
          <w:rFonts w:ascii="微软雅黑" w:eastAsia="微软雅黑" w:hAnsi="微软雅黑" w:cs="宋体"/>
          <w:kern w:val="0"/>
          <w:sz w:val="24"/>
          <w:szCs w:val="24"/>
        </w:rPr>
        <w:lastRenderedPageBreak/>
        <w:t>以及联合治疗，疗程分别为 2 周（MDA-MB-231 异种移植瘤）或 3 周（MDA-MB-468 异种移植瘤和 PDX）。</w:t>
      </w:r>
    </w:p>
    <w:p w14:paraId="30755C4F" w14:textId="77777777" w:rsidR="007B6BA0" w:rsidRPr="007B6BA0" w:rsidRDefault="007B6BA0" w:rsidP="007B6BA0">
      <w:pPr>
        <w:widowControl/>
        <w:spacing w:before="450"/>
        <w:rPr>
          <w:rFonts w:ascii="微软雅黑" w:eastAsia="微软雅黑" w:hAnsi="微软雅黑" w:cs="宋体"/>
          <w:kern w:val="0"/>
          <w:sz w:val="24"/>
          <w:szCs w:val="24"/>
        </w:rPr>
      </w:pPr>
      <w:r w:rsidRPr="007B6BA0">
        <w:rPr>
          <w:rFonts w:ascii="微软雅黑" w:eastAsia="微软雅黑" w:hAnsi="微软雅黑" w:cs="宋体"/>
          <w:kern w:val="0"/>
          <w:sz w:val="24"/>
          <w:szCs w:val="24"/>
        </w:rPr>
        <w:t>在利用MDA-MB-468异种移植</w:t>
      </w:r>
      <w:proofErr w:type="gramStart"/>
      <w:r w:rsidRPr="007B6BA0">
        <w:rPr>
          <w:rFonts w:ascii="微软雅黑" w:eastAsia="微软雅黑" w:hAnsi="微软雅黑" w:cs="宋体"/>
          <w:kern w:val="0"/>
          <w:sz w:val="24"/>
          <w:szCs w:val="24"/>
        </w:rPr>
        <w:t>瘤进行</w:t>
      </w:r>
      <w:proofErr w:type="gramEnd"/>
      <w:r w:rsidRPr="007B6BA0">
        <w:rPr>
          <w:rFonts w:ascii="微软雅黑" w:eastAsia="微软雅黑" w:hAnsi="微软雅黑" w:cs="宋体"/>
          <w:kern w:val="0"/>
          <w:sz w:val="24"/>
          <w:szCs w:val="24"/>
        </w:rPr>
        <w:t>的体内胆固醇拯救实验中，细胞注射后，待肿瘤生长4周，将小鼠分组并分别进行不同的饮食干预（标准饲料和1.25%胆固醇饲料）。当肿瘤体积达到200 mm³时</w:t>
      </w:r>
      <w:r w:rsidRPr="007B6BA0">
        <w:rPr>
          <w:rFonts w:ascii="微软雅黑" w:eastAsia="微软雅黑" w:hAnsi="微软雅黑" w:cs="宋体"/>
          <w:kern w:val="0"/>
          <w:sz w:val="24"/>
          <w:szCs w:val="24"/>
          <w:vertAlign w:val="superscript"/>
        </w:rPr>
        <w:t>，</w:t>
      </w:r>
      <w:r w:rsidRPr="007B6BA0">
        <w:rPr>
          <w:rFonts w:ascii="微软雅黑" w:eastAsia="微软雅黑" w:hAnsi="微软雅黑" w:cs="宋体"/>
          <w:kern w:val="0"/>
          <w:sz w:val="24"/>
          <w:szCs w:val="24"/>
        </w:rPr>
        <w:t>将小鼠进一步分为治疗组，包括对照组和联合治疗组。联合治疗组每日灌</w:t>
      </w:r>
      <w:proofErr w:type="gramStart"/>
      <w:r w:rsidRPr="007B6BA0">
        <w:rPr>
          <w:rFonts w:ascii="微软雅黑" w:eastAsia="微软雅黑" w:hAnsi="微软雅黑" w:cs="宋体"/>
          <w:kern w:val="0"/>
          <w:sz w:val="24"/>
          <w:szCs w:val="24"/>
        </w:rPr>
        <w:t>胃给予</w:t>
      </w:r>
      <w:proofErr w:type="gramEnd"/>
      <w:r w:rsidRPr="007B6BA0">
        <w:rPr>
          <w:rFonts w:ascii="微软雅黑" w:eastAsia="微软雅黑" w:hAnsi="微软雅黑" w:cs="宋体"/>
          <w:kern w:val="0"/>
          <w:sz w:val="24"/>
          <w:szCs w:val="24"/>
        </w:rPr>
        <w:t>50 mg/kg阿贝西利，每日腹腔注射2 mg/kg </w:t>
      </w:r>
      <w:r w:rsidRPr="007B6BA0">
        <w:rPr>
          <w:rFonts w:ascii="微软雅黑" w:eastAsia="微软雅黑" w:hAnsi="微软雅黑" w:cs="宋体"/>
          <w:kern w:val="0"/>
          <w:sz w:val="24"/>
          <w:szCs w:val="24"/>
          <w:vertAlign w:val="superscript"/>
        </w:rPr>
        <w:t>YKL -</w:t>
      </w:r>
      <w:r w:rsidRPr="007B6BA0">
        <w:rPr>
          <w:rFonts w:ascii="微软雅黑" w:eastAsia="微软雅黑" w:hAnsi="微软雅黑" w:cs="宋体"/>
          <w:kern w:val="0"/>
          <w:sz w:val="24"/>
          <w:szCs w:val="24"/>
        </w:rPr>
        <w:t> 5-124，并持续给药3周。在整个给药期间，饮食干预保持不变。实验结束后，处死小鼠，解剖肿瘤，固定并速冻，以备后续研究。</w:t>
      </w:r>
    </w:p>
    <w:p w14:paraId="216317F8" w14:textId="77777777" w:rsidR="007B6BA0" w:rsidRPr="007B6BA0" w:rsidRDefault="007B6BA0" w:rsidP="007B6BA0">
      <w:pPr>
        <w:widowControl/>
        <w:spacing w:line="450" w:lineRule="atLeast"/>
        <w:outlineLvl w:val="2"/>
        <w:rPr>
          <w:rFonts w:ascii="微软雅黑" w:eastAsia="微软雅黑" w:hAnsi="微软雅黑" w:cs="宋体"/>
          <w:kern w:val="0"/>
          <w:sz w:val="32"/>
          <w:szCs w:val="32"/>
        </w:rPr>
      </w:pPr>
      <w:r w:rsidRPr="007B6BA0">
        <w:rPr>
          <w:rFonts w:ascii="微软雅黑" w:eastAsia="微软雅黑" w:hAnsi="微软雅黑" w:cs="宋体"/>
          <w:kern w:val="0"/>
          <w:sz w:val="32"/>
          <w:szCs w:val="32"/>
        </w:rPr>
        <w:t>细胞活力检测和组合指数计算</w:t>
      </w:r>
    </w:p>
    <w:p w14:paraId="719B53B1" w14:textId="77777777" w:rsidR="007B6BA0" w:rsidRPr="007B6BA0" w:rsidRDefault="007B6BA0" w:rsidP="007B6BA0">
      <w:pPr>
        <w:widowControl/>
        <w:spacing w:before="450"/>
        <w:rPr>
          <w:rFonts w:ascii="微软雅黑" w:eastAsia="微软雅黑" w:hAnsi="微软雅黑" w:cs="宋体"/>
          <w:kern w:val="0"/>
          <w:sz w:val="24"/>
          <w:szCs w:val="24"/>
        </w:rPr>
      </w:pPr>
      <w:r w:rsidRPr="007B6BA0">
        <w:rPr>
          <w:rFonts w:ascii="微软雅黑" w:eastAsia="微软雅黑" w:hAnsi="微软雅黑" w:cs="宋体"/>
          <w:kern w:val="0"/>
          <w:sz w:val="24"/>
          <w:szCs w:val="24"/>
        </w:rPr>
        <w:t xml:space="preserve">为了评估半数抑制浓度 (IC50) 值，将 5000–10000 </w:t>
      </w:r>
      <w:proofErr w:type="gramStart"/>
      <w:r w:rsidRPr="007B6BA0">
        <w:rPr>
          <w:rFonts w:ascii="微软雅黑" w:eastAsia="微软雅黑" w:hAnsi="微软雅黑" w:cs="宋体"/>
          <w:kern w:val="0"/>
          <w:sz w:val="24"/>
          <w:szCs w:val="24"/>
        </w:rPr>
        <w:t>个</w:t>
      </w:r>
      <w:proofErr w:type="gramEnd"/>
      <w:r w:rsidRPr="007B6BA0">
        <w:rPr>
          <w:rFonts w:ascii="微软雅黑" w:eastAsia="微软雅黑" w:hAnsi="微软雅黑" w:cs="宋体"/>
          <w:kern w:val="0"/>
          <w:sz w:val="24"/>
          <w:szCs w:val="24"/>
        </w:rPr>
        <w:t>细胞接种于 96 孔板中，并用不同浓度的指定化学物质处理 48 小时。采用 CCK-8 法（</w:t>
      </w:r>
      <w:proofErr w:type="spellStart"/>
      <w:r w:rsidRPr="007B6BA0">
        <w:rPr>
          <w:rFonts w:ascii="微软雅黑" w:eastAsia="微软雅黑" w:hAnsi="微软雅黑" w:cs="宋体"/>
          <w:kern w:val="0"/>
          <w:sz w:val="24"/>
          <w:szCs w:val="24"/>
        </w:rPr>
        <w:t>Dojindo</w:t>
      </w:r>
      <w:proofErr w:type="spellEnd"/>
      <w:r w:rsidRPr="007B6BA0">
        <w:rPr>
          <w:rFonts w:ascii="微软雅黑" w:eastAsia="微软雅黑" w:hAnsi="微软雅黑" w:cs="宋体"/>
          <w:kern w:val="0"/>
          <w:sz w:val="24"/>
          <w:szCs w:val="24"/>
        </w:rPr>
        <w:t xml:space="preserve">，CK04）按照制造商说明测定细胞活力。为了进行联合用药指数分析，首先将细胞暴露于不同浓度的单一药物中。随后，分别给予先前浓度梯度的阿贝西利或帕博西尼，以及固定浓度的 YKL-5-124（CAL-51 和 MDA-MB-231 细胞为 200 </w:t>
      </w:r>
      <w:proofErr w:type="spellStart"/>
      <w:r w:rsidRPr="007B6BA0">
        <w:rPr>
          <w:rFonts w:ascii="微软雅黑" w:eastAsia="微软雅黑" w:hAnsi="微软雅黑" w:cs="宋体"/>
          <w:kern w:val="0"/>
          <w:sz w:val="24"/>
          <w:szCs w:val="24"/>
        </w:rPr>
        <w:t>nM</w:t>
      </w:r>
      <w:proofErr w:type="spellEnd"/>
      <w:r w:rsidRPr="007B6BA0">
        <w:rPr>
          <w:rFonts w:ascii="微软雅黑" w:eastAsia="微软雅黑" w:hAnsi="微软雅黑" w:cs="宋体"/>
          <w:kern w:val="0"/>
          <w:sz w:val="24"/>
          <w:szCs w:val="24"/>
        </w:rPr>
        <w:t xml:space="preserve">，Hs578T 和 BT-549 细胞为 500 </w:t>
      </w:r>
      <w:proofErr w:type="spellStart"/>
      <w:r w:rsidRPr="007B6BA0">
        <w:rPr>
          <w:rFonts w:ascii="微软雅黑" w:eastAsia="微软雅黑" w:hAnsi="微软雅黑" w:cs="宋体"/>
          <w:kern w:val="0"/>
          <w:sz w:val="24"/>
          <w:szCs w:val="24"/>
        </w:rPr>
        <w:t>nM</w:t>
      </w:r>
      <w:proofErr w:type="spellEnd"/>
      <w:r w:rsidRPr="007B6BA0">
        <w:rPr>
          <w:rFonts w:ascii="微软雅黑" w:eastAsia="微软雅黑" w:hAnsi="微软雅黑" w:cs="宋体"/>
          <w:kern w:val="0"/>
          <w:sz w:val="24"/>
          <w:szCs w:val="24"/>
        </w:rPr>
        <w:t>，MDA-MB-468 细胞为 1 µM）。固定浓度是根据文献建议，在 IC25 值附近确定的。</w:t>
      </w:r>
      <w:r w:rsidRPr="007B6BA0">
        <w:rPr>
          <w:rFonts w:ascii="微软雅黑" w:eastAsia="微软雅黑" w:hAnsi="微软雅黑" w:cs="宋体"/>
          <w:kern w:val="0"/>
          <w:sz w:val="24"/>
          <w:szCs w:val="24"/>
          <w:vertAlign w:val="superscript"/>
        </w:rPr>
        <w:t>[ </w:t>
      </w:r>
      <w:hyperlink r:id="rId137" w:anchor="advs10347-bib-0045" w:history="1">
        <w:r w:rsidRPr="007B6BA0">
          <w:rPr>
            <w:rFonts w:ascii="微软雅黑" w:eastAsia="微软雅黑" w:hAnsi="微软雅黑" w:cs="宋体"/>
            <w:kern w:val="0"/>
            <w:sz w:val="24"/>
            <w:szCs w:val="24"/>
            <w:u w:val="single"/>
            <w:vertAlign w:val="superscript"/>
          </w:rPr>
          <w:t>45</w:t>
        </w:r>
      </w:hyperlink>
      <w:r w:rsidRPr="007B6BA0">
        <w:rPr>
          <w:rFonts w:ascii="微软雅黑" w:eastAsia="微软雅黑" w:hAnsi="微软雅黑" w:cs="宋体"/>
          <w:kern w:val="0"/>
          <w:sz w:val="24"/>
          <w:szCs w:val="24"/>
          <w:vertAlign w:val="superscript"/>
        </w:rPr>
        <w:t> ]</w:t>
      </w:r>
      <w:r w:rsidRPr="007B6BA0">
        <w:rPr>
          <w:rFonts w:ascii="微软雅黑" w:eastAsia="微软雅黑" w:hAnsi="微软雅黑" w:cs="宋体"/>
          <w:kern w:val="0"/>
          <w:sz w:val="24"/>
          <w:szCs w:val="24"/>
        </w:rPr>
        <w:t xml:space="preserve">使用 </w:t>
      </w:r>
      <w:proofErr w:type="spellStart"/>
      <w:r w:rsidRPr="007B6BA0">
        <w:rPr>
          <w:rFonts w:ascii="微软雅黑" w:eastAsia="微软雅黑" w:hAnsi="微软雅黑" w:cs="宋体"/>
          <w:kern w:val="0"/>
          <w:sz w:val="24"/>
          <w:szCs w:val="24"/>
        </w:rPr>
        <w:t>CompuSyn</w:t>
      </w:r>
      <w:proofErr w:type="spellEnd"/>
      <w:r w:rsidRPr="007B6BA0">
        <w:rPr>
          <w:rFonts w:ascii="微软雅黑" w:eastAsia="微软雅黑" w:hAnsi="微软雅黑" w:cs="宋体"/>
          <w:kern w:val="0"/>
          <w:sz w:val="24"/>
          <w:szCs w:val="24"/>
        </w:rPr>
        <w:t xml:space="preserve"> 软件（版本 1.0）和 Chou-</w:t>
      </w:r>
      <w:proofErr w:type="spellStart"/>
      <w:r w:rsidRPr="007B6BA0">
        <w:rPr>
          <w:rFonts w:ascii="微软雅黑" w:eastAsia="微软雅黑" w:hAnsi="微软雅黑" w:cs="宋体"/>
          <w:kern w:val="0"/>
          <w:sz w:val="24"/>
          <w:szCs w:val="24"/>
        </w:rPr>
        <w:t>Talalay</w:t>
      </w:r>
      <w:proofErr w:type="spellEnd"/>
      <w:r w:rsidRPr="007B6BA0">
        <w:rPr>
          <w:rFonts w:ascii="微软雅黑" w:eastAsia="微软雅黑" w:hAnsi="微软雅黑" w:cs="宋体"/>
          <w:kern w:val="0"/>
          <w:sz w:val="24"/>
          <w:szCs w:val="24"/>
        </w:rPr>
        <w:t xml:space="preserve"> 方法生成 CI 计算。</w:t>
      </w:r>
      <w:r w:rsidRPr="007B6BA0">
        <w:rPr>
          <w:rFonts w:ascii="微软雅黑" w:eastAsia="微软雅黑" w:hAnsi="微软雅黑" w:cs="宋体"/>
          <w:kern w:val="0"/>
          <w:sz w:val="24"/>
          <w:szCs w:val="24"/>
          <w:vertAlign w:val="superscript"/>
        </w:rPr>
        <w:t>[ </w:t>
      </w:r>
      <w:hyperlink r:id="rId138" w:anchor="advs10347-bib-0046" w:history="1">
        <w:r w:rsidRPr="007B6BA0">
          <w:rPr>
            <w:rFonts w:ascii="微软雅黑" w:eastAsia="微软雅黑" w:hAnsi="微软雅黑" w:cs="宋体"/>
            <w:kern w:val="0"/>
            <w:sz w:val="24"/>
            <w:szCs w:val="24"/>
            <w:u w:val="single"/>
            <w:vertAlign w:val="superscript"/>
          </w:rPr>
          <w:t>46</w:t>
        </w:r>
      </w:hyperlink>
      <w:r w:rsidRPr="007B6BA0">
        <w:rPr>
          <w:rFonts w:ascii="微软雅黑" w:eastAsia="微软雅黑" w:hAnsi="微软雅黑" w:cs="宋体"/>
          <w:kern w:val="0"/>
          <w:sz w:val="24"/>
          <w:szCs w:val="24"/>
          <w:vertAlign w:val="superscript"/>
        </w:rPr>
        <w:t> ]</w:t>
      </w:r>
    </w:p>
    <w:p w14:paraId="6EE69BE4" w14:textId="77777777" w:rsidR="007B6BA0" w:rsidRPr="007B6BA0" w:rsidRDefault="007B6BA0" w:rsidP="007B6BA0">
      <w:pPr>
        <w:widowControl/>
        <w:spacing w:line="450" w:lineRule="atLeast"/>
        <w:outlineLvl w:val="2"/>
        <w:rPr>
          <w:rFonts w:ascii="微软雅黑" w:eastAsia="微软雅黑" w:hAnsi="微软雅黑" w:cs="宋体"/>
          <w:kern w:val="0"/>
          <w:sz w:val="32"/>
          <w:szCs w:val="32"/>
        </w:rPr>
      </w:pPr>
      <w:r w:rsidRPr="007B6BA0">
        <w:rPr>
          <w:rFonts w:ascii="微软雅黑" w:eastAsia="微软雅黑" w:hAnsi="微软雅黑" w:cs="宋体"/>
          <w:kern w:val="0"/>
          <w:sz w:val="32"/>
          <w:szCs w:val="32"/>
        </w:rPr>
        <w:t>体外细胞增殖和集落形成实验</w:t>
      </w:r>
    </w:p>
    <w:p w14:paraId="1FF77DEE" w14:textId="77777777" w:rsidR="007B6BA0" w:rsidRPr="007B6BA0" w:rsidRDefault="007B6BA0" w:rsidP="007B6BA0">
      <w:pPr>
        <w:widowControl/>
        <w:spacing w:before="450"/>
        <w:rPr>
          <w:rFonts w:ascii="微软雅黑" w:eastAsia="微软雅黑" w:hAnsi="微软雅黑" w:cs="宋体"/>
          <w:kern w:val="0"/>
          <w:sz w:val="24"/>
          <w:szCs w:val="24"/>
        </w:rPr>
      </w:pPr>
      <w:r w:rsidRPr="007B6BA0">
        <w:rPr>
          <w:rFonts w:ascii="微软雅黑" w:eastAsia="微软雅黑" w:hAnsi="微软雅黑" w:cs="宋体"/>
          <w:kern w:val="0"/>
          <w:sz w:val="24"/>
          <w:szCs w:val="24"/>
        </w:rPr>
        <w:t xml:space="preserve">在增殖实验中，将1500-4000个细胞接种于96孔板中，然后用0.5 µM </w:t>
      </w:r>
      <w:proofErr w:type="spellStart"/>
      <w:r w:rsidRPr="007B6BA0">
        <w:rPr>
          <w:rFonts w:ascii="微软雅黑" w:eastAsia="微软雅黑" w:hAnsi="微软雅黑" w:cs="宋体"/>
          <w:kern w:val="0"/>
          <w:sz w:val="24"/>
          <w:szCs w:val="24"/>
        </w:rPr>
        <w:t>abemaciclib</w:t>
      </w:r>
      <w:proofErr w:type="spellEnd"/>
      <w:r w:rsidRPr="007B6BA0">
        <w:rPr>
          <w:rFonts w:ascii="微软雅黑" w:eastAsia="微软雅黑" w:hAnsi="微软雅黑" w:cs="宋体"/>
          <w:kern w:val="0"/>
          <w:sz w:val="24"/>
          <w:szCs w:val="24"/>
        </w:rPr>
        <w:t xml:space="preserve">和YKL-5-124（CAL-51、Hs578T和BT-549细胞用50 </w:t>
      </w:r>
      <w:proofErr w:type="spellStart"/>
      <w:r w:rsidRPr="007B6BA0">
        <w:rPr>
          <w:rFonts w:ascii="微软雅黑" w:eastAsia="微软雅黑" w:hAnsi="微软雅黑" w:cs="宋体"/>
          <w:kern w:val="0"/>
          <w:sz w:val="24"/>
          <w:szCs w:val="24"/>
        </w:rPr>
        <w:t>nM</w:t>
      </w:r>
      <w:proofErr w:type="spellEnd"/>
      <w:r w:rsidRPr="007B6BA0">
        <w:rPr>
          <w:rFonts w:ascii="微软雅黑" w:eastAsia="微软雅黑" w:hAnsi="微软雅黑" w:cs="宋体"/>
          <w:kern w:val="0"/>
          <w:sz w:val="24"/>
          <w:szCs w:val="24"/>
        </w:rPr>
        <w:t>，</w:t>
      </w:r>
      <w:r w:rsidRPr="007B6BA0">
        <w:rPr>
          <w:rFonts w:ascii="微软雅黑" w:eastAsia="微软雅黑" w:hAnsi="微软雅黑" w:cs="宋体"/>
          <w:kern w:val="0"/>
          <w:sz w:val="24"/>
          <w:szCs w:val="24"/>
        </w:rPr>
        <w:lastRenderedPageBreak/>
        <w:t xml:space="preserve">MDA-MB-231和MDA-MB-468细胞用100 </w:t>
      </w:r>
      <w:proofErr w:type="spellStart"/>
      <w:r w:rsidRPr="007B6BA0">
        <w:rPr>
          <w:rFonts w:ascii="微软雅黑" w:eastAsia="微软雅黑" w:hAnsi="微软雅黑" w:cs="宋体"/>
          <w:kern w:val="0"/>
          <w:sz w:val="24"/>
          <w:szCs w:val="24"/>
        </w:rPr>
        <w:t>nM</w:t>
      </w:r>
      <w:proofErr w:type="spellEnd"/>
      <w:r w:rsidRPr="007B6BA0">
        <w:rPr>
          <w:rFonts w:ascii="微软雅黑" w:eastAsia="微软雅黑" w:hAnsi="微软雅黑" w:cs="宋体"/>
          <w:kern w:val="0"/>
          <w:sz w:val="24"/>
          <w:szCs w:val="24"/>
        </w:rPr>
        <w:t>）单独或联合处理。分别于第0、1、3和5天使用CCK-8法检测细胞活力。</w:t>
      </w:r>
    </w:p>
    <w:p w14:paraId="74A6CFED" w14:textId="77777777" w:rsidR="007B6BA0" w:rsidRPr="007B6BA0" w:rsidRDefault="007B6BA0" w:rsidP="007B6BA0">
      <w:pPr>
        <w:widowControl/>
        <w:spacing w:before="450"/>
        <w:rPr>
          <w:rFonts w:ascii="微软雅黑" w:eastAsia="微软雅黑" w:hAnsi="微软雅黑" w:cs="宋体"/>
          <w:kern w:val="0"/>
          <w:sz w:val="24"/>
          <w:szCs w:val="24"/>
        </w:rPr>
      </w:pPr>
      <w:r w:rsidRPr="007B6BA0">
        <w:rPr>
          <w:rFonts w:ascii="微软雅黑" w:eastAsia="微软雅黑" w:hAnsi="微软雅黑" w:cs="宋体"/>
          <w:kern w:val="0"/>
          <w:sz w:val="24"/>
          <w:szCs w:val="24"/>
        </w:rPr>
        <w:t xml:space="preserve">在克隆形成实验中，将 800–3000 </w:t>
      </w:r>
      <w:proofErr w:type="gramStart"/>
      <w:r w:rsidRPr="007B6BA0">
        <w:rPr>
          <w:rFonts w:ascii="微软雅黑" w:eastAsia="微软雅黑" w:hAnsi="微软雅黑" w:cs="宋体"/>
          <w:kern w:val="0"/>
          <w:sz w:val="24"/>
          <w:szCs w:val="24"/>
        </w:rPr>
        <w:t>个</w:t>
      </w:r>
      <w:proofErr w:type="gramEnd"/>
      <w:r w:rsidRPr="007B6BA0">
        <w:rPr>
          <w:rFonts w:ascii="微软雅黑" w:eastAsia="微软雅黑" w:hAnsi="微软雅黑" w:cs="宋体"/>
          <w:kern w:val="0"/>
          <w:sz w:val="24"/>
          <w:szCs w:val="24"/>
        </w:rPr>
        <w:t xml:space="preserve">细胞接种于 6 孔板中，并用 DMSO、0.5 µM </w:t>
      </w:r>
      <w:proofErr w:type="spellStart"/>
      <w:r w:rsidRPr="007B6BA0">
        <w:rPr>
          <w:rFonts w:ascii="微软雅黑" w:eastAsia="微软雅黑" w:hAnsi="微软雅黑" w:cs="宋体"/>
          <w:kern w:val="0"/>
          <w:sz w:val="24"/>
          <w:szCs w:val="24"/>
        </w:rPr>
        <w:t>abemaciclib</w:t>
      </w:r>
      <w:proofErr w:type="spellEnd"/>
      <w:r w:rsidRPr="007B6BA0">
        <w:rPr>
          <w:rFonts w:ascii="微软雅黑" w:eastAsia="微软雅黑" w:hAnsi="微软雅黑" w:cs="宋体"/>
          <w:kern w:val="0"/>
          <w:sz w:val="24"/>
          <w:szCs w:val="24"/>
        </w:rPr>
        <w:t xml:space="preserve"> 或 </w:t>
      </w:r>
      <w:proofErr w:type="spellStart"/>
      <w:r w:rsidRPr="007B6BA0">
        <w:rPr>
          <w:rFonts w:ascii="微软雅黑" w:eastAsia="微软雅黑" w:hAnsi="微软雅黑" w:cs="宋体"/>
          <w:kern w:val="0"/>
          <w:sz w:val="24"/>
          <w:szCs w:val="24"/>
        </w:rPr>
        <w:t>palbociclib</w:t>
      </w:r>
      <w:proofErr w:type="spellEnd"/>
      <w:r w:rsidRPr="007B6BA0">
        <w:rPr>
          <w:rFonts w:ascii="微软雅黑" w:eastAsia="微软雅黑" w:hAnsi="微软雅黑" w:cs="宋体"/>
          <w:kern w:val="0"/>
          <w:sz w:val="24"/>
          <w:szCs w:val="24"/>
        </w:rPr>
        <w:t xml:space="preserve">、50 </w:t>
      </w:r>
      <w:proofErr w:type="spellStart"/>
      <w:r w:rsidRPr="007B6BA0">
        <w:rPr>
          <w:rFonts w:ascii="微软雅黑" w:eastAsia="微软雅黑" w:hAnsi="微软雅黑" w:cs="宋体"/>
          <w:kern w:val="0"/>
          <w:sz w:val="24"/>
          <w:szCs w:val="24"/>
        </w:rPr>
        <w:t>nM</w:t>
      </w:r>
      <w:proofErr w:type="spellEnd"/>
      <w:r w:rsidRPr="007B6BA0">
        <w:rPr>
          <w:rFonts w:ascii="微软雅黑" w:eastAsia="微软雅黑" w:hAnsi="微软雅黑" w:cs="宋体"/>
          <w:kern w:val="0"/>
          <w:sz w:val="24"/>
          <w:szCs w:val="24"/>
        </w:rPr>
        <w:t xml:space="preserve"> YKL-5-124 或 CT7001（MDA-MB-231、Hs578T 和 MDA-MB-468 细胞为 20 </w:t>
      </w:r>
      <w:proofErr w:type="spellStart"/>
      <w:r w:rsidRPr="007B6BA0">
        <w:rPr>
          <w:rFonts w:ascii="微软雅黑" w:eastAsia="微软雅黑" w:hAnsi="微软雅黑" w:cs="宋体"/>
          <w:kern w:val="0"/>
          <w:sz w:val="24"/>
          <w:szCs w:val="24"/>
        </w:rPr>
        <w:t>nM</w:t>
      </w:r>
      <w:proofErr w:type="spellEnd"/>
      <w:r w:rsidRPr="007B6BA0">
        <w:rPr>
          <w:rFonts w:ascii="微软雅黑" w:eastAsia="微软雅黑" w:hAnsi="微软雅黑" w:cs="宋体"/>
          <w:kern w:val="0"/>
          <w:sz w:val="24"/>
          <w:szCs w:val="24"/>
        </w:rPr>
        <w:t xml:space="preserve">，CAL-51 和 BT-549 细胞为 50 </w:t>
      </w:r>
      <w:proofErr w:type="spellStart"/>
      <w:r w:rsidRPr="007B6BA0">
        <w:rPr>
          <w:rFonts w:ascii="微软雅黑" w:eastAsia="微软雅黑" w:hAnsi="微软雅黑" w:cs="宋体"/>
          <w:kern w:val="0"/>
          <w:sz w:val="24"/>
          <w:szCs w:val="24"/>
        </w:rPr>
        <w:t>nM</w:t>
      </w:r>
      <w:proofErr w:type="spellEnd"/>
      <w:r w:rsidRPr="007B6BA0">
        <w:rPr>
          <w:rFonts w:ascii="微软雅黑" w:eastAsia="微软雅黑" w:hAnsi="微软雅黑" w:cs="宋体"/>
          <w:kern w:val="0"/>
          <w:sz w:val="24"/>
          <w:szCs w:val="24"/>
        </w:rPr>
        <w:t xml:space="preserve">）以及上述药物组合处理 48 小时。在代谢物拯救克隆形成实验中，用 DMSO 或 250 </w:t>
      </w:r>
      <w:proofErr w:type="spellStart"/>
      <w:r w:rsidRPr="007B6BA0">
        <w:rPr>
          <w:rFonts w:ascii="微软雅黑" w:eastAsia="微软雅黑" w:hAnsi="微软雅黑" w:cs="宋体"/>
          <w:kern w:val="0"/>
          <w:sz w:val="24"/>
          <w:szCs w:val="24"/>
        </w:rPr>
        <w:t>nM</w:t>
      </w:r>
      <w:proofErr w:type="spellEnd"/>
      <w:r w:rsidRPr="007B6BA0">
        <w:rPr>
          <w:rFonts w:ascii="微软雅黑" w:eastAsia="微软雅黑" w:hAnsi="微软雅黑" w:cs="宋体"/>
          <w:kern w:val="0"/>
          <w:sz w:val="24"/>
          <w:szCs w:val="24"/>
        </w:rPr>
        <w:t xml:space="preserve"> </w:t>
      </w:r>
      <w:proofErr w:type="spellStart"/>
      <w:r w:rsidRPr="007B6BA0">
        <w:rPr>
          <w:rFonts w:ascii="微软雅黑" w:eastAsia="微软雅黑" w:hAnsi="微软雅黑" w:cs="宋体"/>
          <w:kern w:val="0"/>
          <w:sz w:val="24"/>
          <w:szCs w:val="24"/>
        </w:rPr>
        <w:t>abemaciclib</w:t>
      </w:r>
      <w:proofErr w:type="spellEnd"/>
      <w:r w:rsidRPr="007B6BA0">
        <w:rPr>
          <w:rFonts w:ascii="微软雅黑" w:eastAsia="微软雅黑" w:hAnsi="微软雅黑" w:cs="宋体"/>
          <w:kern w:val="0"/>
          <w:sz w:val="24"/>
          <w:szCs w:val="24"/>
        </w:rPr>
        <w:t xml:space="preserve"> 加 20 </w:t>
      </w:r>
      <w:proofErr w:type="spellStart"/>
      <w:r w:rsidRPr="007B6BA0">
        <w:rPr>
          <w:rFonts w:ascii="微软雅黑" w:eastAsia="微软雅黑" w:hAnsi="微软雅黑" w:cs="宋体"/>
          <w:kern w:val="0"/>
          <w:sz w:val="24"/>
          <w:szCs w:val="24"/>
        </w:rPr>
        <w:t>nM</w:t>
      </w:r>
      <w:proofErr w:type="spellEnd"/>
      <w:r w:rsidRPr="007B6BA0">
        <w:rPr>
          <w:rFonts w:ascii="微软雅黑" w:eastAsia="微软雅黑" w:hAnsi="微软雅黑" w:cs="宋体"/>
          <w:kern w:val="0"/>
          <w:sz w:val="24"/>
          <w:szCs w:val="24"/>
        </w:rPr>
        <w:t xml:space="preserve"> YKL-5-124 处理细胞 48 小时。在救治组中，分别额外补充 0.2 µg mL</w:t>
      </w:r>
      <w:r w:rsidRPr="007B6BA0">
        <w:rPr>
          <w:rFonts w:ascii="MS Gothic" w:eastAsia="MS Gothic" w:hAnsi="MS Gothic" w:cs="MS Gothic" w:hint="eastAsia"/>
          <w:kern w:val="0"/>
          <w:sz w:val="24"/>
          <w:szCs w:val="24"/>
        </w:rPr>
        <w:t>⁻</w:t>
      </w:r>
      <w:r w:rsidRPr="007B6BA0">
        <w:rPr>
          <w:rFonts w:ascii="微软雅黑" w:eastAsia="微软雅黑" w:hAnsi="微软雅黑" w:cs="宋体" w:hint="eastAsia"/>
          <w:kern w:val="0"/>
          <w:sz w:val="24"/>
          <w:szCs w:val="24"/>
        </w:rPr>
        <w:t>¹</w:t>
      </w:r>
      <w:r w:rsidRPr="007B6BA0">
        <w:rPr>
          <w:rFonts w:ascii="微软雅黑" w:eastAsia="微软雅黑" w:hAnsi="微软雅黑" w:cs="宋体"/>
          <w:kern w:val="0"/>
          <w:sz w:val="24"/>
          <w:szCs w:val="24"/>
          <w:vertAlign w:val="superscript"/>
        </w:rPr>
        <w:t>胆固醇</w:t>
      </w:r>
      <w:r w:rsidRPr="007B6BA0">
        <w:rPr>
          <w:rFonts w:ascii="微软雅黑" w:eastAsia="微软雅黑" w:hAnsi="微软雅黑" w:cs="宋体"/>
          <w:kern w:val="0"/>
          <w:sz w:val="24"/>
          <w:szCs w:val="24"/>
        </w:rPr>
        <w:t>、0.5 µg mL</w:t>
      </w:r>
      <w:r w:rsidRPr="007B6BA0">
        <w:rPr>
          <w:rFonts w:ascii="MS Gothic" w:eastAsia="MS Gothic" w:hAnsi="MS Gothic" w:cs="MS Gothic" w:hint="eastAsia"/>
          <w:kern w:val="0"/>
          <w:sz w:val="24"/>
          <w:szCs w:val="24"/>
        </w:rPr>
        <w:t>⁻</w:t>
      </w:r>
      <w:r w:rsidRPr="007B6BA0">
        <w:rPr>
          <w:rFonts w:ascii="微软雅黑" w:eastAsia="微软雅黑" w:hAnsi="微软雅黑" w:cs="宋体" w:hint="eastAsia"/>
          <w:kern w:val="0"/>
          <w:sz w:val="24"/>
          <w:szCs w:val="24"/>
        </w:rPr>
        <w:t>¹</w:t>
      </w:r>
      <w:r w:rsidRPr="007B6BA0">
        <w:rPr>
          <w:rFonts w:ascii="微软雅黑" w:eastAsia="微软雅黑" w:hAnsi="微软雅黑" w:cs="宋体"/>
          <w:kern w:val="0"/>
          <w:sz w:val="24"/>
          <w:szCs w:val="24"/>
          <w:vertAlign w:val="superscript"/>
        </w:rPr>
        <w:t>角</w:t>
      </w:r>
      <w:r w:rsidRPr="007B6BA0">
        <w:rPr>
          <w:rFonts w:ascii="微软雅黑" w:eastAsia="微软雅黑" w:hAnsi="微软雅黑" w:cs="宋体"/>
          <w:kern w:val="0"/>
          <w:sz w:val="24"/>
          <w:szCs w:val="24"/>
        </w:rPr>
        <w:t>鲨烯或 0.5 µg mL</w:t>
      </w:r>
      <w:r w:rsidRPr="007B6BA0">
        <w:rPr>
          <w:rFonts w:ascii="MS Gothic" w:eastAsia="MS Gothic" w:hAnsi="MS Gothic" w:cs="MS Gothic" w:hint="eastAsia"/>
          <w:kern w:val="0"/>
          <w:sz w:val="24"/>
          <w:szCs w:val="24"/>
        </w:rPr>
        <w:t>⁻</w:t>
      </w:r>
      <w:r w:rsidRPr="007B6BA0">
        <w:rPr>
          <w:rFonts w:ascii="微软雅黑" w:eastAsia="微软雅黑" w:hAnsi="微软雅黑" w:cs="宋体" w:hint="eastAsia"/>
          <w:kern w:val="0"/>
          <w:sz w:val="24"/>
          <w:szCs w:val="24"/>
        </w:rPr>
        <w:t>¹</w:t>
      </w:r>
      <w:r w:rsidRPr="007B6BA0">
        <w:rPr>
          <w:rFonts w:ascii="微软雅黑" w:eastAsia="微软雅黑" w:hAnsi="微软雅黑" w:cs="宋体"/>
          <w:kern w:val="0"/>
          <w:sz w:val="24"/>
          <w:szCs w:val="24"/>
          <w:vertAlign w:val="superscript"/>
        </w:rPr>
        <w:t>羊毛</w:t>
      </w:r>
      <w:r w:rsidRPr="007B6BA0">
        <w:rPr>
          <w:rFonts w:ascii="微软雅黑" w:eastAsia="微软雅黑" w:hAnsi="微软雅黑" w:cs="宋体"/>
          <w:kern w:val="0"/>
          <w:sz w:val="24"/>
          <w:szCs w:val="24"/>
        </w:rPr>
        <w:t xml:space="preserve">甾醇，持续 14 天。10-14 天后，用 4% 多聚甲醛固定细胞 30 分钟，并用结晶紫染色。使用 </w:t>
      </w:r>
      <w:proofErr w:type="spellStart"/>
      <w:r w:rsidRPr="007B6BA0">
        <w:rPr>
          <w:rFonts w:ascii="微软雅黑" w:eastAsia="微软雅黑" w:hAnsi="微软雅黑" w:cs="宋体"/>
          <w:kern w:val="0"/>
          <w:sz w:val="24"/>
          <w:szCs w:val="24"/>
        </w:rPr>
        <w:t>Gelcount</w:t>
      </w:r>
      <w:proofErr w:type="spellEnd"/>
      <w:r w:rsidRPr="007B6BA0">
        <w:rPr>
          <w:rFonts w:ascii="微软雅黑" w:eastAsia="微软雅黑" w:hAnsi="微软雅黑" w:cs="宋体"/>
          <w:kern w:val="0"/>
          <w:sz w:val="24"/>
          <w:szCs w:val="24"/>
        </w:rPr>
        <w:t xml:space="preserve">（Oxford </w:t>
      </w:r>
      <w:proofErr w:type="spellStart"/>
      <w:r w:rsidRPr="007B6BA0">
        <w:rPr>
          <w:rFonts w:ascii="微软雅黑" w:eastAsia="微软雅黑" w:hAnsi="微软雅黑" w:cs="宋体"/>
          <w:kern w:val="0"/>
          <w:sz w:val="24"/>
          <w:szCs w:val="24"/>
        </w:rPr>
        <w:t>Optronix</w:t>
      </w:r>
      <w:proofErr w:type="spellEnd"/>
      <w:r w:rsidRPr="007B6BA0">
        <w:rPr>
          <w:rFonts w:ascii="微软雅黑" w:eastAsia="微软雅黑" w:hAnsi="微软雅黑" w:cs="宋体"/>
          <w:kern w:val="0"/>
          <w:sz w:val="24"/>
          <w:szCs w:val="24"/>
        </w:rPr>
        <w:t xml:space="preserve"> Ltd.）采集菌落图像，并使用 Fiji（版本 2.9.0）软件对菌落数量进行定量。</w:t>
      </w:r>
    </w:p>
    <w:p w14:paraId="3E83A757" w14:textId="77777777" w:rsidR="007B6BA0" w:rsidRPr="007B6BA0" w:rsidRDefault="007B6BA0" w:rsidP="007B6BA0">
      <w:pPr>
        <w:widowControl/>
        <w:spacing w:line="450" w:lineRule="atLeast"/>
        <w:outlineLvl w:val="2"/>
        <w:rPr>
          <w:rFonts w:ascii="微软雅黑" w:eastAsia="微软雅黑" w:hAnsi="微软雅黑" w:cs="宋体"/>
          <w:kern w:val="0"/>
          <w:sz w:val="32"/>
          <w:szCs w:val="32"/>
        </w:rPr>
      </w:pPr>
      <w:r w:rsidRPr="007B6BA0">
        <w:rPr>
          <w:rFonts w:ascii="微软雅黑" w:eastAsia="微软雅黑" w:hAnsi="微软雅黑" w:cs="宋体"/>
          <w:kern w:val="0"/>
          <w:sz w:val="32"/>
          <w:szCs w:val="32"/>
        </w:rPr>
        <w:t>基因构建</w:t>
      </w:r>
    </w:p>
    <w:p w14:paraId="5BB79257" w14:textId="77777777" w:rsidR="007B6BA0" w:rsidRPr="007B6BA0" w:rsidRDefault="007B6BA0" w:rsidP="007B6BA0">
      <w:pPr>
        <w:widowControl/>
        <w:spacing w:before="450"/>
        <w:rPr>
          <w:rFonts w:ascii="微软雅黑" w:eastAsia="微软雅黑" w:hAnsi="微软雅黑" w:cs="宋体"/>
          <w:kern w:val="0"/>
          <w:sz w:val="24"/>
          <w:szCs w:val="24"/>
        </w:rPr>
      </w:pPr>
      <w:r w:rsidRPr="007B6BA0">
        <w:rPr>
          <w:rFonts w:ascii="微软雅黑" w:eastAsia="微软雅黑" w:hAnsi="微软雅黑" w:cs="宋体"/>
          <w:kern w:val="0"/>
          <w:sz w:val="24"/>
          <w:szCs w:val="24"/>
        </w:rPr>
        <w:t xml:space="preserve">靶向 CDK7 (GIEL0325417) 和 FOXM1 (GIEE0370796) 的人源 shRNA 慢病毒购自 </w:t>
      </w:r>
      <w:proofErr w:type="spellStart"/>
      <w:r w:rsidRPr="007B6BA0">
        <w:rPr>
          <w:rFonts w:ascii="微软雅黑" w:eastAsia="微软雅黑" w:hAnsi="微软雅黑" w:cs="宋体"/>
          <w:kern w:val="0"/>
          <w:sz w:val="24"/>
          <w:szCs w:val="24"/>
        </w:rPr>
        <w:t>GeneChem</w:t>
      </w:r>
      <w:proofErr w:type="spellEnd"/>
      <w:r w:rsidRPr="007B6BA0">
        <w:rPr>
          <w:rFonts w:ascii="微软雅黑" w:eastAsia="微软雅黑" w:hAnsi="微软雅黑" w:cs="宋体"/>
          <w:kern w:val="0"/>
          <w:sz w:val="24"/>
          <w:szCs w:val="24"/>
        </w:rPr>
        <w:t xml:space="preserve"> 公司。本研究中使用的 shRNA 序列如下（5′‐3′）：阴性对照 shRNA：TTCTCCGAACGTGTCACGT，shCDK7：GCTGTAGAAGTGAGTTTGTAA，shFOXM1：CAGCTGGGATCAAGATTATTA。人源 SREBF1 过表达慢病毒购自 </w:t>
      </w:r>
      <w:proofErr w:type="spellStart"/>
      <w:r w:rsidRPr="007B6BA0">
        <w:rPr>
          <w:rFonts w:ascii="微软雅黑" w:eastAsia="微软雅黑" w:hAnsi="微软雅黑" w:cs="宋体"/>
          <w:kern w:val="0"/>
          <w:sz w:val="24"/>
          <w:szCs w:val="24"/>
        </w:rPr>
        <w:t>GeneChem</w:t>
      </w:r>
      <w:proofErr w:type="spellEnd"/>
      <w:r w:rsidRPr="007B6BA0">
        <w:rPr>
          <w:rFonts w:ascii="微软雅黑" w:eastAsia="微软雅黑" w:hAnsi="微软雅黑" w:cs="宋体"/>
          <w:kern w:val="0"/>
          <w:sz w:val="24"/>
          <w:szCs w:val="24"/>
        </w:rPr>
        <w:t xml:space="preserve"> 公司 (GOSL0327553)。将SREBF1和FOXM1 cDNA分别插入GV492（Ubi-MCS-3FLAG-CBh-gcGFP-IRES-puromycin，</w:t>
      </w:r>
      <w:proofErr w:type="spellStart"/>
      <w:r w:rsidRPr="007B6BA0">
        <w:rPr>
          <w:rFonts w:ascii="微软雅黑" w:eastAsia="微软雅黑" w:hAnsi="微软雅黑" w:cs="宋体"/>
          <w:kern w:val="0"/>
          <w:sz w:val="24"/>
          <w:szCs w:val="24"/>
        </w:rPr>
        <w:t>GeneChem</w:t>
      </w:r>
      <w:proofErr w:type="spellEnd"/>
      <w:r w:rsidRPr="007B6BA0">
        <w:rPr>
          <w:rFonts w:ascii="微软雅黑" w:eastAsia="微软雅黑" w:hAnsi="微软雅黑" w:cs="宋体"/>
          <w:kern w:val="0"/>
          <w:sz w:val="24"/>
          <w:szCs w:val="24"/>
        </w:rPr>
        <w:t>）和GV358质粒（Ubi-MCS-3FLAG-SV40-EGFP-IRES-puromycin，</w:t>
      </w:r>
      <w:proofErr w:type="spellStart"/>
      <w:r w:rsidRPr="007B6BA0">
        <w:rPr>
          <w:rFonts w:ascii="微软雅黑" w:eastAsia="微软雅黑" w:hAnsi="微软雅黑" w:cs="宋体"/>
          <w:kern w:val="0"/>
          <w:sz w:val="24"/>
          <w:szCs w:val="24"/>
        </w:rPr>
        <w:t>GeneChem</w:t>
      </w:r>
      <w:proofErr w:type="spellEnd"/>
      <w:r w:rsidRPr="007B6BA0">
        <w:rPr>
          <w:rFonts w:ascii="微软雅黑" w:eastAsia="微软雅黑" w:hAnsi="微软雅黑" w:cs="宋体"/>
          <w:kern w:val="0"/>
          <w:sz w:val="24"/>
          <w:szCs w:val="24"/>
        </w:rPr>
        <w:t>）中进行过表达，空载体作为对照。感染细胞经嘌呤霉素筛选7-10天后，通过免疫印迹法进行验证。</w:t>
      </w:r>
    </w:p>
    <w:p w14:paraId="2C75F65D" w14:textId="77777777" w:rsidR="007B6BA0" w:rsidRPr="007B6BA0" w:rsidRDefault="007B6BA0" w:rsidP="007B6BA0">
      <w:pPr>
        <w:widowControl/>
        <w:spacing w:line="450" w:lineRule="atLeast"/>
        <w:outlineLvl w:val="2"/>
        <w:rPr>
          <w:rFonts w:ascii="微软雅黑" w:eastAsia="微软雅黑" w:hAnsi="微软雅黑" w:cs="宋体"/>
          <w:kern w:val="0"/>
          <w:sz w:val="32"/>
          <w:szCs w:val="32"/>
        </w:rPr>
      </w:pPr>
      <w:r w:rsidRPr="007B6BA0">
        <w:rPr>
          <w:rFonts w:ascii="微软雅黑" w:eastAsia="微软雅黑" w:hAnsi="微软雅黑" w:cs="宋体"/>
          <w:kern w:val="0"/>
          <w:sz w:val="32"/>
          <w:szCs w:val="32"/>
        </w:rPr>
        <w:lastRenderedPageBreak/>
        <w:t>细胞凋亡检测</w:t>
      </w:r>
    </w:p>
    <w:p w14:paraId="447910B2" w14:textId="77777777" w:rsidR="007B6BA0" w:rsidRPr="007B6BA0" w:rsidRDefault="007B6BA0" w:rsidP="007B6BA0">
      <w:pPr>
        <w:widowControl/>
        <w:spacing w:before="450"/>
        <w:rPr>
          <w:rFonts w:ascii="微软雅黑" w:eastAsia="微软雅黑" w:hAnsi="微软雅黑" w:cs="宋体"/>
          <w:kern w:val="0"/>
          <w:sz w:val="24"/>
          <w:szCs w:val="24"/>
        </w:rPr>
      </w:pPr>
      <w:r w:rsidRPr="007B6BA0">
        <w:rPr>
          <w:rFonts w:ascii="微软雅黑" w:eastAsia="微软雅黑" w:hAnsi="微软雅黑" w:cs="宋体"/>
          <w:kern w:val="0"/>
          <w:sz w:val="24"/>
          <w:szCs w:val="24"/>
        </w:rPr>
        <w:t xml:space="preserve">将细胞暴露于DMSO、0.5 µM </w:t>
      </w:r>
      <w:proofErr w:type="spellStart"/>
      <w:r w:rsidRPr="007B6BA0">
        <w:rPr>
          <w:rFonts w:ascii="微软雅黑" w:eastAsia="微软雅黑" w:hAnsi="微软雅黑" w:cs="宋体"/>
          <w:kern w:val="0"/>
          <w:sz w:val="24"/>
          <w:szCs w:val="24"/>
        </w:rPr>
        <w:t>abemaciclib</w:t>
      </w:r>
      <w:proofErr w:type="spellEnd"/>
      <w:r w:rsidRPr="007B6BA0">
        <w:rPr>
          <w:rFonts w:ascii="微软雅黑" w:eastAsia="微软雅黑" w:hAnsi="微软雅黑" w:cs="宋体"/>
          <w:kern w:val="0"/>
          <w:sz w:val="24"/>
          <w:szCs w:val="24"/>
        </w:rPr>
        <w:t>、YKL-5-124（MDA-MB-231和MDA-MB-468细胞为0.2 µM，Hs578T细胞为0.5 µM）以及二者联合处理96小时。使用FITC Annexin V凋亡检测试剂盒I（BD Biosciences，556547）检测早期/晚期凋亡细胞。染色后的细胞用</w:t>
      </w:r>
      <w:proofErr w:type="spellStart"/>
      <w:r w:rsidRPr="007B6BA0">
        <w:rPr>
          <w:rFonts w:ascii="微软雅黑" w:eastAsia="微软雅黑" w:hAnsi="微软雅黑" w:cs="宋体"/>
          <w:kern w:val="0"/>
          <w:sz w:val="24"/>
          <w:szCs w:val="24"/>
        </w:rPr>
        <w:t>CytoFLEX</w:t>
      </w:r>
      <w:proofErr w:type="spellEnd"/>
      <w:r w:rsidRPr="007B6BA0">
        <w:rPr>
          <w:rFonts w:ascii="微软雅黑" w:eastAsia="微软雅黑" w:hAnsi="微软雅黑" w:cs="宋体"/>
          <w:kern w:val="0"/>
          <w:sz w:val="24"/>
          <w:szCs w:val="24"/>
        </w:rPr>
        <w:t>流式细胞仪（Beckman Coulter公司）检测，并使用</w:t>
      </w:r>
      <w:proofErr w:type="spellStart"/>
      <w:r w:rsidRPr="007B6BA0">
        <w:rPr>
          <w:rFonts w:ascii="微软雅黑" w:eastAsia="微软雅黑" w:hAnsi="微软雅黑" w:cs="宋体"/>
          <w:kern w:val="0"/>
          <w:sz w:val="24"/>
          <w:szCs w:val="24"/>
        </w:rPr>
        <w:t>FlowJo</w:t>
      </w:r>
      <w:proofErr w:type="spellEnd"/>
      <w:r w:rsidRPr="007B6BA0">
        <w:rPr>
          <w:rFonts w:ascii="微软雅黑" w:eastAsia="微软雅黑" w:hAnsi="微软雅黑" w:cs="宋体"/>
          <w:kern w:val="0"/>
          <w:sz w:val="24"/>
          <w:szCs w:val="24"/>
        </w:rPr>
        <w:t>软件（版本10.6.1）进行分析。</w:t>
      </w:r>
    </w:p>
    <w:p w14:paraId="73825E5E" w14:textId="77777777" w:rsidR="007B6BA0" w:rsidRPr="007B6BA0" w:rsidRDefault="007B6BA0" w:rsidP="007B6BA0">
      <w:pPr>
        <w:widowControl/>
        <w:spacing w:line="450" w:lineRule="atLeast"/>
        <w:outlineLvl w:val="2"/>
        <w:rPr>
          <w:rFonts w:ascii="微软雅黑" w:eastAsia="微软雅黑" w:hAnsi="微软雅黑" w:cs="宋体"/>
          <w:kern w:val="0"/>
          <w:sz w:val="32"/>
          <w:szCs w:val="32"/>
        </w:rPr>
      </w:pPr>
      <w:r w:rsidRPr="007B6BA0">
        <w:rPr>
          <w:rFonts w:ascii="微软雅黑" w:eastAsia="微软雅黑" w:hAnsi="微软雅黑" w:cs="宋体"/>
          <w:kern w:val="0"/>
          <w:sz w:val="32"/>
          <w:szCs w:val="32"/>
        </w:rPr>
        <w:t>免疫印迹和免疫沉淀</w:t>
      </w:r>
    </w:p>
    <w:p w14:paraId="6B6B36F4" w14:textId="77777777" w:rsidR="007B6BA0" w:rsidRPr="007B6BA0" w:rsidRDefault="007B6BA0" w:rsidP="007B6BA0">
      <w:pPr>
        <w:widowControl/>
        <w:spacing w:before="450"/>
        <w:rPr>
          <w:rFonts w:ascii="微软雅黑" w:eastAsia="微软雅黑" w:hAnsi="微软雅黑" w:cs="宋体"/>
          <w:kern w:val="0"/>
          <w:sz w:val="24"/>
          <w:szCs w:val="24"/>
        </w:rPr>
      </w:pPr>
      <w:r w:rsidRPr="007B6BA0">
        <w:rPr>
          <w:rFonts w:ascii="微软雅黑" w:eastAsia="微软雅黑" w:hAnsi="微软雅黑" w:cs="宋体"/>
          <w:kern w:val="0"/>
          <w:sz w:val="24"/>
          <w:szCs w:val="24"/>
        </w:rPr>
        <w:t>为了评估胆固醇合成通路相关蛋白，将Hs578T细胞暴露于DMSO、0.5 µM阿贝西利、0.5 µM YKL-5-124及其组合中72小时，而将MDA-MB-468细胞暴露于DMSO、0.5 µM阿贝西利、1 µM YKL-5-124及其组合中48小时。为了测定E2F6、FOXM1和p-FOXM1的水平，将细胞分别暴露于DMSO、0.5 µM阿贝西利、YKL-5-124（Hs578T细胞为0.5 µM，MDA-MB-468细胞为1 µM）及其组合中48小时。对于蛋白质降解相关实验，使用的药物浓度如下：CHX 为 20 µM，3-MA 为 5 mM，NH4Cl 为 250 µM，MG132 为 10 µM。</w:t>
      </w:r>
    </w:p>
    <w:p w14:paraId="0B2823C2" w14:textId="77777777" w:rsidR="007B6BA0" w:rsidRPr="007B6BA0" w:rsidRDefault="007B6BA0" w:rsidP="007B6BA0">
      <w:pPr>
        <w:widowControl/>
        <w:spacing w:before="450"/>
        <w:rPr>
          <w:rFonts w:ascii="微软雅黑" w:eastAsia="微软雅黑" w:hAnsi="微软雅黑" w:cs="宋体"/>
          <w:kern w:val="0"/>
          <w:sz w:val="24"/>
          <w:szCs w:val="24"/>
        </w:rPr>
      </w:pPr>
      <w:r w:rsidRPr="007B6BA0">
        <w:rPr>
          <w:rFonts w:ascii="微软雅黑" w:eastAsia="微软雅黑" w:hAnsi="微软雅黑" w:cs="宋体"/>
          <w:kern w:val="0"/>
          <w:sz w:val="24"/>
          <w:szCs w:val="24"/>
        </w:rPr>
        <w:t>简而言之，细胞在添加了蛋白酶抑制剂混合物（Roche，04693116001）和磷酸酶抑制剂混合物（Roche，04906845001）的哺乳动物蛋白提取试剂（Thermo Scientific，78501）中裂解。使用BCA蛋白定量试剂盒（Thermo Scientific，23227）测定蛋白浓度。蛋白经SDS-PAGE分离后转移至PVDF膜（Merck，IPVH00010）。封闭后，将膜与特异性</w:t>
      </w:r>
      <w:proofErr w:type="gramStart"/>
      <w:r w:rsidRPr="007B6BA0">
        <w:rPr>
          <w:rFonts w:ascii="微软雅黑" w:eastAsia="微软雅黑" w:hAnsi="微软雅黑" w:cs="宋体"/>
          <w:kern w:val="0"/>
          <w:sz w:val="24"/>
          <w:szCs w:val="24"/>
        </w:rPr>
        <w:t>一抗于</w:t>
      </w:r>
      <w:proofErr w:type="gramEnd"/>
      <w:r w:rsidRPr="007B6BA0">
        <w:rPr>
          <w:rFonts w:ascii="微软雅黑" w:eastAsia="微软雅黑" w:hAnsi="微软雅黑" w:cs="宋体"/>
          <w:kern w:val="0"/>
          <w:sz w:val="24"/>
          <w:szCs w:val="24"/>
        </w:rPr>
        <w:t>4℃孵育过夜，随后与相应的HRP</w:t>
      </w:r>
      <w:proofErr w:type="gramStart"/>
      <w:r w:rsidRPr="007B6BA0">
        <w:rPr>
          <w:rFonts w:ascii="微软雅黑" w:eastAsia="微软雅黑" w:hAnsi="微软雅黑" w:cs="宋体"/>
          <w:kern w:val="0"/>
          <w:sz w:val="24"/>
          <w:szCs w:val="24"/>
        </w:rPr>
        <w:lastRenderedPageBreak/>
        <w:t>标记二抗孵育</w:t>
      </w:r>
      <w:proofErr w:type="gramEnd"/>
      <w:r w:rsidRPr="007B6BA0">
        <w:rPr>
          <w:rFonts w:ascii="微软雅黑" w:eastAsia="微软雅黑" w:hAnsi="微软雅黑" w:cs="宋体"/>
          <w:kern w:val="0"/>
          <w:sz w:val="24"/>
          <w:szCs w:val="24"/>
        </w:rPr>
        <w:t>1小时。使用</w:t>
      </w:r>
      <w:proofErr w:type="spellStart"/>
      <w:r w:rsidRPr="007B6BA0">
        <w:rPr>
          <w:rFonts w:ascii="微软雅黑" w:eastAsia="微软雅黑" w:hAnsi="微软雅黑" w:cs="宋体"/>
          <w:kern w:val="0"/>
          <w:sz w:val="24"/>
          <w:szCs w:val="24"/>
        </w:rPr>
        <w:t>LumiBest</w:t>
      </w:r>
      <w:proofErr w:type="spellEnd"/>
      <w:r w:rsidRPr="007B6BA0">
        <w:rPr>
          <w:rFonts w:ascii="微软雅黑" w:eastAsia="微软雅黑" w:hAnsi="微软雅黑" w:cs="宋体"/>
          <w:kern w:val="0"/>
          <w:sz w:val="24"/>
          <w:szCs w:val="24"/>
        </w:rPr>
        <w:t>化学发光底物（</w:t>
      </w:r>
      <w:proofErr w:type="spellStart"/>
      <w:r w:rsidRPr="007B6BA0">
        <w:rPr>
          <w:rFonts w:ascii="微软雅黑" w:eastAsia="微软雅黑" w:hAnsi="微软雅黑" w:cs="宋体"/>
          <w:kern w:val="0"/>
          <w:sz w:val="24"/>
          <w:szCs w:val="24"/>
        </w:rPr>
        <w:t>ShareBio</w:t>
      </w:r>
      <w:proofErr w:type="spellEnd"/>
      <w:r w:rsidRPr="007B6BA0">
        <w:rPr>
          <w:rFonts w:ascii="微软雅黑" w:eastAsia="微软雅黑" w:hAnsi="微软雅黑" w:cs="宋体"/>
          <w:kern w:val="0"/>
          <w:sz w:val="24"/>
          <w:szCs w:val="24"/>
        </w:rPr>
        <w:t>，SB-WB011）检测蛋白信号。WB抗体的详细信息和稀释比例见表 </w:t>
      </w:r>
      <w:hyperlink r:id="rId139" w:anchor="advs10347-supinfo-0001" w:history="1">
        <w:r w:rsidRPr="007B6BA0">
          <w:rPr>
            <w:rFonts w:ascii="微软雅黑" w:eastAsia="微软雅黑" w:hAnsi="微软雅黑" w:cs="宋体"/>
            <w:kern w:val="0"/>
            <w:sz w:val="24"/>
            <w:szCs w:val="24"/>
            <w:u w:val="single"/>
          </w:rPr>
          <w:t>S1</w:t>
        </w:r>
      </w:hyperlink>
      <w:r w:rsidRPr="007B6BA0">
        <w:rPr>
          <w:rFonts w:ascii="微软雅黑" w:eastAsia="微软雅黑" w:hAnsi="微软雅黑" w:cs="宋体"/>
          <w:kern w:val="0"/>
          <w:sz w:val="24"/>
          <w:szCs w:val="24"/>
        </w:rPr>
        <w:t>（补充信息）。</w:t>
      </w:r>
    </w:p>
    <w:p w14:paraId="1DF0795C" w14:textId="77777777" w:rsidR="007B6BA0" w:rsidRPr="007B6BA0" w:rsidRDefault="007B6BA0" w:rsidP="007B6BA0">
      <w:pPr>
        <w:widowControl/>
        <w:spacing w:before="450"/>
        <w:rPr>
          <w:rFonts w:ascii="微软雅黑" w:eastAsia="微软雅黑" w:hAnsi="微软雅黑" w:cs="宋体"/>
          <w:kern w:val="0"/>
          <w:sz w:val="24"/>
          <w:szCs w:val="24"/>
        </w:rPr>
      </w:pPr>
      <w:r w:rsidRPr="007B6BA0">
        <w:rPr>
          <w:rFonts w:ascii="微软雅黑" w:eastAsia="微软雅黑" w:hAnsi="微软雅黑" w:cs="宋体"/>
          <w:kern w:val="0"/>
          <w:sz w:val="24"/>
          <w:szCs w:val="24"/>
        </w:rPr>
        <w:t>免疫沉淀实验采用经典的磁性 IP/co-IP 试剂盒（Thermo Scientific，88804），并按照制造商的说明书进行操作。细胞在 IP 裂解/洗涤缓冲液中裂解，然后与 p300 抗体（CST，54062，1:200）、CBP 抗体（CST，54062，1:200）或兔 IgG 同型对照抗体（CST，3900，稀释至与 p300 或 CBP 抗体相同的浓度）于 4℃ 孵育过夜。洗涤后，洗脱免疫沉淀物，用磁珠收集，然后进行蛋白质印迹分析。</w:t>
      </w:r>
    </w:p>
    <w:p w14:paraId="2D6C7486" w14:textId="77777777" w:rsidR="007B6BA0" w:rsidRPr="007B6BA0" w:rsidRDefault="007B6BA0" w:rsidP="007B6BA0">
      <w:pPr>
        <w:widowControl/>
        <w:spacing w:line="450" w:lineRule="atLeast"/>
        <w:outlineLvl w:val="2"/>
        <w:rPr>
          <w:rFonts w:ascii="微软雅黑" w:eastAsia="微软雅黑" w:hAnsi="微软雅黑" w:cs="宋体"/>
          <w:kern w:val="0"/>
          <w:sz w:val="32"/>
          <w:szCs w:val="32"/>
        </w:rPr>
      </w:pPr>
      <w:r w:rsidRPr="007B6BA0">
        <w:rPr>
          <w:rFonts w:ascii="微软雅黑" w:eastAsia="微软雅黑" w:hAnsi="微软雅黑" w:cs="宋体"/>
          <w:kern w:val="0"/>
          <w:sz w:val="32"/>
          <w:szCs w:val="32"/>
        </w:rPr>
        <w:t>免疫组化</w:t>
      </w:r>
    </w:p>
    <w:p w14:paraId="34BEF1B3" w14:textId="77777777" w:rsidR="007B6BA0" w:rsidRPr="007B6BA0" w:rsidRDefault="007B6BA0" w:rsidP="007B6BA0">
      <w:pPr>
        <w:widowControl/>
        <w:spacing w:before="450"/>
        <w:rPr>
          <w:rFonts w:ascii="微软雅黑" w:eastAsia="微软雅黑" w:hAnsi="微软雅黑" w:cs="宋体"/>
          <w:kern w:val="0"/>
          <w:sz w:val="24"/>
          <w:szCs w:val="24"/>
        </w:rPr>
      </w:pPr>
      <w:r w:rsidRPr="007B6BA0">
        <w:rPr>
          <w:rFonts w:ascii="微软雅黑" w:eastAsia="微软雅黑" w:hAnsi="微软雅黑" w:cs="宋体"/>
          <w:kern w:val="0"/>
          <w:sz w:val="24"/>
          <w:szCs w:val="24"/>
        </w:rPr>
        <w:t>新鲜组织用4%多聚甲醛固定过夜，然后包埋于石蜡中切片（4 µm）。石蜡切片经二甲苯脱蜡，并用梯度乙醇溶液（100%–95%–70%）进行复水。抗原修复时，将切片置于煮沸的Tris-EDTA溶液（1 mM，pH 9.0）中。抗原修复后，切片用5% BSA封闭，并在4℃下与</w:t>
      </w:r>
      <w:proofErr w:type="gramStart"/>
      <w:r w:rsidRPr="007B6BA0">
        <w:rPr>
          <w:rFonts w:ascii="微软雅黑" w:eastAsia="微软雅黑" w:hAnsi="微软雅黑" w:cs="宋体"/>
          <w:kern w:val="0"/>
          <w:sz w:val="24"/>
          <w:szCs w:val="24"/>
        </w:rPr>
        <w:t>一</w:t>
      </w:r>
      <w:proofErr w:type="gramEnd"/>
      <w:r w:rsidRPr="007B6BA0">
        <w:rPr>
          <w:rFonts w:ascii="微软雅黑" w:eastAsia="微软雅黑" w:hAnsi="微软雅黑" w:cs="宋体"/>
          <w:kern w:val="0"/>
          <w:sz w:val="24"/>
          <w:szCs w:val="24"/>
        </w:rPr>
        <w:t>抗孵育过夜，随后在室温下与HRP标记</w:t>
      </w:r>
      <w:proofErr w:type="gramStart"/>
      <w:r w:rsidRPr="007B6BA0">
        <w:rPr>
          <w:rFonts w:ascii="微软雅黑" w:eastAsia="微软雅黑" w:hAnsi="微软雅黑" w:cs="宋体"/>
          <w:kern w:val="0"/>
          <w:sz w:val="24"/>
          <w:szCs w:val="24"/>
        </w:rPr>
        <w:t>的二抗孵育</w:t>
      </w:r>
      <w:proofErr w:type="gramEnd"/>
      <w:r w:rsidRPr="007B6BA0">
        <w:rPr>
          <w:rFonts w:ascii="微软雅黑" w:eastAsia="微软雅黑" w:hAnsi="微软雅黑" w:cs="宋体"/>
          <w:kern w:val="0"/>
          <w:sz w:val="24"/>
          <w:szCs w:val="24"/>
        </w:rPr>
        <w:t xml:space="preserve">1小时。抗原用DAB染色显色，并用苏木精复染。切片经梯度乙醇溶液（70%–95%–100%）脱水，最后用盖玻片封片。所有切片均使用 Digital Pathology 120（KFBIO，KF-PRO-120）进行扫描，并使用 K-viewer（版本 1.7.1.1）进行查看。Ki-67 阳性定量分析采用 </w:t>
      </w:r>
      <w:proofErr w:type="spellStart"/>
      <w:r w:rsidRPr="007B6BA0">
        <w:rPr>
          <w:rFonts w:ascii="微软雅黑" w:eastAsia="微软雅黑" w:hAnsi="微软雅黑" w:cs="宋体"/>
          <w:kern w:val="0"/>
          <w:sz w:val="24"/>
          <w:szCs w:val="24"/>
        </w:rPr>
        <w:t>QuPath</w:t>
      </w:r>
      <w:proofErr w:type="spellEnd"/>
      <w:r w:rsidRPr="007B6BA0">
        <w:rPr>
          <w:rFonts w:ascii="微软雅黑" w:eastAsia="微软雅黑" w:hAnsi="微软雅黑" w:cs="宋体"/>
          <w:kern w:val="0"/>
          <w:sz w:val="24"/>
          <w:szCs w:val="24"/>
        </w:rPr>
        <w:t>（版本 0.5.0）中的“阳性细胞检测”功能。H 评分根据以下公式计算：1 ×（弱染色百分比）+ 2 ×（中等染色百分比）+ 3 ×（强染色百分比）</w:t>
      </w:r>
      <w:r w:rsidRPr="007B6BA0">
        <w:rPr>
          <w:rFonts w:ascii="微软雅黑" w:eastAsia="微软雅黑" w:hAnsi="微软雅黑" w:cs="宋体"/>
          <w:kern w:val="0"/>
          <w:sz w:val="24"/>
          <w:szCs w:val="24"/>
          <w:vertAlign w:val="superscript"/>
        </w:rPr>
        <w:t>[ </w:t>
      </w:r>
      <w:hyperlink r:id="rId140" w:anchor="advs10347-bib-0047" w:history="1">
        <w:r w:rsidRPr="007B6BA0">
          <w:rPr>
            <w:rFonts w:ascii="微软雅黑" w:eastAsia="微软雅黑" w:hAnsi="微软雅黑" w:cs="宋体"/>
            <w:kern w:val="0"/>
            <w:sz w:val="24"/>
            <w:szCs w:val="24"/>
            <w:u w:val="single"/>
            <w:vertAlign w:val="superscript"/>
          </w:rPr>
          <w:t>47</w:t>
        </w:r>
      </w:hyperlink>
      <w:r w:rsidRPr="007B6BA0">
        <w:rPr>
          <w:rFonts w:ascii="微软雅黑" w:eastAsia="微软雅黑" w:hAnsi="微软雅黑" w:cs="宋体"/>
          <w:kern w:val="0"/>
          <w:sz w:val="24"/>
          <w:szCs w:val="24"/>
          <w:vertAlign w:val="superscript"/>
        </w:rPr>
        <w:t> ]</w:t>
      </w:r>
      <w:r w:rsidRPr="007B6BA0">
        <w:rPr>
          <w:rFonts w:ascii="微软雅黑" w:eastAsia="微软雅黑" w:hAnsi="微软雅黑" w:cs="宋体"/>
          <w:kern w:val="0"/>
          <w:sz w:val="24"/>
          <w:szCs w:val="24"/>
        </w:rPr>
        <w:t> 。染色强度和范围使用 Fiji（版本 2.9.0）中的“IHC Profiler”插件</w:t>
      </w:r>
      <w:r w:rsidRPr="007B6BA0">
        <w:rPr>
          <w:rFonts w:ascii="微软雅黑" w:eastAsia="微软雅黑" w:hAnsi="微软雅黑" w:cs="宋体"/>
          <w:kern w:val="0"/>
          <w:sz w:val="24"/>
          <w:szCs w:val="24"/>
          <w:vertAlign w:val="superscript"/>
        </w:rPr>
        <w:t>[ </w:t>
      </w:r>
      <w:hyperlink r:id="rId141" w:anchor="advs10347-bib-0048" w:history="1">
        <w:r w:rsidRPr="007B6BA0">
          <w:rPr>
            <w:rFonts w:ascii="微软雅黑" w:eastAsia="微软雅黑" w:hAnsi="微软雅黑" w:cs="宋体"/>
            <w:kern w:val="0"/>
            <w:sz w:val="24"/>
            <w:szCs w:val="24"/>
            <w:u w:val="single"/>
            <w:vertAlign w:val="superscript"/>
          </w:rPr>
          <w:t>48</w:t>
        </w:r>
      </w:hyperlink>
      <w:r w:rsidRPr="007B6BA0">
        <w:rPr>
          <w:rFonts w:ascii="微软雅黑" w:eastAsia="微软雅黑" w:hAnsi="微软雅黑" w:cs="宋体"/>
          <w:kern w:val="0"/>
          <w:sz w:val="24"/>
          <w:szCs w:val="24"/>
          <w:vertAlign w:val="superscript"/>
        </w:rPr>
        <w:t> ]</w:t>
      </w:r>
      <w:r w:rsidRPr="007B6BA0">
        <w:rPr>
          <w:rFonts w:ascii="微软雅黑" w:eastAsia="微软雅黑" w:hAnsi="微软雅黑" w:cs="宋体"/>
          <w:kern w:val="0"/>
          <w:sz w:val="24"/>
          <w:szCs w:val="24"/>
        </w:rPr>
        <w:t>进行测定。每个肿瘤选取两张代表性图像</w:t>
      </w:r>
      <w:r w:rsidRPr="007B6BA0">
        <w:rPr>
          <w:rFonts w:ascii="微软雅黑" w:eastAsia="微软雅黑" w:hAnsi="微软雅黑" w:cs="宋体"/>
          <w:kern w:val="0"/>
          <w:sz w:val="24"/>
          <w:szCs w:val="24"/>
        </w:rPr>
        <w:lastRenderedPageBreak/>
        <w:t xml:space="preserve">进行图像分析，放大倍数为 20 </w:t>
      </w:r>
      <w:proofErr w:type="gramStart"/>
      <w:r w:rsidRPr="007B6BA0">
        <w:rPr>
          <w:rFonts w:ascii="微软雅黑" w:eastAsia="微软雅黑" w:hAnsi="微软雅黑" w:cs="宋体"/>
          <w:kern w:val="0"/>
          <w:sz w:val="24"/>
          <w:szCs w:val="24"/>
        </w:rPr>
        <w:t>倍</w:t>
      </w:r>
      <w:proofErr w:type="gramEnd"/>
      <w:r w:rsidRPr="007B6BA0">
        <w:rPr>
          <w:rFonts w:ascii="微软雅黑" w:eastAsia="微软雅黑" w:hAnsi="微软雅黑" w:cs="宋体"/>
          <w:kern w:val="0"/>
          <w:sz w:val="24"/>
          <w:szCs w:val="24"/>
        </w:rPr>
        <w:t>。IHC 抗体的详细信息和稀释比例见表 </w:t>
      </w:r>
      <w:hyperlink r:id="rId142" w:anchor="advs10347-supinfo-0001" w:history="1">
        <w:r w:rsidRPr="007B6BA0">
          <w:rPr>
            <w:rFonts w:ascii="微软雅黑" w:eastAsia="微软雅黑" w:hAnsi="微软雅黑" w:cs="宋体"/>
            <w:kern w:val="0"/>
            <w:sz w:val="24"/>
            <w:szCs w:val="24"/>
            <w:u w:val="single"/>
          </w:rPr>
          <w:t>S1</w:t>
        </w:r>
      </w:hyperlink>
      <w:r w:rsidRPr="007B6BA0">
        <w:rPr>
          <w:rFonts w:ascii="微软雅黑" w:eastAsia="微软雅黑" w:hAnsi="微软雅黑" w:cs="宋体"/>
          <w:kern w:val="0"/>
          <w:sz w:val="24"/>
          <w:szCs w:val="24"/>
        </w:rPr>
        <w:t>（补充信息）。</w:t>
      </w:r>
    </w:p>
    <w:p w14:paraId="1C4B42A3" w14:textId="77777777" w:rsidR="007B6BA0" w:rsidRPr="007B6BA0" w:rsidRDefault="007B6BA0" w:rsidP="007B6BA0">
      <w:pPr>
        <w:widowControl/>
        <w:spacing w:line="450" w:lineRule="atLeast"/>
        <w:outlineLvl w:val="2"/>
        <w:rPr>
          <w:rFonts w:ascii="微软雅黑" w:eastAsia="微软雅黑" w:hAnsi="微软雅黑" w:cs="宋体"/>
          <w:kern w:val="0"/>
          <w:sz w:val="32"/>
          <w:szCs w:val="32"/>
        </w:rPr>
      </w:pPr>
      <w:r w:rsidRPr="007B6BA0">
        <w:rPr>
          <w:rFonts w:ascii="微软雅黑" w:eastAsia="微软雅黑" w:hAnsi="微软雅黑" w:cs="宋体"/>
          <w:kern w:val="0"/>
          <w:sz w:val="32"/>
          <w:szCs w:val="32"/>
        </w:rPr>
        <w:t>实时定量PCR（RT-qPCR）</w:t>
      </w:r>
    </w:p>
    <w:p w14:paraId="0E481C31" w14:textId="77777777" w:rsidR="007B6BA0" w:rsidRPr="007B6BA0" w:rsidRDefault="007B6BA0" w:rsidP="007B6BA0">
      <w:pPr>
        <w:widowControl/>
        <w:spacing w:before="450"/>
        <w:rPr>
          <w:rFonts w:ascii="微软雅黑" w:eastAsia="微软雅黑" w:hAnsi="微软雅黑" w:cs="宋体"/>
          <w:kern w:val="0"/>
          <w:sz w:val="24"/>
          <w:szCs w:val="24"/>
        </w:rPr>
      </w:pPr>
      <w:r w:rsidRPr="007B6BA0">
        <w:rPr>
          <w:rFonts w:ascii="微软雅黑" w:eastAsia="微软雅黑" w:hAnsi="微软雅黑" w:cs="宋体"/>
          <w:kern w:val="0"/>
          <w:sz w:val="24"/>
          <w:szCs w:val="24"/>
        </w:rPr>
        <w:t xml:space="preserve">在Hs578T细胞中，分别用DMSO、0.5 µM </w:t>
      </w:r>
      <w:proofErr w:type="spellStart"/>
      <w:r w:rsidRPr="007B6BA0">
        <w:rPr>
          <w:rFonts w:ascii="微软雅黑" w:eastAsia="微软雅黑" w:hAnsi="微软雅黑" w:cs="宋体"/>
          <w:kern w:val="0"/>
          <w:sz w:val="24"/>
          <w:szCs w:val="24"/>
        </w:rPr>
        <w:t>abemaciclib</w:t>
      </w:r>
      <w:proofErr w:type="spellEnd"/>
      <w:r w:rsidRPr="007B6BA0">
        <w:rPr>
          <w:rFonts w:ascii="微软雅黑" w:eastAsia="微软雅黑" w:hAnsi="微软雅黑" w:cs="宋体"/>
          <w:kern w:val="0"/>
          <w:sz w:val="24"/>
          <w:szCs w:val="24"/>
        </w:rPr>
        <w:t xml:space="preserve">、0.5 µM YKL-5-124及其组合处理72小时后，检测胆固醇合成相关基因的mRNA表达水平。同样，在MDA-MB-468细胞中，分别用DMSO、0.5 µM </w:t>
      </w:r>
      <w:proofErr w:type="spellStart"/>
      <w:r w:rsidRPr="007B6BA0">
        <w:rPr>
          <w:rFonts w:ascii="微软雅黑" w:eastAsia="微软雅黑" w:hAnsi="微软雅黑" w:cs="宋体"/>
          <w:kern w:val="0"/>
          <w:sz w:val="24"/>
          <w:szCs w:val="24"/>
        </w:rPr>
        <w:t>abemaciclib</w:t>
      </w:r>
      <w:proofErr w:type="spellEnd"/>
      <w:r w:rsidRPr="007B6BA0">
        <w:rPr>
          <w:rFonts w:ascii="微软雅黑" w:eastAsia="微软雅黑" w:hAnsi="微软雅黑" w:cs="宋体"/>
          <w:kern w:val="0"/>
          <w:sz w:val="24"/>
          <w:szCs w:val="24"/>
        </w:rPr>
        <w:t xml:space="preserve">、1 µM YKL-5-124及其组合处理48小时后，检测mRNA水平。为了测定FOXM1 RNA水平，分别用DMSO、0.5 µM </w:t>
      </w:r>
      <w:proofErr w:type="spellStart"/>
      <w:r w:rsidRPr="007B6BA0">
        <w:rPr>
          <w:rFonts w:ascii="微软雅黑" w:eastAsia="微软雅黑" w:hAnsi="微软雅黑" w:cs="宋体"/>
          <w:kern w:val="0"/>
          <w:sz w:val="24"/>
          <w:szCs w:val="24"/>
        </w:rPr>
        <w:t>abemaciclib</w:t>
      </w:r>
      <w:proofErr w:type="spellEnd"/>
      <w:r w:rsidRPr="007B6BA0">
        <w:rPr>
          <w:rFonts w:ascii="微软雅黑" w:eastAsia="微软雅黑" w:hAnsi="微软雅黑" w:cs="宋体"/>
          <w:kern w:val="0"/>
          <w:sz w:val="24"/>
          <w:szCs w:val="24"/>
        </w:rPr>
        <w:t>、YKL-5-124（Hs578T细胞为0.5 µM，MDA-MB-468细胞为1 µM）及其组合处理细胞48小时。 p300 抑制剂的 RT-qPCR 数据分别取自暴露于 15 µM C646 48 小时的 Hs578T 细胞和暴露于 50 µM A-485 6 小时的 MDA-MB-468 细胞。</w:t>
      </w:r>
    </w:p>
    <w:p w14:paraId="7F6E4762" w14:textId="77777777" w:rsidR="007B6BA0" w:rsidRPr="007B6BA0" w:rsidRDefault="007B6BA0" w:rsidP="007B6BA0">
      <w:pPr>
        <w:widowControl/>
        <w:spacing w:before="450"/>
        <w:rPr>
          <w:rFonts w:ascii="微软雅黑" w:eastAsia="微软雅黑" w:hAnsi="微软雅黑" w:cs="宋体"/>
          <w:kern w:val="0"/>
          <w:sz w:val="24"/>
          <w:szCs w:val="24"/>
        </w:rPr>
      </w:pPr>
      <w:r w:rsidRPr="007B6BA0">
        <w:rPr>
          <w:rFonts w:ascii="微软雅黑" w:eastAsia="微软雅黑" w:hAnsi="微软雅黑" w:cs="宋体"/>
          <w:kern w:val="0"/>
          <w:sz w:val="24"/>
          <w:szCs w:val="24"/>
        </w:rPr>
        <w:t xml:space="preserve">使用 EZNA 总 RNA 提取试剂盒 I（Omega，R6834-01），并按照制造商说明书进行操作，提取总 RNA。细胞在 TRK 裂解缓冲液中裂解，用 70% 乙醇纯化，并通过高速离心洗脱。使用 </w:t>
      </w:r>
      <w:proofErr w:type="spellStart"/>
      <w:r w:rsidRPr="007B6BA0">
        <w:rPr>
          <w:rFonts w:ascii="微软雅黑" w:eastAsia="微软雅黑" w:hAnsi="微软雅黑" w:cs="宋体"/>
          <w:kern w:val="0"/>
          <w:sz w:val="24"/>
          <w:szCs w:val="24"/>
        </w:rPr>
        <w:t>NanoDrop</w:t>
      </w:r>
      <w:proofErr w:type="spellEnd"/>
      <w:r w:rsidRPr="007B6BA0">
        <w:rPr>
          <w:rFonts w:ascii="微软雅黑" w:eastAsia="微软雅黑" w:hAnsi="微软雅黑" w:cs="宋体"/>
          <w:kern w:val="0"/>
          <w:sz w:val="24"/>
          <w:szCs w:val="24"/>
        </w:rPr>
        <w:t xml:space="preserve"> Lite（Thermo Scientific）评估 RNA 的纯度和浓度。取 1 </w:t>
      </w:r>
      <w:proofErr w:type="spellStart"/>
      <w:r w:rsidRPr="007B6BA0">
        <w:rPr>
          <w:rFonts w:ascii="微软雅黑" w:eastAsia="微软雅黑" w:hAnsi="微软雅黑" w:cs="宋体"/>
          <w:kern w:val="0"/>
          <w:sz w:val="24"/>
          <w:szCs w:val="24"/>
        </w:rPr>
        <w:t>μg</w:t>
      </w:r>
      <w:proofErr w:type="spellEnd"/>
      <w:r w:rsidRPr="007B6BA0">
        <w:rPr>
          <w:rFonts w:ascii="微软雅黑" w:eastAsia="微软雅黑" w:hAnsi="微软雅黑" w:cs="宋体"/>
          <w:kern w:val="0"/>
          <w:sz w:val="24"/>
          <w:szCs w:val="24"/>
        </w:rPr>
        <w:t xml:space="preserve"> 纯化的 RNA，使用 </w:t>
      </w:r>
      <w:proofErr w:type="spellStart"/>
      <w:r w:rsidRPr="007B6BA0">
        <w:rPr>
          <w:rFonts w:ascii="微软雅黑" w:eastAsia="微软雅黑" w:hAnsi="微软雅黑" w:cs="宋体"/>
          <w:kern w:val="0"/>
          <w:sz w:val="24"/>
          <w:szCs w:val="24"/>
        </w:rPr>
        <w:t>PrimeScript</w:t>
      </w:r>
      <w:proofErr w:type="spellEnd"/>
      <w:r w:rsidRPr="007B6BA0">
        <w:rPr>
          <w:rFonts w:ascii="微软雅黑" w:eastAsia="微软雅黑" w:hAnsi="微软雅黑" w:cs="宋体"/>
          <w:kern w:val="0"/>
          <w:sz w:val="24"/>
          <w:szCs w:val="24"/>
        </w:rPr>
        <w:t xml:space="preserve"> RT Master Mix（TAKARA，RR036A）反转录为 cDNA。在 </w:t>
      </w:r>
      <w:proofErr w:type="spellStart"/>
      <w:r w:rsidRPr="007B6BA0">
        <w:rPr>
          <w:rFonts w:ascii="微软雅黑" w:eastAsia="微软雅黑" w:hAnsi="微软雅黑" w:cs="宋体"/>
          <w:kern w:val="0"/>
          <w:sz w:val="24"/>
          <w:szCs w:val="24"/>
        </w:rPr>
        <w:t>LightCycler</w:t>
      </w:r>
      <w:proofErr w:type="spellEnd"/>
      <w:r w:rsidRPr="007B6BA0">
        <w:rPr>
          <w:rFonts w:ascii="微软雅黑" w:eastAsia="微软雅黑" w:hAnsi="微软雅黑" w:cs="宋体"/>
          <w:kern w:val="0"/>
          <w:sz w:val="24"/>
          <w:szCs w:val="24"/>
        </w:rPr>
        <w:t xml:space="preserve"> 480 系统（Roche Diagnostics）上使用 TB Green Premix Ex Taq II（TAKARA，RR820A）进行 RT-qPCR。使用 2&lt;sup&gt;-</w:t>
      </w:r>
      <w:proofErr w:type="spellStart"/>
      <w:r w:rsidRPr="007B6BA0">
        <w:rPr>
          <w:rFonts w:ascii="微软雅黑" w:eastAsia="微软雅黑" w:hAnsi="微软雅黑" w:cs="宋体"/>
          <w:kern w:val="0"/>
          <w:sz w:val="24"/>
          <w:szCs w:val="24"/>
        </w:rPr>
        <w:t>ΔΔCt</w:t>
      </w:r>
      <w:proofErr w:type="spellEnd"/>
      <w:r w:rsidRPr="007B6BA0">
        <w:rPr>
          <w:rFonts w:ascii="微软雅黑" w:eastAsia="微软雅黑" w:hAnsi="微软雅黑" w:cs="宋体"/>
          <w:kern w:val="0"/>
          <w:sz w:val="24"/>
          <w:szCs w:val="24"/>
        </w:rPr>
        <w:t>&lt;/sup&gt; 法定量 mRNA 的相对水平。qPCR 分析中使用的特异性引物列于表 </w:t>
      </w:r>
      <w:hyperlink r:id="rId143" w:anchor="advs10347-supinfo-0001" w:history="1">
        <w:r w:rsidRPr="007B6BA0">
          <w:rPr>
            <w:rFonts w:ascii="微软雅黑" w:eastAsia="微软雅黑" w:hAnsi="微软雅黑" w:cs="宋体"/>
            <w:kern w:val="0"/>
            <w:sz w:val="24"/>
            <w:szCs w:val="24"/>
            <w:u w:val="single"/>
          </w:rPr>
          <w:t>S2</w:t>
        </w:r>
      </w:hyperlink>
      <w:r w:rsidRPr="007B6BA0">
        <w:rPr>
          <w:rFonts w:ascii="微软雅黑" w:eastAsia="微软雅黑" w:hAnsi="微软雅黑" w:cs="宋体"/>
          <w:kern w:val="0"/>
          <w:sz w:val="24"/>
          <w:szCs w:val="24"/>
        </w:rPr>
        <w:t>（补充信息）。</w:t>
      </w:r>
    </w:p>
    <w:p w14:paraId="44B574A9" w14:textId="77777777" w:rsidR="007B6BA0" w:rsidRPr="007B6BA0" w:rsidRDefault="007B6BA0" w:rsidP="007B6BA0">
      <w:pPr>
        <w:widowControl/>
        <w:spacing w:line="450" w:lineRule="atLeast"/>
        <w:outlineLvl w:val="2"/>
        <w:rPr>
          <w:rFonts w:ascii="微软雅黑" w:eastAsia="微软雅黑" w:hAnsi="微软雅黑" w:cs="宋体"/>
          <w:kern w:val="0"/>
          <w:sz w:val="32"/>
          <w:szCs w:val="32"/>
        </w:rPr>
      </w:pPr>
      <w:r w:rsidRPr="007B6BA0">
        <w:rPr>
          <w:rFonts w:ascii="微软雅黑" w:eastAsia="微软雅黑" w:hAnsi="微软雅黑" w:cs="宋体"/>
          <w:kern w:val="0"/>
          <w:sz w:val="32"/>
          <w:szCs w:val="32"/>
        </w:rPr>
        <w:t>染色质免疫沉淀（</w:t>
      </w:r>
      <w:proofErr w:type="spellStart"/>
      <w:r w:rsidRPr="007B6BA0">
        <w:rPr>
          <w:rFonts w:ascii="微软雅黑" w:eastAsia="微软雅黑" w:hAnsi="微软雅黑" w:cs="宋体"/>
          <w:kern w:val="0"/>
          <w:sz w:val="32"/>
          <w:szCs w:val="32"/>
        </w:rPr>
        <w:t>ChIP</w:t>
      </w:r>
      <w:proofErr w:type="spellEnd"/>
      <w:r w:rsidRPr="007B6BA0">
        <w:rPr>
          <w:rFonts w:ascii="微软雅黑" w:eastAsia="微软雅黑" w:hAnsi="微软雅黑" w:cs="宋体"/>
          <w:kern w:val="0"/>
          <w:sz w:val="32"/>
          <w:szCs w:val="32"/>
        </w:rPr>
        <w:t>）</w:t>
      </w:r>
    </w:p>
    <w:p w14:paraId="00494D31" w14:textId="77777777" w:rsidR="007B6BA0" w:rsidRPr="007B6BA0" w:rsidRDefault="007B6BA0" w:rsidP="007B6BA0">
      <w:pPr>
        <w:widowControl/>
        <w:spacing w:before="450"/>
        <w:rPr>
          <w:rFonts w:ascii="微软雅黑" w:eastAsia="微软雅黑" w:hAnsi="微软雅黑" w:cs="宋体"/>
          <w:kern w:val="0"/>
          <w:sz w:val="24"/>
          <w:szCs w:val="24"/>
        </w:rPr>
      </w:pPr>
      <w:r w:rsidRPr="007B6BA0">
        <w:rPr>
          <w:rFonts w:ascii="微软雅黑" w:eastAsia="微软雅黑" w:hAnsi="微软雅黑" w:cs="宋体"/>
          <w:kern w:val="0"/>
          <w:sz w:val="24"/>
          <w:szCs w:val="24"/>
        </w:rPr>
        <w:lastRenderedPageBreak/>
        <w:t xml:space="preserve">在用DMSO、阿贝西利、YKL-5-124及其组合（Hs578T：0.5 µM 阿贝西利，0.5 µM YKL-5-124；MDA-MB-468：0.5 µM 阿贝西利，1 µM YKL-5-124）处理48小时后，对Hs578T和MDA-MB-468细胞进行了FOXM1 </w:t>
      </w:r>
      <w:proofErr w:type="spellStart"/>
      <w:r w:rsidRPr="007B6BA0">
        <w:rPr>
          <w:rFonts w:ascii="微软雅黑" w:eastAsia="微软雅黑" w:hAnsi="微软雅黑" w:cs="宋体"/>
          <w:kern w:val="0"/>
          <w:sz w:val="24"/>
          <w:szCs w:val="24"/>
        </w:rPr>
        <w:t>ChIP</w:t>
      </w:r>
      <w:proofErr w:type="spellEnd"/>
      <w:r w:rsidRPr="007B6BA0">
        <w:rPr>
          <w:rFonts w:ascii="微软雅黑" w:eastAsia="微软雅黑" w:hAnsi="微软雅黑" w:cs="宋体"/>
          <w:kern w:val="0"/>
          <w:sz w:val="24"/>
          <w:szCs w:val="24"/>
        </w:rPr>
        <w:t>-qPCR检测。</w:t>
      </w:r>
      <w:proofErr w:type="spellStart"/>
      <w:r w:rsidRPr="007B6BA0">
        <w:rPr>
          <w:rFonts w:ascii="微软雅黑" w:eastAsia="微软雅黑" w:hAnsi="微软雅黑" w:cs="宋体"/>
          <w:kern w:val="0"/>
          <w:sz w:val="24"/>
          <w:szCs w:val="24"/>
        </w:rPr>
        <w:t>ChIP</w:t>
      </w:r>
      <w:proofErr w:type="spellEnd"/>
      <w:r w:rsidRPr="007B6BA0">
        <w:rPr>
          <w:rFonts w:ascii="微软雅黑" w:eastAsia="微软雅黑" w:hAnsi="微软雅黑" w:cs="宋体"/>
          <w:kern w:val="0"/>
          <w:sz w:val="24"/>
          <w:szCs w:val="24"/>
        </w:rPr>
        <w:t>实验采用</w:t>
      </w:r>
      <w:proofErr w:type="spellStart"/>
      <w:r w:rsidRPr="007B6BA0">
        <w:rPr>
          <w:rFonts w:ascii="微软雅黑" w:eastAsia="微软雅黑" w:hAnsi="微软雅黑" w:cs="宋体"/>
          <w:kern w:val="0"/>
          <w:sz w:val="24"/>
          <w:szCs w:val="24"/>
        </w:rPr>
        <w:t>SimpleChIP</w:t>
      </w:r>
      <w:proofErr w:type="spellEnd"/>
      <w:r w:rsidRPr="007B6BA0">
        <w:rPr>
          <w:rFonts w:ascii="微软雅黑" w:eastAsia="微软雅黑" w:hAnsi="微软雅黑" w:cs="宋体"/>
          <w:kern w:val="0"/>
          <w:sz w:val="24"/>
          <w:szCs w:val="24"/>
        </w:rPr>
        <w:t xml:space="preserve"> plus酶促染色质免疫沉淀试剂盒（CST，9005）进行。简而言之，细胞在室温下用1%甲醛交联10分钟，然后用甘氨酸在室温下淬灭5分钟。之后，用微球</w:t>
      </w:r>
      <w:proofErr w:type="gramStart"/>
      <w:r w:rsidRPr="007B6BA0">
        <w:rPr>
          <w:rFonts w:ascii="微软雅黑" w:eastAsia="微软雅黑" w:hAnsi="微软雅黑" w:cs="宋体"/>
          <w:kern w:val="0"/>
          <w:sz w:val="24"/>
          <w:szCs w:val="24"/>
        </w:rPr>
        <w:t>菌</w:t>
      </w:r>
      <w:proofErr w:type="gramEnd"/>
      <w:r w:rsidRPr="007B6BA0">
        <w:rPr>
          <w:rFonts w:ascii="微软雅黑" w:eastAsia="微软雅黑" w:hAnsi="微软雅黑" w:cs="宋体"/>
          <w:kern w:val="0"/>
          <w:sz w:val="24"/>
          <w:szCs w:val="24"/>
        </w:rPr>
        <w:t>核酸酶消化细胞核沉淀，并用</w:t>
      </w:r>
      <w:proofErr w:type="spellStart"/>
      <w:r w:rsidRPr="007B6BA0">
        <w:rPr>
          <w:rFonts w:ascii="微软雅黑" w:eastAsia="微软雅黑" w:hAnsi="微软雅黑" w:cs="宋体"/>
          <w:kern w:val="0"/>
          <w:sz w:val="24"/>
          <w:szCs w:val="24"/>
        </w:rPr>
        <w:t>Bioruptor</w:t>
      </w:r>
      <w:proofErr w:type="spellEnd"/>
      <w:r w:rsidRPr="007B6BA0">
        <w:rPr>
          <w:rFonts w:ascii="微软雅黑" w:eastAsia="微软雅黑" w:hAnsi="微软雅黑" w:cs="宋体"/>
          <w:kern w:val="0"/>
          <w:sz w:val="24"/>
          <w:szCs w:val="24"/>
        </w:rPr>
        <w:t xml:space="preserve"> Pico（</w:t>
      </w:r>
      <w:proofErr w:type="spellStart"/>
      <w:r w:rsidRPr="007B6BA0">
        <w:rPr>
          <w:rFonts w:ascii="微软雅黑" w:eastAsia="微软雅黑" w:hAnsi="微软雅黑" w:cs="宋体"/>
          <w:kern w:val="0"/>
          <w:sz w:val="24"/>
          <w:szCs w:val="24"/>
        </w:rPr>
        <w:t>Diagenode</w:t>
      </w:r>
      <w:proofErr w:type="spellEnd"/>
      <w:r w:rsidRPr="007B6BA0">
        <w:rPr>
          <w:rFonts w:ascii="微软雅黑" w:eastAsia="微软雅黑" w:hAnsi="微软雅黑" w:cs="宋体"/>
          <w:kern w:val="0"/>
          <w:sz w:val="24"/>
          <w:szCs w:val="24"/>
        </w:rPr>
        <w:t xml:space="preserve"> Diagnostics）进行超声</w:t>
      </w:r>
      <w:proofErr w:type="gramStart"/>
      <w:r w:rsidRPr="007B6BA0">
        <w:rPr>
          <w:rFonts w:ascii="微软雅黑" w:eastAsia="微软雅黑" w:hAnsi="微软雅黑" w:cs="宋体"/>
          <w:kern w:val="0"/>
          <w:sz w:val="24"/>
          <w:szCs w:val="24"/>
        </w:rPr>
        <w:t>破碎以</w:t>
      </w:r>
      <w:proofErr w:type="gramEnd"/>
      <w:r w:rsidRPr="007B6BA0">
        <w:rPr>
          <w:rFonts w:ascii="微软雅黑" w:eastAsia="微软雅黑" w:hAnsi="微软雅黑" w:cs="宋体"/>
          <w:kern w:val="0"/>
          <w:sz w:val="24"/>
          <w:szCs w:val="24"/>
        </w:rPr>
        <w:t>获得最佳的细胞核碎片化效果。使用1%琼脂糖凝胶电泳证实DNA片段的大小范围为200至900 bp。</w:t>
      </w:r>
      <w:proofErr w:type="gramStart"/>
      <w:r w:rsidRPr="007B6BA0">
        <w:rPr>
          <w:rFonts w:ascii="微软雅黑" w:eastAsia="微软雅黑" w:hAnsi="微软雅黑" w:cs="宋体"/>
          <w:kern w:val="0"/>
          <w:sz w:val="24"/>
          <w:szCs w:val="24"/>
        </w:rPr>
        <w:t>将酶切后</w:t>
      </w:r>
      <w:proofErr w:type="gramEnd"/>
      <w:r w:rsidRPr="007B6BA0">
        <w:rPr>
          <w:rFonts w:ascii="微软雅黑" w:eastAsia="微软雅黑" w:hAnsi="微软雅黑" w:cs="宋体"/>
          <w:kern w:val="0"/>
          <w:sz w:val="24"/>
          <w:szCs w:val="24"/>
        </w:rPr>
        <w:t>的染色质用</w:t>
      </w:r>
      <w:proofErr w:type="spellStart"/>
      <w:r w:rsidRPr="007B6BA0">
        <w:rPr>
          <w:rFonts w:ascii="微软雅黑" w:eastAsia="微软雅黑" w:hAnsi="微软雅黑" w:cs="宋体"/>
          <w:kern w:val="0"/>
          <w:sz w:val="24"/>
          <w:szCs w:val="24"/>
        </w:rPr>
        <w:t>ChIP</w:t>
      </w:r>
      <w:proofErr w:type="spellEnd"/>
      <w:r w:rsidRPr="007B6BA0">
        <w:rPr>
          <w:rFonts w:ascii="微软雅黑" w:eastAsia="微软雅黑" w:hAnsi="微软雅黑" w:cs="宋体"/>
          <w:kern w:val="0"/>
          <w:sz w:val="24"/>
          <w:szCs w:val="24"/>
        </w:rPr>
        <w:t>缓冲液稀释，然后在4℃下与FOXM1抗体（CST，20459，1:100）孵育过夜。免疫沉淀物与蛋白G磁珠孵育后收集并洗涤。使用恒温混匀仪（1200 rpm，65℃，30 min）从抗体/蛋白G磁珠上洗脱染色质，并用NaCl和蛋白酶K进行反交联。使用下述特异性引物，通过RT-qPCR分析对纯化的DNA进行定量：</w:t>
      </w:r>
    </w:p>
    <w:p w14:paraId="17230375" w14:textId="77777777" w:rsidR="007B6BA0" w:rsidRPr="007B6BA0" w:rsidRDefault="007B6BA0" w:rsidP="007B6BA0">
      <w:pPr>
        <w:widowControl/>
        <w:spacing w:before="450"/>
        <w:rPr>
          <w:rFonts w:ascii="微软雅黑" w:eastAsia="微软雅黑" w:hAnsi="微软雅黑" w:cs="宋体"/>
          <w:kern w:val="0"/>
          <w:sz w:val="24"/>
          <w:szCs w:val="24"/>
        </w:rPr>
      </w:pPr>
      <w:r w:rsidRPr="007B6BA0">
        <w:rPr>
          <w:rFonts w:ascii="微软雅黑" w:eastAsia="微软雅黑" w:hAnsi="微软雅黑" w:cs="宋体"/>
          <w:kern w:val="0"/>
          <w:sz w:val="24"/>
          <w:szCs w:val="24"/>
        </w:rPr>
        <w:t>SREBF1（启动子）正向引物：5′‐TCCCAGCTTGTGATGATCCAG‐3′，</w:t>
      </w:r>
    </w:p>
    <w:p w14:paraId="35484AE4" w14:textId="77777777" w:rsidR="007B6BA0" w:rsidRPr="007B6BA0" w:rsidRDefault="007B6BA0" w:rsidP="007B6BA0">
      <w:pPr>
        <w:widowControl/>
        <w:spacing w:before="450"/>
        <w:rPr>
          <w:rFonts w:ascii="微软雅黑" w:eastAsia="微软雅黑" w:hAnsi="微软雅黑" w:cs="宋体"/>
          <w:kern w:val="0"/>
          <w:sz w:val="24"/>
          <w:szCs w:val="24"/>
        </w:rPr>
      </w:pPr>
      <w:r w:rsidRPr="007B6BA0">
        <w:rPr>
          <w:rFonts w:ascii="微软雅黑" w:eastAsia="微软雅黑" w:hAnsi="微软雅黑" w:cs="宋体"/>
          <w:kern w:val="0"/>
          <w:sz w:val="24"/>
          <w:szCs w:val="24"/>
        </w:rPr>
        <w:t>SREBF1（启动子）反向：5′-GAAGGAGGAAGCCAGTACCC-3′。</w:t>
      </w:r>
    </w:p>
    <w:p w14:paraId="316DD531" w14:textId="77777777" w:rsidR="007B6BA0" w:rsidRPr="007B6BA0" w:rsidRDefault="007B6BA0" w:rsidP="007B6BA0">
      <w:pPr>
        <w:widowControl/>
        <w:spacing w:line="450" w:lineRule="atLeast"/>
        <w:outlineLvl w:val="2"/>
        <w:rPr>
          <w:rFonts w:ascii="微软雅黑" w:eastAsia="微软雅黑" w:hAnsi="微软雅黑" w:cs="宋体"/>
          <w:kern w:val="0"/>
          <w:sz w:val="32"/>
          <w:szCs w:val="32"/>
        </w:rPr>
      </w:pPr>
      <w:r w:rsidRPr="007B6BA0">
        <w:rPr>
          <w:rFonts w:ascii="微软雅黑" w:eastAsia="微软雅黑" w:hAnsi="微软雅黑" w:cs="宋体"/>
          <w:kern w:val="0"/>
          <w:sz w:val="32"/>
          <w:szCs w:val="32"/>
        </w:rPr>
        <w:t>双荧光素</w:t>
      </w:r>
      <w:proofErr w:type="gramStart"/>
      <w:r w:rsidRPr="007B6BA0">
        <w:rPr>
          <w:rFonts w:ascii="微软雅黑" w:eastAsia="微软雅黑" w:hAnsi="微软雅黑" w:cs="宋体"/>
          <w:kern w:val="0"/>
          <w:sz w:val="32"/>
          <w:szCs w:val="32"/>
        </w:rPr>
        <w:t>酶报告</w:t>
      </w:r>
      <w:proofErr w:type="gramEnd"/>
      <w:r w:rsidRPr="007B6BA0">
        <w:rPr>
          <w:rFonts w:ascii="微软雅黑" w:eastAsia="微软雅黑" w:hAnsi="微软雅黑" w:cs="宋体"/>
          <w:kern w:val="0"/>
          <w:sz w:val="32"/>
          <w:szCs w:val="32"/>
        </w:rPr>
        <w:t>基因检测</w:t>
      </w:r>
    </w:p>
    <w:p w14:paraId="5D9885FA" w14:textId="209621A9" w:rsidR="007B6BA0" w:rsidRPr="007B6BA0" w:rsidRDefault="007B6BA0" w:rsidP="007B6BA0">
      <w:pPr>
        <w:widowControl/>
        <w:spacing w:before="450"/>
        <w:rPr>
          <w:rFonts w:ascii="微软雅黑" w:eastAsia="微软雅黑" w:hAnsi="微软雅黑" w:cs="宋体"/>
          <w:kern w:val="0"/>
          <w:sz w:val="24"/>
          <w:szCs w:val="24"/>
        </w:rPr>
      </w:pPr>
      <w:r w:rsidRPr="007B6BA0">
        <w:rPr>
          <w:rFonts w:ascii="微软雅黑" w:eastAsia="微软雅黑" w:hAnsi="微软雅黑" w:cs="宋体"/>
          <w:kern w:val="0"/>
          <w:sz w:val="24"/>
          <w:szCs w:val="24"/>
        </w:rPr>
        <w:t>在</w:t>
      </w:r>
      <w:proofErr w:type="spellStart"/>
      <w:r w:rsidRPr="007B6BA0">
        <w:rPr>
          <w:rFonts w:ascii="微软雅黑" w:eastAsia="微软雅黑" w:hAnsi="微软雅黑" w:cs="宋体"/>
          <w:kern w:val="0"/>
          <w:sz w:val="24"/>
          <w:szCs w:val="24"/>
        </w:rPr>
        <w:t>hTFtarget</w:t>
      </w:r>
      <w:proofErr w:type="spellEnd"/>
      <w:r w:rsidRPr="007B6BA0">
        <w:rPr>
          <w:rFonts w:ascii="微软雅黑" w:eastAsia="微软雅黑" w:hAnsi="微软雅黑" w:cs="宋体"/>
          <w:kern w:val="0"/>
          <w:sz w:val="24"/>
          <w:szCs w:val="24"/>
        </w:rPr>
        <w:t>数据库中鉴定了预测的FOXM1结合位点。采用慢病毒转导法构建了空载体细胞、FOXM1过表达细胞和ShFOXM1细胞。然后，使用</w:t>
      </w:r>
      <w:proofErr w:type="spellStart"/>
      <w:r w:rsidRPr="007B6BA0">
        <w:rPr>
          <w:rFonts w:ascii="微软雅黑" w:eastAsia="微软雅黑" w:hAnsi="微软雅黑" w:cs="宋体"/>
          <w:kern w:val="0"/>
          <w:sz w:val="24"/>
          <w:szCs w:val="24"/>
        </w:rPr>
        <w:t>jetPRIME</w:t>
      </w:r>
      <w:proofErr w:type="spellEnd"/>
      <w:r w:rsidRPr="007B6BA0">
        <w:rPr>
          <w:rFonts w:ascii="微软雅黑" w:eastAsia="微软雅黑" w:hAnsi="微软雅黑" w:cs="宋体"/>
          <w:kern w:val="0"/>
          <w:sz w:val="24"/>
          <w:szCs w:val="24"/>
        </w:rPr>
        <w:t>转染试剂（</w:t>
      </w:r>
      <w:proofErr w:type="spellStart"/>
      <w:r w:rsidRPr="007B6BA0">
        <w:rPr>
          <w:rFonts w:ascii="微软雅黑" w:eastAsia="微软雅黑" w:hAnsi="微软雅黑" w:cs="宋体"/>
          <w:kern w:val="0"/>
          <w:sz w:val="24"/>
          <w:szCs w:val="24"/>
        </w:rPr>
        <w:t>Polyplus</w:t>
      </w:r>
      <w:proofErr w:type="spellEnd"/>
      <w:r w:rsidRPr="007B6BA0">
        <w:rPr>
          <w:rFonts w:ascii="微软雅黑" w:eastAsia="微软雅黑" w:hAnsi="微软雅黑" w:cs="宋体"/>
          <w:kern w:val="0"/>
          <w:sz w:val="24"/>
          <w:szCs w:val="24"/>
        </w:rPr>
        <w:t>，114-15）将构建好的细胞与200 ng的pGL3.0、pGL3.0-SREBF1-启动子和pGL3.0-SREBF1-突变启动子报告质粒以及10 ng的</w:t>
      </w:r>
      <w:proofErr w:type="spellStart"/>
      <w:r w:rsidRPr="007B6BA0">
        <w:rPr>
          <w:rFonts w:ascii="微软雅黑" w:eastAsia="微软雅黑" w:hAnsi="微软雅黑" w:cs="宋体"/>
          <w:kern w:val="0"/>
          <w:sz w:val="24"/>
          <w:szCs w:val="24"/>
        </w:rPr>
        <w:t>Renilla</w:t>
      </w:r>
      <w:proofErr w:type="spellEnd"/>
      <w:r w:rsidRPr="007B6BA0">
        <w:rPr>
          <w:rFonts w:ascii="微软雅黑" w:eastAsia="微软雅黑" w:hAnsi="微软雅黑" w:cs="宋体"/>
          <w:kern w:val="0"/>
          <w:sz w:val="24"/>
          <w:szCs w:val="24"/>
        </w:rPr>
        <w:lastRenderedPageBreak/>
        <w:t>荧光素</w:t>
      </w:r>
      <w:proofErr w:type="gramStart"/>
      <w:r w:rsidRPr="007B6BA0">
        <w:rPr>
          <w:rFonts w:ascii="微软雅黑" w:eastAsia="微软雅黑" w:hAnsi="微软雅黑" w:cs="宋体"/>
          <w:kern w:val="0"/>
          <w:sz w:val="24"/>
          <w:szCs w:val="24"/>
        </w:rPr>
        <w:t>酶表达</w:t>
      </w:r>
      <w:proofErr w:type="gramEnd"/>
      <w:r w:rsidRPr="007B6BA0">
        <w:rPr>
          <w:rFonts w:ascii="微软雅黑" w:eastAsia="微软雅黑" w:hAnsi="微软雅黑" w:cs="宋体"/>
          <w:kern w:val="0"/>
          <w:sz w:val="24"/>
          <w:szCs w:val="24"/>
        </w:rPr>
        <w:t>质粒进行瞬时共转染。报告质粒和</w:t>
      </w:r>
      <w:proofErr w:type="spellStart"/>
      <w:r w:rsidRPr="007B6BA0">
        <w:rPr>
          <w:rFonts w:ascii="微软雅黑" w:eastAsia="微软雅黑" w:hAnsi="微软雅黑" w:cs="宋体"/>
          <w:kern w:val="0"/>
          <w:sz w:val="24"/>
          <w:szCs w:val="24"/>
        </w:rPr>
        <w:t>Renilla</w:t>
      </w:r>
      <w:proofErr w:type="spellEnd"/>
      <w:r w:rsidRPr="007B6BA0">
        <w:rPr>
          <w:rFonts w:ascii="微软雅黑" w:eastAsia="微软雅黑" w:hAnsi="微软雅黑" w:cs="宋体"/>
          <w:kern w:val="0"/>
          <w:sz w:val="24"/>
          <w:szCs w:val="24"/>
        </w:rPr>
        <w:t>荧光素</w:t>
      </w:r>
      <w:proofErr w:type="gramStart"/>
      <w:r w:rsidRPr="007B6BA0">
        <w:rPr>
          <w:rFonts w:ascii="微软雅黑" w:eastAsia="微软雅黑" w:hAnsi="微软雅黑" w:cs="宋体"/>
          <w:kern w:val="0"/>
          <w:sz w:val="24"/>
          <w:szCs w:val="24"/>
        </w:rPr>
        <w:t>酶表达质粒均购</w:t>
      </w:r>
      <w:proofErr w:type="gramEnd"/>
      <w:r w:rsidRPr="007B6BA0">
        <w:rPr>
          <w:rFonts w:ascii="微软雅黑" w:eastAsia="微软雅黑" w:hAnsi="微软雅黑" w:cs="宋体"/>
          <w:kern w:val="0"/>
          <w:sz w:val="24"/>
          <w:szCs w:val="24"/>
        </w:rPr>
        <w:t>自</w:t>
      </w:r>
      <w:proofErr w:type="spellStart"/>
      <w:r w:rsidRPr="007B6BA0">
        <w:rPr>
          <w:rFonts w:ascii="微软雅黑" w:eastAsia="微软雅黑" w:hAnsi="微软雅黑" w:cs="宋体"/>
          <w:kern w:val="0"/>
          <w:sz w:val="24"/>
          <w:szCs w:val="24"/>
        </w:rPr>
        <w:t>GeneChem</w:t>
      </w:r>
      <w:proofErr w:type="spellEnd"/>
      <w:r w:rsidRPr="007B6BA0">
        <w:rPr>
          <w:rFonts w:ascii="微软雅黑" w:eastAsia="微软雅黑" w:hAnsi="微软雅黑" w:cs="宋体"/>
          <w:kern w:val="0"/>
          <w:sz w:val="24"/>
          <w:szCs w:val="24"/>
        </w:rPr>
        <w:t>公司（GOSE0370793）。使用双荧光素</w:t>
      </w:r>
      <w:proofErr w:type="gramStart"/>
      <w:r w:rsidRPr="007B6BA0">
        <w:rPr>
          <w:rFonts w:ascii="微软雅黑" w:eastAsia="微软雅黑" w:hAnsi="微软雅黑" w:cs="宋体"/>
          <w:kern w:val="0"/>
          <w:sz w:val="24"/>
          <w:szCs w:val="24"/>
        </w:rPr>
        <w:t>酶报告</w:t>
      </w:r>
      <w:proofErr w:type="gramEnd"/>
      <w:r w:rsidRPr="007B6BA0">
        <w:rPr>
          <w:rFonts w:ascii="微软雅黑" w:eastAsia="微软雅黑" w:hAnsi="微软雅黑" w:cs="宋体"/>
          <w:kern w:val="0"/>
          <w:sz w:val="24"/>
          <w:szCs w:val="24"/>
        </w:rPr>
        <w:t xml:space="preserve">基因检测系统（Promega，E1910）评估萤火虫和海肾荧光素酶活性，并使用 </w:t>
      </w:r>
      <w:proofErr w:type="spellStart"/>
      <w:r w:rsidRPr="007B6BA0">
        <w:rPr>
          <w:rFonts w:ascii="微软雅黑" w:eastAsia="微软雅黑" w:hAnsi="微软雅黑" w:cs="宋体"/>
          <w:kern w:val="0"/>
          <w:sz w:val="24"/>
          <w:szCs w:val="24"/>
        </w:rPr>
        <w:t>SpectraMax</w:t>
      </w:r>
      <w:proofErr w:type="spellEnd"/>
      <w:r w:rsidRPr="007B6BA0">
        <w:rPr>
          <w:rFonts w:ascii="微软雅黑" w:eastAsia="微软雅黑" w:hAnsi="微软雅黑" w:cs="宋体"/>
          <w:kern w:val="0"/>
          <w:sz w:val="24"/>
          <w:szCs w:val="24"/>
        </w:rPr>
        <w:t xml:space="preserve"> iD3 微孔板读数仪（Molecular Devices）进行测量。</w:t>
      </w:r>
    </w:p>
    <w:p w14:paraId="3F58A51B" w14:textId="77777777" w:rsidR="007B6BA0" w:rsidRPr="007B6BA0" w:rsidRDefault="007B6BA0" w:rsidP="007B6BA0">
      <w:pPr>
        <w:widowControl/>
        <w:spacing w:line="450" w:lineRule="atLeast"/>
        <w:outlineLvl w:val="2"/>
        <w:rPr>
          <w:rFonts w:ascii="微软雅黑" w:eastAsia="微软雅黑" w:hAnsi="微软雅黑" w:cs="宋体"/>
          <w:kern w:val="0"/>
          <w:sz w:val="32"/>
          <w:szCs w:val="32"/>
        </w:rPr>
      </w:pPr>
      <w:r w:rsidRPr="007B6BA0">
        <w:rPr>
          <w:rFonts w:ascii="微软雅黑" w:eastAsia="微软雅黑" w:hAnsi="微软雅黑" w:cs="宋体"/>
          <w:kern w:val="0"/>
          <w:sz w:val="32"/>
          <w:szCs w:val="32"/>
        </w:rPr>
        <w:t>胆固醇合成代谢物的定量分析</w:t>
      </w:r>
    </w:p>
    <w:p w14:paraId="46C2DC1E" w14:textId="77777777" w:rsidR="007B6BA0" w:rsidRPr="007B6BA0" w:rsidRDefault="007B6BA0" w:rsidP="007B6BA0">
      <w:pPr>
        <w:widowControl/>
        <w:spacing w:before="450"/>
        <w:rPr>
          <w:rFonts w:ascii="微软雅黑" w:eastAsia="微软雅黑" w:hAnsi="微软雅黑" w:cs="宋体"/>
          <w:kern w:val="0"/>
          <w:sz w:val="24"/>
          <w:szCs w:val="24"/>
        </w:rPr>
      </w:pPr>
      <w:r w:rsidRPr="007B6BA0">
        <w:rPr>
          <w:rFonts w:ascii="微软雅黑" w:eastAsia="微软雅黑" w:hAnsi="微软雅黑" w:cs="宋体"/>
          <w:kern w:val="0"/>
          <w:sz w:val="24"/>
          <w:szCs w:val="24"/>
        </w:rPr>
        <w:t>本研究分别在体外（使用Hs578T细胞）和体内（使用MDA-MB-468异种移植瘤）对胆固醇合成途径中的代谢物进行了定量分析。Hs578T细胞分别用DMSO、0.5 µM阿贝西利、0.5 µM YKL-5-124以及二者联合处理3天。异种移植</w:t>
      </w:r>
      <w:proofErr w:type="gramStart"/>
      <w:r w:rsidRPr="007B6BA0">
        <w:rPr>
          <w:rFonts w:ascii="微软雅黑" w:eastAsia="微软雅黑" w:hAnsi="微软雅黑" w:cs="宋体"/>
          <w:kern w:val="0"/>
          <w:sz w:val="24"/>
          <w:szCs w:val="24"/>
        </w:rPr>
        <w:t>瘤代表</w:t>
      </w:r>
      <w:proofErr w:type="gramEnd"/>
      <w:r w:rsidRPr="007B6BA0">
        <w:rPr>
          <w:rFonts w:ascii="微软雅黑" w:eastAsia="微软雅黑" w:hAnsi="微软雅黑" w:cs="宋体"/>
          <w:kern w:val="0"/>
          <w:sz w:val="24"/>
          <w:szCs w:val="24"/>
        </w:rPr>
        <w:t>了以下治疗组的肿瘤：对照组、50 mg/kg</w:t>
      </w:r>
      <w:r w:rsidRPr="007B6BA0">
        <w:rPr>
          <w:rFonts w:ascii="微软雅黑" w:eastAsia="微软雅黑" w:hAnsi="微软雅黑" w:cs="宋体"/>
          <w:kern w:val="0"/>
          <w:sz w:val="24"/>
          <w:szCs w:val="24"/>
          <w:vertAlign w:val="superscript"/>
        </w:rPr>
        <w:t>阿贝西利</w:t>
      </w:r>
      <w:r w:rsidRPr="007B6BA0">
        <w:rPr>
          <w:rFonts w:ascii="微软雅黑" w:eastAsia="微软雅黑" w:hAnsi="微软雅黑" w:cs="宋体"/>
          <w:kern w:val="0"/>
          <w:sz w:val="24"/>
          <w:szCs w:val="24"/>
        </w:rPr>
        <w:t>组、2 mg/kg </w:t>
      </w:r>
      <w:r w:rsidRPr="007B6BA0">
        <w:rPr>
          <w:rFonts w:ascii="微软雅黑" w:eastAsia="微软雅黑" w:hAnsi="微软雅黑" w:cs="宋体"/>
          <w:kern w:val="0"/>
          <w:sz w:val="24"/>
          <w:szCs w:val="24"/>
          <w:vertAlign w:val="superscript"/>
        </w:rPr>
        <w:t>YKL</w:t>
      </w:r>
      <w:r w:rsidRPr="007B6BA0">
        <w:rPr>
          <w:rFonts w:ascii="微软雅黑" w:eastAsia="微软雅黑" w:hAnsi="微软雅黑" w:cs="宋体"/>
          <w:kern w:val="0"/>
          <w:sz w:val="24"/>
          <w:szCs w:val="24"/>
        </w:rPr>
        <w:t> -5-124组和联合治疗组。采用液相色谱-质谱联用（LC-MS）分析定量了参与胆固醇合成途径的脂质代谢物，包括角鲨烯、羊毛甾醇和游离胆固醇。脂质提取采用Bligh和Dyer法</w:t>
      </w:r>
      <w:r w:rsidRPr="007B6BA0">
        <w:rPr>
          <w:rFonts w:ascii="微软雅黑" w:eastAsia="微软雅黑" w:hAnsi="微软雅黑" w:cs="宋体"/>
          <w:kern w:val="0"/>
          <w:sz w:val="24"/>
          <w:szCs w:val="24"/>
          <w:vertAlign w:val="superscript"/>
        </w:rPr>
        <w:t>[ </w:t>
      </w:r>
      <w:hyperlink r:id="rId144" w:anchor="advs10347-bib-0049" w:history="1">
        <w:r w:rsidRPr="007B6BA0">
          <w:rPr>
            <w:rFonts w:ascii="微软雅黑" w:eastAsia="微软雅黑" w:hAnsi="微软雅黑" w:cs="宋体"/>
            <w:kern w:val="0"/>
            <w:sz w:val="24"/>
            <w:szCs w:val="24"/>
            <w:u w:val="single"/>
            <w:vertAlign w:val="superscript"/>
          </w:rPr>
          <w:t>49</w:t>
        </w:r>
      </w:hyperlink>
      <w:r w:rsidRPr="007B6BA0">
        <w:rPr>
          <w:rFonts w:ascii="微软雅黑" w:eastAsia="微软雅黑" w:hAnsi="微软雅黑" w:cs="宋体"/>
          <w:kern w:val="0"/>
          <w:sz w:val="24"/>
          <w:szCs w:val="24"/>
          <w:vertAlign w:val="superscript"/>
        </w:rPr>
        <w:t> ]</w:t>
      </w:r>
      <w:r w:rsidRPr="007B6BA0">
        <w:rPr>
          <w:rFonts w:ascii="微软雅黑" w:eastAsia="微软雅黑" w:hAnsi="微软雅黑" w:cs="宋体"/>
          <w:kern w:val="0"/>
          <w:sz w:val="24"/>
          <w:szCs w:val="24"/>
        </w:rPr>
        <w:t>，将细胞在氯仿-甲醇体系（体积比2:1）中匀浆。将1 mL正己</w:t>
      </w:r>
      <w:proofErr w:type="gramStart"/>
      <w:r w:rsidRPr="007B6BA0">
        <w:rPr>
          <w:rFonts w:ascii="微软雅黑" w:eastAsia="微软雅黑" w:hAnsi="微软雅黑" w:cs="宋体"/>
          <w:kern w:val="0"/>
          <w:sz w:val="24"/>
          <w:szCs w:val="24"/>
        </w:rPr>
        <w:t>烷</w:t>
      </w:r>
      <w:proofErr w:type="gramEnd"/>
      <w:r w:rsidRPr="007B6BA0">
        <w:rPr>
          <w:rFonts w:ascii="微软雅黑" w:eastAsia="微软雅黑" w:hAnsi="微软雅黑" w:cs="宋体"/>
          <w:kern w:val="0"/>
          <w:sz w:val="24"/>
          <w:szCs w:val="24"/>
        </w:rPr>
        <w:t>加入含有标准混合物（Avanti Polar Lipids）的脂质提取物中。剧烈涡旋振荡并离心后，收集含有甾醇的上层有机相，</w:t>
      </w:r>
      <w:proofErr w:type="gramStart"/>
      <w:r w:rsidRPr="007B6BA0">
        <w:rPr>
          <w:rFonts w:ascii="微软雅黑" w:eastAsia="微软雅黑" w:hAnsi="微软雅黑" w:cs="宋体"/>
          <w:kern w:val="0"/>
          <w:sz w:val="24"/>
          <w:szCs w:val="24"/>
        </w:rPr>
        <w:t>剩余相用另</w:t>
      </w:r>
      <w:proofErr w:type="gramEnd"/>
      <w:r w:rsidRPr="007B6BA0">
        <w:rPr>
          <w:rFonts w:ascii="微软雅黑" w:eastAsia="微软雅黑" w:hAnsi="微软雅黑" w:cs="宋体"/>
          <w:kern w:val="0"/>
          <w:sz w:val="24"/>
          <w:szCs w:val="24"/>
        </w:rPr>
        <w:t>一</w:t>
      </w:r>
      <w:proofErr w:type="gramStart"/>
      <w:r w:rsidRPr="007B6BA0">
        <w:rPr>
          <w:rFonts w:ascii="微软雅黑" w:eastAsia="微软雅黑" w:hAnsi="微软雅黑" w:cs="宋体"/>
          <w:kern w:val="0"/>
          <w:sz w:val="24"/>
          <w:szCs w:val="24"/>
        </w:rPr>
        <w:t>1</w:t>
      </w:r>
      <w:proofErr w:type="gramEnd"/>
      <w:r w:rsidRPr="007B6BA0">
        <w:rPr>
          <w:rFonts w:ascii="微软雅黑" w:eastAsia="微软雅黑" w:hAnsi="微软雅黑" w:cs="宋体"/>
          <w:kern w:val="0"/>
          <w:sz w:val="24"/>
          <w:szCs w:val="24"/>
        </w:rPr>
        <w:t xml:space="preserve"> mL正己</w:t>
      </w:r>
      <w:proofErr w:type="gramStart"/>
      <w:r w:rsidRPr="007B6BA0">
        <w:rPr>
          <w:rFonts w:ascii="微软雅黑" w:eastAsia="微软雅黑" w:hAnsi="微软雅黑" w:cs="宋体"/>
          <w:kern w:val="0"/>
          <w:sz w:val="24"/>
          <w:szCs w:val="24"/>
        </w:rPr>
        <w:t>烷</w:t>
      </w:r>
      <w:proofErr w:type="gramEnd"/>
      <w:r w:rsidRPr="007B6BA0">
        <w:rPr>
          <w:rFonts w:ascii="微软雅黑" w:eastAsia="微软雅黑" w:hAnsi="微软雅黑" w:cs="宋体"/>
          <w:kern w:val="0"/>
          <w:sz w:val="24"/>
          <w:szCs w:val="24"/>
        </w:rPr>
        <w:t>进行二次萃取。所得混合物在</w:t>
      </w:r>
      <w:proofErr w:type="spellStart"/>
      <w:r w:rsidRPr="007B6BA0">
        <w:rPr>
          <w:rFonts w:ascii="微软雅黑" w:eastAsia="微软雅黑" w:hAnsi="微软雅黑" w:cs="宋体"/>
          <w:kern w:val="0"/>
          <w:sz w:val="24"/>
          <w:szCs w:val="24"/>
        </w:rPr>
        <w:t>SpeedVac</w:t>
      </w:r>
      <w:proofErr w:type="spellEnd"/>
      <w:r w:rsidRPr="007B6BA0">
        <w:rPr>
          <w:rFonts w:ascii="微软雅黑" w:eastAsia="微软雅黑" w:hAnsi="微软雅黑" w:cs="宋体"/>
          <w:kern w:val="0"/>
          <w:sz w:val="24"/>
          <w:szCs w:val="24"/>
        </w:rPr>
        <w:t>浓缩仪（Thermo Scientific）的有机模式下干燥。样品加入吡啶和BSTFA进行衍生化。使用QTRAP 6500 plus（SCIEX）进行LC-MS分析，结果以细胞裂解液蛋白水平进行标准化。</w:t>
      </w:r>
    </w:p>
    <w:p w14:paraId="3C834689" w14:textId="77777777" w:rsidR="007B6BA0" w:rsidRPr="007B6BA0" w:rsidRDefault="007B6BA0" w:rsidP="007B6BA0">
      <w:pPr>
        <w:widowControl/>
        <w:spacing w:before="450"/>
        <w:rPr>
          <w:rFonts w:ascii="微软雅黑" w:eastAsia="微软雅黑" w:hAnsi="微软雅黑" w:cs="宋体"/>
          <w:kern w:val="0"/>
          <w:sz w:val="24"/>
          <w:szCs w:val="24"/>
        </w:rPr>
      </w:pPr>
      <w:r w:rsidRPr="007B6BA0">
        <w:rPr>
          <w:rFonts w:ascii="微软雅黑" w:eastAsia="微软雅黑" w:hAnsi="微软雅黑" w:cs="宋体"/>
          <w:kern w:val="0"/>
          <w:sz w:val="24"/>
          <w:szCs w:val="24"/>
        </w:rPr>
        <w:t>使用</w:t>
      </w:r>
      <w:proofErr w:type="spellStart"/>
      <w:r w:rsidRPr="007B6BA0">
        <w:rPr>
          <w:rFonts w:ascii="微软雅黑" w:eastAsia="微软雅黑" w:hAnsi="微软雅黑" w:cs="宋体"/>
          <w:kern w:val="0"/>
          <w:sz w:val="24"/>
          <w:szCs w:val="24"/>
        </w:rPr>
        <w:t>Amplex</w:t>
      </w:r>
      <w:proofErr w:type="spellEnd"/>
      <w:r w:rsidRPr="007B6BA0">
        <w:rPr>
          <w:rFonts w:ascii="微软雅黑" w:eastAsia="微软雅黑" w:hAnsi="微软雅黑" w:cs="宋体"/>
          <w:kern w:val="0"/>
          <w:sz w:val="24"/>
          <w:szCs w:val="24"/>
        </w:rPr>
        <w:t xml:space="preserve"> Red胆固醇检测试剂盒（Invitrogen，A12216）测定NC和ShFOXM1细胞中的总胆固醇含量。所有样本的细胞数量保持一致，总胆固醇的提取方法与上述相同。在14000 rpm下离心10分钟后，收集含有甾醇的上层有机相，并使用</w:t>
      </w:r>
      <w:proofErr w:type="spellStart"/>
      <w:r w:rsidRPr="007B6BA0">
        <w:rPr>
          <w:rFonts w:ascii="微软雅黑" w:eastAsia="微软雅黑" w:hAnsi="微软雅黑" w:cs="宋体"/>
          <w:kern w:val="0"/>
          <w:sz w:val="24"/>
          <w:szCs w:val="24"/>
        </w:rPr>
        <w:t>SpeedVac</w:t>
      </w:r>
      <w:proofErr w:type="spellEnd"/>
      <w:r w:rsidRPr="007B6BA0">
        <w:rPr>
          <w:rFonts w:ascii="微软雅黑" w:eastAsia="微软雅黑" w:hAnsi="微软雅黑" w:cs="宋体"/>
          <w:kern w:val="0"/>
          <w:sz w:val="24"/>
          <w:szCs w:val="24"/>
        </w:rPr>
        <w:t>浓缩仪（Thermo Scientific）在有机模式下进行真</w:t>
      </w:r>
      <w:r w:rsidRPr="007B6BA0">
        <w:rPr>
          <w:rFonts w:ascii="微软雅黑" w:eastAsia="微软雅黑" w:hAnsi="微软雅黑" w:cs="宋体"/>
          <w:kern w:val="0"/>
          <w:sz w:val="24"/>
          <w:szCs w:val="24"/>
        </w:rPr>
        <w:lastRenderedPageBreak/>
        <w:t>空干燥。然后将含胆固醇的样品重新溶解于反应缓冲液中，并与</w:t>
      </w:r>
      <w:proofErr w:type="spellStart"/>
      <w:r w:rsidRPr="007B6BA0">
        <w:rPr>
          <w:rFonts w:ascii="微软雅黑" w:eastAsia="微软雅黑" w:hAnsi="微软雅黑" w:cs="宋体"/>
          <w:kern w:val="0"/>
          <w:sz w:val="24"/>
          <w:szCs w:val="24"/>
        </w:rPr>
        <w:t>Amplex</w:t>
      </w:r>
      <w:proofErr w:type="spellEnd"/>
      <w:r w:rsidRPr="007B6BA0">
        <w:rPr>
          <w:rFonts w:ascii="微软雅黑" w:eastAsia="微软雅黑" w:hAnsi="微软雅黑" w:cs="宋体"/>
          <w:kern w:val="0"/>
          <w:sz w:val="24"/>
          <w:szCs w:val="24"/>
        </w:rPr>
        <w:t xml:space="preserve"> Red试剂、辣根过氧化物酶（HRP）、胆固醇氧化酶和胆固醇酯酶在37℃下孵育30分钟。使用</w:t>
      </w:r>
      <w:proofErr w:type="spellStart"/>
      <w:r w:rsidRPr="007B6BA0">
        <w:rPr>
          <w:rFonts w:ascii="微软雅黑" w:eastAsia="微软雅黑" w:hAnsi="微软雅黑" w:cs="宋体"/>
          <w:kern w:val="0"/>
          <w:sz w:val="24"/>
          <w:szCs w:val="24"/>
        </w:rPr>
        <w:t>SpectraMax</w:t>
      </w:r>
      <w:proofErr w:type="spellEnd"/>
      <w:r w:rsidRPr="007B6BA0">
        <w:rPr>
          <w:rFonts w:ascii="微软雅黑" w:eastAsia="微软雅黑" w:hAnsi="微软雅黑" w:cs="宋体"/>
          <w:kern w:val="0"/>
          <w:sz w:val="24"/>
          <w:szCs w:val="24"/>
        </w:rPr>
        <w:t xml:space="preserve"> M5微孔板读数仪（Molecular Devices）在激发/发射波长为560/590 nm处测量荧光信号。根据构建的标准曲线计算总胆固醇浓度。</w:t>
      </w:r>
    </w:p>
    <w:p w14:paraId="1335D53B" w14:textId="77777777" w:rsidR="007B6BA0" w:rsidRPr="007B6BA0" w:rsidRDefault="007B6BA0" w:rsidP="007B6BA0">
      <w:pPr>
        <w:widowControl/>
        <w:spacing w:line="450" w:lineRule="atLeast"/>
        <w:outlineLvl w:val="2"/>
        <w:rPr>
          <w:rFonts w:ascii="微软雅黑" w:eastAsia="微软雅黑" w:hAnsi="微软雅黑" w:cs="宋体"/>
          <w:kern w:val="0"/>
          <w:sz w:val="32"/>
          <w:szCs w:val="32"/>
        </w:rPr>
      </w:pPr>
      <w:r w:rsidRPr="007B6BA0">
        <w:rPr>
          <w:rFonts w:ascii="微软雅黑" w:eastAsia="微软雅黑" w:hAnsi="微软雅黑" w:cs="宋体"/>
          <w:kern w:val="0"/>
          <w:sz w:val="32"/>
          <w:szCs w:val="32"/>
        </w:rPr>
        <w:t>RNA测序</w:t>
      </w:r>
    </w:p>
    <w:p w14:paraId="1341FBA6" w14:textId="77777777" w:rsidR="007B6BA0" w:rsidRPr="007B6BA0" w:rsidRDefault="007B6BA0" w:rsidP="007B6BA0">
      <w:pPr>
        <w:widowControl/>
        <w:spacing w:before="450"/>
        <w:rPr>
          <w:rFonts w:ascii="微软雅黑" w:eastAsia="微软雅黑" w:hAnsi="微软雅黑" w:cs="宋体"/>
          <w:kern w:val="0"/>
          <w:sz w:val="24"/>
          <w:szCs w:val="24"/>
        </w:rPr>
      </w:pPr>
      <w:r w:rsidRPr="007B6BA0">
        <w:rPr>
          <w:rFonts w:ascii="微软雅黑" w:eastAsia="微软雅黑" w:hAnsi="微软雅黑" w:cs="宋体"/>
          <w:kern w:val="0"/>
          <w:sz w:val="24"/>
          <w:szCs w:val="24"/>
        </w:rPr>
        <w:t xml:space="preserve">将细胞暴露于DMSO、0.5 µM </w:t>
      </w:r>
      <w:proofErr w:type="spellStart"/>
      <w:r w:rsidRPr="007B6BA0">
        <w:rPr>
          <w:rFonts w:ascii="微软雅黑" w:eastAsia="微软雅黑" w:hAnsi="微软雅黑" w:cs="宋体"/>
          <w:kern w:val="0"/>
          <w:sz w:val="24"/>
          <w:szCs w:val="24"/>
        </w:rPr>
        <w:t>abemaciclib</w:t>
      </w:r>
      <w:proofErr w:type="spellEnd"/>
      <w:r w:rsidRPr="007B6BA0">
        <w:rPr>
          <w:rFonts w:ascii="微软雅黑" w:eastAsia="微软雅黑" w:hAnsi="微软雅黑" w:cs="宋体"/>
          <w:kern w:val="0"/>
          <w:sz w:val="24"/>
          <w:szCs w:val="24"/>
        </w:rPr>
        <w:t>、YKL-5-124（MDA-MB-468细胞为1 µM，Hs578T细胞为0.5 µM）及其组合中48小时。按照上述方法提取和定量RNA。使用2100生物分析仪（Agilent Technologies）评估RNA完整性。使用VAHTS Universal V6 RNA-seq文库制备试剂盒（</w:t>
      </w:r>
      <w:proofErr w:type="spellStart"/>
      <w:r w:rsidRPr="007B6BA0">
        <w:rPr>
          <w:rFonts w:ascii="微软雅黑" w:eastAsia="微软雅黑" w:hAnsi="微软雅黑" w:cs="宋体"/>
          <w:kern w:val="0"/>
          <w:sz w:val="24"/>
          <w:szCs w:val="24"/>
        </w:rPr>
        <w:t>Vazyme</w:t>
      </w:r>
      <w:proofErr w:type="spellEnd"/>
      <w:r w:rsidRPr="007B6BA0">
        <w:rPr>
          <w:rFonts w:ascii="微软雅黑" w:eastAsia="微软雅黑" w:hAnsi="微软雅黑" w:cs="宋体"/>
          <w:kern w:val="0"/>
          <w:sz w:val="24"/>
          <w:szCs w:val="24"/>
        </w:rPr>
        <w:t xml:space="preserve">，NR604-01）构建RNA-Seq文库，并在Illumina </w:t>
      </w:r>
      <w:proofErr w:type="spellStart"/>
      <w:r w:rsidRPr="007B6BA0">
        <w:rPr>
          <w:rFonts w:ascii="微软雅黑" w:eastAsia="微软雅黑" w:hAnsi="微软雅黑" w:cs="宋体"/>
          <w:kern w:val="0"/>
          <w:sz w:val="24"/>
          <w:szCs w:val="24"/>
        </w:rPr>
        <w:t>NovaSeq</w:t>
      </w:r>
      <w:proofErr w:type="spellEnd"/>
      <w:r w:rsidRPr="007B6BA0">
        <w:rPr>
          <w:rFonts w:ascii="微软雅黑" w:eastAsia="微软雅黑" w:hAnsi="微软雅黑" w:cs="宋体"/>
          <w:kern w:val="0"/>
          <w:sz w:val="24"/>
          <w:szCs w:val="24"/>
        </w:rPr>
        <w:t xml:space="preserve"> 6000平台（Illumina公司）上进行测序，采用150 bp双端测序。使用</w:t>
      </w:r>
      <w:proofErr w:type="spellStart"/>
      <w:r w:rsidRPr="007B6BA0">
        <w:rPr>
          <w:rFonts w:ascii="微软雅黑" w:eastAsia="微软雅黑" w:hAnsi="微软雅黑" w:cs="宋体"/>
          <w:kern w:val="0"/>
          <w:sz w:val="24"/>
          <w:szCs w:val="24"/>
        </w:rPr>
        <w:t>fastp</w:t>
      </w:r>
      <w:proofErr w:type="spellEnd"/>
      <w:r w:rsidRPr="007B6BA0">
        <w:rPr>
          <w:rFonts w:ascii="微软雅黑" w:eastAsia="微软雅黑" w:hAnsi="微软雅黑" w:cs="宋体"/>
          <w:kern w:val="0"/>
          <w:sz w:val="24"/>
          <w:szCs w:val="24"/>
        </w:rPr>
        <w:t> </w:t>
      </w:r>
      <w:r w:rsidRPr="007B6BA0">
        <w:rPr>
          <w:rFonts w:ascii="微软雅黑" w:eastAsia="微软雅黑" w:hAnsi="微软雅黑" w:cs="宋体"/>
          <w:kern w:val="0"/>
          <w:sz w:val="24"/>
          <w:szCs w:val="24"/>
          <w:vertAlign w:val="superscript"/>
        </w:rPr>
        <w:t>[ </w:t>
      </w:r>
      <w:hyperlink r:id="rId145" w:anchor="advs10347-bib-0050" w:history="1">
        <w:r w:rsidRPr="007B6BA0">
          <w:rPr>
            <w:rFonts w:ascii="微软雅黑" w:eastAsia="微软雅黑" w:hAnsi="微软雅黑" w:cs="宋体"/>
            <w:kern w:val="0"/>
            <w:sz w:val="24"/>
            <w:szCs w:val="24"/>
            <w:u w:val="single"/>
            <w:vertAlign w:val="superscript"/>
          </w:rPr>
          <w:t>50</w:t>
        </w:r>
      </w:hyperlink>
      <w:r w:rsidRPr="007B6BA0">
        <w:rPr>
          <w:rFonts w:ascii="微软雅黑" w:eastAsia="微软雅黑" w:hAnsi="微软雅黑" w:cs="宋体"/>
          <w:kern w:val="0"/>
          <w:sz w:val="24"/>
          <w:szCs w:val="24"/>
          <w:vertAlign w:val="superscript"/>
        </w:rPr>
        <w:t> ]</w:t>
      </w:r>
      <w:r w:rsidRPr="007B6BA0">
        <w:rPr>
          <w:rFonts w:ascii="微软雅黑" w:eastAsia="微软雅黑" w:hAnsi="微软雅黑" w:cs="宋体"/>
          <w:kern w:val="0"/>
          <w:sz w:val="24"/>
          <w:szCs w:val="24"/>
        </w:rPr>
        <w:t>处理FASTQ文件以去除低质量序列，并将得到的高质量序列使用HISAT2比对</w:t>
      </w:r>
      <w:proofErr w:type="gramStart"/>
      <w:r w:rsidRPr="007B6BA0">
        <w:rPr>
          <w:rFonts w:ascii="微软雅黑" w:eastAsia="微软雅黑" w:hAnsi="微软雅黑" w:cs="宋体"/>
          <w:kern w:val="0"/>
          <w:sz w:val="24"/>
          <w:szCs w:val="24"/>
        </w:rPr>
        <w:t>至人类</w:t>
      </w:r>
      <w:proofErr w:type="gramEnd"/>
      <w:r w:rsidRPr="007B6BA0">
        <w:rPr>
          <w:rFonts w:ascii="微软雅黑" w:eastAsia="微软雅黑" w:hAnsi="微软雅黑" w:cs="宋体"/>
          <w:kern w:val="0"/>
          <w:sz w:val="24"/>
          <w:szCs w:val="24"/>
        </w:rPr>
        <w:t>参考基因组hg38。</w:t>
      </w:r>
      <w:r w:rsidRPr="007B6BA0">
        <w:rPr>
          <w:rFonts w:ascii="微软雅黑" w:eastAsia="微软雅黑" w:hAnsi="微软雅黑" w:cs="宋体"/>
          <w:kern w:val="0"/>
          <w:sz w:val="24"/>
          <w:szCs w:val="24"/>
          <w:vertAlign w:val="superscript"/>
        </w:rPr>
        <w:t>[ </w:t>
      </w:r>
      <w:hyperlink r:id="rId146" w:anchor="advs10347-bib-0051" w:history="1">
        <w:r w:rsidRPr="007B6BA0">
          <w:rPr>
            <w:rFonts w:ascii="微软雅黑" w:eastAsia="微软雅黑" w:hAnsi="微软雅黑" w:cs="宋体"/>
            <w:kern w:val="0"/>
            <w:sz w:val="24"/>
            <w:szCs w:val="24"/>
            <w:u w:val="single"/>
            <w:vertAlign w:val="superscript"/>
          </w:rPr>
          <w:t>51</w:t>
        </w:r>
      </w:hyperlink>
      <w:r w:rsidRPr="007B6BA0">
        <w:rPr>
          <w:rFonts w:ascii="微软雅黑" w:eastAsia="微软雅黑" w:hAnsi="微软雅黑" w:cs="宋体"/>
          <w:kern w:val="0"/>
          <w:sz w:val="24"/>
          <w:szCs w:val="24"/>
          <w:vertAlign w:val="superscript"/>
        </w:rPr>
        <w:t> ]</w:t>
      </w:r>
      <w:r w:rsidRPr="007B6BA0">
        <w:rPr>
          <w:rFonts w:ascii="微软雅黑" w:eastAsia="微软雅黑" w:hAnsi="微软雅黑" w:cs="宋体"/>
          <w:kern w:val="0"/>
          <w:sz w:val="24"/>
          <w:szCs w:val="24"/>
        </w:rPr>
        <w:t>使用 Cufflinks 流程生成基因表达矩阵（FPKM 值），</w:t>
      </w:r>
      <w:r w:rsidRPr="007B6BA0">
        <w:rPr>
          <w:rFonts w:ascii="微软雅黑" w:eastAsia="微软雅黑" w:hAnsi="微软雅黑" w:cs="宋体"/>
          <w:kern w:val="0"/>
          <w:sz w:val="24"/>
          <w:szCs w:val="24"/>
          <w:vertAlign w:val="superscript"/>
        </w:rPr>
        <w:t>[ </w:t>
      </w:r>
      <w:hyperlink r:id="rId147" w:anchor="advs10347-bib-0052" w:history="1">
        <w:r w:rsidRPr="007B6BA0">
          <w:rPr>
            <w:rFonts w:ascii="微软雅黑" w:eastAsia="微软雅黑" w:hAnsi="微软雅黑" w:cs="宋体"/>
            <w:kern w:val="0"/>
            <w:sz w:val="24"/>
            <w:szCs w:val="24"/>
            <w:u w:val="single"/>
            <w:vertAlign w:val="superscript"/>
          </w:rPr>
          <w:t>52</w:t>
        </w:r>
      </w:hyperlink>
      <w:r w:rsidRPr="007B6BA0">
        <w:rPr>
          <w:rFonts w:ascii="微软雅黑" w:eastAsia="微软雅黑" w:hAnsi="微软雅黑" w:cs="宋体"/>
          <w:kern w:val="0"/>
          <w:sz w:val="24"/>
          <w:szCs w:val="24"/>
          <w:vertAlign w:val="superscript"/>
        </w:rPr>
        <w:t> ]</w:t>
      </w:r>
      <w:r w:rsidRPr="007B6BA0">
        <w:rPr>
          <w:rFonts w:ascii="微软雅黑" w:eastAsia="微软雅黑" w:hAnsi="微软雅黑" w:cs="宋体"/>
          <w:kern w:val="0"/>
          <w:sz w:val="24"/>
          <w:szCs w:val="24"/>
        </w:rPr>
        <w:t>使用 DESeq2 进行差异基因表达分析（阈值：倍数变化 &gt; 2 或倍数变化 &lt; 0.5，</w:t>
      </w:r>
      <w:r w:rsidRPr="007B6BA0">
        <w:rPr>
          <w:rFonts w:ascii="微软雅黑" w:eastAsia="微软雅黑" w:hAnsi="微软雅黑" w:cs="宋体"/>
          <w:i/>
          <w:iCs/>
          <w:kern w:val="0"/>
          <w:sz w:val="24"/>
          <w:szCs w:val="24"/>
        </w:rPr>
        <w:t>p &lt; 0.05）。 </w:t>
      </w:r>
      <w:r w:rsidRPr="007B6BA0">
        <w:rPr>
          <w:rFonts w:ascii="微软雅黑" w:eastAsia="微软雅黑" w:hAnsi="微软雅黑" w:cs="宋体"/>
          <w:kern w:val="0"/>
          <w:sz w:val="24"/>
          <w:szCs w:val="24"/>
          <w:vertAlign w:val="superscript"/>
        </w:rPr>
        <w:t>[ </w:t>
      </w:r>
      <w:hyperlink r:id="rId148" w:anchor="advs10347-bib-0053" w:history="1">
        <w:r w:rsidRPr="007B6BA0">
          <w:rPr>
            <w:rFonts w:ascii="微软雅黑" w:eastAsia="微软雅黑" w:hAnsi="微软雅黑" w:cs="宋体"/>
            <w:kern w:val="0"/>
            <w:sz w:val="24"/>
            <w:szCs w:val="24"/>
            <w:u w:val="single"/>
            <w:vertAlign w:val="superscript"/>
          </w:rPr>
          <w:t>53</w:t>
        </w:r>
      </w:hyperlink>
      <w:r w:rsidRPr="007B6BA0">
        <w:rPr>
          <w:rFonts w:ascii="微软雅黑" w:eastAsia="微软雅黑" w:hAnsi="微软雅黑" w:cs="宋体"/>
          <w:kern w:val="0"/>
          <w:sz w:val="24"/>
          <w:szCs w:val="24"/>
          <w:vertAlign w:val="superscript"/>
        </w:rPr>
        <w:t> ]</w:t>
      </w:r>
      <w:r w:rsidRPr="007B6BA0">
        <w:rPr>
          <w:rFonts w:ascii="微软雅黑" w:eastAsia="微软雅黑" w:hAnsi="微软雅黑" w:cs="宋体"/>
          <w:kern w:val="0"/>
          <w:sz w:val="24"/>
          <w:szCs w:val="24"/>
        </w:rPr>
        <w:t>对于基因集富集分析 (GSEA)，采用 GSEA 软件（版本 3.0），置换类型设置为“基因集”，其他参数设置为默认值。</w:t>
      </w:r>
    </w:p>
    <w:p w14:paraId="655FC028" w14:textId="77777777" w:rsidR="007B6BA0" w:rsidRPr="007B6BA0" w:rsidRDefault="007B6BA0" w:rsidP="007B6BA0">
      <w:pPr>
        <w:widowControl/>
        <w:spacing w:line="450" w:lineRule="atLeast"/>
        <w:outlineLvl w:val="2"/>
        <w:rPr>
          <w:rFonts w:ascii="微软雅黑" w:eastAsia="微软雅黑" w:hAnsi="微软雅黑" w:cs="宋体"/>
          <w:kern w:val="0"/>
          <w:sz w:val="32"/>
          <w:szCs w:val="32"/>
        </w:rPr>
      </w:pPr>
      <w:r w:rsidRPr="007B6BA0">
        <w:rPr>
          <w:rFonts w:ascii="微软雅黑" w:eastAsia="微软雅黑" w:hAnsi="微软雅黑" w:cs="宋体"/>
          <w:kern w:val="0"/>
          <w:sz w:val="32"/>
          <w:szCs w:val="32"/>
        </w:rPr>
        <w:t>剪贴标签</w:t>
      </w:r>
    </w:p>
    <w:p w14:paraId="255BA8DB" w14:textId="77777777" w:rsidR="007B6BA0" w:rsidRPr="007B6BA0" w:rsidRDefault="007B6BA0" w:rsidP="007B6BA0">
      <w:pPr>
        <w:widowControl/>
        <w:spacing w:before="450"/>
        <w:rPr>
          <w:rFonts w:ascii="微软雅黑" w:eastAsia="微软雅黑" w:hAnsi="微软雅黑" w:cs="宋体"/>
          <w:kern w:val="0"/>
          <w:sz w:val="24"/>
          <w:szCs w:val="24"/>
        </w:rPr>
      </w:pPr>
      <w:r w:rsidRPr="007B6BA0">
        <w:rPr>
          <w:rFonts w:ascii="微软雅黑" w:eastAsia="微软雅黑" w:hAnsi="微软雅黑" w:cs="宋体"/>
          <w:kern w:val="0"/>
          <w:sz w:val="24"/>
          <w:szCs w:val="24"/>
        </w:rPr>
        <w:t>使用</w:t>
      </w:r>
      <w:proofErr w:type="spellStart"/>
      <w:r w:rsidRPr="007B6BA0">
        <w:rPr>
          <w:rFonts w:ascii="微软雅黑" w:eastAsia="微软雅黑" w:hAnsi="微软雅黑" w:cs="宋体"/>
          <w:kern w:val="0"/>
          <w:sz w:val="24"/>
          <w:szCs w:val="24"/>
        </w:rPr>
        <w:t>Vazyme</w:t>
      </w:r>
      <w:proofErr w:type="spellEnd"/>
      <w:r w:rsidRPr="007B6BA0">
        <w:rPr>
          <w:rFonts w:ascii="微软雅黑" w:eastAsia="微软雅黑" w:hAnsi="微软雅黑" w:cs="宋体"/>
          <w:kern w:val="0"/>
          <w:sz w:val="24"/>
          <w:szCs w:val="24"/>
        </w:rPr>
        <w:t xml:space="preserve">公司的Hyperactive in situ </w:t>
      </w:r>
      <w:proofErr w:type="spellStart"/>
      <w:r w:rsidRPr="007B6BA0">
        <w:rPr>
          <w:rFonts w:ascii="微软雅黑" w:eastAsia="微软雅黑" w:hAnsi="微软雅黑" w:cs="宋体"/>
          <w:kern w:val="0"/>
          <w:sz w:val="24"/>
          <w:szCs w:val="24"/>
        </w:rPr>
        <w:t>ChIP</w:t>
      </w:r>
      <w:proofErr w:type="spellEnd"/>
      <w:r w:rsidRPr="007B6BA0">
        <w:rPr>
          <w:rFonts w:ascii="微软雅黑" w:eastAsia="微软雅黑" w:hAnsi="微软雅黑" w:cs="宋体"/>
          <w:kern w:val="0"/>
          <w:sz w:val="24"/>
          <w:szCs w:val="24"/>
        </w:rPr>
        <w:t xml:space="preserve"> Library Prep Kit (</w:t>
      </w:r>
      <w:proofErr w:type="spellStart"/>
      <w:r w:rsidRPr="007B6BA0">
        <w:rPr>
          <w:rFonts w:ascii="微软雅黑" w:eastAsia="微软雅黑" w:hAnsi="微软雅黑" w:cs="宋体"/>
          <w:kern w:val="0"/>
          <w:sz w:val="24"/>
          <w:szCs w:val="24"/>
        </w:rPr>
        <w:t>pG</w:t>
      </w:r>
      <w:proofErr w:type="spellEnd"/>
      <w:r w:rsidRPr="007B6BA0">
        <w:rPr>
          <w:rFonts w:ascii="微软雅黑" w:eastAsia="微软雅黑" w:hAnsi="微软雅黑" w:cs="宋体"/>
          <w:kern w:val="0"/>
          <w:sz w:val="24"/>
          <w:szCs w:val="24"/>
        </w:rPr>
        <w:t>/pA‐Tn5) (TD901‐01)，按照制造商的方案制备</w:t>
      </w:r>
      <w:proofErr w:type="spellStart"/>
      <w:r w:rsidRPr="007B6BA0">
        <w:rPr>
          <w:rFonts w:ascii="微软雅黑" w:eastAsia="微软雅黑" w:hAnsi="微软雅黑" w:cs="宋体"/>
          <w:kern w:val="0"/>
          <w:sz w:val="24"/>
          <w:szCs w:val="24"/>
        </w:rPr>
        <w:t>CUT&amp;Tag</w:t>
      </w:r>
      <w:proofErr w:type="spellEnd"/>
      <w:r w:rsidRPr="007B6BA0">
        <w:rPr>
          <w:rFonts w:ascii="微软雅黑" w:eastAsia="微软雅黑" w:hAnsi="微软雅黑" w:cs="宋体"/>
          <w:kern w:val="0"/>
          <w:sz w:val="24"/>
          <w:szCs w:val="24"/>
        </w:rPr>
        <w:t>文库。简而言之，将预处理的</w:t>
      </w:r>
      <w:proofErr w:type="spellStart"/>
      <w:r w:rsidRPr="007B6BA0">
        <w:rPr>
          <w:rFonts w:ascii="微软雅黑" w:eastAsia="微软雅黑" w:hAnsi="微软雅黑" w:cs="宋体"/>
          <w:kern w:val="0"/>
          <w:sz w:val="24"/>
          <w:szCs w:val="24"/>
        </w:rPr>
        <w:t>ConA</w:t>
      </w:r>
      <w:proofErr w:type="spellEnd"/>
      <w:r w:rsidRPr="007B6BA0">
        <w:rPr>
          <w:rFonts w:ascii="微软雅黑" w:eastAsia="微软雅黑" w:hAnsi="微软雅黑" w:cs="宋体"/>
          <w:kern w:val="0"/>
          <w:sz w:val="24"/>
          <w:szCs w:val="24"/>
        </w:rPr>
        <w:t>磁珠与细胞在室温下于洗涤缓冲液中孵育。将</w:t>
      </w:r>
      <w:proofErr w:type="spellStart"/>
      <w:r w:rsidRPr="007B6BA0">
        <w:rPr>
          <w:rFonts w:ascii="微软雅黑" w:eastAsia="微软雅黑" w:hAnsi="微软雅黑" w:cs="宋体"/>
          <w:kern w:val="0"/>
          <w:sz w:val="24"/>
          <w:szCs w:val="24"/>
        </w:rPr>
        <w:t>ConA</w:t>
      </w:r>
      <w:proofErr w:type="spellEnd"/>
      <w:r w:rsidRPr="007B6BA0">
        <w:rPr>
          <w:rFonts w:ascii="微软雅黑" w:eastAsia="微软雅黑" w:hAnsi="微软雅黑" w:cs="宋体"/>
          <w:kern w:val="0"/>
          <w:sz w:val="24"/>
          <w:szCs w:val="24"/>
        </w:rPr>
        <w:t>结合的细胞与2 µg SREBP1抗体（Santa Cruz，sc13551）、1 µg p300抗体（CST，54062）和</w:t>
      </w:r>
      <w:r w:rsidRPr="007B6BA0">
        <w:rPr>
          <w:rFonts w:ascii="微软雅黑" w:eastAsia="微软雅黑" w:hAnsi="微软雅黑" w:cs="宋体"/>
          <w:kern w:val="0"/>
          <w:sz w:val="24"/>
          <w:szCs w:val="24"/>
        </w:rPr>
        <w:lastRenderedPageBreak/>
        <w:t>1 µg H3K27ac抗体（Abcam，ab4729）在4℃下孵育过夜。洗涤后，将样品与稀释于含洋地黄皂苷（用于细胞膜通透）的洗涤缓冲液中的</w:t>
      </w:r>
      <w:proofErr w:type="gramStart"/>
      <w:r w:rsidRPr="007B6BA0">
        <w:rPr>
          <w:rFonts w:ascii="微软雅黑" w:eastAsia="微软雅黑" w:hAnsi="微软雅黑" w:cs="宋体"/>
          <w:kern w:val="0"/>
          <w:sz w:val="24"/>
          <w:szCs w:val="24"/>
        </w:rPr>
        <w:t>二抗在</w:t>
      </w:r>
      <w:proofErr w:type="gramEnd"/>
      <w:r w:rsidRPr="007B6BA0">
        <w:rPr>
          <w:rFonts w:ascii="微软雅黑" w:eastAsia="微软雅黑" w:hAnsi="微软雅黑" w:cs="宋体"/>
          <w:kern w:val="0"/>
          <w:sz w:val="24"/>
          <w:szCs w:val="24"/>
        </w:rPr>
        <w:t xml:space="preserve">室温下孵育1小时。最后，将样品与pA‐Tn5转座酶在含洋地黄皂苷-300的缓冲液中在室温下孵育1小时。随后，将样品在37℃的片段化缓冲液中孵育1小时，以使Tn5酶切DNA片段。然后提取片段化的DNA，纯化后连接P5和P7接头，并用P5和P7引物进行扩增。使用2100生物分析仪（安捷伦科技公司）对PCR产物进行质量控制，并在Illumina </w:t>
      </w:r>
      <w:proofErr w:type="spellStart"/>
      <w:r w:rsidRPr="007B6BA0">
        <w:rPr>
          <w:rFonts w:ascii="微软雅黑" w:eastAsia="微软雅黑" w:hAnsi="微软雅黑" w:cs="宋体"/>
          <w:kern w:val="0"/>
          <w:sz w:val="24"/>
          <w:szCs w:val="24"/>
        </w:rPr>
        <w:t>NovaSeq</w:t>
      </w:r>
      <w:proofErr w:type="spellEnd"/>
      <w:r w:rsidRPr="007B6BA0">
        <w:rPr>
          <w:rFonts w:ascii="微软雅黑" w:eastAsia="微软雅黑" w:hAnsi="微软雅黑" w:cs="宋体"/>
          <w:kern w:val="0"/>
          <w:sz w:val="24"/>
          <w:szCs w:val="24"/>
        </w:rPr>
        <w:t xml:space="preserve"> 6000平台（Illumina公司）上进行测序，采用150 bp双端测序。使用</w:t>
      </w:r>
      <w:proofErr w:type="spellStart"/>
      <w:r w:rsidRPr="007B6BA0">
        <w:rPr>
          <w:rFonts w:ascii="微软雅黑" w:eastAsia="微软雅黑" w:hAnsi="微软雅黑" w:cs="宋体"/>
          <w:kern w:val="0"/>
          <w:sz w:val="24"/>
          <w:szCs w:val="24"/>
        </w:rPr>
        <w:t>fastp</w:t>
      </w:r>
      <w:proofErr w:type="spellEnd"/>
      <w:r w:rsidRPr="007B6BA0">
        <w:rPr>
          <w:rFonts w:ascii="微软雅黑" w:eastAsia="微软雅黑" w:hAnsi="微软雅黑" w:cs="宋体"/>
          <w:kern w:val="0"/>
          <w:sz w:val="24"/>
          <w:szCs w:val="24"/>
        </w:rPr>
        <w:t> </w:t>
      </w:r>
      <w:r w:rsidRPr="007B6BA0">
        <w:rPr>
          <w:rFonts w:ascii="微软雅黑" w:eastAsia="微软雅黑" w:hAnsi="微软雅黑" w:cs="宋体"/>
          <w:kern w:val="0"/>
          <w:sz w:val="24"/>
          <w:szCs w:val="24"/>
          <w:vertAlign w:val="superscript"/>
        </w:rPr>
        <w:t>[ </w:t>
      </w:r>
      <w:hyperlink r:id="rId149" w:anchor="advs10347-bib-0050" w:history="1">
        <w:r w:rsidRPr="007B6BA0">
          <w:rPr>
            <w:rFonts w:ascii="微软雅黑" w:eastAsia="微软雅黑" w:hAnsi="微软雅黑" w:cs="宋体"/>
            <w:kern w:val="0"/>
            <w:sz w:val="24"/>
            <w:szCs w:val="24"/>
            <w:u w:val="single"/>
            <w:vertAlign w:val="superscript"/>
          </w:rPr>
          <w:t>50</w:t>
        </w:r>
      </w:hyperlink>
      <w:r w:rsidRPr="007B6BA0">
        <w:rPr>
          <w:rFonts w:ascii="微软雅黑" w:eastAsia="微软雅黑" w:hAnsi="微软雅黑" w:cs="宋体"/>
          <w:kern w:val="0"/>
          <w:sz w:val="24"/>
          <w:szCs w:val="24"/>
          <w:vertAlign w:val="superscript"/>
        </w:rPr>
        <w:t> ]对原始FASTQ数据进行质量修剪，以获得高质量序列。使用Bowtie2 [ </w:t>
      </w:r>
      <w:hyperlink r:id="rId150" w:anchor="advs10347-bib-0054" w:history="1">
        <w:r w:rsidRPr="007B6BA0">
          <w:rPr>
            <w:rFonts w:ascii="微软雅黑" w:eastAsia="微软雅黑" w:hAnsi="微软雅黑" w:cs="宋体"/>
            <w:kern w:val="0"/>
            <w:sz w:val="24"/>
            <w:szCs w:val="24"/>
            <w:u w:val="single"/>
            <w:vertAlign w:val="superscript"/>
          </w:rPr>
          <w:t>54</w:t>
        </w:r>
      </w:hyperlink>
      <w:r w:rsidRPr="007B6BA0">
        <w:rPr>
          <w:rFonts w:ascii="微软雅黑" w:eastAsia="微软雅黑" w:hAnsi="微软雅黑" w:cs="宋体"/>
          <w:kern w:val="0"/>
          <w:sz w:val="24"/>
          <w:szCs w:val="24"/>
          <w:vertAlign w:val="superscript"/>
        </w:rPr>
        <w:t> ]</w:t>
      </w:r>
      <w:r w:rsidRPr="007B6BA0">
        <w:rPr>
          <w:rFonts w:ascii="微软雅黑" w:eastAsia="微软雅黑" w:hAnsi="微软雅黑" w:cs="宋体"/>
          <w:kern w:val="0"/>
          <w:sz w:val="24"/>
          <w:szCs w:val="24"/>
        </w:rPr>
        <w:t>将高质量序列比对</w:t>
      </w:r>
      <w:proofErr w:type="gramStart"/>
      <w:r w:rsidRPr="007B6BA0">
        <w:rPr>
          <w:rFonts w:ascii="微软雅黑" w:eastAsia="微软雅黑" w:hAnsi="微软雅黑" w:cs="宋体"/>
          <w:kern w:val="0"/>
          <w:sz w:val="24"/>
          <w:szCs w:val="24"/>
        </w:rPr>
        <w:t>至人类</w:t>
      </w:r>
      <w:proofErr w:type="gramEnd"/>
      <w:r w:rsidRPr="007B6BA0">
        <w:rPr>
          <w:rFonts w:ascii="微软雅黑" w:eastAsia="微软雅黑" w:hAnsi="微软雅黑" w:cs="宋体"/>
          <w:kern w:val="0"/>
          <w:sz w:val="24"/>
          <w:szCs w:val="24"/>
        </w:rPr>
        <w:t>参考基因组hg38。使用SEACR </w:t>
      </w:r>
      <w:r w:rsidRPr="007B6BA0">
        <w:rPr>
          <w:rFonts w:ascii="微软雅黑" w:eastAsia="微软雅黑" w:hAnsi="微软雅黑" w:cs="宋体"/>
          <w:kern w:val="0"/>
          <w:sz w:val="24"/>
          <w:szCs w:val="24"/>
          <w:vertAlign w:val="superscript"/>
        </w:rPr>
        <w:t>[ </w:t>
      </w:r>
      <w:hyperlink r:id="rId151" w:anchor="advs10347-bib-0055" w:history="1">
        <w:r w:rsidRPr="007B6BA0">
          <w:rPr>
            <w:rFonts w:ascii="微软雅黑" w:eastAsia="微软雅黑" w:hAnsi="微软雅黑" w:cs="宋体"/>
            <w:kern w:val="0"/>
            <w:sz w:val="24"/>
            <w:szCs w:val="24"/>
            <w:u w:val="single"/>
            <w:vertAlign w:val="superscript"/>
          </w:rPr>
          <w:t>55</w:t>
        </w:r>
      </w:hyperlink>
      <w:r w:rsidRPr="007B6BA0">
        <w:rPr>
          <w:rFonts w:ascii="微软雅黑" w:eastAsia="微软雅黑" w:hAnsi="微软雅黑" w:cs="宋体"/>
          <w:kern w:val="0"/>
          <w:sz w:val="24"/>
          <w:szCs w:val="24"/>
          <w:vertAlign w:val="superscript"/>
        </w:rPr>
        <w:t> ]</w:t>
      </w:r>
      <w:r w:rsidRPr="007B6BA0">
        <w:rPr>
          <w:rFonts w:ascii="微软雅黑" w:eastAsia="微软雅黑" w:hAnsi="微软雅黑" w:cs="宋体"/>
          <w:kern w:val="0"/>
          <w:sz w:val="24"/>
          <w:szCs w:val="24"/>
        </w:rPr>
        <w:t>进行峰值识别，并使用</w:t>
      </w:r>
      <w:proofErr w:type="spellStart"/>
      <w:r w:rsidRPr="007B6BA0">
        <w:rPr>
          <w:rFonts w:ascii="微软雅黑" w:eastAsia="微软雅黑" w:hAnsi="微软雅黑" w:cs="宋体"/>
          <w:kern w:val="0"/>
          <w:sz w:val="24"/>
          <w:szCs w:val="24"/>
        </w:rPr>
        <w:t>CHIPseeker</w:t>
      </w:r>
      <w:proofErr w:type="spellEnd"/>
      <w:r w:rsidRPr="007B6BA0">
        <w:rPr>
          <w:rFonts w:ascii="微软雅黑" w:eastAsia="微软雅黑" w:hAnsi="微软雅黑" w:cs="宋体"/>
          <w:kern w:val="0"/>
          <w:sz w:val="24"/>
          <w:szCs w:val="24"/>
        </w:rPr>
        <w:t> </w:t>
      </w:r>
      <w:r w:rsidRPr="007B6BA0">
        <w:rPr>
          <w:rFonts w:ascii="微软雅黑" w:eastAsia="微软雅黑" w:hAnsi="微软雅黑" w:cs="宋体"/>
          <w:kern w:val="0"/>
          <w:sz w:val="24"/>
          <w:szCs w:val="24"/>
          <w:vertAlign w:val="superscript"/>
        </w:rPr>
        <w:t>[ </w:t>
      </w:r>
      <w:hyperlink r:id="rId152" w:anchor="advs10347-bib-0056" w:history="1">
        <w:r w:rsidRPr="007B6BA0">
          <w:rPr>
            <w:rFonts w:ascii="微软雅黑" w:eastAsia="微软雅黑" w:hAnsi="微软雅黑" w:cs="宋体"/>
            <w:kern w:val="0"/>
            <w:sz w:val="24"/>
            <w:szCs w:val="24"/>
            <w:u w:val="single"/>
            <w:vertAlign w:val="superscript"/>
          </w:rPr>
          <w:t>56</w:t>
        </w:r>
      </w:hyperlink>
      <w:r w:rsidRPr="007B6BA0">
        <w:rPr>
          <w:rFonts w:ascii="微软雅黑" w:eastAsia="微软雅黑" w:hAnsi="微软雅黑" w:cs="宋体"/>
          <w:kern w:val="0"/>
          <w:sz w:val="24"/>
          <w:szCs w:val="24"/>
          <w:vertAlign w:val="superscript"/>
        </w:rPr>
        <w:t> ]</w:t>
      </w:r>
      <w:r w:rsidRPr="007B6BA0">
        <w:rPr>
          <w:rFonts w:ascii="微软雅黑" w:eastAsia="微软雅黑" w:hAnsi="微软雅黑" w:cs="宋体"/>
          <w:kern w:val="0"/>
          <w:sz w:val="24"/>
          <w:szCs w:val="24"/>
        </w:rPr>
        <w:t>进行峰值注释。使用IGV（版本2.16.0）可视化目标基因的峰值分布。</w:t>
      </w:r>
    </w:p>
    <w:p w14:paraId="4869A9BB" w14:textId="77777777" w:rsidR="007B6BA0" w:rsidRPr="007B6BA0" w:rsidRDefault="007B6BA0" w:rsidP="007B6BA0">
      <w:pPr>
        <w:widowControl/>
        <w:spacing w:line="450" w:lineRule="atLeast"/>
        <w:outlineLvl w:val="2"/>
        <w:rPr>
          <w:rFonts w:ascii="微软雅黑" w:eastAsia="微软雅黑" w:hAnsi="微软雅黑" w:cs="宋体"/>
          <w:kern w:val="0"/>
          <w:sz w:val="32"/>
          <w:szCs w:val="32"/>
        </w:rPr>
      </w:pPr>
      <w:r w:rsidRPr="007B6BA0">
        <w:rPr>
          <w:rFonts w:ascii="微软雅黑" w:eastAsia="微软雅黑" w:hAnsi="微软雅黑" w:cs="宋体"/>
          <w:kern w:val="0"/>
          <w:sz w:val="32"/>
          <w:szCs w:val="32"/>
        </w:rPr>
        <w:t>临床样本</w:t>
      </w:r>
    </w:p>
    <w:p w14:paraId="18A1526A" w14:textId="77777777" w:rsidR="007B6BA0" w:rsidRPr="007B6BA0" w:rsidRDefault="007B6BA0" w:rsidP="007B6BA0">
      <w:pPr>
        <w:widowControl/>
        <w:spacing w:before="450"/>
        <w:rPr>
          <w:rFonts w:ascii="微软雅黑" w:eastAsia="微软雅黑" w:hAnsi="微软雅黑" w:cs="宋体"/>
          <w:kern w:val="0"/>
          <w:sz w:val="24"/>
          <w:szCs w:val="24"/>
        </w:rPr>
      </w:pPr>
      <w:r w:rsidRPr="007B6BA0">
        <w:rPr>
          <w:rFonts w:ascii="微软雅黑" w:eastAsia="微软雅黑" w:hAnsi="微软雅黑" w:cs="宋体"/>
          <w:kern w:val="0"/>
          <w:sz w:val="24"/>
          <w:szCs w:val="24"/>
        </w:rPr>
        <w:t>本研究使用的FUSCC-TNBC队列的RNA-Seq数据来源于复旦大学上海肿瘤防治中心（序列读取档案数据集：SRP157974）。样本采集和数据生成的详细信息可参见既往文献</w:t>
      </w:r>
      <w:r w:rsidRPr="007B6BA0">
        <w:rPr>
          <w:rFonts w:ascii="微软雅黑" w:eastAsia="微软雅黑" w:hAnsi="微软雅黑" w:cs="宋体"/>
          <w:kern w:val="0"/>
          <w:sz w:val="24"/>
          <w:szCs w:val="24"/>
          <w:vertAlign w:val="superscript"/>
        </w:rPr>
        <w:t>[ </w:t>
      </w:r>
      <w:hyperlink r:id="rId153" w:anchor="advs10347-bib-0057" w:history="1">
        <w:r w:rsidRPr="007B6BA0">
          <w:rPr>
            <w:rFonts w:ascii="微软雅黑" w:eastAsia="微软雅黑" w:hAnsi="微软雅黑" w:cs="宋体"/>
            <w:kern w:val="0"/>
            <w:sz w:val="24"/>
            <w:szCs w:val="24"/>
            <w:u w:val="single"/>
            <w:vertAlign w:val="superscript"/>
          </w:rPr>
          <w:t>57</w:t>
        </w:r>
      </w:hyperlink>
      <w:r w:rsidRPr="007B6BA0">
        <w:rPr>
          <w:rFonts w:ascii="微软雅黑" w:eastAsia="微软雅黑" w:hAnsi="微软雅黑" w:cs="宋体"/>
          <w:kern w:val="0"/>
          <w:sz w:val="24"/>
          <w:szCs w:val="24"/>
          <w:vertAlign w:val="superscript"/>
        </w:rPr>
        <w:t> ]</w:t>
      </w:r>
      <w:r w:rsidRPr="007B6BA0">
        <w:rPr>
          <w:rFonts w:ascii="微软雅黑" w:eastAsia="微软雅黑" w:hAnsi="微软雅黑" w:cs="宋体"/>
          <w:kern w:val="0"/>
          <w:sz w:val="24"/>
          <w:szCs w:val="24"/>
        </w:rPr>
        <w:t> 。本研究回顾性分析了2007年1月至2014年11月期间诊断为TNBC的360例女性患者。随访数据更新至2019年6月，中位随访时间为67.1个月（四分位间距，53.8-79.9个月）。FOXM1、SREBF1和EP300表达以及GSVA评分的临界值均使用</w:t>
      </w:r>
      <w:proofErr w:type="spellStart"/>
      <w:r w:rsidRPr="007B6BA0">
        <w:rPr>
          <w:rFonts w:ascii="微软雅黑" w:eastAsia="微软雅黑" w:hAnsi="微软雅黑" w:cs="宋体"/>
          <w:kern w:val="0"/>
          <w:sz w:val="24"/>
          <w:szCs w:val="24"/>
        </w:rPr>
        <w:t>survminer</w:t>
      </w:r>
      <w:proofErr w:type="spellEnd"/>
      <w:r w:rsidRPr="007B6BA0">
        <w:rPr>
          <w:rFonts w:ascii="微软雅黑" w:eastAsia="微软雅黑" w:hAnsi="微软雅黑" w:cs="宋体"/>
          <w:kern w:val="0"/>
          <w:sz w:val="24"/>
          <w:szCs w:val="24"/>
        </w:rPr>
        <w:t>软件包中的“</w:t>
      </w:r>
      <w:proofErr w:type="spellStart"/>
      <w:r w:rsidRPr="007B6BA0">
        <w:rPr>
          <w:rFonts w:ascii="微软雅黑" w:eastAsia="微软雅黑" w:hAnsi="微软雅黑" w:cs="宋体"/>
          <w:kern w:val="0"/>
          <w:sz w:val="24"/>
          <w:szCs w:val="24"/>
        </w:rPr>
        <w:t>surv_cutpoint</w:t>
      </w:r>
      <w:proofErr w:type="spellEnd"/>
      <w:r w:rsidRPr="007B6BA0">
        <w:rPr>
          <w:rFonts w:ascii="微软雅黑" w:eastAsia="微软雅黑" w:hAnsi="微软雅黑" w:cs="宋体"/>
          <w:kern w:val="0"/>
          <w:sz w:val="24"/>
          <w:szCs w:val="24"/>
        </w:rPr>
        <w:t>”函数确定。所有涉及人类受试者的程序均符合1964年《赫尔辛基宣言》的规定。临床样本的采集遵循复中肿瘤伦理委员会批准的方案，每位患者均提供了书面知情同意书。</w:t>
      </w:r>
    </w:p>
    <w:p w14:paraId="7FE35A10" w14:textId="77777777" w:rsidR="007B6BA0" w:rsidRPr="007B6BA0" w:rsidRDefault="007B6BA0" w:rsidP="007B6BA0">
      <w:pPr>
        <w:widowControl/>
        <w:spacing w:line="450" w:lineRule="atLeast"/>
        <w:outlineLvl w:val="2"/>
        <w:rPr>
          <w:rFonts w:ascii="微软雅黑" w:eastAsia="微软雅黑" w:hAnsi="微软雅黑" w:cs="宋体"/>
          <w:kern w:val="0"/>
          <w:sz w:val="32"/>
          <w:szCs w:val="32"/>
        </w:rPr>
      </w:pPr>
      <w:r w:rsidRPr="007B6BA0">
        <w:rPr>
          <w:rFonts w:ascii="微软雅黑" w:eastAsia="微软雅黑" w:hAnsi="微软雅黑" w:cs="宋体"/>
          <w:kern w:val="0"/>
          <w:sz w:val="32"/>
          <w:szCs w:val="32"/>
        </w:rPr>
        <w:lastRenderedPageBreak/>
        <w:t>公共数据分析</w:t>
      </w:r>
    </w:p>
    <w:p w14:paraId="5003026F" w14:textId="2C6C4227" w:rsidR="007B6BA0" w:rsidRPr="007B6BA0" w:rsidRDefault="007B6BA0" w:rsidP="007B6BA0">
      <w:pPr>
        <w:widowControl/>
        <w:spacing w:before="450"/>
        <w:rPr>
          <w:rFonts w:ascii="微软雅黑" w:eastAsia="微软雅黑" w:hAnsi="微软雅黑" w:cs="宋体"/>
          <w:kern w:val="0"/>
          <w:sz w:val="24"/>
          <w:szCs w:val="24"/>
        </w:rPr>
      </w:pPr>
      <w:r w:rsidRPr="007B6BA0">
        <w:rPr>
          <w:rFonts w:ascii="微软雅黑" w:eastAsia="微软雅黑" w:hAnsi="微软雅黑" w:cs="宋体"/>
          <w:kern w:val="0"/>
          <w:sz w:val="24"/>
          <w:szCs w:val="24"/>
        </w:rPr>
        <w:t>使用 Kaplan-Meier Plotter 网站对 KM 图基线队列进行生存分析。CRISPR 依赖性数据</w:t>
      </w:r>
      <w:proofErr w:type="gramStart"/>
      <w:r w:rsidRPr="007B6BA0">
        <w:rPr>
          <w:rFonts w:ascii="微软雅黑" w:eastAsia="微软雅黑" w:hAnsi="微软雅黑" w:cs="宋体"/>
          <w:kern w:val="0"/>
          <w:sz w:val="24"/>
          <w:szCs w:val="24"/>
        </w:rPr>
        <w:t>提取自</w:t>
      </w:r>
      <w:proofErr w:type="gramEnd"/>
      <w:r w:rsidRPr="007B6BA0">
        <w:rPr>
          <w:rFonts w:ascii="微软雅黑" w:eastAsia="微软雅黑" w:hAnsi="微软雅黑" w:cs="宋体"/>
          <w:kern w:val="0"/>
          <w:sz w:val="24"/>
          <w:szCs w:val="24"/>
        </w:rPr>
        <w:t xml:space="preserve"> </w:t>
      </w:r>
      <w:proofErr w:type="spellStart"/>
      <w:r w:rsidRPr="007B6BA0">
        <w:rPr>
          <w:rFonts w:ascii="微软雅黑" w:eastAsia="微软雅黑" w:hAnsi="微软雅黑" w:cs="宋体"/>
          <w:kern w:val="0"/>
          <w:sz w:val="24"/>
          <w:szCs w:val="24"/>
        </w:rPr>
        <w:t>DepMap</w:t>
      </w:r>
      <w:proofErr w:type="spellEnd"/>
      <w:r w:rsidRPr="007B6BA0">
        <w:rPr>
          <w:rFonts w:ascii="微软雅黑" w:eastAsia="微软雅黑" w:hAnsi="微软雅黑" w:cs="宋体"/>
          <w:kern w:val="0"/>
          <w:sz w:val="24"/>
          <w:szCs w:val="24"/>
        </w:rPr>
        <w:t xml:space="preserve"> Public 22Q1 </w:t>
      </w:r>
      <w:proofErr w:type="spellStart"/>
      <w:r w:rsidRPr="007B6BA0">
        <w:rPr>
          <w:rFonts w:ascii="微软雅黑" w:eastAsia="微软雅黑" w:hAnsi="微软雅黑" w:cs="宋体"/>
          <w:kern w:val="0"/>
          <w:sz w:val="24"/>
          <w:szCs w:val="24"/>
        </w:rPr>
        <w:t>Public+Score</w:t>
      </w:r>
      <w:proofErr w:type="spellEnd"/>
      <w:r w:rsidRPr="007B6BA0">
        <w:rPr>
          <w:rFonts w:ascii="微软雅黑" w:eastAsia="微软雅黑" w:hAnsi="微软雅黑" w:cs="宋体"/>
          <w:kern w:val="0"/>
          <w:sz w:val="24"/>
          <w:szCs w:val="24"/>
        </w:rPr>
        <w:t xml:space="preserve"> Chronos 数据集，而 RNA 干扰 (RNAi) 依赖性数据则来源于 </w:t>
      </w:r>
      <w:proofErr w:type="spellStart"/>
      <w:r w:rsidRPr="007B6BA0">
        <w:rPr>
          <w:rFonts w:ascii="微软雅黑" w:eastAsia="微软雅黑" w:hAnsi="微软雅黑" w:cs="宋体"/>
          <w:kern w:val="0"/>
          <w:sz w:val="24"/>
          <w:szCs w:val="24"/>
        </w:rPr>
        <w:t>Achilles+DRIVE+Marcotte</w:t>
      </w:r>
      <w:proofErr w:type="spellEnd"/>
      <w:r w:rsidRPr="007B6BA0">
        <w:rPr>
          <w:rFonts w:ascii="微软雅黑" w:eastAsia="微软雅黑" w:hAnsi="微软雅黑" w:cs="宋体"/>
          <w:kern w:val="0"/>
          <w:sz w:val="24"/>
          <w:szCs w:val="24"/>
        </w:rPr>
        <w:t xml:space="preserve"> DEMETER2 数据集。这些基因依赖性</w:t>
      </w:r>
      <w:proofErr w:type="gramStart"/>
      <w:r w:rsidRPr="007B6BA0">
        <w:rPr>
          <w:rFonts w:ascii="微软雅黑" w:eastAsia="微软雅黑" w:hAnsi="微软雅黑" w:cs="宋体"/>
          <w:kern w:val="0"/>
          <w:sz w:val="24"/>
          <w:szCs w:val="24"/>
        </w:rPr>
        <w:t>数据集均可</w:t>
      </w:r>
      <w:proofErr w:type="gramEnd"/>
      <w:r w:rsidRPr="007B6BA0">
        <w:rPr>
          <w:rFonts w:ascii="微软雅黑" w:eastAsia="微软雅黑" w:hAnsi="微软雅黑" w:cs="宋体"/>
          <w:kern w:val="0"/>
          <w:sz w:val="24"/>
          <w:szCs w:val="24"/>
        </w:rPr>
        <w:t xml:space="preserve">从 Broad Institute </w:t>
      </w:r>
      <w:proofErr w:type="spellStart"/>
      <w:r w:rsidRPr="007B6BA0">
        <w:rPr>
          <w:rFonts w:ascii="微软雅黑" w:eastAsia="微软雅黑" w:hAnsi="微软雅黑" w:cs="宋体"/>
          <w:kern w:val="0"/>
          <w:sz w:val="24"/>
          <w:szCs w:val="24"/>
        </w:rPr>
        <w:t>DepMap</w:t>
      </w:r>
      <w:proofErr w:type="spellEnd"/>
      <w:r w:rsidRPr="007B6BA0">
        <w:rPr>
          <w:rFonts w:ascii="微软雅黑" w:eastAsia="微软雅黑" w:hAnsi="微软雅黑" w:cs="宋体"/>
          <w:kern w:val="0"/>
          <w:sz w:val="24"/>
          <w:szCs w:val="24"/>
        </w:rPr>
        <w:t xml:space="preserve"> 门户网站获取。</w:t>
      </w:r>
    </w:p>
    <w:p w14:paraId="1E814873" w14:textId="77777777" w:rsidR="007B6BA0" w:rsidRPr="007B6BA0" w:rsidRDefault="007B6BA0" w:rsidP="007B6BA0">
      <w:pPr>
        <w:widowControl/>
        <w:spacing w:line="450" w:lineRule="atLeast"/>
        <w:outlineLvl w:val="2"/>
        <w:rPr>
          <w:rFonts w:ascii="微软雅黑" w:eastAsia="微软雅黑" w:hAnsi="微软雅黑" w:cs="宋体"/>
          <w:kern w:val="0"/>
          <w:sz w:val="32"/>
          <w:szCs w:val="32"/>
        </w:rPr>
      </w:pPr>
      <w:r w:rsidRPr="007B6BA0">
        <w:rPr>
          <w:rFonts w:ascii="微软雅黑" w:eastAsia="微软雅黑" w:hAnsi="微软雅黑" w:cs="宋体"/>
          <w:kern w:val="0"/>
          <w:sz w:val="32"/>
          <w:szCs w:val="32"/>
        </w:rPr>
        <w:t>统计分析</w:t>
      </w:r>
    </w:p>
    <w:p w14:paraId="60C51B5F" w14:textId="77777777" w:rsidR="007B6BA0" w:rsidRPr="007B6BA0" w:rsidRDefault="007B6BA0" w:rsidP="007B6BA0">
      <w:pPr>
        <w:widowControl/>
        <w:spacing w:before="450"/>
        <w:rPr>
          <w:rFonts w:ascii="微软雅黑" w:eastAsia="微软雅黑" w:hAnsi="微软雅黑" w:cs="宋体"/>
          <w:kern w:val="0"/>
          <w:sz w:val="24"/>
          <w:szCs w:val="24"/>
        </w:rPr>
      </w:pPr>
      <w:r w:rsidRPr="007B6BA0">
        <w:rPr>
          <w:rFonts w:ascii="微软雅黑" w:eastAsia="微软雅黑" w:hAnsi="微软雅黑" w:cs="宋体"/>
          <w:kern w:val="0"/>
          <w:sz w:val="24"/>
          <w:szCs w:val="24"/>
        </w:rPr>
        <w:t>统计分析采用 GraphPad Prism（版本 9.5.0）和 R 软件（版本 4.3.0）进行。两组间的比较根据情况采用双尾非配对 Student's </w:t>
      </w:r>
      <w:r w:rsidRPr="007B6BA0">
        <w:rPr>
          <w:rFonts w:ascii="微软雅黑" w:eastAsia="微软雅黑" w:hAnsi="微软雅黑" w:cs="宋体"/>
          <w:i/>
          <w:iCs/>
          <w:kern w:val="0"/>
          <w:sz w:val="24"/>
          <w:szCs w:val="24"/>
        </w:rPr>
        <w:t>t</w:t>
      </w:r>
      <w:r w:rsidRPr="007B6BA0">
        <w:rPr>
          <w:rFonts w:ascii="微软雅黑" w:eastAsia="微软雅黑" w:hAnsi="微软雅黑" w:cs="宋体"/>
          <w:kern w:val="0"/>
          <w:sz w:val="24"/>
          <w:szCs w:val="24"/>
        </w:rPr>
        <w:t>检验或单因素方差分析 (ANOVA)。为评估生长曲线和 IC50 曲线之间的差异，采用</w:t>
      </w:r>
      <w:proofErr w:type="gramStart"/>
      <w:r w:rsidRPr="007B6BA0">
        <w:rPr>
          <w:rFonts w:ascii="微软雅黑" w:eastAsia="微软雅黑" w:hAnsi="微软雅黑" w:cs="宋体"/>
          <w:kern w:val="0"/>
          <w:sz w:val="24"/>
          <w:szCs w:val="24"/>
        </w:rPr>
        <w:t>双因素</w:t>
      </w:r>
      <w:proofErr w:type="gramEnd"/>
      <w:r w:rsidRPr="007B6BA0">
        <w:rPr>
          <w:rFonts w:ascii="微软雅黑" w:eastAsia="微软雅黑" w:hAnsi="微软雅黑" w:cs="宋体"/>
          <w:kern w:val="0"/>
          <w:sz w:val="24"/>
          <w:szCs w:val="24"/>
        </w:rPr>
        <w:t xml:space="preserve">方差分析。正态分布数据采用 Pearson 相关系数进行相关性分析，非正态分布数据采用 Spearman 相关系数进行相关性分析。生存曲线采用 Kaplan-Meier 法绘制，并使用对数秩检验进行比较。GSVA 评分利用 R Studio 中的 GSVA 包，基于 FUSCC-TNBC </w:t>
      </w:r>
      <w:proofErr w:type="gramStart"/>
      <w:r w:rsidRPr="007B6BA0">
        <w:rPr>
          <w:rFonts w:ascii="微软雅黑" w:eastAsia="微软雅黑" w:hAnsi="微软雅黑" w:cs="宋体"/>
          <w:kern w:val="0"/>
          <w:sz w:val="24"/>
          <w:szCs w:val="24"/>
        </w:rPr>
        <w:t>转录组</w:t>
      </w:r>
      <w:proofErr w:type="gramEnd"/>
      <w:r w:rsidRPr="007B6BA0">
        <w:rPr>
          <w:rFonts w:ascii="微软雅黑" w:eastAsia="微软雅黑" w:hAnsi="微软雅黑" w:cs="宋体"/>
          <w:kern w:val="0"/>
          <w:sz w:val="24"/>
          <w:szCs w:val="24"/>
        </w:rPr>
        <w:t>数据计算得出。双侧</w:t>
      </w:r>
      <w:r w:rsidRPr="007B6BA0">
        <w:rPr>
          <w:rFonts w:ascii="微软雅黑" w:eastAsia="微软雅黑" w:hAnsi="微软雅黑" w:cs="宋体"/>
          <w:i/>
          <w:iCs/>
          <w:kern w:val="0"/>
          <w:sz w:val="24"/>
          <w:szCs w:val="24"/>
        </w:rPr>
        <w:t>p</w:t>
      </w:r>
      <w:r w:rsidRPr="007B6BA0">
        <w:rPr>
          <w:rFonts w:ascii="微软雅黑" w:eastAsia="微软雅黑" w:hAnsi="微软雅黑" w:cs="宋体"/>
          <w:kern w:val="0"/>
          <w:sz w:val="24"/>
          <w:szCs w:val="24"/>
        </w:rPr>
        <w:t> &lt; 0.05 被认为具有统计学意义，</w:t>
      </w:r>
      <w:r w:rsidRPr="007B6BA0">
        <w:rPr>
          <w:rFonts w:ascii="微软雅黑" w:eastAsia="微软雅黑" w:hAnsi="微软雅黑" w:cs="宋体"/>
          <w:i/>
          <w:iCs/>
          <w:kern w:val="0"/>
          <w:sz w:val="24"/>
          <w:szCs w:val="24"/>
        </w:rPr>
        <w:t>p</w:t>
      </w:r>
      <w:r w:rsidRPr="007B6BA0">
        <w:rPr>
          <w:rFonts w:ascii="微软雅黑" w:eastAsia="微软雅黑" w:hAnsi="微软雅黑" w:cs="宋体"/>
          <w:kern w:val="0"/>
          <w:sz w:val="24"/>
          <w:szCs w:val="24"/>
        </w:rPr>
        <w:t>值分别表示为 * </w:t>
      </w:r>
      <w:r w:rsidRPr="007B6BA0">
        <w:rPr>
          <w:rFonts w:ascii="微软雅黑" w:eastAsia="微软雅黑" w:hAnsi="微软雅黑" w:cs="宋体"/>
          <w:i/>
          <w:iCs/>
          <w:kern w:val="0"/>
          <w:sz w:val="24"/>
          <w:szCs w:val="24"/>
        </w:rPr>
        <w:t>p</w:t>
      </w:r>
      <w:r w:rsidRPr="007B6BA0">
        <w:rPr>
          <w:rFonts w:ascii="微软雅黑" w:eastAsia="微软雅黑" w:hAnsi="微软雅黑" w:cs="宋体"/>
          <w:kern w:val="0"/>
          <w:sz w:val="24"/>
          <w:szCs w:val="24"/>
        </w:rPr>
        <w:t> &lt; 0.05、** </w:t>
      </w:r>
      <w:r w:rsidRPr="007B6BA0">
        <w:rPr>
          <w:rFonts w:ascii="微软雅黑" w:eastAsia="微软雅黑" w:hAnsi="微软雅黑" w:cs="宋体"/>
          <w:i/>
          <w:iCs/>
          <w:kern w:val="0"/>
          <w:sz w:val="24"/>
          <w:szCs w:val="24"/>
        </w:rPr>
        <w:t>p</w:t>
      </w:r>
      <w:r w:rsidRPr="007B6BA0">
        <w:rPr>
          <w:rFonts w:ascii="微软雅黑" w:eastAsia="微软雅黑" w:hAnsi="微软雅黑" w:cs="宋体"/>
          <w:kern w:val="0"/>
          <w:sz w:val="24"/>
          <w:szCs w:val="24"/>
        </w:rPr>
        <w:t> &lt; 0.01、*** </w:t>
      </w:r>
      <w:r w:rsidRPr="007B6BA0">
        <w:rPr>
          <w:rFonts w:ascii="微软雅黑" w:eastAsia="微软雅黑" w:hAnsi="微软雅黑" w:cs="宋体"/>
          <w:i/>
          <w:iCs/>
          <w:kern w:val="0"/>
          <w:sz w:val="24"/>
          <w:szCs w:val="24"/>
        </w:rPr>
        <w:t>p</w:t>
      </w:r>
      <w:r w:rsidRPr="007B6BA0">
        <w:rPr>
          <w:rFonts w:ascii="微软雅黑" w:eastAsia="微软雅黑" w:hAnsi="微软雅黑" w:cs="宋体"/>
          <w:kern w:val="0"/>
          <w:sz w:val="24"/>
          <w:szCs w:val="24"/>
        </w:rPr>
        <w:t> &lt; 0.001 和 **** </w:t>
      </w:r>
      <w:r w:rsidRPr="007B6BA0">
        <w:rPr>
          <w:rFonts w:ascii="微软雅黑" w:eastAsia="微软雅黑" w:hAnsi="微软雅黑" w:cs="宋体"/>
          <w:i/>
          <w:iCs/>
          <w:kern w:val="0"/>
          <w:sz w:val="24"/>
          <w:szCs w:val="24"/>
        </w:rPr>
        <w:t>p</w:t>
      </w:r>
      <w:r w:rsidRPr="007B6BA0">
        <w:rPr>
          <w:rFonts w:ascii="微软雅黑" w:eastAsia="微软雅黑" w:hAnsi="微软雅黑" w:cs="宋体"/>
          <w:kern w:val="0"/>
          <w:sz w:val="24"/>
          <w:szCs w:val="24"/>
        </w:rPr>
        <w:t> &lt; 0.0001。</w:t>
      </w:r>
    </w:p>
    <w:p w14:paraId="05ED4B46" w14:textId="77777777" w:rsidR="006C2E4B" w:rsidRPr="005E56A4" w:rsidRDefault="006C2E4B" w:rsidP="007B6BA0">
      <w:pPr>
        <w:rPr>
          <w:rFonts w:ascii="微软雅黑" w:eastAsia="微软雅黑" w:hAnsi="微软雅黑"/>
        </w:rPr>
      </w:pPr>
    </w:p>
    <w:sectPr w:rsidR="006C2E4B" w:rsidRPr="005E56A4">
      <w:pgSz w:w="11906" w:h="16838"/>
      <w:pgMar w:top="1440" w:right="1800" w:bottom="1440" w:left="1800" w:header="720" w:footer="720"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MS Gothic">
    <w:altName w:val="ＭＳ ゴシック"/>
    <w:panose1 w:val="020B0609070205080204"/>
    <w:charset w:val="80"/>
    <w:family w:val="modern"/>
    <w:pitch w:val="fixed"/>
    <w:sig w:usb0="E00002FF" w:usb1="6AC7FDFB" w:usb2="08000012" w:usb3="00000000" w:csb0="0002009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EAB7601"/>
    <w:multiLevelType w:val="multilevel"/>
    <w:tmpl w:val="934E87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2E4B"/>
    <w:rsid w:val="005E56A4"/>
    <w:rsid w:val="006C2E4B"/>
    <w:rsid w:val="007B6B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81F024"/>
  <w15:chartTrackingRefBased/>
  <w15:docId w15:val="{CF6064D1-BF8B-48E0-9085-C2C5CD8106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link w:val="10"/>
    <w:uiPriority w:val="9"/>
    <w:qFormat/>
    <w:rsid w:val="007B6BA0"/>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link w:val="20"/>
    <w:uiPriority w:val="9"/>
    <w:qFormat/>
    <w:rsid w:val="007B6BA0"/>
    <w:pPr>
      <w:widowControl/>
      <w:spacing w:before="100" w:beforeAutospacing="1" w:after="100" w:afterAutospacing="1"/>
      <w:jc w:val="left"/>
      <w:outlineLvl w:val="1"/>
    </w:pPr>
    <w:rPr>
      <w:rFonts w:ascii="宋体" w:eastAsia="宋体" w:hAnsi="宋体" w:cs="宋体"/>
      <w:b/>
      <w:bCs/>
      <w:kern w:val="0"/>
      <w:sz w:val="36"/>
      <w:szCs w:val="36"/>
    </w:rPr>
  </w:style>
  <w:style w:type="paragraph" w:styleId="3">
    <w:name w:val="heading 3"/>
    <w:basedOn w:val="a"/>
    <w:link w:val="30"/>
    <w:uiPriority w:val="9"/>
    <w:qFormat/>
    <w:rsid w:val="007B6BA0"/>
    <w:pPr>
      <w:widowControl/>
      <w:spacing w:before="100" w:beforeAutospacing="1" w:after="100" w:afterAutospacing="1"/>
      <w:jc w:val="left"/>
      <w:outlineLvl w:val="2"/>
    </w:pPr>
    <w:rPr>
      <w:rFonts w:ascii="宋体" w:eastAsia="宋体" w:hAnsi="宋体" w:cs="宋体"/>
      <w:b/>
      <w:bCs/>
      <w:kern w:val="0"/>
      <w:sz w:val="27"/>
      <w:szCs w:val="27"/>
    </w:rPr>
  </w:style>
  <w:style w:type="paragraph" w:styleId="4">
    <w:name w:val="heading 4"/>
    <w:basedOn w:val="a"/>
    <w:link w:val="40"/>
    <w:uiPriority w:val="9"/>
    <w:qFormat/>
    <w:rsid w:val="007B6BA0"/>
    <w:pPr>
      <w:widowControl/>
      <w:spacing w:before="100" w:beforeAutospacing="1" w:after="100" w:afterAutospacing="1"/>
      <w:jc w:val="left"/>
      <w:outlineLvl w:val="3"/>
    </w:pPr>
    <w:rPr>
      <w:rFonts w:ascii="宋体" w:eastAsia="宋体" w:hAnsi="宋体" w:cs="宋体"/>
      <w:b/>
      <w:bCs/>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7B6BA0"/>
    <w:rPr>
      <w:rFonts w:ascii="宋体" w:eastAsia="宋体" w:hAnsi="宋体" w:cs="宋体"/>
      <w:b/>
      <w:bCs/>
      <w:kern w:val="36"/>
      <w:sz w:val="48"/>
      <w:szCs w:val="48"/>
    </w:rPr>
  </w:style>
  <w:style w:type="character" w:customStyle="1" w:styleId="20">
    <w:name w:val="标题 2 字符"/>
    <w:basedOn w:val="a0"/>
    <w:link w:val="2"/>
    <w:uiPriority w:val="9"/>
    <w:rsid w:val="007B6BA0"/>
    <w:rPr>
      <w:rFonts w:ascii="宋体" w:eastAsia="宋体" w:hAnsi="宋体" w:cs="宋体"/>
      <w:b/>
      <w:bCs/>
      <w:kern w:val="0"/>
      <w:sz w:val="36"/>
      <w:szCs w:val="36"/>
    </w:rPr>
  </w:style>
  <w:style w:type="character" w:customStyle="1" w:styleId="30">
    <w:name w:val="标题 3 字符"/>
    <w:basedOn w:val="a0"/>
    <w:link w:val="3"/>
    <w:uiPriority w:val="9"/>
    <w:rsid w:val="007B6BA0"/>
    <w:rPr>
      <w:rFonts w:ascii="宋体" w:eastAsia="宋体" w:hAnsi="宋体" w:cs="宋体"/>
      <w:b/>
      <w:bCs/>
      <w:kern w:val="0"/>
      <w:sz w:val="27"/>
      <w:szCs w:val="27"/>
    </w:rPr>
  </w:style>
  <w:style w:type="character" w:customStyle="1" w:styleId="40">
    <w:name w:val="标题 4 字符"/>
    <w:basedOn w:val="a0"/>
    <w:link w:val="4"/>
    <w:uiPriority w:val="9"/>
    <w:rsid w:val="007B6BA0"/>
    <w:rPr>
      <w:rFonts w:ascii="宋体" w:eastAsia="宋体" w:hAnsi="宋体" w:cs="宋体"/>
      <w:b/>
      <w:bCs/>
      <w:kern w:val="0"/>
      <w:sz w:val="24"/>
      <w:szCs w:val="24"/>
    </w:rPr>
  </w:style>
  <w:style w:type="paragraph" w:customStyle="1" w:styleId="msonormal0">
    <w:name w:val="msonormal"/>
    <w:basedOn w:val="a"/>
    <w:rsid w:val="007B6BA0"/>
    <w:pPr>
      <w:widowControl/>
      <w:spacing w:before="100" w:beforeAutospacing="1" w:after="100" w:afterAutospacing="1"/>
      <w:jc w:val="left"/>
    </w:pPr>
    <w:rPr>
      <w:rFonts w:ascii="宋体" w:eastAsia="宋体" w:hAnsi="宋体" w:cs="宋体"/>
      <w:kern w:val="0"/>
      <w:sz w:val="24"/>
      <w:szCs w:val="24"/>
    </w:rPr>
  </w:style>
  <w:style w:type="character" w:styleId="a3">
    <w:name w:val="Hyperlink"/>
    <w:basedOn w:val="a0"/>
    <w:uiPriority w:val="99"/>
    <w:semiHidden/>
    <w:unhideWhenUsed/>
    <w:rsid w:val="007B6BA0"/>
    <w:rPr>
      <w:color w:val="0000FF"/>
      <w:u w:val="single"/>
    </w:rPr>
  </w:style>
  <w:style w:type="character" w:styleId="a4">
    <w:name w:val="FollowedHyperlink"/>
    <w:basedOn w:val="a0"/>
    <w:uiPriority w:val="99"/>
    <w:semiHidden/>
    <w:unhideWhenUsed/>
    <w:rsid w:val="007B6BA0"/>
    <w:rPr>
      <w:color w:val="800080"/>
      <w:u w:val="single"/>
    </w:rPr>
  </w:style>
  <w:style w:type="character" w:customStyle="1" w:styleId="name">
    <w:name w:val="name"/>
    <w:basedOn w:val="a0"/>
    <w:rsid w:val="007B6BA0"/>
  </w:style>
  <w:style w:type="paragraph" w:styleId="a5">
    <w:name w:val="Normal (Web)"/>
    <w:basedOn w:val="a"/>
    <w:uiPriority w:val="99"/>
    <w:semiHidden/>
    <w:unhideWhenUsed/>
    <w:rsid w:val="007B6BA0"/>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7B6BA0"/>
    <w:rPr>
      <w:b/>
      <w:bCs/>
    </w:rPr>
  </w:style>
  <w:style w:type="paragraph" w:customStyle="1" w:styleId="img-box">
    <w:name w:val="img-box"/>
    <w:basedOn w:val="a"/>
    <w:rsid w:val="007B6BA0"/>
    <w:pPr>
      <w:widowControl/>
      <w:spacing w:before="100" w:beforeAutospacing="1" w:after="100" w:afterAutospacing="1"/>
      <w:jc w:val="left"/>
    </w:pPr>
    <w:rPr>
      <w:rFonts w:ascii="宋体" w:eastAsia="宋体" w:hAnsi="宋体" w:cs="宋体"/>
      <w:kern w:val="0"/>
      <w:sz w:val="24"/>
      <w:szCs w:val="24"/>
    </w:rPr>
  </w:style>
  <w:style w:type="character" w:styleId="a7">
    <w:name w:val="Emphasis"/>
    <w:basedOn w:val="a0"/>
    <w:uiPriority w:val="20"/>
    <w:qFormat/>
    <w:rsid w:val="007B6BA0"/>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66600199">
      <w:bodyDiv w:val="1"/>
      <w:marLeft w:val="0"/>
      <w:marRight w:val="0"/>
      <w:marTop w:val="0"/>
      <w:marBottom w:val="0"/>
      <w:divBdr>
        <w:top w:val="none" w:sz="0" w:space="0" w:color="auto"/>
        <w:left w:val="none" w:sz="0" w:space="0" w:color="auto"/>
        <w:bottom w:val="none" w:sz="0" w:space="0" w:color="auto"/>
        <w:right w:val="none" w:sz="0" w:space="0" w:color="auto"/>
      </w:divBdr>
      <w:divsChild>
        <w:div w:id="283391935">
          <w:marLeft w:val="0"/>
          <w:marRight w:val="0"/>
          <w:marTop w:val="0"/>
          <w:marBottom w:val="0"/>
          <w:divBdr>
            <w:top w:val="none" w:sz="0" w:space="0" w:color="auto"/>
            <w:left w:val="none" w:sz="0" w:space="0" w:color="auto"/>
            <w:bottom w:val="none" w:sz="0" w:space="0" w:color="auto"/>
            <w:right w:val="none" w:sz="0" w:space="0" w:color="auto"/>
          </w:divBdr>
          <w:divsChild>
            <w:div w:id="2139104740">
              <w:marLeft w:val="0"/>
              <w:marRight w:val="0"/>
              <w:marTop w:val="225"/>
              <w:marBottom w:val="0"/>
              <w:divBdr>
                <w:top w:val="none" w:sz="0" w:space="0" w:color="auto"/>
                <w:left w:val="none" w:sz="0" w:space="0" w:color="auto"/>
                <w:bottom w:val="none" w:sz="0" w:space="0" w:color="auto"/>
                <w:right w:val="none" w:sz="0" w:space="0" w:color="auto"/>
              </w:divBdr>
            </w:div>
            <w:div w:id="1861309133">
              <w:marLeft w:val="0"/>
              <w:marRight w:val="0"/>
              <w:marTop w:val="0"/>
              <w:marBottom w:val="0"/>
              <w:divBdr>
                <w:top w:val="none" w:sz="0" w:space="0" w:color="auto"/>
                <w:left w:val="none" w:sz="0" w:space="0" w:color="auto"/>
                <w:bottom w:val="none" w:sz="0" w:space="0" w:color="auto"/>
                <w:right w:val="none" w:sz="0" w:space="0" w:color="auto"/>
              </w:divBdr>
            </w:div>
          </w:divsChild>
        </w:div>
        <w:div w:id="869491818">
          <w:marLeft w:val="0"/>
          <w:marRight w:val="0"/>
          <w:marTop w:val="450"/>
          <w:marBottom w:val="0"/>
          <w:divBdr>
            <w:top w:val="none" w:sz="0" w:space="0" w:color="auto"/>
            <w:left w:val="none" w:sz="0" w:space="0" w:color="auto"/>
            <w:bottom w:val="none" w:sz="0" w:space="0" w:color="auto"/>
            <w:right w:val="none" w:sz="0" w:space="0" w:color="auto"/>
          </w:divBdr>
        </w:div>
        <w:div w:id="1749418917">
          <w:marLeft w:val="0"/>
          <w:marRight w:val="0"/>
          <w:marTop w:val="450"/>
          <w:marBottom w:val="0"/>
          <w:divBdr>
            <w:top w:val="none" w:sz="0" w:space="0" w:color="auto"/>
            <w:left w:val="none" w:sz="0" w:space="0" w:color="auto"/>
            <w:bottom w:val="none" w:sz="0" w:space="0" w:color="auto"/>
            <w:right w:val="none" w:sz="0" w:space="0" w:color="auto"/>
          </w:divBdr>
        </w:div>
        <w:div w:id="1726834900">
          <w:marLeft w:val="0"/>
          <w:marRight w:val="0"/>
          <w:marTop w:val="450"/>
          <w:marBottom w:val="0"/>
          <w:divBdr>
            <w:top w:val="none" w:sz="0" w:space="0" w:color="auto"/>
            <w:left w:val="none" w:sz="0" w:space="0" w:color="auto"/>
            <w:bottom w:val="none" w:sz="0" w:space="0" w:color="auto"/>
            <w:right w:val="none" w:sz="0" w:space="0" w:color="auto"/>
          </w:divBdr>
        </w:div>
        <w:div w:id="1182939268">
          <w:marLeft w:val="0"/>
          <w:marRight w:val="0"/>
          <w:marTop w:val="450"/>
          <w:marBottom w:val="0"/>
          <w:divBdr>
            <w:top w:val="none" w:sz="0" w:space="0" w:color="auto"/>
            <w:left w:val="none" w:sz="0" w:space="0" w:color="auto"/>
            <w:bottom w:val="none" w:sz="0" w:space="0" w:color="auto"/>
            <w:right w:val="none" w:sz="0" w:space="0" w:color="auto"/>
          </w:divBdr>
        </w:div>
        <w:div w:id="720329954">
          <w:marLeft w:val="0"/>
          <w:marRight w:val="0"/>
          <w:marTop w:val="450"/>
          <w:marBottom w:val="0"/>
          <w:divBdr>
            <w:top w:val="none" w:sz="0" w:space="0" w:color="auto"/>
            <w:left w:val="none" w:sz="0" w:space="0" w:color="auto"/>
            <w:bottom w:val="none" w:sz="0" w:space="0" w:color="auto"/>
            <w:right w:val="none" w:sz="0" w:space="0" w:color="auto"/>
          </w:divBdr>
        </w:div>
        <w:div w:id="1692297309">
          <w:marLeft w:val="0"/>
          <w:marRight w:val="0"/>
          <w:marTop w:val="45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pmc.ncbi.nlm.nih.gov/articles/PMC11791979/" TargetMode="External"/><Relationship Id="rId21" Type="http://schemas.openxmlformats.org/officeDocument/2006/relationships/hyperlink" Target="https://pmc.ncbi.nlm.nih.gov/articles/PMC11791979/" TargetMode="External"/><Relationship Id="rId42" Type="http://schemas.openxmlformats.org/officeDocument/2006/relationships/hyperlink" Target="https://pmc.ncbi.nlm.nih.gov/articles/PMC11791979/" TargetMode="External"/><Relationship Id="rId63" Type="http://schemas.openxmlformats.org/officeDocument/2006/relationships/hyperlink" Target="https://pmc.ncbi.nlm.nih.gov/articles/PMC11791979/" TargetMode="External"/><Relationship Id="rId84" Type="http://schemas.openxmlformats.org/officeDocument/2006/relationships/hyperlink" Target="https://pmc.ncbi.nlm.nih.gov/articles/PMC11791979/" TargetMode="External"/><Relationship Id="rId138" Type="http://schemas.openxmlformats.org/officeDocument/2006/relationships/hyperlink" Target="https://pmc.ncbi.nlm.nih.gov/articles/PMC11791979/" TargetMode="External"/><Relationship Id="rId107" Type="http://schemas.openxmlformats.org/officeDocument/2006/relationships/hyperlink" Target="https://pmc.ncbi.nlm.nih.gov/articles/PMC11791979/" TargetMode="External"/><Relationship Id="rId11" Type="http://schemas.openxmlformats.org/officeDocument/2006/relationships/hyperlink" Target="https://pmc.ncbi.nlm.nih.gov/articles/PMC11791979/" TargetMode="External"/><Relationship Id="rId32" Type="http://schemas.openxmlformats.org/officeDocument/2006/relationships/hyperlink" Target="https://pmc.ncbi.nlm.nih.gov/articles/PMC11791979/" TargetMode="External"/><Relationship Id="rId53" Type="http://schemas.openxmlformats.org/officeDocument/2006/relationships/hyperlink" Target="https://pmc.ncbi.nlm.nih.gov/articles/PMC11791979/" TargetMode="External"/><Relationship Id="rId74" Type="http://schemas.openxmlformats.org/officeDocument/2006/relationships/hyperlink" Target="https://pmc.ncbi.nlm.nih.gov/articles/PMC11791979/" TargetMode="External"/><Relationship Id="rId128" Type="http://schemas.openxmlformats.org/officeDocument/2006/relationships/hyperlink" Target="https://pmc.ncbi.nlm.nih.gov/articles/PMC11791979/" TargetMode="External"/><Relationship Id="rId149" Type="http://schemas.openxmlformats.org/officeDocument/2006/relationships/hyperlink" Target="https://pmc.ncbi.nlm.nih.gov/articles/PMC11791979/" TargetMode="External"/><Relationship Id="rId5" Type="http://schemas.openxmlformats.org/officeDocument/2006/relationships/hyperlink" Target="https://pmc.ncbi.nlm.nih.gov/articles/PMC11791979/" TargetMode="External"/><Relationship Id="rId95" Type="http://schemas.openxmlformats.org/officeDocument/2006/relationships/hyperlink" Target="https://pmc.ncbi.nlm.nih.gov/articles/PMC11791979/" TargetMode="External"/><Relationship Id="rId22" Type="http://schemas.openxmlformats.org/officeDocument/2006/relationships/hyperlink" Target="https://pmc.ncbi.nlm.nih.gov/articles/PMC11791979/" TargetMode="External"/><Relationship Id="rId27" Type="http://schemas.openxmlformats.org/officeDocument/2006/relationships/hyperlink" Target="https://pmc.ncbi.nlm.nih.gov/articles/PMC11791979/" TargetMode="External"/><Relationship Id="rId43" Type="http://schemas.openxmlformats.org/officeDocument/2006/relationships/hyperlink" Target="https://pmc.ncbi.nlm.nih.gov/articles/PMC11791979/" TargetMode="External"/><Relationship Id="rId48" Type="http://schemas.openxmlformats.org/officeDocument/2006/relationships/hyperlink" Target="https://pmc.ncbi.nlm.nih.gov/articles/PMC11791979/" TargetMode="External"/><Relationship Id="rId64" Type="http://schemas.openxmlformats.org/officeDocument/2006/relationships/image" Target="media/image2.jpeg"/><Relationship Id="rId69" Type="http://schemas.openxmlformats.org/officeDocument/2006/relationships/hyperlink" Target="https://pmc.ncbi.nlm.nih.gov/articles/PMC11791979/" TargetMode="External"/><Relationship Id="rId113" Type="http://schemas.openxmlformats.org/officeDocument/2006/relationships/image" Target="media/image5.jpeg"/><Relationship Id="rId118" Type="http://schemas.openxmlformats.org/officeDocument/2006/relationships/hyperlink" Target="https://pmc.ncbi.nlm.nih.gov/articles/PMC11791979/" TargetMode="External"/><Relationship Id="rId134" Type="http://schemas.openxmlformats.org/officeDocument/2006/relationships/hyperlink" Target="https://pmc.ncbi.nlm.nih.gov/articles/PMC11791979/" TargetMode="External"/><Relationship Id="rId139" Type="http://schemas.openxmlformats.org/officeDocument/2006/relationships/hyperlink" Target="https://pmc.ncbi.nlm.nih.gov/articles/PMC11791979/" TargetMode="External"/><Relationship Id="rId80" Type="http://schemas.openxmlformats.org/officeDocument/2006/relationships/image" Target="media/image3.jpeg"/><Relationship Id="rId85" Type="http://schemas.openxmlformats.org/officeDocument/2006/relationships/hyperlink" Target="https://pmc.ncbi.nlm.nih.gov/articles/PMC11791979/" TargetMode="External"/><Relationship Id="rId150" Type="http://schemas.openxmlformats.org/officeDocument/2006/relationships/hyperlink" Target="https://pmc.ncbi.nlm.nih.gov/articles/PMC11791979/" TargetMode="External"/><Relationship Id="rId155" Type="http://schemas.openxmlformats.org/officeDocument/2006/relationships/theme" Target="theme/theme1.xml"/><Relationship Id="rId12" Type="http://schemas.openxmlformats.org/officeDocument/2006/relationships/hyperlink" Target="https://pmc.ncbi.nlm.nih.gov/articles/PMC11791979/" TargetMode="External"/><Relationship Id="rId17" Type="http://schemas.openxmlformats.org/officeDocument/2006/relationships/hyperlink" Target="https://pmc.ncbi.nlm.nih.gov/articles/PMC11791979/" TargetMode="External"/><Relationship Id="rId33" Type="http://schemas.openxmlformats.org/officeDocument/2006/relationships/hyperlink" Target="https://pmc.ncbi.nlm.nih.gov/articles/PMC11791979/" TargetMode="External"/><Relationship Id="rId38" Type="http://schemas.openxmlformats.org/officeDocument/2006/relationships/hyperlink" Target="https://pmc.ncbi.nlm.nih.gov/articles/PMC11791979/" TargetMode="External"/><Relationship Id="rId59" Type="http://schemas.openxmlformats.org/officeDocument/2006/relationships/hyperlink" Target="https://pmc.ncbi.nlm.nih.gov/articles/PMC11791979/" TargetMode="External"/><Relationship Id="rId103" Type="http://schemas.openxmlformats.org/officeDocument/2006/relationships/hyperlink" Target="https://pmc.ncbi.nlm.nih.gov/articles/PMC11791979/" TargetMode="External"/><Relationship Id="rId108" Type="http://schemas.openxmlformats.org/officeDocument/2006/relationships/hyperlink" Target="https://pmc.ncbi.nlm.nih.gov/articles/PMC11791979/" TargetMode="External"/><Relationship Id="rId124" Type="http://schemas.openxmlformats.org/officeDocument/2006/relationships/hyperlink" Target="https://pmc.ncbi.nlm.nih.gov/articles/PMC11791979/" TargetMode="External"/><Relationship Id="rId129" Type="http://schemas.openxmlformats.org/officeDocument/2006/relationships/hyperlink" Target="https://pmc.ncbi.nlm.nih.gov/articles/PMC11791979/" TargetMode="External"/><Relationship Id="rId54" Type="http://schemas.openxmlformats.org/officeDocument/2006/relationships/hyperlink" Target="https://pmc.ncbi.nlm.nih.gov/articles/PMC11791979/" TargetMode="External"/><Relationship Id="rId70" Type="http://schemas.openxmlformats.org/officeDocument/2006/relationships/hyperlink" Target="https://pmc.ncbi.nlm.nih.gov/articles/PMC11791979/" TargetMode="External"/><Relationship Id="rId75" Type="http://schemas.openxmlformats.org/officeDocument/2006/relationships/hyperlink" Target="https://pmc.ncbi.nlm.nih.gov/articles/PMC11791979/" TargetMode="External"/><Relationship Id="rId91" Type="http://schemas.openxmlformats.org/officeDocument/2006/relationships/hyperlink" Target="https://pmc.ncbi.nlm.nih.gov/articles/PMC11791979/" TargetMode="External"/><Relationship Id="rId96" Type="http://schemas.openxmlformats.org/officeDocument/2006/relationships/hyperlink" Target="https://pmc.ncbi.nlm.nih.gov/articles/PMC11791979/" TargetMode="External"/><Relationship Id="rId140" Type="http://schemas.openxmlformats.org/officeDocument/2006/relationships/hyperlink" Target="https://pmc.ncbi.nlm.nih.gov/articles/PMC11791979/" TargetMode="External"/><Relationship Id="rId145" Type="http://schemas.openxmlformats.org/officeDocument/2006/relationships/hyperlink" Target="https://pmc.ncbi.nlm.nih.gov/articles/PMC11791979/" TargetMode="External"/><Relationship Id="rId1" Type="http://schemas.openxmlformats.org/officeDocument/2006/relationships/numbering" Target="numbering.xml"/><Relationship Id="rId6" Type="http://schemas.openxmlformats.org/officeDocument/2006/relationships/hyperlink" Target="https://pmc.ncbi.nlm.nih.gov/articles/PMC11791979/" TargetMode="External"/><Relationship Id="rId23" Type="http://schemas.openxmlformats.org/officeDocument/2006/relationships/hyperlink" Target="https://pmc.ncbi.nlm.nih.gov/articles/PMC11791979/" TargetMode="External"/><Relationship Id="rId28" Type="http://schemas.openxmlformats.org/officeDocument/2006/relationships/hyperlink" Target="https://pmc.ncbi.nlm.nih.gov/articles/PMC11791979/" TargetMode="External"/><Relationship Id="rId49" Type="http://schemas.openxmlformats.org/officeDocument/2006/relationships/image" Target="media/image1.jpeg"/><Relationship Id="rId114" Type="http://schemas.openxmlformats.org/officeDocument/2006/relationships/hyperlink" Target="https://pmc.ncbi.nlm.nih.gov/articles/PMC11791979/" TargetMode="External"/><Relationship Id="rId119" Type="http://schemas.openxmlformats.org/officeDocument/2006/relationships/hyperlink" Target="https://pmc.ncbi.nlm.nih.gov/articles/PMC11791979/" TargetMode="External"/><Relationship Id="rId44" Type="http://schemas.openxmlformats.org/officeDocument/2006/relationships/hyperlink" Target="https://pmc.ncbi.nlm.nih.gov/articles/PMC11791979/" TargetMode="External"/><Relationship Id="rId60" Type="http://schemas.openxmlformats.org/officeDocument/2006/relationships/hyperlink" Target="https://pmc.ncbi.nlm.nih.gov/articles/PMC11791979/" TargetMode="External"/><Relationship Id="rId65" Type="http://schemas.openxmlformats.org/officeDocument/2006/relationships/hyperlink" Target="https://pmc.ncbi.nlm.nih.gov/articles/PMC11791979/" TargetMode="External"/><Relationship Id="rId81" Type="http://schemas.openxmlformats.org/officeDocument/2006/relationships/hyperlink" Target="https://pmc.ncbi.nlm.nih.gov/articles/PMC11791979/" TargetMode="External"/><Relationship Id="rId86" Type="http://schemas.openxmlformats.org/officeDocument/2006/relationships/hyperlink" Target="https://pmc.ncbi.nlm.nih.gov/articles/PMC11791979/" TargetMode="External"/><Relationship Id="rId130" Type="http://schemas.openxmlformats.org/officeDocument/2006/relationships/hyperlink" Target="https://pmc.ncbi.nlm.nih.gov/articles/PMC11791979/" TargetMode="External"/><Relationship Id="rId135" Type="http://schemas.openxmlformats.org/officeDocument/2006/relationships/hyperlink" Target="https://pmc.ncbi.nlm.nih.gov/articles/PMC11791979/" TargetMode="External"/><Relationship Id="rId151" Type="http://schemas.openxmlformats.org/officeDocument/2006/relationships/hyperlink" Target="https://pmc.ncbi.nlm.nih.gov/articles/PMC11791979/" TargetMode="External"/><Relationship Id="rId13" Type="http://schemas.openxmlformats.org/officeDocument/2006/relationships/hyperlink" Target="https://pmc.ncbi.nlm.nih.gov/articles/PMC11791979/" TargetMode="External"/><Relationship Id="rId18" Type="http://schemas.openxmlformats.org/officeDocument/2006/relationships/hyperlink" Target="https://pmc.ncbi.nlm.nih.gov/articles/PMC11791979/" TargetMode="External"/><Relationship Id="rId39" Type="http://schemas.openxmlformats.org/officeDocument/2006/relationships/hyperlink" Target="https://pmc.ncbi.nlm.nih.gov/articles/PMC11791979/" TargetMode="External"/><Relationship Id="rId109" Type="http://schemas.openxmlformats.org/officeDocument/2006/relationships/hyperlink" Target="https://pmc.ncbi.nlm.nih.gov/articles/PMC11791979/" TargetMode="External"/><Relationship Id="rId34" Type="http://schemas.openxmlformats.org/officeDocument/2006/relationships/hyperlink" Target="https://pmc.ncbi.nlm.nih.gov/articles/PMC11791979/" TargetMode="External"/><Relationship Id="rId50" Type="http://schemas.openxmlformats.org/officeDocument/2006/relationships/hyperlink" Target="https://pmc.ncbi.nlm.nih.gov/articles/PMC11791979/" TargetMode="External"/><Relationship Id="rId55" Type="http://schemas.openxmlformats.org/officeDocument/2006/relationships/hyperlink" Target="https://pmc.ncbi.nlm.nih.gov/articles/PMC11791979/" TargetMode="External"/><Relationship Id="rId76" Type="http://schemas.openxmlformats.org/officeDocument/2006/relationships/hyperlink" Target="https://pmc.ncbi.nlm.nih.gov/articles/PMC11791979/" TargetMode="External"/><Relationship Id="rId97" Type="http://schemas.openxmlformats.org/officeDocument/2006/relationships/hyperlink" Target="https://pmc.ncbi.nlm.nih.gov/articles/PMC11791979/" TargetMode="External"/><Relationship Id="rId104" Type="http://schemas.openxmlformats.org/officeDocument/2006/relationships/hyperlink" Target="https://pmc.ncbi.nlm.nih.gov/articles/PMC11791979/" TargetMode="External"/><Relationship Id="rId120" Type="http://schemas.openxmlformats.org/officeDocument/2006/relationships/image" Target="media/image6.jpeg"/><Relationship Id="rId125" Type="http://schemas.openxmlformats.org/officeDocument/2006/relationships/hyperlink" Target="https://pmc.ncbi.nlm.nih.gov/articles/PMC11791979/" TargetMode="External"/><Relationship Id="rId141" Type="http://schemas.openxmlformats.org/officeDocument/2006/relationships/hyperlink" Target="https://pmc.ncbi.nlm.nih.gov/articles/PMC11791979/" TargetMode="External"/><Relationship Id="rId146" Type="http://schemas.openxmlformats.org/officeDocument/2006/relationships/hyperlink" Target="https://pmc.ncbi.nlm.nih.gov/articles/PMC11791979/" TargetMode="External"/><Relationship Id="rId7" Type="http://schemas.openxmlformats.org/officeDocument/2006/relationships/hyperlink" Target="https://pmc.ncbi.nlm.nih.gov/articles/PMC11791979/" TargetMode="External"/><Relationship Id="rId71" Type="http://schemas.openxmlformats.org/officeDocument/2006/relationships/hyperlink" Target="https://pmc.ncbi.nlm.nih.gov/articles/PMC11791979/" TargetMode="External"/><Relationship Id="rId92" Type="http://schemas.openxmlformats.org/officeDocument/2006/relationships/image" Target="media/image4.jpeg"/><Relationship Id="rId2" Type="http://schemas.openxmlformats.org/officeDocument/2006/relationships/styles" Target="styles.xml"/><Relationship Id="rId29" Type="http://schemas.openxmlformats.org/officeDocument/2006/relationships/hyperlink" Target="https://pmc.ncbi.nlm.nih.gov/articles/PMC11791979/" TargetMode="External"/><Relationship Id="rId24" Type="http://schemas.openxmlformats.org/officeDocument/2006/relationships/hyperlink" Target="https://pmc.ncbi.nlm.nih.gov/articles/PMC11791979/" TargetMode="External"/><Relationship Id="rId40" Type="http://schemas.openxmlformats.org/officeDocument/2006/relationships/hyperlink" Target="https://pmc.ncbi.nlm.nih.gov/articles/PMC11791979/" TargetMode="External"/><Relationship Id="rId45" Type="http://schemas.openxmlformats.org/officeDocument/2006/relationships/hyperlink" Target="https://pmc.ncbi.nlm.nih.gov/articles/PMC11791979/" TargetMode="External"/><Relationship Id="rId66" Type="http://schemas.openxmlformats.org/officeDocument/2006/relationships/hyperlink" Target="https://pmc.ncbi.nlm.nih.gov/articles/PMC11791979/" TargetMode="External"/><Relationship Id="rId87" Type="http://schemas.openxmlformats.org/officeDocument/2006/relationships/hyperlink" Target="https://pmc.ncbi.nlm.nih.gov/articles/PMC11791979/" TargetMode="External"/><Relationship Id="rId110" Type="http://schemas.openxmlformats.org/officeDocument/2006/relationships/hyperlink" Target="https://pmc.ncbi.nlm.nih.gov/articles/PMC11791979/" TargetMode="External"/><Relationship Id="rId115" Type="http://schemas.openxmlformats.org/officeDocument/2006/relationships/hyperlink" Target="https://pmc.ncbi.nlm.nih.gov/articles/PMC11791979/" TargetMode="External"/><Relationship Id="rId131" Type="http://schemas.openxmlformats.org/officeDocument/2006/relationships/hyperlink" Target="https://pmc.ncbi.nlm.nih.gov/articles/PMC11791979/" TargetMode="External"/><Relationship Id="rId136" Type="http://schemas.openxmlformats.org/officeDocument/2006/relationships/hyperlink" Target="https://pmc.ncbi.nlm.nih.gov/articles/PMC11791979/" TargetMode="External"/><Relationship Id="rId61" Type="http://schemas.openxmlformats.org/officeDocument/2006/relationships/hyperlink" Target="https://pmc.ncbi.nlm.nih.gov/articles/PMC11791979/" TargetMode="External"/><Relationship Id="rId82" Type="http://schemas.openxmlformats.org/officeDocument/2006/relationships/hyperlink" Target="https://pmc.ncbi.nlm.nih.gov/articles/PMC11791979/" TargetMode="External"/><Relationship Id="rId152" Type="http://schemas.openxmlformats.org/officeDocument/2006/relationships/hyperlink" Target="https://pmc.ncbi.nlm.nih.gov/articles/PMC11791979/" TargetMode="External"/><Relationship Id="rId19" Type="http://schemas.openxmlformats.org/officeDocument/2006/relationships/hyperlink" Target="https://pmc.ncbi.nlm.nih.gov/articles/PMC11791979/" TargetMode="External"/><Relationship Id="rId14" Type="http://schemas.openxmlformats.org/officeDocument/2006/relationships/hyperlink" Target="https://pmc.ncbi.nlm.nih.gov/articles/PMC11791979/" TargetMode="External"/><Relationship Id="rId30" Type="http://schemas.openxmlformats.org/officeDocument/2006/relationships/hyperlink" Target="https://pmc.ncbi.nlm.nih.gov/articles/PMC11791979/" TargetMode="External"/><Relationship Id="rId35" Type="http://schemas.openxmlformats.org/officeDocument/2006/relationships/hyperlink" Target="https://pmc.ncbi.nlm.nih.gov/articles/PMC11791979/" TargetMode="External"/><Relationship Id="rId56" Type="http://schemas.openxmlformats.org/officeDocument/2006/relationships/hyperlink" Target="https://pmc.ncbi.nlm.nih.gov/articles/PMC11791979/" TargetMode="External"/><Relationship Id="rId77" Type="http://schemas.openxmlformats.org/officeDocument/2006/relationships/hyperlink" Target="https://pmc.ncbi.nlm.nih.gov/articles/PMC11791979/" TargetMode="External"/><Relationship Id="rId100" Type="http://schemas.openxmlformats.org/officeDocument/2006/relationships/hyperlink" Target="https://pmc.ncbi.nlm.nih.gov/articles/PMC11791979/" TargetMode="External"/><Relationship Id="rId105" Type="http://schemas.openxmlformats.org/officeDocument/2006/relationships/hyperlink" Target="https://pmc.ncbi.nlm.nih.gov/articles/PMC11791979/" TargetMode="External"/><Relationship Id="rId126" Type="http://schemas.openxmlformats.org/officeDocument/2006/relationships/hyperlink" Target="https://pmc.ncbi.nlm.nih.gov/articles/PMC11791979/" TargetMode="External"/><Relationship Id="rId147" Type="http://schemas.openxmlformats.org/officeDocument/2006/relationships/hyperlink" Target="https://pmc.ncbi.nlm.nih.gov/articles/PMC11791979/" TargetMode="External"/><Relationship Id="rId8" Type="http://schemas.openxmlformats.org/officeDocument/2006/relationships/hyperlink" Target="https://pmc.ncbi.nlm.nih.gov/articles/PMC11791979/" TargetMode="External"/><Relationship Id="rId51" Type="http://schemas.openxmlformats.org/officeDocument/2006/relationships/hyperlink" Target="https://pmc.ncbi.nlm.nih.gov/articles/PMC11791979/" TargetMode="External"/><Relationship Id="rId72" Type="http://schemas.openxmlformats.org/officeDocument/2006/relationships/hyperlink" Target="https://pmc.ncbi.nlm.nih.gov/articles/PMC11791979/" TargetMode="External"/><Relationship Id="rId93" Type="http://schemas.openxmlformats.org/officeDocument/2006/relationships/hyperlink" Target="https://pmc.ncbi.nlm.nih.gov/articles/PMC11791979/" TargetMode="External"/><Relationship Id="rId98" Type="http://schemas.openxmlformats.org/officeDocument/2006/relationships/hyperlink" Target="https://pmc.ncbi.nlm.nih.gov/articles/PMC11791979/" TargetMode="External"/><Relationship Id="rId121" Type="http://schemas.openxmlformats.org/officeDocument/2006/relationships/hyperlink" Target="https://pmc.ncbi.nlm.nih.gov/articles/PMC11791979/" TargetMode="External"/><Relationship Id="rId142" Type="http://schemas.openxmlformats.org/officeDocument/2006/relationships/hyperlink" Target="https://pmc.ncbi.nlm.nih.gov/articles/PMC11791979/" TargetMode="External"/><Relationship Id="rId3" Type="http://schemas.openxmlformats.org/officeDocument/2006/relationships/settings" Target="settings.xml"/><Relationship Id="rId25" Type="http://schemas.openxmlformats.org/officeDocument/2006/relationships/hyperlink" Target="https://pmc.ncbi.nlm.nih.gov/articles/PMC11791979/" TargetMode="External"/><Relationship Id="rId46" Type="http://schemas.openxmlformats.org/officeDocument/2006/relationships/hyperlink" Target="https://pmc.ncbi.nlm.nih.gov/articles/PMC11791979/" TargetMode="External"/><Relationship Id="rId67" Type="http://schemas.openxmlformats.org/officeDocument/2006/relationships/hyperlink" Target="https://pmc.ncbi.nlm.nih.gov/articles/PMC11791979/" TargetMode="External"/><Relationship Id="rId116" Type="http://schemas.openxmlformats.org/officeDocument/2006/relationships/hyperlink" Target="https://pmc.ncbi.nlm.nih.gov/articles/PMC11791979/" TargetMode="External"/><Relationship Id="rId137" Type="http://schemas.openxmlformats.org/officeDocument/2006/relationships/hyperlink" Target="https://pmc.ncbi.nlm.nih.gov/articles/PMC11791979/" TargetMode="External"/><Relationship Id="rId20" Type="http://schemas.openxmlformats.org/officeDocument/2006/relationships/hyperlink" Target="https://pmc.ncbi.nlm.nih.gov/articles/PMC11791979/" TargetMode="External"/><Relationship Id="rId41" Type="http://schemas.openxmlformats.org/officeDocument/2006/relationships/hyperlink" Target="https://pmc.ncbi.nlm.nih.gov/articles/PMC11791979/" TargetMode="External"/><Relationship Id="rId62" Type="http://schemas.openxmlformats.org/officeDocument/2006/relationships/hyperlink" Target="https://pmc.ncbi.nlm.nih.gov/articles/PMC11791979/" TargetMode="External"/><Relationship Id="rId83" Type="http://schemas.openxmlformats.org/officeDocument/2006/relationships/hyperlink" Target="https://pmc.ncbi.nlm.nih.gov/articles/PMC11791979/" TargetMode="External"/><Relationship Id="rId88" Type="http://schemas.openxmlformats.org/officeDocument/2006/relationships/hyperlink" Target="https://pmc.ncbi.nlm.nih.gov/articles/PMC11791979/" TargetMode="External"/><Relationship Id="rId111" Type="http://schemas.openxmlformats.org/officeDocument/2006/relationships/hyperlink" Target="https://pmc.ncbi.nlm.nih.gov/articles/PMC11791979/" TargetMode="External"/><Relationship Id="rId132" Type="http://schemas.openxmlformats.org/officeDocument/2006/relationships/hyperlink" Target="https://pmc.ncbi.nlm.nih.gov/articles/PMC11791979/" TargetMode="External"/><Relationship Id="rId153" Type="http://schemas.openxmlformats.org/officeDocument/2006/relationships/hyperlink" Target="https://pmc.ncbi.nlm.nih.gov/articles/PMC11791979/" TargetMode="External"/><Relationship Id="rId15" Type="http://schemas.openxmlformats.org/officeDocument/2006/relationships/hyperlink" Target="https://pmc.ncbi.nlm.nih.gov/articles/PMC11791979/" TargetMode="External"/><Relationship Id="rId36" Type="http://schemas.openxmlformats.org/officeDocument/2006/relationships/hyperlink" Target="https://pmc.ncbi.nlm.nih.gov/articles/PMC11791979/" TargetMode="External"/><Relationship Id="rId57" Type="http://schemas.openxmlformats.org/officeDocument/2006/relationships/hyperlink" Target="https://pmc.ncbi.nlm.nih.gov/articles/PMC11791979/" TargetMode="External"/><Relationship Id="rId106" Type="http://schemas.openxmlformats.org/officeDocument/2006/relationships/hyperlink" Target="https://pmc.ncbi.nlm.nih.gov/articles/PMC11791979/" TargetMode="External"/><Relationship Id="rId127" Type="http://schemas.openxmlformats.org/officeDocument/2006/relationships/hyperlink" Target="https://pmc.ncbi.nlm.nih.gov/articles/PMC11791979/" TargetMode="External"/><Relationship Id="rId10" Type="http://schemas.openxmlformats.org/officeDocument/2006/relationships/hyperlink" Target="https://pmc.ncbi.nlm.nih.gov/articles/PMC11791979/" TargetMode="External"/><Relationship Id="rId31" Type="http://schemas.openxmlformats.org/officeDocument/2006/relationships/hyperlink" Target="https://pmc.ncbi.nlm.nih.gov/articles/PMC11791979/" TargetMode="External"/><Relationship Id="rId52" Type="http://schemas.openxmlformats.org/officeDocument/2006/relationships/hyperlink" Target="https://pmc.ncbi.nlm.nih.gov/articles/PMC11791979/" TargetMode="External"/><Relationship Id="rId73" Type="http://schemas.openxmlformats.org/officeDocument/2006/relationships/hyperlink" Target="https://pmc.ncbi.nlm.nih.gov/articles/PMC11791979/" TargetMode="External"/><Relationship Id="rId78" Type="http://schemas.openxmlformats.org/officeDocument/2006/relationships/hyperlink" Target="https://pmc.ncbi.nlm.nih.gov/articles/PMC11791979/" TargetMode="External"/><Relationship Id="rId94" Type="http://schemas.openxmlformats.org/officeDocument/2006/relationships/hyperlink" Target="https://pmc.ncbi.nlm.nih.gov/articles/PMC11791979/" TargetMode="External"/><Relationship Id="rId99" Type="http://schemas.openxmlformats.org/officeDocument/2006/relationships/hyperlink" Target="https://pmc.ncbi.nlm.nih.gov/articles/PMC11791979/" TargetMode="External"/><Relationship Id="rId101" Type="http://schemas.openxmlformats.org/officeDocument/2006/relationships/hyperlink" Target="https://pmc.ncbi.nlm.nih.gov/articles/PMC11791979/" TargetMode="External"/><Relationship Id="rId122" Type="http://schemas.openxmlformats.org/officeDocument/2006/relationships/hyperlink" Target="https://pmc.ncbi.nlm.nih.gov/articles/PMC11791979/" TargetMode="External"/><Relationship Id="rId143" Type="http://schemas.openxmlformats.org/officeDocument/2006/relationships/hyperlink" Target="https://pmc.ncbi.nlm.nih.gov/articles/PMC11791979/" TargetMode="External"/><Relationship Id="rId148" Type="http://schemas.openxmlformats.org/officeDocument/2006/relationships/hyperlink" Target="https://pmc.ncbi.nlm.nih.gov/articles/PMC11791979/" TargetMode="External"/><Relationship Id="rId4" Type="http://schemas.openxmlformats.org/officeDocument/2006/relationships/webSettings" Target="webSettings.xml"/><Relationship Id="rId9" Type="http://schemas.openxmlformats.org/officeDocument/2006/relationships/hyperlink" Target="https://pmc.ncbi.nlm.nih.gov/articles/PMC11791979/" TargetMode="External"/><Relationship Id="rId26" Type="http://schemas.openxmlformats.org/officeDocument/2006/relationships/hyperlink" Target="https://pmc.ncbi.nlm.nih.gov/articles/PMC11791979/" TargetMode="External"/><Relationship Id="rId47" Type="http://schemas.openxmlformats.org/officeDocument/2006/relationships/hyperlink" Target="https://pmc.ncbi.nlm.nih.gov/articles/PMC11791979/" TargetMode="External"/><Relationship Id="rId68" Type="http://schemas.openxmlformats.org/officeDocument/2006/relationships/hyperlink" Target="https://pmc.ncbi.nlm.nih.gov/articles/PMC11791979/" TargetMode="External"/><Relationship Id="rId89" Type="http://schemas.openxmlformats.org/officeDocument/2006/relationships/hyperlink" Target="https://pmc.ncbi.nlm.nih.gov/articles/PMC11791979/" TargetMode="External"/><Relationship Id="rId112" Type="http://schemas.openxmlformats.org/officeDocument/2006/relationships/hyperlink" Target="https://pmc.ncbi.nlm.nih.gov/articles/PMC11791979/" TargetMode="External"/><Relationship Id="rId133" Type="http://schemas.openxmlformats.org/officeDocument/2006/relationships/hyperlink" Target="https://pmc.ncbi.nlm.nih.gov/articles/PMC11791979/" TargetMode="External"/><Relationship Id="rId154" Type="http://schemas.openxmlformats.org/officeDocument/2006/relationships/fontTable" Target="fontTable.xml"/><Relationship Id="rId16" Type="http://schemas.openxmlformats.org/officeDocument/2006/relationships/hyperlink" Target="https://pmc.ncbi.nlm.nih.gov/articles/PMC11791979/" TargetMode="External"/><Relationship Id="rId37" Type="http://schemas.openxmlformats.org/officeDocument/2006/relationships/hyperlink" Target="https://pmc.ncbi.nlm.nih.gov/articles/PMC11791979/" TargetMode="External"/><Relationship Id="rId58" Type="http://schemas.openxmlformats.org/officeDocument/2006/relationships/hyperlink" Target="https://pmc.ncbi.nlm.nih.gov/articles/PMC11791979/" TargetMode="External"/><Relationship Id="rId79" Type="http://schemas.openxmlformats.org/officeDocument/2006/relationships/hyperlink" Target="https://pmc.ncbi.nlm.nih.gov/articles/PMC11791979/" TargetMode="External"/><Relationship Id="rId102" Type="http://schemas.openxmlformats.org/officeDocument/2006/relationships/hyperlink" Target="https://pmc.ncbi.nlm.nih.gov/articles/PMC11791979/" TargetMode="External"/><Relationship Id="rId123" Type="http://schemas.openxmlformats.org/officeDocument/2006/relationships/hyperlink" Target="https://pmc.ncbi.nlm.nih.gov/articles/PMC11791979/" TargetMode="External"/><Relationship Id="rId144" Type="http://schemas.openxmlformats.org/officeDocument/2006/relationships/hyperlink" Target="https://pmc.ncbi.nlm.nih.gov/articles/PMC11791979/" TargetMode="External"/><Relationship Id="rId90" Type="http://schemas.openxmlformats.org/officeDocument/2006/relationships/hyperlink" Target="https://pmc.ncbi.nlm.nih.gov/articles/PMC11791979/"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35</Pages>
  <Words>5512</Words>
  <Characters>31419</Characters>
  <Application>Microsoft Office Word</Application>
  <DocSecurity>0</DocSecurity>
  <Lines>261</Lines>
  <Paragraphs>73</Paragraphs>
  <ScaleCrop>false</ScaleCrop>
  <Company/>
  <LinksUpToDate>false</LinksUpToDate>
  <CharactersWithSpaces>36858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放心飞</dc:creator>
  <cp:keywords/>
  <dc:description/>
  <cp:lastModifiedBy>放心飞</cp:lastModifiedBy>
  <cp:revision>3</cp:revision>
  <dcterms:created xsi:type="dcterms:W3CDTF">2026-01-04T10:47:00Z</dcterms:created>
  <dcterms:modified xsi:type="dcterms:W3CDTF">2026-01-04T10:52:00Z</dcterms:modified>
</cp:coreProperties>
</file>