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975D0E" w14:textId="77777777" w:rsidR="00685FA2" w:rsidRPr="00685FA2" w:rsidRDefault="00685FA2" w:rsidP="00685FA2">
      <w:pPr>
        <w:widowControl/>
        <w:spacing w:line="450" w:lineRule="atLeast"/>
        <w:outlineLvl w:val="0"/>
        <w:rPr>
          <w:rFonts w:ascii="微软雅黑" w:eastAsia="微软雅黑" w:hAnsi="微软雅黑" w:cs="宋体"/>
          <w:b/>
          <w:bCs/>
          <w:kern w:val="36"/>
          <w:sz w:val="36"/>
          <w:szCs w:val="36"/>
        </w:rPr>
      </w:pPr>
      <w:r w:rsidRPr="00685FA2">
        <w:rPr>
          <w:rFonts w:ascii="微软雅黑" w:eastAsia="微软雅黑" w:hAnsi="微软雅黑" w:cs="宋体"/>
          <w:b/>
          <w:bCs/>
          <w:kern w:val="36"/>
          <w:sz w:val="36"/>
          <w:szCs w:val="36"/>
        </w:rPr>
        <w:t>雌激素受体阳性乳腺癌对 CDK4/6 抑制剂的耐药性</w:t>
      </w:r>
    </w:p>
    <w:p w14:paraId="1D0234D4" w14:textId="7CA0DC3F" w:rsidR="00685FA2" w:rsidRPr="00685FA2" w:rsidRDefault="00685FA2" w:rsidP="00685FA2">
      <w:pPr>
        <w:widowControl/>
        <w:pBdr>
          <w:bottom w:val="single" w:sz="6" w:space="0" w:color="97B1C8"/>
        </w:pBdr>
        <w:spacing w:line="450" w:lineRule="atLeast"/>
        <w:outlineLvl w:val="1"/>
        <w:rPr>
          <w:rFonts w:ascii="微软雅黑" w:eastAsia="微软雅黑" w:hAnsi="微软雅黑" w:cs="宋体"/>
          <w:kern w:val="0"/>
          <w:sz w:val="34"/>
          <w:szCs w:val="34"/>
        </w:rPr>
      </w:pPr>
      <w:r w:rsidRPr="00685FA2">
        <w:rPr>
          <w:rFonts w:ascii="微软雅黑" w:eastAsia="微软雅黑" w:hAnsi="微软雅黑" w:cs="宋体" w:hint="eastAsia"/>
          <w:kern w:val="0"/>
          <w:sz w:val="34"/>
          <w:szCs w:val="34"/>
        </w:rPr>
        <w:t>摘要</w:t>
      </w:r>
    </w:p>
    <w:p w14:paraId="78B15DFD"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雌激素受体阳性（ER+）乳腺癌是最常见的乳腺癌类型。抗雌激素疗法是最初用于治疗该亚型的疗法，但其耐药性促使人们开发新的治疗方案。CDK4/6抑制剂通过阻断ER+细胞的细胞周期进程来解决这一问题，并在临床上取得了成功。然而，对CDK4/6抑制剂的固有耐药性和获得性耐药性都很常见。迄今为止，人们已经发现了多种耐药机制，包括激活重要的生长信号通路、肿瘤抑制基因的缺失以及非经典细胞周期功能障碍。许多靶向这些机制的疗法已在临床前和临床试验中成功克服了对CDK4/6抑制剂的耐药性。未来的研究应着重于开发生物标志物，以便为可能对CDK4/6抑制剂产生耐药性的患者提供替代治疗方案。</w:t>
      </w:r>
    </w:p>
    <w:p w14:paraId="476F9CDC" w14:textId="77777777" w:rsidR="00685FA2" w:rsidRPr="00685FA2" w:rsidRDefault="00685FA2" w:rsidP="00685FA2">
      <w:pPr>
        <w:widowControl/>
        <w:rPr>
          <w:rFonts w:ascii="微软雅黑" w:eastAsia="微软雅黑" w:hAnsi="微软雅黑" w:cs="宋体"/>
          <w:kern w:val="0"/>
          <w:sz w:val="24"/>
          <w:szCs w:val="24"/>
        </w:rPr>
      </w:pPr>
      <w:r w:rsidRPr="00685FA2">
        <w:rPr>
          <w:rFonts w:ascii="微软雅黑" w:eastAsia="微软雅黑" w:hAnsi="微软雅黑" w:cs="宋体"/>
          <w:b/>
          <w:bCs/>
          <w:kern w:val="0"/>
          <w:sz w:val="24"/>
          <w:szCs w:val="24"/>
        </w:rPr>
        <w:t>关键词：</w:t>
      </w:r>
      <w:r w:rsidRPr="00685FA2">
        <w:rPr>
          <w:rFonts w:ascii="微软雅黑" w:eastAsia="微软雅黑" w:hAnsi="微软雅黑" w:cs="宋体"/>
          <w:kern w:val="0"/>
          <w:sz w:val="24"/>
          <w:szCs w:val="24"/>
        </w:rPr>
        <w:t> ER+乳腺癌，抗雌激素，CDK4/6抑制剂，帕博西尼，瑞博西尼，阿贝西利</w:t>
      </w:r>
    </w:p>
    <w:p w14:paraId="1FE177C5" w14:textId="77777777" w:rsidR="00685FA2" w:rsidRPr="00685FA2" w:rsidRDefault="00685FA2" w:rsidP="00685FA2">
      <w:pPr>
        <w:widowControl/>
        <w:pBdr>
          <w:bottom w:val="single" w:sz="6" w:space="0" w:color="97B1C8"/>
        </w:pBdr>
        <w:spacing w:line="450" w:lineRule="atLeast"/>
        <w:outlineLvl w:val="1"/>
        <w:rPr>
          <w:rFonts w:ascii="微软雅黑" w:eastAsia="微软雅黑" w:hAnsi="微软雅黑" w:cs="宋体"/>
          <w:kern w:val="0"/>
          <w:sz w:val="34"/>
          <w:szCs w:val="34"/>
        </w:rPr>
      </w:pPr>
      <w:r w:rsidRPr="00685FA2">
        <w:rPr>
          <w:rFonts w:ascii="微软雅黑" w:eastAsia="微软雅黑" w:hAnsi="微软雅黑" w:cs="宋体"/>
          <w:kern w:val="0"/>
          <w:sz w:val="34"/>
          <w:szCs w:val="34"/>
        </w:rPr>
        <w:t>1. 引言</w:t>
      </w:r>
    </w:p>
    <w:p w14:paraId="27BC7DDC"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乳腺癌是女性最常见的恶性肿瘤。当癌症未能早期发现或对早期治疗产生耐药性时，就会发生转移性乳腺癌。因此，乳腺癌转移是发达国家女性癌症死亡的第二大原因[ </w:t>
      </w:r>
      <w:hyperlink r:id="rId5" w:anchor="B1-ijms-22-12292" w:history="1">
        <w:r w:rsidRPr="00685FA2">
          <w:rPr>
            <w:rFonts w:ascii="微软雅黑" w:eastAsia="微软雅黑" w:hAnsi="微软雅黑" w:cs="宋体"/>
            <w:kern w:val="0"/>
            <w:sz w:val="24"/>
            <w:szCs w:val="24"/>
            <w:u w:val="single"/>
          </w:rPr>
          <w:t>1</w:t>
        </w:r>
      </w:hyperlink>
      <w:r w:rsidRPr="00685FA2">
        <w:rPr>
          <w:rFonts w:ascii="微软雅黑" w:eastAsia="微软雅黑" w:hAnsi="微软雅黑" w:cs="宋体"/>
          <w:kern w:val="0"/>
          <w:sz w:val="24"/>
          <w:szCs w:val="24"/>
        </w:rPr>
        <w:t> ]。乳腺癌根据雌激素受体（ER）、孕激素受体（PR）和人表皮生长因子受体2（HER2）的状态进行分类。其中，ER阳性乳腺癌最为常见，约占所有病例的70%[ </w:t>
      </w:r>
      <w:hyperlink r:id="rId6" w:anchor="B2-ijms-22-12292" w:history="1">
        <w:r w:rsidRPr="00685FA2">
          <w:rPr>
            <w:rFonts w:ascii="微软雅黑" w:eastAsia="微软雅黑" w:hAnsi="微软雅黑" w:cs="宋体"/>
            <w:kern w:val="0"/>
            <w:sz w:val="24"/>
            <w:szCs w:val="24"/>
            <w:u w:val="single"/>
          </w:rPr>
          <w:t>2</w:t>
        </w:r>
      </w:hyperlink>
      <w:r w:rsidRPr="00685FA2">
        <w:rPr>
          <w:rFonts w:ascii="微软雅黑" w:eastAsia="微软雅黑" w:hAnsi="微软雅黑" w:cs="宋体"/>
          <w:kern w:val="0"/>
          <w:sz w:val="24"/>
          <w:szCs w:val="24"/>
        </w:rPr>
        <w:t> ]。这类肿瘤的增殖依赖于雌激素与ER的结合。</w:t>
      </w:r>
    </w:p>
    <w:p w14:paraId="05352ABB"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ER阳性乳腺癌患者最初可用的治疗方法是抗雌激素疗法。目前有三种类型的抗雌激素获准用于治疗激素依赖性乳腺癌。选择性雌激素受体调节剂（SERMs），</w:t>
      </w:r>
      <w:r w:rsidRPr="00685FA2">
        <w:rPr>
          <w:rFonts w:ascii="微软雅黑" w:eastAsia="微软雅黑" w:hAnsi="微软雅黑" w:cs="宋体"/>
          <w:kern w:val="0"/>
          <w:sz w:val="24"/>
          <w:szCs w:val="24"/>
        </w:rPr>
        <w:lastRenderedPageBreak/>
        <w:t>例如他</w:t>
      </w:r>
      <w:proofErr w:type="gramStart"/>
      <w:r w:rsidRPr="00685FA2">
        <w:rPr>
          <w:rFonts w:ascii="微软雅黑" w:eastAsia="微软雅黑" w:hAnsi="微软雅黑" w:cs="宋体"/>
          <w:kern w:val="0"/>
          <w:sz w:val="24"/>
          <w:szCs w:val="24"/>
        </w:rPr>
        <w:t>莫昔芬</w:t>
      </w:r>
      <w:proofErr w:type="gramEnd"/>
      <w:r w:rsidRPr="00685FA2">
        <w:rPr>
          <w:rFonts w:ascii="微软雅黑" w:eastAsia="微软雅黑" w:hAnsi="微软雅黑" w:cs="宋体"/>
          <w:kern w:val="0"/>
          <w:sz w:val="24"/>
          <w:szCs w:val="24"/>
        </w:rPr>
        <w:t>，可阻止雌激素与雌激素受体（ER）结合。选择性雌激素受体下调剂（SERDs），例如</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，可抑制ER</w:t>
      </w:r>
      <w:proofErr w:type="gramStart"/>
      <w:r w:rsidRPr="00685FA2">
        <w:rPr>
          <w:rFonts w:ascii="微软雅黑" w:eastAsia="微软雅黑" w:hAnsi="微软雅黑" w:cs="宋体"/>
          <w:kern w:val="0"/>
          <w:sz w:val="24"/>
          <w:szCs w:val="24"/>
        </w:rPr>
        <w:t>介</w:t>
      </w:r>
      <w:proofErr w:type="gramEnd"/>
      <w:r w:rsidRPr="00685FA2">
        <w:rPr>
          <w:rFonts w:ascii="微软雅黑" w:eastAsia="微软雅黑" w:hAnsi="微软雅黑" w:cs="宋体"/>
          <w:kern w:val="0"/>
          <w:sz w:val="24"/>
          <w:szCs w:val="24"/>
        </w:rPr>
        <w:t>导的信号传导。最后，芳香化酶抑制剂（AIs），例如来曲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，通过抑制上游芳香化酶来降低细胞内的雌激素水平。虽然这些疗法对许多ER阳性乳腺癌有效，但只有约50%的患者有反应[ </w:t>
      </w:r>
      <w:hyperlink r:id="rId7" w:anchor="B3-ijms-22-12292" w:history="1">
        <w:r w:rsidRPr="00685FA2">
          <w:rPr>
            <w:rFonts w:ascii="微软雅黑" w:eastAsia="微软雅黑" w:hAnsi="微软雅黑" w:cs="宋体"/>
            <w:kern w:val="0"/>
            <w:sz w:val="24"/>
            <w:szCs w:val="24"/>
            <w:u w:val="single"/>
          </w:rPr>
          <w:t>3</w:t>
        </w:r>
      </w:hyperlink>
      <w:r w:rsidRPr="00685FA2">
        <w:rPr>
          <w:rFonts w:ascii="微软雅黑" w:eastAsia="微软雅黑" w:hAnsi="微软雅黑" w:cs="宋体"/>
          <w:kern w:val="0"/>
          <w:sz w:val="24"/>
          <w:szCs w:val="24"/>
        </w:rPr>
        <w:t> ]。为了克服这种耐药性，人们开发了用于治疗ER阳性乳腺肿瘤的细胞周期抑制剂：CDK4/6抑制剂。靶向ER+乳腺癌中的细胞周期蛋白依赖性激酶4 (CDK4) 和细胞周期蛋白依赖性激酶6 (CDK6) 是有效的，因为这些癌症通常存在细胞周期蛋白D1-CDK4/6-Rb通路激活的情况。这些细胞抑制剂的作用机制是阻滞细胞周期并阻止细胞进一步分裂[ </w:t>
      </w:r>
      <w:hyperlink r:id="rId8" w:anchor="B4-ijms-22-12292" w:history="1">
        <w:r w:rsidRPr="00685FA2">
          <w:rPr>
            <w:rFonts w:ascii="微软雅黑" w:eastAsia="微软雅黑" w:hAnsi="微软雅黑" w:cs="宋体"/>
            <w:kern w:val="0"/>
            <w:sz w:val="24"/>
            <w:szCs w:val="24"/>
            <w:u w:val="single"/>
          </w:rPr>
          <w:t>4</w:t>
        </w:r>
      </w:hyperlink>
      <w:r w:rsidRPr="00685FA2">
        <w:rPr>
          <w:rFonts w:ascii="微软雅黑" w:eastAsia="微软雅黑" w:hAnsi="微软雅黑" w:cs="宋体"/>
          <w:kern w:val="0"/>
          <w:sz w:val="24"/>
          <w:szCs w:val="24"/>
        </w:rPr>
        <w:t> ]。</w:t>
      </w:r>
    </w:p>
    <w:p w14:paraId="63B4F830"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细胞周期是细胞复制其遗传物质并适当分裂成子细胞的过程[ </w:t>
      </w:r>
      <w:hyperlink r:id="rId9" w:anchor="B5-ijms-22-12292" w:history="1">
        <w:r w:rsidRPr="00685FA2">
          <w:rPr>
            <w:rFonts w:ascii="微软雅黑" w:eastAsia="微软雅黑" w:hAnsi="微软雅黑" w:cs="宋体"/>
            <w:kern w:val="0"/>
            <w:sz w:val="24"/>
            <w:szCs w:val="24"/>
            <w:u w:val="single"/>
          </w:rPr>
          <w:t>5</w:t>
        </w:r>
      </w:hyperlink>
      <w:r w:rsidRPr="00685FA2">
        <w:rPr>
          <w:rFonts w:ascii="微软雅黑" w:eastAsia="微软雅黑" w:hAnsi="微软雅黑" w:cs="宋体"/>
          <w:kern w:val="0"/>
          <w:sz w:val="24"/>
          <w:szCs w:val="24"/>
        </w:rPr>
        <w:t> ]。细胞周期分为四个主要阶段。第一阶段是G1期，细胞主要在此阶段生长。此时，细胞合成蛋白质并增大体积。接下来是S期，细胞进行DNA合成。细胞复制其DNA，为</w:t>
      </w:r>
      <w:proofErr w:type="gramStart"/>
      <w:r w:rsidRPr="00685FA2">
        <w:rPr>
          <w:rFonts w:ascii="微软雅黑" w:eastAsia="微软雅黑" w:hAnsi="微软雅黑" w:cs="宋体"/>
          <w:kern w:val="0"/>
          <w:sz w:val="24"/>
          <w:szCs w:val="24"/>
        </w:rPr>
        <w:t>分裂做</w:t>
      </w:r>
      <w:proofErr w:type="gramEnd"/>
      <w:r w:rsidRPr="00685FA2">
        <w:rPr>
          <w:rFonts w:ascii="微软雅黑" w:eastAsia="微软雅黑" w:hAnsi="微软雅黑" w:cs="宋体"/>
          <w:kern w:val="0"/>
          <w:sz w:val="24"/>
          <w:szCs w:val="24"/>
        </w:rPr>
        <w:t>准备。G2期确保复制的DNA无误。最后是M期，细胞进行有丝分裂。细胞完全分离其DNA拷贝，并分裂成两个子细胞[ </w:t>
      </w:r>
      <w:hyperlink r:id="rId10" w:anchor="B6-ijms-22-12292" w:history="1">
        <w:r w:rsidRPr="00685FA2">
          <w:rPr>
            <w:rFonts w:ascii="微软雅黑" w:eastAsia="微软雅黑" w:hAnsi="微软雅黑" w:cs="宋体"/>
            <w:kern w:val="0"/>
            <w:sz w:val="24"/>
            <w:szCs w:val="24"/>
            <w:u w:val="single"/>
          </w:rPr>
          <w:t>6</w:t>
        </w:r>
      </w:hyperlink>
      <w:r w:rsidRPr="00685FA2">
        <w:rPr>
          <w:rFonts w:ascii="微软雅黑" w:eastAsia="微软雅黑" w:hAnsi="微软雅黑" w:cs="宋体"/>
          <w:kern w:val="0"/>
          <w:sz w:val="24"/>
          <w:szCs w:val="24"/>
        </w:rPr>
        <w:t> ]。</w:t>
      </w:r>
    </w:p>
    <w:p w14:paraId="30A22261"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细胞周期中的检查</w:t>
      </w:r>
      <w:proofErr w:type="gramStart"/>
      <w:r w:rsidRPr="00685FA2">
        <w:rPr>
          <w:rFonts w:ascii="微软雅黑" w:eastAsia="微软雅黑" w:hAnsi="微软雅黑" w:cs="宋体"/>
          <w:kern w:val="0"/>
          <w:sz w:val="24"/>
          <w:szCs w:val="24"/>
        </w:rPr>
        <w:t>点控制着</w:t>
      </w:r>
      <w:proofErr w:type="gramEnd"/>
      <w:r w:rsidRPr="00685FA2">
        <w:rPr>
          <w:rFonts w:ascii="微软雅黑" w:eastAsia="微软雅黑" w:hAnsi="微软雅黑" w:cs="宋体"/>
          <w:kern w:val="0"/>
          <w:sz w:val="24"/>
          <w:szCs w:val="24"/>
        </w:rPr>
        <w:t>每个步骤。在每个检查点，细胞都会采取措施确保DNA完整性，从而保证细胞增殖和分裂顺利进行。细胞内的许多异常情况都可能触发检查点，阻止细胞周期进程[ </w:t>
      </w:r>
      <w:hyperlink r:id="rId11" w:anchor="B5-ijms-22-12292" w:history="1">
        <w:r w:rsidRPr="00685FA2">
          <w:rPr>
            <w:rFonts w:ascii="微软雅黑" w:eastAsia="微软雅黑" w:hAnsi="微软雅黑" w:cs="宋体"/>
            <w:kern w:val="0"/>
            <w:sz w:val="24"/>
            <w:szCs w:val="24"/>
            <w:u w:val="single"/>
          </w:rPr>
          <w:t>5</w:t>
        </w:r>
      </w:hyperlink>
      <w:r w:rsidRPr="00685FA2">
        <w:rPr>
          <w:rFonts w:ascii="微软雅黑" w:eastAsia="微软雅黑" w:hAnsi="微软雅黑" w:cs="宋体"/>
          <w:kern w:val="0"/>
          <w:sz w:val="24"/>
          <w:szCs w:val="24"/>
        </w:rPr>
        <w:t> ]。细胞利用细胞大小作为细胞周期进程的指标，尤其是在G1期和G2期，因为细胞体积越大，意味着细胞内物质越多。如果细胞已经完成DNA复制，其体积会更大，从而可以进入下一阶段。营养状况也是决定细胞能否进入下一阶段的重要因素。如果营养不足，细胞周期就会停滞[ </w:t>
      </w:r>
      <w:hyperlink r:id="rId12" w:anchor="B5-ijms-22-12292" w:history="1">
        <w:r w:rsidRPr="00685FA2">
          <w:rPr>
            <w:rFonts w:ascii="微软雅黑" w:eastAsia="微软雅黑" w:hAnsi="微软雅黑" w:cs="宋体"/>
            <w:kern w:val="0"/>
            <w:sz w:val="24"/>
            <w:szCs w:val="24"/>
            <w:u w:val="single"/>
          </w:rPr>
          <w:t>5</w:t>
        </w:r>
      </w:hyperlink>
      <w:r w:rsidRPr="00685FA2">
        <w:rPr>
          <w:rFonts w:ascii="微软雅黑" w:eastAsia="微软雅黑" w:hAnsi="微软雅黑" w:cs="宋体"/>
          <w:kern w:val="0"/>
          <w:sz w:val="24"/>
          <w:szCs w:val="24"/>
        </w:rPr>
        <w:t> ]。</w:t>
      </w:r>
    </w:p>
    <w:p w14:paraId="570DAE04"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DNA损伤是细胞周期必须停止的另一个原因。DNA复制是一个不完美的过程，可能导致新合成的DNA链上出现突变。细胞需要时间修复损伤才能进入下一个阶段。如果修复未能发生，突变就会积累并遗传给子细胞，最终导致</w:t>
      </w:r>
      <w:proofErr w:type="gramStart"/>
      <w:r w:rsidRPr="00685FA2">
        <w:rPr>
          <w:rFonts w:ascii="微软雅黑" w:eastAsia="微软雅黑" w:hAnsi="微软雅黑" w:cs="宋体"/>
          <w:kern w:val="0"/>
          <w:sz w:val="24"/>
          <w:szCs w:val="24"/>
        </w:rPr>
        <w:t>合成非</w:t>
      </w:r>
      <w:proofErr w:type="gramEnd"/>
      <w:r w:rsidRPr="00685FA2">
        <w:rPr>
          <w:rFonts w:ascii="微软雅黑" w:eastAsia="微软雅黑" w:hAnsi="微软雅黑" w:cs="宋体"/>
          <w:kern w:val="0"/>
          <w:sz w:val="24"/>
          <w:szCs w:val="24"/>
        </w:rPr>
        <w:t>预期蛋白质。这会对细胞或整个生物体造成不利影响[ </w:t>
      </w:r>
      <w:hyperlink r:id="rId13" w:anchor="B5-ijms-22-12292" w:history="1">
        <w:r w:rsidRPr="00685FA2">
          <w:rPr>
            <w:rFonts w:ascii="微软雅黑" w:eastAsia="微软雅黑" w:hAnsi="微软雅黑" w:cs="宋体"/>
            <w:kern w:val="0"/>
            <w:sz w:val="24"/>
            <w:szCs w:val="24"/>
            <w:u w:val="single"/>
          </w:rPr>
          <w:t>5</w:t>
        </w:r>
      </w:hyperlink>
      <w:r w:rsidRPr="00685FA2">
        <w:rPr>
          <w:rFonts w:ascii="微软雅黑" w:eastAsia="微软雅黑" w:hAnsi="微软雅黑" w:cs="宋体"/>
          <w:kern w:val="0"/>
          <w:sz w:val="24"/>
          <w:szCs w:val="24"/>
        </w:rPr>
        <w:t> ]。哺乳动物细胞周期中存在三个损伤检查点：G1/S期、S期内和G2/M期。在这些检查点，某些调节蛋白能够感知并附着于DNA的损伤区域，从而触发转导蛋白发出损伤信号。细胞周期调节蛋白通过</w:t>
      </w:r>
      <w:proofErr w:type="gramStart"/>
      <w:r w:rsidRPr="00685FA2">
        <w:rPr>
          <w:rFonts w:ascii="微软雅黑" w:eastAsia="微软雅黑" w:hAnsi="微软雅黑" w:cs="宋体"/>
          <w:kern w:val="0"/>
          <w:sz w:val="24"/>
          <w:szCs w:val="24"/>
        </w:rPr>
        <w:t>介</w:t>
      </w:r>
      <w:proofErr w:type="gramEnd"/>
      <w:r w:rsidRPr="00685FA2">
        <w:rPr>
          <w:rFonts w:ascii="微软雅黑" w:eastAsia="微软雅黑" w:hAnsi="微软雅黑" w:cs="宋体"/>
          <w:kern w:val="0"/>
          <w:sz w:val="24"/>
          <w:szCs w:val="24"/>
        </w:rPr>
        <w:t>导蛋白磷酸化效应激酶。效应激酶随后导致细胞周期停滞，以便进行修复[ </w:t>
      </w:r>
      <w:hyperlink r:id="rId14" w:anchor="B7-ijms-22-12292" w:history="1">
        <w:r w:rsidRPr="00685FA2">
          <w:rPr>
            <w:rFonts w:ascii="微软雅黑" w:eastAsia="微软雅黑" w:hAnsi="微软雅黑" w:cs="宋体"/>
            <w:kern w:val="0"/>
            <w:sz w:val="24"/>
            <w:szCs w:val="24"/>
            <w:u w:val="single"/>
          </w:rPr>
          <w:t>7</w:t>
        </w:r>
      </w:hyperlink>
      <w:r w:rsidRPr="00685FA2">
        <w:rPr>
          <w:rFonts w:ascii="微软雅黑" w:eastAsia="微软雅黑" w:hAnsi="微软雅黑" w:cs="宋体"/>
          <w:kern w:val="0"/>
          <w:sz w:val="24"/>
          <w:szCs w:val="24"/>
        </w:rPr>
        <w:t> ]。此外，当DNA复制过程中出现错误时，诸如修饰的dNTP、蛋白质-DNA复合物或减少的脱氧核苷三磷酸（dNTP）池等阻碍因素会导致复制停滞。这些错误会诱导复制停滞，并触发一系列蛋白质的结合和激活，从而稳定复制体并阻止复制进程，直到错误修复或dNTP</w:t>
      </w:r>
      <w:proofErr w:type="gramStart"/>
      <w:r w:rsidRPr="00685FA2">
        <w:rPr>
          <w:rFonts w:ascii="微软雅黑" w:eastAsia="微软雅黑" w:hAnsi="微软雅黑" w:cs="宋体"/>
          <w:kern w:val="0"/>
          <w:sz w:val="24"/>
          <w:szCs w:val="24"/>
        </w:rPr>
        <w:t>池恢复</w:t>
      </w:r>
      <w:proofErr w:type="gramEnd"/>
      <w:r w:rsidRPr="00685FA2">
        <w:rPr>
          <w:rFonts w:ascii="微软雅黑" w:eastAsia="微软雅黑" w:hAnsi="微软雅黑" w:cs="宋体"/>
          <w:kern w:val="0"/>
          <w:sz w:val="24"/>
          <w:szCs w:val="24"/>
        </w:rPr>
        <w:t>[ </w:t>
      </w:r>
      <w:hyperlink r:id="rId15" w:anchor="B5-ijms-22-12292" w:history="1">
        <w:r w:rsidRPr="00685FA2">
          <w:rPr>
            <w:rFonts w:ascii="微软雅黑" w:eastAsia="微软雅黑" w:hAnsi="微软雅黑" w:cs="宋体"/>
            <w:kern w:val="0"/>
            <w:sz w:val="24"/>
            <w:szCs w:val="24"/>
            <w:u w:val="single"/>
          </w:rPr>
          <w:t>5</w:t>
        </w:r>
      </w:hyperlink>
      <w:r w:rsidRPr="00685FA2">
        <w:rPr>
          <w:rFonts w:ascii="微软雅黑" w:eastAsia="微软雅黑" w:hAnsi="微软雅黑" w:cs="宋体"/>
          <w:kern w:val="0"/>
          <w:sz w:val="24"/>
          <w:szCs w:val="24"/>
        </w:rPr>
        <w:t> ]。</w:t>
      </w:r>
    </w:p>
    <w:p w14:paraId="42D9B3EF"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有丝分裂纺锤体检查点发生在有丝分裂中期，以确保纺锤体正确组装。如果微管错误地连接到染色单体上，就会导致染色单体分布不均。纺锤体的正确组装是通过测量微管张力和连接情况来监测的。有丝分裂阻滞缺陷2 (Mad2) 可以感知错误的组装，它会抑制Cdc20，从而使后期促进复合物 (APC) 失活。APC 的失活会阻止细胞进入后期 [ </w:t>
      </w:r>
      <w:hyperlink r:id="rId16" w:anchor="B8-ijms-22-12292" w:history="1">
        <w:r w:rsidRPr="00685FA2">
          <w:rPr>
            <w:rFonts w:ascii="微软雅黑" w:eastAsia="微软雅黑" w:hAnsi="微软雅黑" w:cs="宋体"/>
            <w:kern w:val="0"/>
            <w:sz w:val="24"/>
            <w:szCs w:val="24"/>
            <w:u w:val="single"/>
          </w:rPr>
          <w:t>8</w:t>
        </w:r>
      </w:hyperlink>
      <w:r w:rsidRPr="00685FA2">
        <w:rPr>
          <w:rFonts w:ascii="微软雅黑" w:eastAsia="微软雅黑" w:hAnsi="微软雅黑" w:cs="宋体"/>
          <w:kern w:val="0"/>
          <w:sz w:val="24"/>
          <w:szCs w:val="24"/>
        </w:rPr>
        <w:t> ]。</w:t>
      </w:r>
    </w:p>
    <w:p w14:paraId="34D8A18E"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尽管细胞周期中有很多节点可以让细胞感知异常并停止进程，但这并非万无一失的系统。细胞周期可能以多种方式失调，从而对细胞产生深远的影响。细胞周期组分的失调会导致细胞错误地继续分裂，即使在细胞周期的任何阶段出现错误。简而言之，多次分裂过程中突变的积累会导致细胞发生转化并癌变[ </w:t>
      </w:r>
      <w:hyperlink r:id="rId17" w:anchor="B5-ijms-22-12292" w:history="1">
        <w:r w:rsidRPr="00685FA2">
          <w:rPr>
            <w:rFonts w:ascii="微软雅黑" w:eastAsia="微软雅黑" w:hAnsi="微软雅黑" w:cs="宋体"/>
            <w:kern w:val="0"/>
            <w:sz w:val="24"/>
            <w:szCs w:val="24"/>
            <w:u w:val="single"/>
          </w:rPr>
          <w:t>5</w:t>
        </w:r>
      </w:hyperlink>
      <w:r w:rsidRPr="00685FA2">
        <w:rPr>
          <w:rFonts w:ascii="微软雅黑" w:eastAsia="微软雅黑" w:hAnsi="微软雅黑" w:cs="宋体"/>
          <w:kern w:val="0"/>
          <w:sz w:val="24"/>
          <w:szCs w:val="24"/>
        </w:rPr>
        <w:t> ]。</w:t>
      </w:r>
    </w:p>
    <w:p w14:paraId="75BA943B"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CDK4/6抑制剂靶向细胞周期失调的细胞。对CD</w:t>
      </w:r>
      <w:r w:rsidRPr="00685FA2">
        <w:rPr>
          <w:rFonts w:ascii="MS Gothic" w:eastAsia="MS Gothic" w:hAnsi="MS Gothic" w:cs="MS Gothic" w:hint="eastAsia"/>
          <w:kern w:val="0"/>
          <w:sz w:val="24"/>
          <w:szCs w:val="24"/>
        </w:rPr>
        <w:t>​​</w:t>
      </w:r>
      <w:r w:rsidRPr="00685FA2">
        <w:rPr>
          <w:rFonts w:ascii="微软雅黑" w:eastAsia="微软雅黑" w:hAnsi="微软雅黑" w:cs="宋体"/>
          <w:kern w:val="0"/>
          <w:sz w:val="24"/>
          <w:szCs w:val="24"/>
        </w:rPr>
        <w:t>K4/6信号过度活跃的细胞使用此类药物有助于阻滞细胞进展并阻止其进一步分裂。尽管CDK4/6抑制剂在临床上已被证明对ER阳性乳腺癌患者非常有效，但对这些药物产生原发性或继发性耐药的情况很常见。识别导致这两种耐药性的机制至关重要，因为这有助于针对这些异常情况进行治疗。希望这能使耐药患者重新对CDK4/6抑制剂敏感。最终，利用生物标志物识别哪些患者可能对药物无反应，将使临床医生能够制定个体化治疗方案，从而预防耐药性的产生。</w:t>
      </w:r>
    </w:p>
    <w:p w14:paraId="11D59EDC" w14:textId="77777777" w:rsidR="00685FA2" w:rsidRPr="00685FA2" w:rsidRDefault="00685FA2" w:rsidP="00685FA2">
      <w:pPr>
        <w:widowControl/>
        <w:pBdr>
          <w:bottom w:val="single" w:sz="6" w:space="0" w:color="97B1C8"/>
        </w:pBdr>
        <w:spacing w:line="450" w:lineRule="atLeast"/>
        <w:outlineLvl w:val="1"/>
        <w:rPr>
          <w:rFonts w:ascii="微软雅黑" w:eastAsia="微软雅黑" w:hAnsi="微软雅黑" w:cs="宋体"/>
          <w:kern w:val="0"/>
          <w:sz w:val="34"/>
          <w:szCs w:val="34"/>
        </w:rPr>
      </w:pPr>
      <w:r w:rsidRPr="00685FA2">
        <w:rPr>
          <w:rFonts w:ascii="微软雅黑" w:eastAsia="微软雅黑" w:hAnsi="微软雅黑" w:cs="宋体"/>
          <w:kern w:val="0"/>
          <w:sz w:val="34"/>
          <w:szCs w:val="34"/>
        </w:rPr>
        <w:t>2. CDK4/6 是 ER+ 乳腺癌的良好靶点</w:t>
      </w:r>
    </w:p>
    <w:p w14:paraId="4B3C287A"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乳腺癌中发生突变的一条特定细胞周期通路涉及 CDK4/6。当 CDK4/6 过度活跃时，会导致细胞错误地通过 G1/S 检查点 [ </w:t>
      </w:r>
      <w:hyperlink r:id="rId18" w:anchor="B9-ijms-22-12292" w:history="1">
        <w:r w:rsidRPr="00685FA2">
          <w:rPr>
            <w:rFonts w:ascii="微软雅黑" w:eastAsia="微软雅黑" w:hAnsi="微软雅黑" w:cs="宋体"/>
            <w:kern w:val="0"/>
            <w:sz w:val="24"/>
            <w:szCs w:val="24"/>
            <w:u w:val="single"/>
          </w:rPr>
          <w:t>9</w:t>
        </w:r>
      </w:hyperlink>
      <w:r w:rsidRPr="00685FA2">
        <w:rPr>
          <w:rFonts w:ascii="微软雅黑" w:eastAsia="微软雅黑" w:hAnsi="微软雅黑" w:cs="宋体"/>
          <w:kern w:val="0"/>
          <w:sz w:val="24"/>
          <w:szCs w:val="24"/>
        </w:rPr>
        <w:t> ]。在细胞周期的 G1 期，细胞周期蛋白依赖性激酶抑制剂 2A (CDKN2A) 和细胞周期蛋白依赖性激酶抑制剂 2B (CDKN2B) 会抑制 CDK4/6 的活性 [ </w:t>
      </w:r>
      <w:hyperlink r:id="rId19" w:anchor="B9-ijms-22-12292" w:history="1">
        <w:r w:rsidRPr="00685FA2">
          <w:rPr>
            <w:rFonts w:ascii="微软雅黑" w:eastAsia="微软雅黑" w:hAnsi="微软雅黑" w:cs="宋体"/>
            <w:kern w:val="0"/>
            <w:sz w:val="24"/>
            <w:szCs w:val="24"/>
            <w:u w:val="single"/>
          </w:rPr>
          <w:t>9</w:t>
        </w:r>
      </w:hyperlink>
      <w:r w:rsidRPr="00685FA2">
        <w:rPr>
          <w:rFonts w:ascii="微软雅黑" w:eastAsia="微软雅黑" w:hAnsi="微软雅黑" w:cs="宋体"/>
          <w:kern w:val="0"/>
          <w:sz w:val="24"/>
          <w:szCs w:val="24"/>
        </w:rPr>
        <w:t> ]。为了使细胞周期得以继续进行，上游信号会促使 CDKN2A 和 CDKN2B 与 CDK4/6 解离 [ </w:t>
      </w:r>
      <w:hyperlink r:id="rId20" w:anchor="B10-ijms-22-12292" w:history="1">
        <w:r w:rsidRPr="00685FA2">
          <w:rPr>
            <w:rFonts w:ascii="微软雅黑" w:eastAsia="微软雅黑" w:hAnsi="微软雅黑" w:cs="宋体"/>
            <w:kern w:val="0"/>
            <w:sz w:val="24"/>
            <w:szCs w:val="24"/>
            <w:u w:val="single"/>
          </w:rPr>
          <w:t>10</w:t>
        </w:r>
      </w:hyperlink>
      <w:r w:rsidRPr="00685FA2">
        <w:rPr>
          <w:rFonts w:ascii="微软雅黑" w:eastAsia="微软雅黑" w:hAnsi="微软雅黑" w:cs="宋体"/>
          <w:kern w:val="0"/>
          <w:sz w:val="24"/>
          <w:szCs w:val="24"/>
        </w:rPr>
        <w:t> ]。这促进了细胞周期蛋白 D1 与 CDK4/6 的结合。该复合物的形成会释放 ATP，为视网膜母细胞瘤蛋白 (Rb) 的磷酸化提供能量。Rb 是一种肿瘤抑制蛋白，当它与 E2 转录因子 (E2F) 结合时，会阻</w:t>
      </w:r>
      <w:r w:rsidRPr="00685FA2">
        <w:rPr>
          <w:rFonts w:ascii="MS Gothic" w:eastAsia="MS Gothic" w:hAnsi="MS Gothic" w:cs="MS Gothic" w:hint="eastAsia"/>
          <w:kern w:val="0"/>
          <w:sz w:val="24"/>
          <w:szCs w:val="24"/>
        </w:rPr>
        <w:t>​​</w:t>
      </w:r>
      <w:proofErr w:type="gramStart"/>
      <w:r w:rsidRPr="00685FA2">
        <w:rPr>
          <w:rFonts w:ascii="微软雅黑" w:eastAsia="微软雅黑" w:hAnsi="微软雅黑" w:cs="宋体"/>
          <w:kern w:val="0"/>
          <w:sz w:val="24"/>
          <w:szCs w:val="24"/>
        </w:rPr>
        <w:t>止</w:t>
      </w:r>
      <w:proofErr w:type="gramEnd"/>
      <w:r w:rsidRPr="00685FA2">
        <w:rPr>
          <w:rFonts w:ascii="微软雅黑" w:eastAsia="微软雅黑" w:hAnsi="微软雅黑" w:cs="宋体"/>
          <w:kern w:val="0"/>
          <w:sz w:val="24"/>
          <w:szCs w:val="24"/>
        </w:rPr>
        <w:t>细胞周期的进程。一旦被激活，磷酸化的Rb就会从Rb-E2F复合物中解离。一旦释放出来，E2F就可以协助靶基因的转录，从而使G1/S转换得以发生[ </w:t>
      </w:r>
      <w:hyperlink r:id="rId21" w:anchor="B11-ijms-22-12292" w:history="1">
        <w:r w:rsidRPr="00685FA2">
          <w:rPr>
            <w:rFonts w:ascii="微软雅黑" w:eastAsia="微软雅黑" w:hAnsi="微软雅黑" w:cs="宋体"/>
            <w:kern w:val="0"/>
            <w:sz w:val="24"/>
            <w:szCs w:val="24"/>
            <w:u w:val="single"/>
          </w:rPr>
          <w:t>11</w:t>
        </w:r>
      </w:hyperlink>
      <w:r w:rsidRPr="00685FA2">
        <w:rPr>
          <w:rFonts w:ascii="微软雅黑" w:eastAsia="微软雅黑" w:hAnsi="微软雅黑" w:cs="宋体"/>
          <w:kern w:val="0"/>
          <w:sz w:val="24"/>
          <w:szCs w:val="24"/>
        </w:rPr>
        <w:t> ]。</w:t>
      </w:r>
    </w:p>
    <w:p w14:paraId="5DE99FE5"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细胞周期蛋白依赖性激酶 (CDK) 受多种翻译后修饰调控，例如</w:t>
      </w:r>
      <w:proofErr w:type="gramStart"/>
      <w:r w:rsidRPr="00685FA2">
        <w:rPr>
          <w:rFonts w:ascii="微软雅黑" w:eastAsia="微软雅黑" w:hAnsi="微软雅黑" w:cs="宋体"/>
          <w:kern w:val="0"/>
          <w:sz w:val="24"/>
          <w:szCs w:val="24"/>
        </w:rPr>
        <w:t>泛素化</w:t>
      </w:r>
      <w:proofErr w:type="gramEnd"/>
      <w:r w:rsidRPr="00685FA2">
        <w:rPr>
          <w:rFonts w:ascii="微软雅黑" w:eastAsia="微软雅黑" w:hAnsi="微软雅黑" w:cs="宋体"/>
          <w:kern w:val="0"/>
          <w:sz w:val="24"/>
          <w:szCs w:val="24"/>
        </w:rPr>
        <w:t>、磷酸化以及与内源性抑制剂的结合。CDK4/6 信号通路可通过遗传或表观遗传机制在癌细胞中过度激活 [ </w:t>
      </w:r>
      <w:hyperlink r:id="rId22" w:anchor="B12-ijms-22-12292" w:history="1">
        <w:r w:rsidRPr="00685FA2">
          <w:rPr>
            <w:rFonts w:ascii="微软雅黑" w:eastAsia="微软雅黑" w:hAnsi="微软雅黑" w:cs="宋体"/>
            <w:kern w:val="0"/>
            <w:sz w:val="24"/>
            <w:szCs w:val="24"/>
            <w:u w:val="single"/>
          </w:rPr>
          <w:t>12</w:t>
        </w:r>
      </w:hyperlink>
      <w:r w:rsidRPr="00685FA2">
        <w:rPr>
          <w:rFonts w:ascii="微软雅黑" w:eastAsia="微软雅黑" w:hAnsi="微软雅黑" w:cs="宋体"/>
          <w:kern w:val="0"/>
          <w:sz w:val="24"/>
          <w:szCs w:val="24"/>
        </w:rPr>
        <w:t xml:space="preserve"> ]。当这种情况发生时，细胞会错误地从细胞周期的 G1 </w:t>
      </w:r>
      <w:r w:rsidRPr="00685FA2">
        <w:rPr>
          <w:rFonts w:ascii="微软雅黑" w:eastAsia="微软雅黑" w:hAnsi="微软雅黑" w:cs="宋体"/>
          <w:kern w:val="0"/>
          <w:sz w:val="24"/>
          <w:szCs w:val="24"/>
        </w:rPr>
        <w:lastRenderedPageBreak/>
        <w:t>期过渡到 S 期。过度激活的 CDK4 和/或 CDK6 可阻止细胞衰老，从而进一步促进肿瘤转化 [ </w:t>
      </w:r>
      <w:hyperlink r:id="rId23" w:anchor="B12-ijms-22-12292" w:history="1">
        <w:r w:rsidRPr="00685FA2">
          <w:rPr>
            <w:rFonts w:ascii="微软雅黑" w:eastAsia="微软雅黑" w:hAnsi="微软雅黑" w:cs="宋体"/>
            <w:kern w:val="0"/>
            <w:sz w:val="24"/>
            <w:szCs w:val="24"/>
            <w:u w:val="single"/>
          </w:rPr>
          <w:t>12</w:t>
        </w:r>
      </w:hyperlink>
      <w:r w:rsidRPr="00685FA2">
        <w:rPr>
          <w:rFonts w:ascii="微软雅黑" w:eastAsia="微软雅黑" w:hAnsi="微软雅黑" w:cs="宋体"/>
          <w:kern w:val="0"/>
          <w:sz w:val="24"/>
          <w:szCs w:val="24"/>
        </w:rPr>
        <w:t> ]。此外，该通路还</w:t>
      </w:r>
      <w:proofErr w:type="gramStart"/>
      <w:r w:rsidRPr="00685FA2">
        <w:rPr>
          <w:rFonts w:ascii="微软雅黑" w:eastAsia="微软雅黑" w:hAnsi="微软雅黑" w:cs="宋体"/>
          <w:kern w:val="0"/>
          <w:sz w:val="24"/>
          <w:szCs w:val="24"/>
        </w:rPr>
        <w:t>介</w:t>
      </w:r>
      <w:proofErr w:type="gramEnd"/>
      <w:r w:rsidRPr="00685FA2">
        <w:rPr>
          <w:rFonts w:ascii="微软雅黑" w:eastAsia="微软雅黑" w:hAnsi="微软雅黑" w:cs="宋体"/>
          <w:kern w:val="0"/>
          <w:sz w:val="24"/>
          <w:szCs w:val="24"/>
        </w:rPr>
        <w:t>导雌激素对细胞增殖的作用 [ </w:t>
      </w:r>
      <w:hyperlink r:id="rId24" w:anchor="B13-ijms-22-12292" w:history="1">
        <w:r w:rsidRPr="00685FA2">
          <w:rPr>
            <w:rFonts w:ascii="微软雅黑" w:eastAsia="微软雅黑" w:hAnsi="微软雅黑" w:cs="宋体"/>
            <w:kern w:val="0"/>
            <w:sz w:val="24"/>
            <w:szCs w:val="24"/>
            <w:u w:val="single"/>
          </w:rPr>
          <w:t>13</w:t>
        </w:r>
      </w:hyperlink>
      <w:r w:rsidRPr="00685FA2">
        <w:rPr>
          <w:rFonts w:ascii="微软雅黑" w:eastAsia="微软雅黑" w:hAnsi="微软雅黑" w:cs="宋体"/>
          <w:kern w:val="0"/>
          <w:sz w:val="24"/>
          <w:szCs w:val="24"/>
        </w:rPr>
        <w:t> ]。因此，靶向 CDK4/6 是 ER+ 乳腺癌的一种有效治疗策略。</w:t>
      </w:r>
    </w:p>
    <w:p w14:paraId="66A7EA4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CDK4/6抑制剂对ER阳性患者尤其有效，因为这类患者的细胞周期蛋白D-CDK4/6-INK4-Rb通路通常处于激活状态[ </w:t>
      </w:r>
      <w:hyperlink r:id="rId25" w:anchor="B14-ijms-22-12292" w:history="1">
        <w:r w:rsidRPr="00685FA2">
          <w:rPr>
            <w:rFonts w:ascii="微软雅黑" w:eastAsia="微软雅黑" w:hAnsi="微软雅黑" w:cs="宋体"/>
            <w:kern w:val="0"/>
            <w:sz w:val="24"/>
            <w:szCs w:val="24"/>
            <w:u w:val="single"/>
          </w:rPr>
          <w:t>14</w:t>
        </w:r>
      </w:hyperlink>
      <w:r w:rsidRPr="00685FA2">
        <w:rPr>
          <w:rFonts w:ascii="微软雅黑" w:eastAsia="微软雅黑" w:hAnsi="微软雅黑" w:cs="宋体"/>
          <w:kern w:val="0"/>
          <w:sz w:val="24"/>
          <w:szCs w:val="24"/>
        </w:rPr>
        <w:t> ]。雌激素具有促有丝分裂作用，可导致细胞周期蛋白D1和CDK4/6活性增加，从而引起激素调控型乳腺癌的过度增殖[ </w:t>
      </w:r>
      <w:hyperlink r:id="rId26" w:anchor="B3-ijms-22-12292" w:history="1">
        <w:r w:rsidRPr="00685FA2">
          <w:rPr>
            <w:rFonts w:ascii="微软雅黑" w:eastAsia="微软雅黑" w:hAnsi="微软雅黑" w:cs="宋体"/>
            <w:kern w:val="0"/>
            <w:sz w:val="24"/>
            <w:szCs w:val="24"/>
            <w:u w:val="single"/>
          </w:rPr>
          <w:t>3</w:t>
        </w:r>
      </w:hyperlink>
      <w:r w:rsidRPr="00685FA2">
        <w:rPr>
          <w:rFonts w:ascii="微软雅黑" w:eastAsia="微软雅黑" w:hAnsi="微软雅黑" w:cs="宋体"/>
          <w:kern w:val="0"/>
          <w:sz w:val="24"/>
          <w:szCs w:val="24"/>
        </w:rPr>
        <w:t> ]。因此，靶向该通路中的某些成分有助于克服抗雌激素耐药性。同样重要的是，大多数出现内分泌耐药的患者仍然具有功能正常的Rb通路。这使得靶向CDK4/6成为一种有效的策略，尤其因为它能够维持Rb的功能，并帮助细胞控制其生长[ </w:t>
      </w:r>
      <w:hyperlink r:id="rId27" w:anchor="B15-ijms-22-12292" w:history="1">
        <w:r w:rsidRPr="00685FA2">
          <w:rPr>
            <w:rFonts w:ascii="微软雅黑" w:eastAsia="微软雅黑" w:hAnsi="微软雅黑" w:cs="宋体"/>
            <w:kern w:val="0"/>
            <w:sz w:val="24"/>
            <w:szCs w:val="24"/>
            <w:u w:val="single"/>
          </w:rPr>
          <w:t>15</w:t>
        </w:r>
      </w:hyperlink>
      <w:r w:rsidRPr="00685FA2">
        <w:rPr>
          <w:rFonts w:ascii="微软雅黑" w:eastAsia="微软雅黑" w:hAnsi="微软雅黑" w:cs="宋体"/>
          <w:kern w:val="0"/>
          <w:sz w:val="24"/>
          <w:szCs w:val="24"/>
        </w:rPr>
        <w:t> ]。此外，</w:t>
      </w:r>
      <w:proofErr w:type="spellStart"/>
      <w:r w:rsidRPr="00685FA2">
        <w:rPr>
          <w:rFonts w:ascii="微软雅黑" w:eastAsia="微软雅黑" w:hAnsi="微软雅黑" w:cs="宋体"/>
          <w:kern w:val="0"/>
          <w:sz w:val="24"/>
          <w:szCs w:val="24"/>
        </w:rPr>
        <w:t>MutL</w:t>
      </w:r>
      <w:proofErr w:type="spellEnd"/>
      <w:r w:rsidRPr="00685FA2">
        <w:rPr>
          <w:rFonts w:ascii="微软雅黑" w:eastAsia="微软雅黑" w:hAnsi="微软雅黑" w:cs="宋体"/>
          <w:kern w:val="0"/>
          <w:sz w:val="24"/>
          <w:szCs w:val="24"/>
        </w:rPr>
        <w:t>错配修复（MMR）复合物在ER阳性乳腺癌中通常存在功能异常。因此，由于负责DNA损伤修复的激酶——检查点激酶2（CHK2）无法抑制CDK4，导致CDK4过度激活[ </w:t>
      </w:r>
      <w:hyperlink r:id="rId28" w:anchor="B16-ijms-22-12292" w:history="1">
        <w:r w:rsidRPr="00685FA2">
          <w:rPr>
            <w:rFonts w:ascii="微软雅黑" w:eastAsia="微软雅黑" w:hAnsi="微软雅黑" w:cs="宋体"/>
            <w:kern w:val="0"/>
            <w:sz w:val="24"/>
            <w:szCs w:val="24"/>
            <w:u w:val="single"/>
          </w:rPr>
          <w:t>16</w:t>
        </w:r>
      </w:hyperlink>
      <w:r w:rsidRPr="00685FA2">
        <w:rPr>
          <w:rFonts w:ascii="微软雅黑" w:eastAsia="微软雅黑" w:hAnsi="微软雅黑" w:cs="宋体"/>
          <w:kern w:val="0"/>
          <w:sz w:val="24"/>
          <w:szCs w:val="24"/>
        </w:rPr>
        <w:t> ]。一项针对内分泌耐药患者的临床试验（ </w:t>
      </w:r>
      <w:hyperlink r:id="rId29" w:tgtFrame="_blank" w:history="1">
        <w:r w:rsidRPr="00685FA2">
          <w:rPr>
            <w:rFonts w:ascii="微软雅黑" w:eastAsia="微软雅黑" w:hAnsi="微软雅黑" w:cs="宋体"/>
            <w:kern w:val="0"/>
            <w:sz w:val="24"/>
            <w:szCs w:val="24"/>
            <w:u w:val="single"/>
          </w:rPr>
          <w:t>NCT01723774</w:t>
        </w:r>
      </w:hyperlink>
      <w:r w:rsidRPr="00685FA2">
        <w:rPr>
          <w:rFonts w:ascii="微软雅黑" w:eastAsia="微软雅黑" w:hAnsi="微软雅黑" w:cs="宋体"/>
          <w:kern w:val="0"/>
          <w:sz w:val="24"/>
          <w:szCs w:val="24"/>
        </w:rPr>
        <w:t xml:space="preserve"> ）的数据分析证实，抑制 CDK4/6 对 </w:t>
      </w:r>
      <w:proofErr w:type="spellStart"/>
      <w:r w:rsidRPr="00685FA2">
        <w:rPr>
          <w:rFonts w:ascii="微软雅黑" w:eastAsia="微软雅黑" w:hAnsi="微软雅黑" w:cs="宋体"/>
          <w:kern w:val="0"/>
          <w:sz w:val="24"/>
          <w:szCs w:val="24"/>
        </w:rPr>
        <w:t>MutL</w:t>
      </w:r>
      <w:proofErr w:type="spellEnd"/>
      <w:r w:rsidRPr="00685FA2">
        <w:rPr>
          <w:rFonts w:ascii="微软雅黑" w:eastAsia="微软雅黑" w:hAnsi="微软雅黑" w:cs="宋体"/>
          <w:kern w:val="0"/>
          <w:sz w:val="24"/>
          <w:szCs w:val="24"/>
        </w:rPr>
        <w:t xml:space="preserve"> 缺陷型内分泌耐药 ER+ 肿瘤有效，原因就在于此 [ </w:t>
      </w:r>
      <w:hyperlink r:id="rId30" w:anchor="B16-ijms-22-12292" w:history="1">
        <w:r w:rsidRPr="00685FA2">
          <w:rPr>
            <w:rFonts w:ascii="微软雅黑" w:eastAsia="微软雅黑" w:hAnsi="微软雅黑" w:cs="宋体"/>
            <w:kern w:val="0"/>
            <w:sz w:val="24"/>
            <w:szCs w:val="24"/>
            <w:u w:val="single"/>
          </w:rPr>
          <w:t>16</w:t>
        </w:r>
      </w:hyperlink>
      <w:r w:rsidRPr="00685FA2">
        <w:rPr>
          <w:rFonts w:ascii="微软雅黑" w:eastAsia="微软雅黑" w:hAnsi="微软雅黑" w:cs="宋体"/>
          <w:kern w:val="0"/>
          <w:sz w:val="24"/>
          <w:szCs w:val="24"/>
        </w:rPr>
        <w:t> ]。内分泌耐药的另一种机制是锚蛋白重复序列</w:t>
      </w:r>
      <w:r w:rsidRPr="00685FA2">
        <w:rPr>
          <w:rFonts w:ascii="MS Gothic" w:eastAsia="MS Gothic" w:hAnsi="MS Gothic" w:cs="MS Gothic" w:hint="eastAsia"/>
          <w:kern w:val="0"/>
          <w:sz w:val="24"/>
          <w:szCs w:val="24"/>
        </w:rPr>
        <w:t>​​</w:t>
      </w:r>
      <w:r w:rsidRPr="00685FA2">
        <w:rPr>
          <w:rFonts w:ascii="微软雅黑" w:eastAsia="微软雅黑" w:hAnsi="微软雅黑" w:cs="宋体"/>
          <w:kern w:val="0"/>
          <w:sz w:val="24"/>
          <w:szCs w:val="24"/>
        </w:rPr>
        <w:t>和 LEM 结构域蛋白 2 (LEM4) 的过表达。LEM4 可稳定 Rb 和 CDK4，从而促进 Rb 的磷酸化。反过来，即使在服用他</w:t>
      </w:r>
      <w:proofErr w:type="gramStart"/>
      <w:r w:rsidRPr="00685FA2">
        <w:rPr>
          <w:rFonts w:ascii="微软雅黑" w:eastAsia="微软雅黑" w:hAnsi="微软雅黑" w:cs="宋体"/>
          <w:kern w:val="0"/>
          <w:sz w:val="24"/>
          <w:szCs w:val="24"/>
        </w:rPr>
        <w:t>莫昔芬</w:t>
      </w:r>
      <w:proofErr w:type="gramEnd"/>
      <w:r w:rsidRPr="00685FA2">
        <w:rPr>
          <w:rFonts w:ascii="微软雅黑" w:eastAsia="微软雅黑" w:hAnsi="微软雅黑" w:cs="宋体"/>
          <w:kern w:val="0"/>
          <w:sz w:val="24"/>
          <w:szCs w:val="24"/>
        </w:rPr>
        <w:t>的情况下，这也会促进 G1/S 期转换 [ </w:t>
      </w:r>
      <w:hyperlink r:id="rId31" w:anchor="B17-ijms-22-12292" w:history="1">
        <w:r w:rsidRPr="00685FA2">
          <w:rPr>
            <w:rFonts w:ascii="微软雅黑" w:eastAsia="微软雅黑" w:hAnsi="微软雅黑" w:cs="宋体"/>
            <w:kern w:val="0"/>
            <w:sz w:val="24"/>
            <w:szCs w:val="24"/>
            <w:u w:val="single"/>
          </w:rPr>
          <w:t>17</w:t>
        </w:r>
      </w:hyperlink>
      <w:r w:rsidRPr="00685FA2">
        <w:rPr>
          <w:rFonts w:ascii="微软雅黑" w:eastAsia="微软雅黑" w:hAnsi="微软雅黑" w:cs="宋体"/>
          <w:kern w:val="0"/>
          <w:sz w:val="24"/>
          <w:szCs w:val="24"/>
        </w:rPr>
        <w:t> ]。由于存在此类突变，靶向 CDK4/6 可有效诱导 ER+ 乳腺癌患者产生疗效。</w:t>
      </w:r>
    </w:p>
    <w:p w14:paraId="52D3C10B" w14:textId="77777777" w:rsidR="00685FA2" w:rsidRPr="00685FA2" w:rsidRDefault="00685FA2" w:rsidP="00685FA2">
      <w:pPr>
        <w:widowControl/>
        <w:pBdr>
          <w:bottom w:val="single" w:sz="6" w:space="0" w:color="97B1C8"/>
        </w:pBdr>
        <w:spacing w:line="450" w:lineRule="atLeast"/>
        <w:outlineLvl w:val="1"/>
        <w:rPr>
          <w:rFonts w:ascii="微软雅黑" w:eastAsia="微软雅黑" w:hAnsi="微软雅黑" w:cs="宋体"/>
          <w:kern w:val="0"/>
          <w:sz w:val="34"/>
          <w:szCs w:val="34"/>
        </w:rPr>
      </w:pPr>
      <w:r w:rsidRPr="00685FA2">
        <w:rPr>
          <w:rFonts w:ascii="微软雅黑" w:eastAsia="微软雅黑" w:hAnsi="微软雅黑" w:cs="宋体"/>
          <w:kern w:val="0"/>
          <w:sz w:val="34"/>
          <w:szCs w:val="34"/>
        </w:rPr>
        <w:t>3. 三种已获批准的 CDK4/6 抑制剂</w:t>
      </w:r>
    </w:p>
    <w:p w14:paraId="20A1AAA0"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目前有三种经FDA批准用于治疗ER阳性乳腺癌患者的CDK4/6抑制剂：帕博西尼（</w:t>
      </w:r>
      <w:proofErr w:type="spellStart"/>
      <w:r w:rsidRPr="00685FA2">
        <w:rPr>
          <w:rFonts w:ascii="微软雅黑" w:eastAsia="微软雅黑" w:hAnsi="微软雅黑" w:cs="宋体"/>
          <w:kern w:val="0"/>
          <w:sz w:val="24"/>
          <w:szCs w:val="24"/>
        </w:rPr>
        <w:t>palbociclib</w:t>
      </w:r>
      <w:proofErr w:type="spellEnd"/>
      <w:r w:rsidRPr="00685FA2">
        <w:rPr>
          <w:rFonts w:ascii="微软雅黑" w:eastAsia="微软雅黑" w:hAnsi="微软雅黑" w:cs="宋体"/>
          <w:kern w:val="0"/>
          <w:sz w:val="24"/>
          <w:szCs w:val="24"/>
        </w:rPr>
        <w:t>）、瑞博西尼（</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）和阿贝西利（</w:t>
      </w:r>
      <w:proofErr w:type="spellStart"/>
      <w:r w:rsidRPr="00685FA2">
        <w:rPr>
          <w:rFonts w:ascii="微软雅黑" w:eastAsia="微软雅黑" w:hAnsi="微软雅黑" w:cs="宋体"/>
          <w:kern w:val="0"/>
          <w:sz w:val="24"/>
          <w:szCs w:val="24"/>
        </w:rPr>
        <w:t>abemaciclib</w:t>
      </w:r>
      <w:proofErr w:type="spellEnd"/>
      <w:r w:rsidRPr="00685FA2">
        <w:rPr>
          <w:rFonts w:ascii="微软雅黑" w:eastAsia="微软雅黑" w:hAnsi="微软雅黑" w:cs="宋体"/>
          <w:kern w:val="0"/>
          <w:sz w:val="24"/>
          <w:szCs w:val="24"/>
        </w:rPr>
        <w:t>）。帕</w:t>
      </w:r>
      <w:r w:rsidRPr="00685FA2">
        <w:rPr>
          <w:rFonts w:ascii="微软雅黑" w:eastAsia="微软雅黑" w:hAnsi="微软雅黑" w:cs="宋体"/>
          <w:kern w:val="0"/>
          <w:sz w:val="24"/>
          <w:szCs w:val="24"/>
        </w:rPr>
        <w:lastRenderedPageBreak/>
        <w:t>博西尼于2015年2月率先获得FDA批准，用于男性和绝经后女性[ </w:t>
      </w:r>
      <w:hyperlink r:id="rId32" w:anchor="B18-ijms-22-12292" w:history="1">
        <w:r w:rsidRPr="00685FA2">
          <w:rPr>
            <w:rFonts w:ascii="微软雅黑" w:eastAsia="微软雅黑" w:hAnsi="微软雅黑" w:cs="宋体"/>
            <w:kern w:val="0"/>
            <w:sz w:val="24"/>
            <w:szCs w:val="24"/>
            <w:u w:val="single"/>
          </w:rPr>
          <w:t>18</w:t>
        </w:r>
      </w:hyperlink>
      <w:r w:rsidRPr="00685FA2">
        <w:rPr>
          <w:rFonts w:ascii="微软雅黑" w:eastAsia="微软雅黑" w:hAnsi="微软雅黑" w:cs="宋体"/>
          <w:kern w:val="0"/>
          <w:sz w:val="24"/>
          <w:szCs w:val="24"/>
        </w:rPr>
        <w:t> ]。2017年3月，瑞博西尼获</w:t>
      </w:r>
      <w:proofErr w:type="gramStart"/>
      <w:r w:rsidRPr="00685FA2">
        <w:rPr>
          <w:rFonts w:ascii="微软雅黑" w:eastAsia="微软雅黑" w:hAnsi="微软雅黑" w:cs="宋体"/>
          <w:kern w:val="0"/>
          <w:sz w:val="24"/>
          <w:szCs w:val="24"/>
        </w:rPr>
        <w:t>批用于</w:t>
      </w:r>
      <w:proofErr w:type="gramEnd"/>
      <w:r w:rsidRPr="00685FA2">
        <w:rPr>
          <w:rFonts w:ascii="微软雅黑" w:eastAsia="微软雅黑" w:hAnsi="微软雅黑" w:cs="宋体"/>
          <w:kern w:val="0"/>
          <w:sz w:val="24"/>
          <w:szCs w:val="24"/>
        </w:rPr>
        <w:t>所有绝经状态的女性[ </w:t>
      </w:r>
      <w:hyperlink r:id="rId33" w:anchor="B19-ijms-22-12292" w:history="1">
        <w:r w:rsidRPr="00685FA2">
          <w:rPr>
            <w:rFonts w:ascii="微软雅黑" w:eastAsia="微软雅黑" w:hAnsi="微软雅黑" w:cs="宋体"/>
            <w:kern w:val="0"/>
            <w:sz w:val="24"/>
            <w:szCs w:val="24"/>
            <w:u w:val="single"/>
          </w:rPr>
          <w:t>19</w:t>
        </w:r>
      </w:hyperlink>
      <w:r w:rsidRPr="00685FA2">
        <w:rPr>
          <w:rFonts w:ascii="微软雅黑" w:eastAsia="微软雅黑" w:hAnsi="微软雅黑" w:cs="宋体"/>
          <w:kern w:val="0"/>
          <w:sz w:val="24"/>
          <w:szCs w:val="24"/>
        </w:rPr>
        <w:t> ]。最后，阿贝西利于2018年2月获</w:t>
      </w:r>
      <w:proofErr w:type="gramStart"/>
      <w:r w:rsidRPr="00685FA2">
        <w:rPr>
          <w:rFonts w:ascii="微软雅黑" w:eastAsia="微软雅黑" w:hAnsi="微软雅黑" w:cs="宋体"/>
          <w:kern w:val="0"/>
          <w:sz w:val="24"/>
          <w:szCs w:val="24"/>
        </w:rPr>
        <w:t>批用于</w:t>
      </w:r>
      <w:proofErr w:type="gramEnd"/>
      <w:r w:rsidRPr="00685FA2">
        <w:rPr>
          <w:rFonts w:ascii="微软雅黑" w:eastAsia="微软雅黑" w:hAnsi="微软雅黑" w:cs="宋体"/>
          <w:kern w:val="0"/>
          <w:sz w:val="24"/>
          <w:szCs w:val="24"/>
        </w:rPr>
        <w:t>绝经后女性[ </w:t>
      </w:r>
      <w:hyperlink r:id="rId34" w:anchor="B19-ijms-22-12292" w:history="1">
        <w:r w:rsidRPr="00685FA2">
          <w:rPr>
            <w:rFonts w:ascii="微软雅黑" w:eastAsia="微软雅黑" w:hAnsi="微软雅黑" w:cs="宋体"/>
            <w:kern w:val="0"/>
            <w:sz w:val="24"/>
            <w:szCs w:val="24"/>
            <w:u w:val="single"/>
          </w:rPr>
          <w:t>19</w:t>
        </w:r>
      </w:hyperlink>
      <w:r w:rsidRPr="00685FA2">
        <w:rPr>
          <w:rFonts w:ascii="微软雅黑" w:eastAsia="微软雅黑" w:hAnsi="微软雅黑" w:cs="宋体"/>
          <w:kern w:val="0"/>
          <w:sz w:val="24"/>
          <w:szCs w:val="24"/>
        </w:rPr>
        <w:t> ]。</w:t>
      </w:r>
    </w:p>
    <w:p w14:paraId="751B779D"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 xml:space="preserve">3.1. </w:t>
      </w:r>
      <w:proofErr w:type="gramStart"/>
      <w:r w:rsidRPr="00685FA2">
        <w:rPr>
          <w:rFonts w:ascii="微软雅黑" w:eastAsia="微软雅黑" w:hAnsi="微软雅黑" w:cs="宋体"/>
          <w:kern w:val="0"/>
          <w:sz w:val="32"/>
          <w:szCs w:val="32"/>
        </w:rPr>
        <w:t>帕博西</w:t>
      </w:r>
      <w:proofErr w:type="gramEnd"/>
      <w:r w:rsidRPr="00685FA2">
        <w:rPr>
          <w:rFonts w:ascii="微软雅黑" w:eastAsia="微软雅黑" w:hAnsi="微软雅黑" w:cs="宋体"/>
          <w:kern w:val="0"/>
          <w:sz w:val="32"/>
          <w:szCs w:val="32"/>
        </w:rPr>
        <w:t>尼</w:t>
      </w:r>
    </w:p>
    <w:p w14:paraId="39C8CAC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帕博西尼是一种口服的小分子 CDK4 和 CDK6 抑制剂[ </w:t>
      </w:r>
      <w:hyperlink r:id="rId35" w:anchor="B20-ijms-22-12292" w:history="1">
        <w:r w:rsidRPr="00685FA2">
          <w:rPr>
            <w:rFonts w:ascii="微软雅黑" w:eastAsia="微软雅黑" w:hAnsi="微软雅黑" w:cs="宋体"/>
            <w:kern w:val="0"/>
            <w:sz w:val="24"/>
            <w:szCs w:val="24"/>
            <w:u w:val="single"/>
          </w:rPr>
          <w:t>20</w:t>
        </w:r>
      </w:hyperlink>
      <w:r w:rsidRPr="00685FA2">
        <w:rPr>
          <w:rFonts w:ascii="微软雅黑" w:eastAsia="微软雅黑" w:hAnsi="微软雅黑" w:cs="宋体"/>
          <w:kern w:val="0"/>
          <w:sz w:val="24"/>
          <w:szCs w:val="24"/>
        </w:rPr>
        <w:t> ]。一项 I 期临床试验 ( </w:t>
      </w:r>
      <w:hyperlink r:id="rId36" w:tgtFrame="_blank" w:history="1">
        <w:r w:rsidRPr="00685FA2">
          <w:rPr>
            <w:rFonts w:ascii="微软雅黑" w:eastAsia="微软雅黑" w:hAnsi="微软雅黑" w:cs="宋体"/>
            <w:kern w:val="0"/>
            <w:sz w:val="24"/>
            <w:szCs w:val="24"/>
            <w:u w:val="single"/>
          </w:rPr>
          <w:t>NCT00141297</w:t>
        </w:r>
      </w:hyperlink>
      <w:r w:rsidRPr="00685FA2">
        <w:rPr>
          <w:rFonts w:ascii="微软雅黑" w:eastAsia="微软雅黑" w:hAnsi="微软雅黑" w:cs="宋体"/>
          <w:kern w:val="0"/>
          <w:sz w:val="24"/>
          <w:szCs w:val="24"/>
        </w:rPr>
        <w:t> ) 旨在确定最佳剂量和给药方案。第一组患者（肿瘤类型多样）每日服用 100 至 225 mg 帕博西尼，连续服用两周，停药一周，此方案基于临床前数据。该试验中共有 32% 的患者获得有效应答，</w:t>
      </w:r>
      <w:proofErr w:type="gramStart"/>
      <w:r w:rsidRPr="00685FA2">
        <w:rPr>
          <w:rFonts w:ascii="微软雅黑" w:eastAsia="微软雅黑" w:hAnsi="微软雅黑" w:cs="宋体"/>
          <w:kern w:val="0"/>
          <w:sz w:val="24"/>
          <w:szCs w:val="24"/>
        </w:rPr>
        <w:t>且较高</w:t>
      </w:r>
      <w:proofErr w:type="gramEnd"/>
      <w:r w:rsidRPr="00685FA2">
        <w:rPr>
          <w:rFonts w:ascii="微软雅黑" w:eastAsia="微软雅黑" w:hAnsi="微软雅黑" w:cs="宋体"/>
          <w:kern w:val="0"/>
          <w:sz w:val="24"/>
          <w:szCs w:val="24"/>
        </w:rPr>
        <w:t>剂量疗效更佳[ </w:t>
      </w:r>
      <w:hyperlink r:id="rId37" w:anchor="B21-ijms-22-12292" w:history="1">
        <w:r w:rsidRPr="00685FA2">
          <w:rPr>
            <w:rFonts w:ascii="微软雅黑" w:eastAsia="微软雅黑" w:hAnsi="微软雅黑" w:cs="宋体"/>
            <w:kern w:val="0"/>
            <w:sz w:val="24"/>
            <w:szCs w:val="24"/>
            <w:u w:val="single"/>
          </w:rPr>
          <w:t>21</w:t>
        </w:r>
      </w:hyperlink>
      <w:r w:rsidRPr="00685FA2">
        <w:rPr>
          <w:rFonts w:ascii="微软雅黑" w:eastAsia="微软雅黑" w:hAnsi="微软雅黑" w:cs="宋体"/>
          <w:kern w:val="0"/>
          <w:sz w:val="24"/>
          <w:szCs w:val="24"/>
        </w:rPr>
        <w:t> ]。另一组患者每日服用 25 至 150 mg 帕博西尼，采用三周用药/一周停药的给药方案。该组患者的有效应答率为 27%，且最高剂量组的疗效最佳[ </w:t>
      </w:r>
      <w:hyperlink r:id="rId38" w:anchor="B22-ijms-22-12292" w:history="1">
        <w:r w:rsidRPr="00685FA2">
          <w:rPr>
            <w:rFonts w:ascii="微软雅黑" w:eastAsia="微软雅黑" w:hAnsi="微软雅黑" w:cs="宋体"/>
            <w:kern w:val="0"/>
            <w:sz w:val="24"/>
            <w:szCs w:val="24"/>
            <w:u w:val="single"/>
          </w:rPr>
          <w:t>22</w:t>
        </w:r>
      </w:hyperlink>
      <w:r w:rsidRPr="00685FA2">
        <w:rPr>
          <w:rFonts w:ascii="微软雅黑" w:eastAsia="微软雅黑" w:hAnsi="微软雅黑" w:cs="宋体"/>
          <w:kern w:val="0"/>
          <w:sz w:val="24"/>
          <w:szCs w:val="24"/>
        </w:rPr>
        <w:t> ]。然而，较高剂量的帕博西尼也导致了更严重的副作用，包括中性粒细胞减少症、白细胞减少症、贫血、疲乏、血小板减少症、关节痛和恶心[ </w:t>
      </w:r>
      <w:hyperlink r:id="rId39" w:anchor="B20-ijms-22-12292" w:history="1">
        <w:r w:rsidRPr="00685FA2">
          <w:rPr>
            <w:rFonts w:ascii="微软雅黑" w:eastAsia="微软雅黑" w:hAnsi="微软雅黑" w:cs="宋体"/>
            <w:kern w:val="0"/>
            <w:sz w:val="24"/>
            <w:szCs w:val="24"/>
            <w:u w:val="single"/>
          </w:rPr>
          <w:t>20</w:t>
        </w:r>
      </w:hyperlink>
      <w:r w:rsidRPr="00685FA2">
        <w:rPr>
          <w:rFonts w:ascii="微软雅黑" w:eastAsia="微软雅黑" w:hAnsi="微软雅黑" w:cs="宋体"/>
          <w:kern w:val="0"/>
          <w:sz w:val="24"/>
          <w:szCs w:val="24"/>
        </w:rPr>
        <w:t> , </w:t>
      </w:r>
      <w:hyperlink r:id="rId40" w:anchor="B23-ijms-22-12292" w:history="1">
        <w:r w:rsidRPr="00685FA2">
          <w:rPr>
            <w:rFonts w:ascii="微软雅黑" w:eastAsia="微软雅黑" w:hAnsi="微软雅黑" w:cs="宋体"/>
            <w:kern w:val="0"/>
            <w:sz w:val="24"/>
            <w:szCs w:val="24"/>
            <w:u w:val="single"/>
          </w:rPr>
          <w:t>23</w:t>
        </w:r>
      </w:hyperlink>
      <w:r w:rsidRPr="00685FA2">
        <w:rPr>
          <w:rFonts w:ascii="微软雅黑" w:eastAsia="微软雅黑" w:hAnsi="微软雅黑" w:cs="宋体"/>
          <w:kern w:val="0"/>
          <w:sz w:val="24"/>
          <w:szCs w:val="24"/>
        </w:rPr>
        <w:t> ]。此外，还有报道称其会引起多种皮肤副作用[ </w:t>
      </w:r>
      <w:hyperlink r:id="rId41" w:anchor="B24-ijms-22-12292" w:history="1">
        <w:r w:rsidRPr="00685FA2">
          <w:rPr>
            <w:rFonts w:ascii="微软雅黑" w:eastAsia="微软雅黑" w:hAnsi="微软雅黑" w:cs="宋体"/>
            <w:kern w:val="0"/>
            <w:sz w:val="24"/>
            <w:szCs w:val="24"/>
            <w:u w:val="single"/>
          </w:rPr>
          <w:t>24</w:t>
        </w:r>
      </w:hyperlink>
      <w:r w:rsidRPr="00685FA2">
        <w:rPr>
          <w:rFonts w:ascii="微软雅黑" w:eastAsia="微软雅黑" w:hAnsi="微软雅黑" w:cs="宋体"/>
          <w:kern w:val="0"/>
          <w:sz w:val="24"/>
          <w:szCs w:val="24"/>
        </w:rPr>
        <w:t> ]。为了更好地应对这些问题，建议未来的研究采用每日125 mg、连续用药21天/停药7天的给药方案[ </w:t>
      </w:r>
      <w:hyperlink r:id="rId42" w:anchor="B25-ijms-22-12292" w:history="1">
        <w:r w:rsidRPr="00685FA2">
          <w:rPr>
            <w:rFonts w:ascii="微软雅黑" w:eastAsia="微软雅黑" w:hAnsi="微软雅黑" w:cs="宋体"/>
            <w:kern w:val="0"/>
            <w:sz w:val="24"/>
            <w:szCs w:val="24"/>
            <w:u w:val="single"/>
          </w:rPr>
          <w:t>25</w:t>
        </w:r>
      </w:hyperlink>
      <w:r w:rsidRPr="00685FA2">
        <w:rPr>
          <w:rFonts w:ascii="微软雅黑" w:eastAsia="微软雅黑" w:hAnsi="微软雅黑" w:cs="宋体"/>
          <w:kern w:val="0"/>
          <w:sz w:val="24"/>
          <w:szCs w:val="24"/>
        </w:rPr>
        <w:t> ]。</w:t>
      </w:r>
    </w:p>
    <w:p w14:paraId="67182129"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在针对激素受体阳性（HR+）/HER2阴性乳腺癌患者的PALOMA-1 II期临床试验（</w:t>
      </w:r>
      <w:hyperlink r:id="rId43" w:tgtFrame="_blank" w:history="1">
        <w:r w:rsidRPr="00685FA2">
          <w:rPr>
            <w:rFonts w:ascii="微软雅黑" w:eastAsia="微软雅黑" w:hAnsi="微软雅黑" w:cs="宋体"/>
            <w:kern w:val="0"/>
            <w:sz w:val="24"/>
            <w:szCs w:val="24"/>
            <w:u w:val="single"/>
          </w:rPr>
          <w:t>NCT00721409</w:t>
        </w:r>
      </w:hyperlink>
      <w:r w:rsidRPr="00685FA2">
        <w:rPr>
          <w:rFonts w:ascii="微软雅黑" w:eastAsia="微软雅黑" w:hAnsi="微软雅黑" w:cs="宋体"/>
          <w:kern w:val="0"/>
          <w:sz w:val="24"/>
          <w:szCs w:val="24"/>
        </w:rPr>
        <w:t>）中，研究人员监测了接受每日2.5 mg来曲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或每日2.5 mg来曲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联合125 mg帕博西尼（3周用药/1周停药）治疗后的无进展生存期（PFS）。这些患者既往接受过芳香化酶抑制剂治疗。接受联合治疗的患者中位PFS为26.1个月，而单用来曲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组为5.7个月[ </w:t>
      </w:r>
      <w:hyperlink r:id="rId44" w:anchor="B20-ijms-22-12292" w:history="1">
        <w:r w:rsidRPr="00685FA2">
          <w:rPr>
            <w:rFonts w:ascii="微软雅黑" w:eastAsia="微软雅黑" w:hAnsi="微软雅黑" w:cs="宋体"/>
            <w:kern w:val="0"/>
            <w:sz w:val="24"/>
            <w:szCs w:val="24"/>
            <w:u w:val="single"/>
          </w:rPr>
          <w:t>20</w:t>
        </w:r>
      </w:hyperlink>
      <w:r w:rsidRPr="00685FA2">
        <w:rPr>
          <w:rFonts w:ascii="微软雅黑" w:eastAsia="微软雅黑" w:hAnsi="微软雅黑" w:cs="宋体"/>
          <w:kern w:val="0"/>
          <w:sz w:val="24"/>
          <w:szCs w:val="24"/>
        </w:rPr>
        <w:t> ]。该研究提供了强有力的证据，表明这种CDK4/6抑制剂可显著延长ER+乳腺癌患者的缓解期。</w:t>
      </w:r>
    </w:p>
    <w:p w14:paraId="23BD1F2D"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PALOMA-2试验（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"https://clinicaltrials.gov/ct2/show/NCT01740427"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NCT01740427</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）是一项III期临床研究，旨在评估帕博西尼125 mg联合来曲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2.5 mg与单用来曲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2.5 mg治疗</w:t>
      </w:r>
      <w:proofErr w:type="gramStart"/>
      <w:r w:rsidRPr="00685FA2">
        <w:rPr>
          <w:rFonts w:ascii="微软雅黑" w:eastAsia="微软雅黑" w:hAnsi="微软雅黑" w:cs="宋体"/>
          <w:kern w:val="0"/>
          <w:sz w:val="24"/>
          <w:szCs w:val="24"/>
        </w:rPr>
        <w:t>既往未</w:t>
      </w:r>
      <w:proofErr w:type="gramEnd"/>
      <w:r w:rsidRPr="00685FA2">
        <w:rPr>
          <w:rFonts w:ascii="微软雅黑" w:eastAsia="微软雅黑" w:hAnsi="微软雅黑" w:cs="宋体"/>
          <w:kern w:val="0"/>
          <w:sz w:val="24"/>
          <w:szCs w:val="24"/>
        </w:rPr>
        <w:t>接受过治疗的HR+/HER2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乳腺癌患者的疗效。帕博西尼联合治疗组的中位无进展生存期（PFS）为24.8个月，而单用来曲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组的PFS仅为14.5个月[ </w:t>
      </w:r>
      <w:hyperlink r:id="rId45" w:anchor="B26-ijms-22-12292" w:history="1">
        <w:r w:rsidRPr="00685FA2">
          <w:rPr>
            <w:rFonts w:ascii="微软雅黑" w:eastAsia="微软雅黑" w:hAnsi="微软雅黑" w:cs="宋体"/>
            <w:kern w:val="0"/>
            <w:sz w:val="24"/>
            <w:szCs w:val="24"/>
            <w:u w:val="single"/>
          </w:rPr>
          <w:t>26</w:t>
        </w:r>
      </w:hyperlink>
      <w:r w:rsidRPr="00685FA2">
        <w:rPr>
          <w:rFonts w:ascii="微软雅黑" w:eastAsia="微软雅黑" w:hAnsi="微软雅黑" w:cs="宋体"/>
          <w:kern w:val="0"/>
          <w:sz w:val="24"/>
          <w:szCs w:val="24"/>
        </w:rPr>
        <w:t> ]。这两项临床试验共同促成了帕博西尼获</w:t>
      </w:r>
      <w:proofErr w:type="gramStart"/>
      <w:r w:rsidRPr="00685FA2">
        <w:rPr>
          <w:rFonts w:ascii="微软雅黑" w:eastAsia="微软雅黑" w:hAnsi="微软雅黑" w:cs="宋体"/>
          <w:kern w:val="0"/>
          <w:sz w:val="24"/>
          <w:szCs w:val="24"/>
        </w:rPr>
        <w:t>批用于</w:t>
      </w:r>
      <w:proofErr w:type="gramEnd"/>
      <w:r w:rsidRPr="00685FA2">
        <w:rPr>
          <w:rFonts w:ascii="微软雅黑" w:eastAsia="微软雅黑" w:hAnsi="微软雅黑" w:cs="宋体"/>
          <w:kern w:val="0"/>
          <w:sz w:val="24"/>
          <w:szCs w:val="24"/>
        </w:rPr>
        <w:t>治疗绝经后晚期乳腺癌女性患者，无论她们既往是否接受过芳香化酶抑制剂治疗。</w:t>
      </w:r>
    </w:p>
    <w:p w14:paraId="2961CFCD"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PALOMA-3 临床试验 ( </w:t>
      </w:r>
      <w:hyperlink r:id="rId46" w:tgtFrame="_blank" w:history="1">
        <w:r w:rsidRPr="00685FA2">
          <w:rPr>
            <w:rFonts w:ascii="微软雅黑" w:eastAsia="微软雅黑" w:hAnsi="微软雅黑" w:cs="宋体"/>
            <w:kern w:val="0"/>
            <w:sz w:val="24"/>
            <w:szCs w:val="24"/>
            <w:u w:val="single"/>
          </w:rPr>
          <w:t>NCT01942135</w:t>
        </w:r>
      </w:hyperlink>
      <w:r w:rsidRPr="00685FA2">
        <w:rPr>
          <w:rFonts w:ascii="微软雅黑" w:eastAsia="微软雅黑" w:hAnsi="微软雅黑" w:cs="宋体"/>
          <w:kern w:val="0"/>
          <w:sz w:val="24"/>
          <w:szCs w:val="24"/>
        </w:rPr>
        <w:t xml:space="preserve"> ) 是一项 III 期临床试验，旨在研究 125 mg 帕博西尼联合 500 mg </w:t>
      </w:r>
      <w:proofErr w:type="gramStart"/>
      <w:r w:rsidRPr="00685FA2">
        <w:rPr>
          <w:rFonts w:ascii="微软雅黑" w:eastAsia="微软雅黑" w:hAnsi="微软雅黑" w:cs="宋体"/>
          <w:kern w:val="0"/>
          <w:sz w:val="24"/>
          <w:szCs w:val="24"/>
        </w:rPr>
        <w:t>氟维司群治疗</w:t>
      </w:r>
      <w:proofErr w:type="gramEnd"/>
      <w:r w:rsidRPr="00685FA2">
        <w:rPr>
          <w:rFonts w:ascii="微软雅黑" w:eastAsia="微软雅黑" w:hAnsi="微软雅黑" w:cs="宋体"/>
          <w:kern w:val="0"/>
          <w:sz w:val="24"/>
          <w:szCs w:val="24"/>
        </w:rPr>
        <w:t>晚期 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 xml:space="preserve"> 乳腺癌的疗效。该研究发现，与安慰剂相比，</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联</w:t>
      </w:r>
      <w:proofErr w:type="gramStart"/>
      <w:r w:rsidRPr="00685FA2">
        <w:rPr>
          <w:rFonts w:ascii="微软雅黑" w:eastAsia="微软雅黑" w:hAnsi="微软雅黑" w:cs="宋体"/>
          <w:kern w:val="0"/>
          <w:sz w:val="24"/>
          <w:szCs w:val="24"/>
        </w:rPr>
        <w:t>合帕</w:t>
      </w:r>
      <w:proofErr w:type="gramEnd"/>
      <w:r w:rsidRPr="00685FA2">
        <w:rPr>
          <w:rFonts w:ascii="微软雅黑" w:eastAsia="微软雅黑" w:hAnsi="微软雅黑" w:cs="宋体"/>
          <w:kern w:val="0"/>
          <w:sz w:val="24"/>
          <w:szCs w:val="24"/>
        </w:rPr>
        <w:t>博西</w:t>
      </w:r>
      <w:proofErr w:type="gramStart"/>
      <w:r w:rsidRPr="00685FA2">
        <w:rPr>
          <w:rFonts w:ascii="微软雅黑" w:eastAsia="微软雅黑" w:hAnsi="微软雅黑" w:cs="宋体"/>
          <w:kern w:val="0"/>
          <w:sz w:val="24"/>
          <w:szCs w:val="24"/>
        </w:rPr>
        <w:t>尼治疗</w:t>
      </w:r>
      <w:proofErr w:type="gramEnd"/>
      <w:r w:rsidRPr="00685FA2">
        <w:rPr>
          <w:rFonts w:ascii="微软雅黑" w:eastAsia="微软雅黑" w:hAnsi="微软雅黑" w:cs="宋体"/>
          <w:kern w:val="0"/>
          <w:sz w:val="24"/>
          <w:szCs w:val="24"/>
        </w:rPr>
        <w:t xml:space="preserve">可将无进展生存期 (PFS) 从 4.6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月延长至 9.5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月 [ </w:t>
      </w:r>
      <w:hyperlink r:id="rId47" w:anchor="B23-ijms-22-12292" w:history="1">
        <w:r w:rsidRPr="00685FA2">
          <w:rPr>
            <w:rFonts w:ascii="微软雅黑" w:eastAsia="微软雅黑" w:hAnsi="微软雅黑" w:cs="宋体"/>
            <w:kern w:val="0"/>
            <w:sz w:val="24"/>
            <w:szCs w:val="24"/>
            <w:u w:val="single"/>
          </w:rPr>
          <w:t>23</w:t>
        </w:r>
      </w:hyperlink>
      <w:r w:rsidRPr="00685FA2">
        <w:rPr>
          <w:rFonts w:ascii="微软雅黑" w:eastAsia="微软雅黑" w:hAnsi="微软雅黑" w:cs="宋体"/>
          <w:kern w:val="0"/>
          <w:sz w:val="24"/>
          <w:szCs w:val="24"/>
        </w:rPr>
        <w:t> ]。重要的是，该方案能够克服</w:t>
      </w:r>
      <w:proofErr w:type="gramStart"/>
      <w:r w:rsidRPr="00685FA2">
        <w:rPr>
          <w:rFonts w:ascii="微软雅黑" w:eastAsia="微软雅黑" w:hAnsi="微软雅黑" w:cs="宋体"/>
          <w:kern w:val="0"/>
          <w:sz w:val="24"/>
          <w:szCs w:val="24"/>
        </w:rPr>
        <w:t>既往仅</w:t>
      </w:r>
      <w:proofErr w:type="gramEnd"/>
      <w:r w:rsidRPr="00685FA2">
        <w:rPr>
          <w:rFonts w:ascii="微软雅黑" w:eastAsia="微软雅黑" w:hAnsi="微软雅黑" w:cs="宋体"/>
          <w:kern w:val="0"/>
          <w:sz w:val="24"/>
          <w:szCs w:val="24"/>
        </w:rPr>
        <w:t>接受抗雌激素治疗的绝经前和绝经后女性的耐药性 [ </w:t>
      </w:r>
      <w:hyperlink r:id="rId48" w:anchor="B27-ijms-22-12292" w:history="1">
        <w:r w:rsidRPr="00685FA2">
          <w:rPr>
            <w:rFonts w:ascii="微软雅黑" w:eastAsia="微软雅黑" w:hAnsi="微软雅黑" w:cs="宋体"/>
            <w:kern w:val="0"/>
            <w:sz w:val="24"/>
            <w:szCs w:val="24"/>
            <w:u w:val="single"/>
          </w:rPr>
          <w:t>27</w:t>
        </w:r>
      </w:hyperlink>
      <w:r w:rsidRPr="00685FA2">
        <w:rPr>
          <w:rFonts w:ascii="微软雅黑" w:eastAsia="微软雅黑" w:hAnsi="微软雅黑" w:cs="宋体"/>
          <w:kern w:val="0"/>
          <w:sz w:val="24"/>
          <w:szCs w:val="24"/>
        </w:rPr>
        <w:t> ]。总而言之，PALOMA-3 试验促成了帕博西尼获</w:t>
      </w:r>
      <w:proofErr w:type="gramStart"/>
      <w:r w:rsidRPr="00685FA2">
        <w:rPr>
          <w:rFonts w:ascii="微软雅黑" w:eastAsia="微软雅黑" w:hAnsi="微软雅黑" w:cs="宋体"/>
          <w:kern w:val="0"/>
          <w:sz w:val="24"/>
          <w:szCs w:val="24"/>
        </w:rPr>
        <w:t>批作为</w:t>
      </w:r>
      <w:proofErr w:type="gramEnd"/>
      <w:r w:rsidRPr="00685FA2">
        <w:rPr>
          <w:rFonts w:ascii="微软雅黑" w:eastAsia="微软雅黑" w:hAnsi="微软雅黑" w:cs="宋体"/>
          <w:kern w:val="0"/>
          <w:sz w:val="24"/>
          <w:szCs w:val="24"/>
        </w:rPr>
        <w:t>晚期 ER+ 乳腺癌患者的二线治疗方案，无论其绝经状态或既往是否接受过抗雌激素治疗 [ </w:t>
      </w:r>
      <w:hyperlink r:id="rId49" w:anchor="B19-ijms-22-12292" w:history="1">
        <w:r w:rsidRPr="00685FA2">
          <w:rPr>
            <w:rFonts w:ascii="微软雅黑" w:eastAsia="微软雅黑" w:hAnsi="微软雅黑" w:cs="宋体"/>
            <w:kern w:val="0"/>
            <w:sz w:val="24"/>
            <w:szCs w:val="24"/>
            <w:u w:val="single"/>
          </w:rPr>
          <w:t>19</w:t>
        </w:r>
      </w:hyperlink>
      <w:r w:rsidRPr="00685FA2">
        <w:rPr>
          <w:rFonts w:ascii="微软雅黑" w:eastAsia="微软雅黑" w:hAnsi="微软雅黑" w:cs="宋体"/>
          <w:kern w:val="0"/>
          <w:sz w:val="24"/>
          <w:szCs w:val="24"/>
        </w:rPr>
        <w:t> ]。</w:t>
      </w:r>
    </w:p>
    <w:p w14:paraId="286DA5C5"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PALINA试验（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"https://clinicaltrials.gov/ct2/show/NCT02692755"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NCT02692755</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）研究了帕博西尼在HR+/HER2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晚期乳腺癌的非裔美国女性中的应用。研究这一患者群体非常重要，因为她们在PALOMA试验中的代表性不足。此外，许多患者携带Duffy抗原趋化因子受体的基因多态性，这增加了她们良性种族性中性粒细胞减少症的发生率[ </w:t>
      </w:r>
      <w:hyperlink r:id="rId50" w:anchor="B28-ijms-22-12292" w:history="1">
        <w:r w:rsidRPr="00685FA2">
          <w:rPr>
            <w:rFonts w:ascii="微软雅黑" w:eastAsia="微软雅黑" w:hAnsi="微软雅黑" w:cs="宋体"/>
            <w:kern w:val="0"/>
            <w:sz w:val="24"/>
            <w:szCs w:val="24"/>
            <w:u w:val="single"/>
          </w:rPr>
          <w:t>28</w:t>
        </w:r>
      </w:hyperlink>
      <w:r w:rsidRPr="00685FA2">
        <w:rPr>
          <w:rFonts w:ascii="微软雅黑" w:eastAsia="微软雅黑" w:hAnsi="微软雅黑" w:cs="宋体"/>
          <w:kern w:val="0"/>
          <w:sz w:val="24"/>
          <w:szCs w:val="24"/>
        </w:rPr>
        <w:t> ]。携带或不携带该变异的患者均接受帕博西尼治疗，并接受内分泌治疗，其疗效在12个月内进行追踪。携带Duffy缺失变异的患者发生严重中性粒细胞减少症的比例（72.2%）高于野生型（WT）患者（23.1%）[ </w:t>
      </w:r>
      <w:hyperlink r:id="rId51" w:anchor="B28-ijms-22-12292" w:history="1">
        <w:r w:rsidRPr="00685FA2">
          <w:rPr>
            <w:rFonts w:ascii="微软雅黑" w:eastAsia="微软雅黑" w:hAnsi="微软雅黑" w:cs="宋体"/>
            <w:kern w:val="0"/>
            <w:sz w:val="24"/>
            <w:szCs w:val="24"/>
            <w:u w:val="single"/>
          </w:rPr>
          <w:t>28</w:t>
        </w:r>
      </w:hyperlink>
      <w:r w:rsidRPr="00685FA2">
        <w:rPr>
          <w:rFonts w:ascii="微软雅黑" w:eastAsia="微软雅黑" w:hAnsi="微软雅黑" w:cs="宋体"/>
          <w:kern w:val="0"/>
          <w:sz w:val="24"/>
          <w:szCs w:val="24"/>
        </w:rPr>
        <w:t> ]。因此，55.6%的Duffy缺失变异女性需要降低帕博西尼剂量，而WT女性的这一比例仅为7.7%。此外，与野生型（WT）</w:t>
      </w:r>
      <w:r w:rsidRPr="00685FA2">
        <w:rPr>
          <w:rFonts w:ascii="微软雅黑" w:eastAsia="微软雅黑" w:hAnsi="微软雅黑" w:cs="宋体"/>
          <w:kern w:val="0"/>
          <w:sz w:val="24"/>
          <w:szCs w:val="24"/>
        </w:rPr>
        <w:lastRenderedPageBreak/>
        <w:t>患者的84.6%相比，非裔美国女性患者的临床获益率也较低，为66.7%。这项研究表明，帕博西尼对非裔美国女性有效且耐受性良好，但Duffy基因阴性患者需要密切监测严重中性粒细胞减少症，并根据需要调整帕博西尼的剂量。</w:t>
      </w:r>
    </w:p>
    <w:p w14:paraId="117D362F"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由于帕博西尼持续给药会引起严重的血液学不良反应，因此尚未对其进行研究。幸运的是，1周的停药期足以让骨髓恢复。虽然最初认为7天的停药期是该药物的一个缺点，但实际上，这使得帕博西尼能够与其他可以进一步干扰细胞周期的药物产生协同作用[ </w:t>
      </w:r>
      <w:hyperlink r:id="rId52" w:anchor="B4-ijms-22-12292" w:history="1">
        <w:r w:rsidRPr="00685FA2">
          <w:rPr>
            <w:rFonts w:ascii="微软雅黑" w:eastAsia="微软雅黑" w:hAnsi="微软雅黑" w:cs="宋体"/>
            <w:kern w:val="0"/>
            <w:sz w:val="24"/>
            <w:szCs w:val="24"/>
            <w:u w:val="single"/>
          </w:rPr>
          <w:t>4</w:t>
        </w:r>
      </w:hyperlink>
      <w:r w:rsidRPr="00685FA2">
        <w:rPr>
          <w:rFonts w:ascii="微软雅黑" w:eastAsia="微软雅黑" w:hAnsi="微软雅黑" w:cs="宋体"/>
          <w:kern w:val="0"/>
          <w:sz w:val="24"/>
          <w:szCs w:val="24"/>
        </w:rPr>
        <w:t> ]。在帕博西尼治疗中断初期，细胞的细胞周期进程是同步的。此时，由于细胞处于细胞周期的易感期，损伤DNA的化疗药物可能非常有效[ </w:t>
      </w:r>
      <w:hyperlink r:id="rId53" w:anchor="B4-ijms-22-12292" w:history="1">
        <w:r w:rsidRPr="00685FA2">
          <w:rPr>
            <w:rFonts w:ascii="微软雅黑" w:eastAsia="微软雅黑" w:hAnsi="微软雅黑" w:cs="宋体"/>
            <w:kern w:val="0"/>
            <w:sz w:val="24"/>
            <w:szCs w:val="24"/>
            <w:u w:val="single"/>
          </w:rPr>
          <w:t>4</w:t>
        </w:r>
      </w:hyperlink>
      <w:r w:rsidRPr="00685FA2">
        <w:rPr>
          <w:rFonts w:ascii="微软雅黑" w:eastAsia="微软雅黑" w:hAnsi="微软雅黑" w:cs="宋体"/>
          <w:kern w:val="0"/>
          <w:sz w:val="24"/>
          <w:szCs w:val="24"/>
        </w:rPr>
        <w:t> ]。目前，这一概念正在临床试验中进行验证。</w:t>
      </w:r>
    </w:p>
    <w:p w14:paraId="0B9464B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由于帕博西尼可作为乳腺癌耐药蛋白 (BCRP) 和 P-糖蛋白 (P-</w:t>
      </w:r>
      <w:proofErr w:type="spellStart"/>
      <w:r w:rsidRPr="00685FA2">
        <w:rPr>
          <w:rFonts w:ascii="微软雅黑" w:eastAsia="微软雅黑" w:hAnsi="微软雅黑" w:cs="宋体"/>
          <w:kern w:val="0"/>
          <w:sz w:val="24"/>
          <w:szCs w:val="24"/>
        </w:rPr>
        <w:t>gP</w:t>
      </w:r>
      <w:proofErr w:type="spellEnd"/>
      <w:r w:rsidRPr="00685FA2">
        <w:rPr>
          <w:rFonts w:ascii="微软雅黑" w:eastAsia="微软雅黑" w:hAnsi="微软雅黑" w:cs="宋体"/>
          <w:kern w:val="0"/>
          <w:sz w:val="24"/>
          <w:szCs w:val="24"/>
        </w:rPr>
        <w:t>) 的底物，因此其穿透血脑屏障的能力有限 [ </w:t>
      </w:r>
      <w:hyperlink r:id="rId54" w:anchor="B25-ijms-22-12292" w:history="1">
        <w:r w:rsidRPr="00685FA2">
          <w:rPr>
            <w:rFonts w:ascii="微软雅黑" w:eastAsia="微软雅黑" w:hAnsi="微软雅黑" w:cs="宋体"/>
            <w:kern w:val="0"/>
            <w:sz w:val="24"/>
            <w:szCs w:val="24"/>
            <w:u w:val="single"/>
          </w:rPr>
          <w:t>25</w:t>
        </w:r>
      </w:hyperlink>
      <w:r w:rsidRPr="00685FA2">
        <w:rPr>
          <w:rFonts w:ascii="微软雅黑" w:eastAsia="微软雅黑" w:hAnsi="微软雅黑" w:cs="宋体"/>
          <w:kern w:val="0"/>
          <w:sz w:val="24"/>
          <w:szCs w:val="24"/>
        </w:rPr>
        <w:t> ]。这使得人们对</w:t>
      </w:r>
      <w:proofErr w:type="gramStart"/>
      <w:r w:rsidRPr="00685FA2">
        <w:rPr>
          <w:rFonts w:ascii="微软雅黑" w:eastAsia="微软雅黑" w:hAnsi="微软雅黑" w:cs="宋体"/>
          <w:kern w:val="0"/>
          <w:sz w:val="24"/>
          <w:szCs w:val="24"/>
        </w:rPr>
        <w:t>其靶向</w:t>
      </w:r>
      <w:proofErr w:type="gramEnd"/>
      <w:r w:rsidRPr="00685FA2">
        <w:rPr>
          <w:rFonts w:ascii="微软雅黑" w:eastAsia="微软雅黑" w:hAnsi="微软雅黑" w:cs="宋体"/>
          <w:kern w:val="0"/>
          <w:sz w:val="24"/>
          <w:szCs w:val="24"/>
        </w:rPr>
        <w:t>转移灶的疗效产生了一些质疑。尽管如此，帕博西尼治疗脑转移乳腺癌患者的潜力正在一项临床试验 ( </w:t>
      </w:r>
      <w:hyperlink r:id="rId55" w:tgtFrame="_blank" w:history="1">
        <w:r w:rsidRPr="00685FA2">
          <w:rPr>
            <w:rFonts w:ascii="微软雅黑" w:eastAsia="微软雅黑" w:hAnsi="微软雅黑" w:cs="宋体"/>
            <w:kern w:val="0"/>
            <w:sz w:val="24"/>
            <w:szCs w:val="24"/>
            <w:u w:val="single"/>
          </w:rPr>
          <w:t>NCT02774681</w:t>
        </w:r>
      </w:hyperlink>
      <w:r w:rsidRPr="00685FA2">
        <w:rPr>
          <w:rFonts w:ascii="微软雅黑" w:eastAsia="微软雅黑" w:hAnsi="微软雅黑" w:cs="宋体"/>
          <w:kern w:val="0"/>
          <w:sz w:val="24"/>
          <w:szCs w:val="24"/>
        </w:rPr>
        <w:t> ) 中进行评估。值得注意的是，由于某些患者细胞色素 P450 家族 3 亚家族 A 成员 4 (CYP3A4) 和磺基转移酶家族 2A 成员 1 (SULT2A1) 的基因变异导致帕博西尼代谢方式的差异，亚洲患者尤其容易出现严重的粒细胞减少症 [ </w:t>
      </w:r>
      <w:hyperlink r:id="rId56" w:anchor="B25-ijms-22-12292" w:history="1">
        <w:r w:rsidRPr="00685FA2">
          <w:rPr>
            <w:rFonts w:ascii="微软雅黑" w:eastAsia="微软雅黑" w:hAnsi="微软雅黑" w:cs="宋体"/>
            <w:kern w:val="0"/>
            <w:sz w:val="24"/>
            <w:szCs w:val="24"/>
            <w:u w:val="single"/>
          </w:rPr>
          <w:t>25</w:t>
        </w:r>
      </w:hyperlink>
      <w:r w:rsidRPr="00685FA2">
        <w:rPr>
          <w:rFonts w:ascii="微软雅黑" w:eastAsia="微软雅黑" w:hAnsi="微软雅黑" w:cs="宋体"/>
          <w:kern w:val="0"/>
          <w:sz w:val="24"/>
          <w:szCs w:val="24"/>
        </w:rPr>
        <w:t> ]。鉴于</w:t>
      </w:r>
      <w:proofErr w:type="gramStart"/>
      <w:r w:rsidRPr="00685FA2">
        <w:rPr>
          <w:rFonts w:ascii="微软雅黑" w:eastAsia="微软雅黑" w:hAnsi="微软雅黑" w:cs="宋体"/>
          <w:kern w:val="0"/>
          <w:sz w:val="24"/>
          <w:szCs w:val="24"/>
        </w:rPr>
        <w:t>此以及</w:t>
      </w:r>
      <w:proofErr w:type="gramEnd"/>
      <w:r w:rsidRPr="00685FA2">
        <w:rPr>
          <w:rFonts w:ascii="微软雅黑" w:eastAsia="微软雅黑" w:hAnsi="微软雅黑" w:cs="宋体"/>
          <w:kern w:val="0"/>
          <w:sz w:val="24"/>
          <w:szCs w:val="24"/>
        </w:rPr>
        <w:t xml:space="preserve"> PALINA 试验的结果，需要仔细考虑患者的剂量，并根据任何不良事件进行必要的调整。</w:t>
      </w:r>
    </w:p>
    <w:p w14:paraId="56E8B0CC"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 xml:space="preserve">3.2. </w:t>
      </w:r>
      <w:proofErr w:type="gramStart"/>
      <w:r w:rsidRPr="00685FA2">
        <w:rPr>
          <w:rFonts w:ascii="微软雅黑" w:eastAsia="微软雅黑" w:hAnsi="微软雅黑" w:cs="宋体"/>
          <w:kern w:val="0"/>
          <w:sz w:val="32"/>
          <w:szCs w:val="32"/>
        </w:rPr>
        <w:t>利博西</w:t>
      </w:r>
      <w:proofErr w:type="gramEnd"/>
      <w:r w:rsidRPr="00685FA2">
        <w:rPr>
          <w:rFonts w:ascii="微软雅黑" w:eastAsia="微软雅黑" w:hAnsi="微软雅黑" w:cs="宋体"/>
          <w:kern w:val="0"/>
          <w:sz w:val="32"/>
          <w:szCs w:val="32"/>
        </w:rPr>
        <w:t>尼</w:t>
      </w:r>
    </w:p>
    <w:p w14:paraId="37D366AA"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瑞博西尼是一种口服小分子CDK4/6抑制剂，可使Rb蛋白去磷酸化[ </w:t>
      </w:r>
      <w:hyperlink r:id="rId57" w:anchor="B14-ijms-22-12292" w:history="1">
        <w:r w:rsidRPr="00685FA2">
          <w:rPr>
            <w:rFonts w:ascii="微软雅黑" w:eastAsia="微软雅黑" w:hAnsi="微软雅黑" w:cs="宋体"/>
            <w:kern w:val="0"/>
            <w:sz w:val="24"/>
            <w:szCs w:val="24"/>
            <w:u w:val="single"/>
          </w:rPr>
          <w:t>14</w:t>
        </w:r>
      </w:hyperlink>
      <w:r w:rsidRPr="00685FA2">
        <w:rPr>
          <w:rFonts w:ascii="微软雅黑" w:eastAsia="微软雅黑" w:hAnsi="微软雅黑" w:cs="宋体"/>
          <w:kern w:val="0"/>
          <w:sz w:val="24"/>
          <w:szCs w:val="24"/>
        </w:rPr>
        <w:t> ]。因此，E2F转录因子无法诱导转录，细胞停滞在G1期。在一项纳入多种癌症类型</w:t>
      </w:r>
      <w:r w:rsidRPr="00685FA2">
        <w:rPr>
          <w:rFonts w:ascii="微软雅黑" w:eastAsia="微软雅黑" w:hAnsi="微软雅黑" w:cs="宋体"/>
          <w:kern w:val="0"/>
          <w:sz w:val="24"/>
          <w:szCs w:val="24"/>
        </w:rPr>
        <w:lastRenderedPageBreak/>
        <w:t>的I期临床试验（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"https://clinicaltrials.gov/ct2/show/NCT01237236"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NCT01237236</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）中，20名ER阳性乳腺癌患者接受了每日600 mg瑞博西尼的耐受性测试。不良反应包括骨髓抑制、3/4级中性粒细胞减少症和血小板减少症[ </w:t>
      </w:r>
      <w:hyperlink r:id="rId58" w:anchor="B14-ijms-22-12292" w:history="1">
        <w:r w:rsidRPr="00685FA2">
          <w:rPr>
            <w:rFonts w:ascii="微软雅黑" w:eastAsia="微软雅黑" w:hAnsi="微软雅黑" w:cs="宋体"/>
            <w:kern w:val="0"/>
            <w:sz w:val="24"/>
            <w:szCs w:val="24"/>
            <w:u w:val="single"/>
          </w:rPr>
          <w:t>14</w:t>
        </w:r>
      </w:hyperlink>
      <w:r w:rsidRPr="00685FA2">
        <w:rPr>
          <w:rFonts w:ascii="微软雅黑" w:eastAsia="微软雅黑" w:hAnsi="微软雅黑" w:cs="宋体"/>
          <w:kern w:val="0"/>
          <w:sz w:val="24"/>
          <w:szCs w:val="24"/>
        </w:rPr>
        <w:t> ]。较轻的不良反应包括疲劳、恶心、呕吐和腹泻。为了提高耐受性，建议每连续服用3周后停药1周，与帕博西尼的给药方案相同。</w:t>
      </w:r>
    </w:p>
    <w:p w14:paraId="44165875"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MONALEESA-2 III期临床试验（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"https://clinicaltrials.gov/ct2/show/NCT01958021"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NCT01958021</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 xml:space="preserve">）采用每日600 mg </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联合2.5 mg来曲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或单用来曲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治疗HR+/HER2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绝经后患者。随访结果显示，</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治疗组患者的平均无进展生存期（PFS）为25.3个月[ </w:t>
      </w:r>
      <w:hyperlink r:id="rId59" w:anchor="B29-ijms-22-12292" w:history="1">
        <w:r w:rsidRPr="00685FA2">
          <w:rPr>
            <w:rFonts w:ascii="微软雅黑" w:eastAsia="微软雅黑" w:hAnsi="微软雅黑" w:cs="宋体"/>
            <w:kern w:val="0"/>
            <w:sz w:val="24"/>
            <w:szCs w:val="24"/>
            <w:u w:val="single"/>
          </w:rPr>
          <w:t>29</w:t>
        </w:r>
      </w:hyperlink>
      <w:r w:rsidRPr="00685FA2">
        <w:rPr>
          <w:rFonts w:ascii="微软雅黑" w:eastAsia="微软雅黑" w:hAnsi="微软雅黑" w:cs="宋体"/>
          <w:kern w:val="0"/>
          <w:sz w:val="24"/>
          <w:szCs w:val="24"/>
        </w:rPr>
        <w:t> ]。单用来曲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组的中位PFS为16.0个月。因此，</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被推荐用于晚期绝经后患者。</w:t>
      </w:r>
    </w:p>
    <w:p w14:paraId="284C4C09"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MONALEESA-3试验（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"https://clinicaltrials.gov/ct2/show/NCT02422615"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NCT02422615</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）继续研究了瑞博西尼的疗效。患有晚期HR+/HER2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乳腺癌的男性和绝经后女性被分为两组：2/3的患者接受600 mg瑞博西尼联合500 mg</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治疗，1/3的患者接受单</w:t>
      </w:r>
      <w:proofErr w:type="gramStart"/>
      <w:r w:rsidRPr="00685FA2">
        <w:rPr>
          <w:rFonts w:ascii="微软雅黑" w:eastAsia="微软雅黑" w:hAnsi="微软雅黑" w:cs="宋体"/>
          <w:kern w:val="0"/>
          <w:sz w:val="24"/>
          <w:szCs w:val="24"/>
        </w:rPr>
        <w:t>药氟维司群</w:t>
      </w:r>
      <w:proofErr w:type="gramEnd"/>
      <w:r w:rsidRPr="00685FA2">
        <w:rPr>
          <w:rFonts w:ascii="微软雅黑" w:eastAsia="微软雅黑" w:hAnsi="微软雅黑" w:cs="宋体"/>
          <w:kern w:val="0"/>
          <w:sz w:val="24"/>
          <w:szCs w:val="24"/>
        </w:rPr>
        <w:t>治疗。值得注意的是，该试验允许既往接受过内分泌治疗且存在转移的患者入组。患者接受任</w:t>
      </w:r>
      <w:proofErr w:type="gramStart"/>
      <w:r w:rsidRPr="00685FA2">
        <w:rPr>
          <w:rFonts w:ascii="微软雅黑" w:eastAsia="微软雅黑" w:hAnsi="微软雅黑" w:cs="宋体"/>
          <w:kern w:val="0"/>
          <w:sz w:val="24"/>
          <w:szCs w:val="24"/>
        </w:rPr>
        <w:t>一</w:t>
      </w:r>
      <w:proofErr w:type="gramEnd"/>
      <w:r w:rsidRPr="00685FA2">
        <w:rPr>
          <w:rFonts w:ascii="微软雅黑" w:eastAsia="微软雅黑" w:hAnsi="微软雅黑" w:cs="宋体"/>
          <w:kern w:val="0"/>
          <w:sz w:val="24"/>
          <w:szCs w:val="24"/>
        </w:rPr>
        <w:t>治疗方案治疗一年。瑞博西尼/</w:t>
      </w:r>
      <w:proofErr w:type="gramStart"/>
      <w:r w:rsidRPr="00685FA2">
        <w:rPr>
          <w:rFonts w:ascii="微软雅黑" w:eastAsia="微软雅黑" w:hAnsi="微软雅黑" w:cs="宋体"/>
          <w:kern w:val="0"/>
          <w:sz w:val="24"/>
          <w:szCs w:val="24"/>
        </w:rPr>
        <w:t>氟维司群治疗</w:t>
      </w:r>
      <w:proofErr w:type="gramEnd"/>
      <w:r w:rsidRPr="00685FA2">
        <w:rPr>
          <w:rFonts w:ascii="微软雅黑" w:eastAsia="微软雅黑" w:hAnsi="微软雅黑" w:cs="宋体"/>
          <w:kern w:val="0"/>
          <w:sz w:val="24"/>
          <w:szCs w:val="24"/>
        </w:rPr>
        <w:t>组的总生存期（OS）为51.8个月，而单</w:t>
      </w:r>
      <w:proofErr w:type="gramStart"/>
      <w:r w:rsidRPr="00685FA2">
        <w:rPr>
          <w:rFonts w:ascii="微软雅黑" w:eastAsia="微软雅黑" w:hAnsi="微软雅黑" w:cs="宋体"/>
          <w:kern w:val="0"/>
          <w:sz w:val="24"/>
          <w:szCs w:val="24"/>
        </w:rPr>
        <w:t>药氟维司群治疗</w:t>
      </w:r>
      <w:proofErr w:type="gramEnd"/>
      <w:r w:rsidRPr="00685FA2">
        <w:rPr>
          <w:rFonts w:ascii="微软雅黑" w:eastAsia="微软雅黑" w:hAnsi="微软雅黑" w:cs="宋体"/>
          <w:kern w:val="0"/>
          <w:sz w:val="24"/>
          <w:szCs w:val="24"/>
        </w:rPr>
        <w:t>组为39.7个月[ </w:t>
      </w:r>
      <w:hyperlink r:id="rId60" w:anchor="B30-ijms-22-12292" w:history="1">
        <w:r w:rsidRPr="00685FA2">
          <w:rPr>
            <w:rFonts w:ascii="微软雅黑" w:eastAsia="微软雅黑" w:hAnsi="微软雅黑" w:cs="宋体"/>
            <w:kern w:val="0"/>
            <w:sz w:val="24"/>
            <w:szCs w:val="24"/>
            <w:u w:val="single"/>
          </w:rPr>
          <w:t>30</w:t>
        </w:r>
      </w:hyperlink>
      <w:r w:rsidRPr="00685FA2">
        <w:rPr>
          <w:rFonts w:ascii="微软雅黑" w:eastAsia="微软雅黑" w:hAnsi="微软雅黑" w:cs="宋体"/>
          <w:kern w:val="0"/>
          <w:sz w:val="24"/>
          <w:szCs w:val="24"/>
        </w:rPr>
        <w:t> ]。这些数据表明，瑞博西尼和</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可能有助于延长HR+乳腺癌男性和女性患者的生存期。</w:t>
      </w:r>
    </w:p>
    <w:p w14:paraId="120DAC5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首个评估瑞博西尼在绝经</w:t>
      </w:r>
      <w:proofErr w:type="gramStart"/>
      <w:r w:rsidRPr="00685FA2">
        <w:rPr>
          <w:rFonts w:ascii="微软雅黑" w:eastAsia="微软雅黑" w:hAnsi="微软雅黑" w:cs="宋体"/>
          <w:kern w:val="0"/>
          <w:sz w:val="24"/>
          <w:szCs w:val="24"/>
        </w:rPr>
        <w:t>前女性</w:t>
      </w:r>
      <w:proofErr w:type="gramEnd"/>
      <w:r w:rsidRPr="00685FA2">
        <w:rPr>
          <w:rFonts w:ascii="微软雅黑" w:eastAsia="微软雅黑" w:hAnsi="微软雅黑" w:cs="宋体"/>
          <w:kern w:val="0"/>
          <w:sz w:val="24"/>
          <w:szCs w:val="24"/>
        </w:rPr>
        <w:t>中疗效的试验是III期MONALEESA-7试验（</w:t>
      </w:r>
      <w:hyperlink r:id="rId61" w:tgtFrame="_blank" w:history="1">
        <w:r w:rsidRPr="00685FA2">
          <w:rPr>
            <w:rFonts w:ascii="微软雅黑" w:eastAsia="微软雅黑" w:hAnsi="微软雅黑" w:cs="宋体"/>
            <w:kern w:val="0"/>
            <w:sz w:val="24"/>
            <w:szCs w:val="24"/>
            <w:u w:val="single"/>
          </w:rPr>
          <w:t>NCT02278120</w:t>
        </w:r>
      </w:hyperlink>
      <w:r w:rsidRPr="00685FA2">
        <w:rPr>
          <w:rFonts w:ascii="微软雅黑" w:eastAsia="微软雅黑" w:hAnsi="微软雅黑" w:cs="宋体"/>
          <w:kern w:val="0"/>
          <w:sz w:val="24"/>
          <w:szCs w:val="24"/>
        </w:rPr>
        <w:t>）。该试验纳入了所有HR+/HER2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患者，无论其既往是否接受过化疗或内分泌治疗。患者接受600 mg瑞博西尼或安慰剂，并联合20 mg他</w:t>
      </w:r>
      <w:proofErr w:type="gramStart"/>
      <w:r w:rsidRPr="00685FA2">
        <w:rPr>
          <w:rFonts w:ascii="微软雅黑" w:eastAsia="微软雅黑" w:hAnsi="微软雅黑" w:cs="宋体"/>
          <w:kern w:val="0"/>
          <w:sz w:val="24"/>
          <w:szCs w:val="24"/>
        </w:rPr>
        <w:t>莫昔芬</w:t>
      </w:r>
      <w:proofErr w:type="gramEnd"/>
      <w:r w:rsidRPr="00685FA2">
        <w:rPr>
          <w:rFonts w:ascii="微软雅黑" w:eastAsia="微软雅黑" w:hAnsi="微软雅黑" w:cs="宋体"/>
          <w:kern w:val="0"/>
          <w:sz w:val="24"/>
          <w:szCs w:val="24"/>
        </w:rPr>
        <w:t>、2.5 mg来曲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或1 mg阿那曲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 xml:space="preserve">。此外，所有患者每月均接受3.6 </w:t>
      </w:r>
      <w:r w:rsidRPr="00685FA2">
        <w:rPr>
          <w:rFonts w:ascii="微软雅黑" w:eastAsia="微软雅黑" w:hAnsi="微软雅黑" w:cs="宋体"/>
          <w:kern w:val="0"/>
          <w:sz w:val="24"/>
          <w:szCs w:val="24"/>
        </w:rPr>
        <w:lastRenderedPageBreak/>
        <w:t>mg戈舍瑞林注射，这是绝经</w:t>
      </w:r>
      <w:proofErr w:type="gramStart"/>
      <w:r w:rsidRPr="00685FA2">
        <w:rPr>
          <w:rFonts w:ascii="微软雅黑" w:eastAsia="微软雅黑" w:hAnsi="微软雅黑" w:cs="宋体"/>
          <w:kern w:val="0"/>
          <w:sz w:val="24"/>
          <w:szCs w:val="24"/>
        </w:rPr>
        <w:t>前女性</w:t>
      </w:r>
      <w:proofErr w:type="gramEnd"/>
      <w:r w:rsidRPr="00685FA2">
        <w:rPr>
          <w:rFonts w:ascii="微软雅黑" w:eastAsia="微软雅黑" w:hAnsi="微软雅黑" w:cs="宋体"/>
          <w:kern w:val="0"/>
          <w:sz w:val="24"/>
          <w:szCs w:val="24"/>
        </w:rPr>
        <w:t>抑制卵巢雌激素分泌所必需的[ </w:t>
      </w:r>
      <w:hyperlink r:id="rId62" w:anchor="B31-ijms-22-12292" w:history="1">
        <w:r w:rsidRPr="00685FA2">
          <w:rPr>
            <w:rFonts w:ascii="微软雅黑" w:eastAsia="微软雅黑" w:hAnsi="微软雅黑" w:cs="宋体"/>
            <w:kern w:val="0"/>
            <w:sz w:val="24"/>
            <w:szCs w:val="24"/>
            <w:u w:val="single"/>
          </w:rPr>
          <w:t>31</w:t>
        </w:r>
      </w:hyperlink>
      <w:r w:rsidRPr="00685FA2">
        <w:rPr>
          <w:rFonts w:ascii="微软雅黑" w:eastAsia="微软雅黑" w:hAnsi="微软雅黑" w:cs="宋体"/>
          <w:kern w:val="0"/>
          <w:sz w:val="24"/>
          <w:szCs w:val="24"/>
        </w:rPr>
        <w:t> ]。瑞博西尼组的平均无进展生存期（PFS）为23.8个月，而对照组为13.0个月[ </w:t>
      </w:r>
      <w:hyperlink r:id="rId63" w:anchor="B32-ijms-22-12292" w:history="1">
        <w:r w:rsidRPr="00685FA2">
          <w:rPr>
            <w:rFonts w:ascii="微软雅黑" w:eastAsia="微软雅黑" w:hAnsi="微软雅黑" w:cs="宋体"/>
            <w:kern w:val="0"/>
            <w:sz w:val="24"/>
            <w:szCs w:val="24"/>
            <w:u w:val="single"/>
          </w:rPr>
          <w:t>32</w:t>
        </w:r>
      </w:hyperlink>
      <w:r w:rsidRPr="00685FA2">
        <w:rPr>
          <w:rFonts w:ascii="微软雅黑" w:eastAsia="微软雅黑" w:hAnsi="微软雅黑" w:cs="宋体"/>
          <w:kern w:val="0"/>
          <w:sz w:val="24"/>
          <w:szCs w:val="24"/>
        </w:rPr>
        <w:t> ]。该研究支持瑞博西尼获</w:t>
      </w:r>
      <w:proofErr w:type="gramStart"/>
      <w:r w:rsidRPr="00685FA2">
        <w:rPr>
          <w:rFonts w:ascii="微软雅黑" w:eastAsia="微软雅黑" w:hAnsi="微软雅黑" w:cs="宋体"/>
          <w:kern w:val="0"/>
          <w:sz w:val="24"/>
          <w:szCs w:val="24"/>
        </w:rPr>
        <w:t>批用于</w:t>
      </w:r>
      <w:proofErr w:type="gramEnd"/>
      <w:r w:rsidRPr="00685FA2">
        <w:rPr>
          <w:rFonts w:ascii="微软雅黑" w:eastAsia="微软雅黑" w:hAnsi="微软雅黑" w:cs="宋体"/>
          <w:kern w:val="0"/>
          <w:sz w:val="24"/>
          <w:szCs w:val="24"/>
        </w:rPr>
        <w:t>绝经前患者。</w:t>
      </w:r>
    </w:p>
    <w:p w14:paraId="319972DA"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基于上述研究结果，</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 xml:space="preserve"> 的给药方案为“用药 3 周，停药 1 周”。7 天的停药期是必要的，因为持续给药 </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 xml:space="preserve"> 会导致严重的血液毒性 [ </w:t>
      </w:r>
      <w:hyperlink r:id="rId64" w:anchor="B25-ijms-22-12292" w:history="1">
        <w:r w:rsidRPr="00685FA2">
          <w:rPr>
            <w:rFonts w:ascii="微软雅黑" w:eastAsia="微软雅黑" w:hAnsi="微软雅黑" w:cs="宋体"/>
            <w:kern w:val="0"/>
            <w:sz w:val="24"/>
            <w:szCs w:val="24"/>
            <w:u w:val="single"/>
          </w:rPr>
          <w:t>25</w:t>
        </w:r>
      </w:hyperlink>
      <w:r w:rsidRPr="00685FA2">
        <w:rPr>
          <w:rFonts w:ascii="微软雅黑" w:eastAsia="微软雅黑" w:hAnsi="微软雅黑" w:cs="宋体"/>
          <w:kern w:val="0"/>
          <w:sz w:val="24"/>
          <w:szCs w:val="24"/>
        </w:rPr>
        <w:t> ]。这 1 周的停药期有助于最大限度地减少这些毒性作用，并使骨髓得以恢复，同时仍能抑制肿瘤生长 [ </w:t>
      </w:r>
      <w:hyperlink r:id="rId65" w:anchor="B4-ijms-22-12292" w:history="1">
        <w:r w:rsidRPr="00685FA2">
          <w:rPr>
            <w:rFonts w:ascii="微软雅黑" w:eastAsia="微软雅黑" w:hAnsi="微软雅黑" w:cs="宋体"/>
            <w:kern w:val="0"/>
            <w:sz w:val="24"/>
            <w:szCs w:val="24"/>
            <w:u w:val="single"/>
          </w:rPr>
          <w:t>4</w:t>
        </w:r>
      </w:hyperlink>
      <w:r w:rsidRPr="00685FA2">
        <w:rPr>
          <w:rFonts w:ascii="微软雅黑" w:eastAsia="微软雅黑" w:hAnsi="微软雅黑" w:cs="宋体"/>
          <w:kern w:val="0"/>
          <w:sz w:val="24"/>
          <w:szCs w:val="24"/>
        </w:rPr>
        <w:t xml:space="preserve"> ]。与 </w:t>
      </w:r>
      <w:proofErr w:type="spellStart"/>
      <w:r w:rsidRPr="00685FA2">
        <w:rPr>
          <w:rFonts w:ascii="微软雅黑" w:eastAsia="微软雅黑" w:hAnsi="微软雅黑" w:cs="宋体"/>
          <w:kern w:val="0"/>
          <w:sz w:val="24"/>
          <w:szCs w:val="24"/>
        </w:rPr>
        <w:t>palbociclib</w:t>
      </w:r>
      <w:proofErr w:type="spellEnd"/>
      <w:r w:rsidRPr="00685FA2">
        <w:rPr>
          <w:rFonts w:ascii="微软雅黑" w:eastAsia="微软雅黑" w:hAnsi="微软雅黑" w:cs="宋体"/>
          <w:kern w:val="0"/>
          <w:sz w:val="24"/>
          <w:szCs w:val="24"/>
        </w:rPr>
        <w:t xml:space="preserve"> 类似，由于细胞在细胞周期中重新进入一个高度敏感的阶段，因此该停药期为其他药物（例如 DNA 损伤化疗药物）提供了良好的协同作用机会 [ </w:t>
      </w:r>
      <w:hyperlink r:id="rId66" w:anchor="B4-ijms-22-12292" w:history="1">
        <w:r w:rsidRPr="00685FA2">
          <w:rPr>
            <w:rFonts w:ascii="微软雅黑" w:eastAsia="微软雅黑" w:hAnsi="微软雅黑" w:cs="宋体"/>
            <w:kern w:val="0"/>
            <w:sz w:val="24"/>
            <w:szCs w:val="24"/>
            <w:u w:val="single"/>
          </w:rPr>
          <w:t>4</w:t>
        </w:r>
      </w:hyperlink>
      <w:r w:rsidRPr="00685FA2">
        <w:rPr>
          <w:rFonts w:ascii="微软雅黑" w:eastAsia="微软雅黑" w:hAnsi="微软雅黑" w:cs="宋体"/>
          <w:kern w:val="0"/>
          <w:sz w:val="24"/>
          <w:szCs w:val="24"/>
        </w:rPr>
        <w:t> ]。此外，临床前研究表明，</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 xml:space="preserve"> 穿透血脑屏障的能力有限，因为它也是 BCRP 和 P-</w:t>
      </w:r>
      <w:proofErr w:type="spellStart"/>
      <w:r w:rsidRPr="00685FA2">
        <w:rPr>
          <w:rFonts w:ascii="微软雅黑" w:eastAsia="微软雅黑" w:hAnsi="微软雅黑" w:cs="宋体"/>
          <w:kern w:val="0"/>
          <w:sz w:val="24"/>
          <w:szCs w:val="24"/>
        </w:rPr>
        <w:t>gP</w:t>
      </w:r>
      <w:proofErr w:type="spellEnd"/>
      <w:r w:rsidRPr="00685FA2">
        <w:rPr>
          <w:rFonts w:ascii="微软雅黑" w:eastAsia="微软雅黑" w:hAnsi="微软雅黑" w:cs="宋体"/>
          <w:kern w:val="0"/>
          <w:sz w:val="24"/>
          <w:szCs w:val="24"/>
        </w:rPr>
        <w:t xml:space="preserve"> 的底物 [ </w:t>
      </w:r>
      <w:hyperlink r:id="rId67" w:anchor="B25-ijms-22-12292" w:history="1">
        <w:r w:rsidRPr="00685FA2">
          <w:rPr>
            <w:rFonts w:ascii="微软雅黑" w:eastAsia="微软雅黑" w:hAnsi="微软雅黑" w:cs="宋体"/>
            <w:kern w:val="0"/>
            <w:sz w:val="24"/>
            <w:szCs w:val="24"/>
            <w:u w:val="single"/>
          </w:rPr>
          <w:t>25</w:t>
        </w:r>
      </w:hyperlink>
      <w:r w:rsidRPr="00685FA2">
        <w:rPr>
          <w:rFonts w:ascii="微软雅黑" w:eastAsia="微软雅黑" w:hAnsi="微软雅黑" w:cs="宋体"/>
          <w:kern w:val="0"/>
          <w:sz w:val="24"/>
          <w:szCs w:val="24"/>
        </w:rPr>
        <w:t> ]。然而，</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 xml:space="preserve"> 在治疗脑转移</w:t>
      </w:r>
      <w:proofErr w:type="gramStart"/>
      <w:r w:rsidRPr="00685FA2">
        <w:rPr>
          <w:rFonts w:ascii="微软雅黑" w:eastAsia="微软雅黑" w:hAnsi="微软雅黑" w:cs="宋体"/>
          <w:kern w:val="0"/>
          <w:sz w:val="24"/>
          <w:szCs w:val="24"/>
        </w:rPr>
        <w:t>瘤方面</w:t>
      </w:r>
      <w:proofErr w:type="gramEnd"/>
      <w:r w:rsidRPr="00685FA2">
        <w:rPr>
          <w:rFonts w:ascii="微软雅黑" w:eastAsia="微软雅黑" w:hAnsi="微软雅黑" w:cs="宋体"/>
          <w:kern w:val="0"/>
          <w:sz w:val="24"/>
          <w:szCs w:val="24"/>
        </w:rPr>
        <w:t>的潜在用途目前正在一项临床试验 ( </w:t>
      </w:r>
      <w:hyperlink r:id="rId68" w:tgtFrame="_blank" w:history="1">
        <w:r w:rsidRPr="00685FA2">
          <w:rPr>
            <w:rFonts w:ascii="微软雅黑" w:eastAsia="微软雅黑" w:hAnsi="微软雅黑" w:cs="宋体"/>
            <w:kern w:val="0"/>
            <w:sz w:val="24"/>
            <w:szCs w:val="24"/>
            <w:u w:val="single"/>
          </w:rPr>
          <w:t>NCT02933736</w:t>
        </w:r>
      </w:hyperlink>
      <w:r w:rsidRPr="00685FA2">
        <w:rPr>
          <w:rFonts w:ascii="微软雅黑" w:eastAsia="微软雅黑" w:hAnsi="微软雅黑" w:cs="宋体"/>
          <w:kern w:val="0"/>
          <w:sz w:val="24"/>
          <w:szCs w:val="24"/>
        </w:rPr>
        <w:t> ) 中进行研究。</w:t>
      </w:r>
    </w:p>
    <w:p w14:paraId="66D7E897"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3.3. 阿贝西利</w:t>
      </w:r>
    </w:p>
    <w:p w14:paraId="0402C911"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阿贝西利是一种小分子 CDK4 和 CDK6 抑制剂，但它对细胞周期蛋白依赖性激酶 9 (CDK9) 也具有很强的活性。与帕博西尼和瑞博西尼相比，它对 CDK4 的活性大约高出五倍 [ </w:t>
      </w:r>
      <w:hyperlink r:id="rId69" w:anchor="B25-ijms-22-12292" w:history="1">
        <w:r w:rsidRPr="00685FA2">
          <w:rPr>
            <w:rFonts w:ascii="微软雅黑" w:eastAsia="微软雅黑" w:hAnsi="微软雅黑" w:cs="宋体"/>
            <w:kern w:val="0"/>
            <w:sz w:val="24"/>
            <w:szCs w:val="24"/>
            <w:u w:val="single"/>
          </w:rPr>
          <w:t>25</w:t>
        </w:r>
      </w:hyperlink>
      <w:r w:rsidRPr="00685FA2">
        <w:rPr>
          <w:rFonts w:ascii="微软雅黑" w:eastAsia="微软雅黑" w:hAnsi="微软雅黑" w:cs="宋体"/>
          <w:kern w:val="0"/>
          <w:sz w:val="24"/>
          <w:szCs w:val="24"/>
        </w:rPr>
        <w:t> ]。一项 I 期临床试验 ( </w:t>
      </w:r>
      <w:hyperlink r:id="rId70" w:tgtFrame="_blank" w:history="1">
        <w:r w:rsidRPr="00685FA2">
          <w:rPr>
            <w:rFonts w:ascii="微软雅黑" w:eastAsia="微软雅黑" w:hAnsi="微软雅黑" w:cs="宋体"/>
            <w:kern w:val="0"/>
            <w:sz w:val="24"/>
            <w:szCs w:val="24"/>
            <w:u w:val="single"/>
          </w:rPr>
          <w:t>NCT02308020</w:t>
        </w:r>
      </w:hyperlink>
      <w:r w:rsidRPr="00685FA2">
        <w:rPr>
          <w:rFonts w:ascii="微软雅黑" w:eastAsia="微软雅黑" w:hAnsi="微软雅黑" w:cs="宋体"/>
          <w:kern w:val="0"/>
          <w:sz w:val="24"/>
          <w:szCs w:val="24"/>
        </w:rPr>
        <w:t> ) 评估了阿贝西利在各种实体瘤患者中的最大耐受剂量。患者被分为每日一次给药组（剂量为 50 至 225 mg）和每日两次给药组（剂量为 75 至 275 mg）[ </w:t>
      </w:r>
      <w:hyperlink r:id="rId71" w:anchor="B12-ijms-22-12292" w:history="1">
        <w:r w:rsidRPr="00685FA2">
          <w:rPr>
            <w:rFonts w:ascii="微软雅黑" w:eastAsia="微软雅黑" w:hAnsi="微软雅黑" w:cs="宋体"/>
            <w:kern w:val="0"/>
            <w:sz w:val="24"/>
            <w:szCs w:val="24"/>
            <w:u w:val="single"/>
          </w:rPr>
          <w:t>12</w:t>
        </w:r>
      </w:hyperlink>
      <w:r w:rsidRPr="00685FA2">
        <w:rPr>
          <w:rFonts w:ascii="微软雅黑" w:eastAsia="微软雅黑" w:hAnsi="微软雅黑" w:cs="宋体"/>
          <w:kern w:val="0"/>
          <w:sz w:val="24"/>
          <w:szCs w:val="24"/>
        </w:rPr>
        <w:t> ]。在该研究中，阿贝西利的不良反应包括严重疲乏、腹泻、呕吐、白细胞减少症、中性粒细胞减少症、血小板减少症、贫血和</w:t>
      </w:r>
      <w:proofErr w:type="gramStart"/>
      <w:r w:rsidRPr="00685FA2">
        <w:rPr>
          <w:rFonts w:ascii="微软雅黑" w:eastAsia="微软雅黑" w:hAnsi="微软雅黑" w:cs="宋体"/>
          <w:kern w:val="0"/>
          <w:sz w:val="24"/>
          <w:szCs w:val="24"/>
        </w:rPr>
        <w:t>肌酐</w:t>
      </w:r>
      <w:proofErr w:type="gramEnd"/>
      <w:r w:rsidRPr="00685FA2">
        <w:rPr>
          <w:rFonts w:ascii="微软雅黑" w:eastAsia="微软雅黑" w:hAnsi="微软雅黑" w:cs="宋体"/>
          <w:kern w:val="0"/>
          <w:sz w:val="24"/>
          <w:szCs w:val="24"/>
        </w:rPr>
        <w:t>水平升高。这些不良反应呈剂量依赖性且可逆。患者耐受性良好的最大剂量为每 12 小时 200 毫克。根据本次试验</w:t>
      </w:r>
      <w:r w:rsidRPr="00685FA2">
        <w:rPr>
          <w:rFonts w:ascii="微软雅黑" w:eastAsia="微软雅黑" w:hAnsi="微软雅黑" w:cs="宋体"/>
          <w:kern w:val="0"/>
          <w:sz w:val="24"/>
          <w:szCs w:val="24"/>
        </w:rPr>
        <w:lastRenderedPageBreak/>
        <w:t>获得的数据，未来的试验采用每日两次给药方案，剂量在 150 至 200 毫克之间。</w:t>
      </w:r>
    </w:p>
    <w:p w14:paraId="79E84D57" w14:textId="77777777" w:rsidR="00685FA2" w:rsidRPr="00685FA2" w:rsidRDefault="00685FA2" w:rsidP="00685FA2">
      <w:pPr>
        <w:widowControl/>
        <w:spacing w:before="450"/>
        <w:rPr>
          <w:rFonts w:ascii="微软雅黑" w:eastAsia="微软雅黑" w:hAnsi="微软雅黑" w:cs="宋体"/>
          <w:kern w:val="0"/>
          <w:sz w:val="24"/>
          <w:szCs w:val="24"/>
        </w:rPr>
      </w:pPr>
      <w:hyperlink r:id="rId72" w:tgtFrame="_blank" w:history="1">
        <w:r w:rsidRPr="00685FA2">
          <w:rPr>
            <w:rFonts w:ascii="微软雅黑" w:eastAsia="微软雅黑" w:hAnsi="微软雅黑" w:cs="宋体"/>
            <w:kern w:val="0"/>
            <w:sz w:val="24"/>
            <w:szCs w:val="24"/>
            <w:u w:val="single"/>
          </w:rPr>
          <w:t>基于III期MONARCH-2研究（ NCT02107703</w:t>
        </w:r>
      </w:hyperlink>
      <w:r w:rsidRPr="00685FA2">
        <w:rPr>
          <w:rFonts w:ascii="微软雅黑" w:eastAsia="微软雅黑" w:hAnsi="微软雅黑" w:cs="宋体"/>
          <w:kern w:val="0"/>
          <w:sz w:val="24"/>
          <w:szCs w:val="24"/>
        </w:rPr>
        <w:t> ） ，阿贝西利首次获</w:t>
      </w:r>
      <w:proofErr w:type="gramStart"/>
      <w:r w:rsidRPr="00685FA2">
        <w:rPr>
          <w:rFonts w:ascii="微软雅黑" w:eastAsia="微软雅黑" w:hAnsi="微软雅黑" w:cs="宋体"/>
          <w:kern w:val="0"/>
          <w:sz w:val="24"/>
          <w:szCs w:val="24"/>
        </w:rPr>
        <w:t>批作为</w:t>
      </w:r>
      <w:proofErr w:type="gramEnd"/>
      <w:r w:rsidRPr="00685FA2">
        <w:rPr>
          <w:rFonts w:ascii="微软雅黑" w:eastAsia="微软雅黑" w:hAnsi="微软雅黑" w:cs="宋体"/>
          <w:kern w:val="0"/>
          <w:sz w:val="24"/>
          <w:szCs w:val="24"/>
        </w:rPr>
        <w:t>二线治疗方案，需与</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联合使用。接受内分泌治疗后疾病进展的HR+/HER2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患者，分别接受每日两次150 mg阿贝西利联合</w:t>
      </w:r>
      <w:proofErr w:type="gramStart"/>
      <w:r w:rsidRPr="00685FA2">
        <w:rPr>
          <w:rFonts w:ascii="微软雅黑" w:eastAsia="微软雅黑" w:hAnsi="微软雅黑" w:cs="宋体"/>
          <w:kern w:val="0"/>
          <w:sz w:val="24"/>
          <w:szCs w:val="24"/>
        </w:rPr>
        <w:t>氟维司群治疗</w:t>
      </w:r>
      <w:proofErr w:type="gramEnd"/>
      <w:r w:rsidRPr="00685FA2">
        <w:rPr>
          <w:rFonts w:ascii="微软雅黑" w:eastAsia="微软雅黑" w:hAnsi="微软雅黑" w:cs="宋体"/>
          <w:kern w:val="0"/>
          <w:sz w:val="24"/>
          <w:szCs w:val="24"/>
        </w:rPr>
        <w:t>或单用</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治疗。治疗持续15个月。治疗结束时，阿贝西利组的中位无进展生存期（PFS）为16.4个月，而单用</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组的中位PFS为9.3个月[ </w:t>
      </w:r>
      <w:hyperlink r:id="rId73" w:anchor="B33-ijms-22-12292" w:history="1">
        <w:r w:rsidRPr="00685FA2">
          <w:rPr>
            <w:rFonts w:ascii="微软雅黑" w:eastAsia="微软雅黑" w:hAnsi="微软雅黑" w:cs="宋体"/>
            <w:kern w:val="0"/>
            <w:sz w:val="24"/>
            <w:szCs w:val="24"/>
            <w:u w:val="single"/>
          </w:rPr>
          <w:t>33</w:t>
        </w:r>
      </w:hyperlink>
      <w:r w:rsidRPr="00685FA2">
        <w:rPr>
          <w:rFonts w:ascii="微软雅黑" w:eastAsia="微软雅黑" w:hAnsi="微软雅黑" w:cs="宋体"/>
          <w:kern w:val="0"/>
          <w:sz w:val="24"/>
          <w:szCs w:val="24"/>
        </w:rPr>
        <w:t> ]。试验组的客观缓解率为48.1%，而对照组为21.3%。鉴于其疗效，150 mg阿贝西利被认为耐受性良好，并获</w:t>
      </w:r>
      <w:proofErr w:type="gramStart"/>
      <w:r w:rsidRPr="00685FA2">
        <w:rPr>
          <w:rFonts w:ascii="微软雅黑" w:eastAsia="微软雅黑" w:hAnsi="微软雅黑" w:cs="宋体"/>
          <w:kern w:val="0"/>
          <w:sz w:val="24"/>
          <w:szCs w:val="24"/>
        </w:rPr>
        <w:t>批作为</w:t>
      </w:r>
      <w:proofErr w:type="gramEnd"/>
      <w:r w:rsidRPr="00685FA2">
        <w:rPr>
          <w:rFonts w:ascii="微软雅黑" w:eastAsia="微软雅黑" w:hAnsi="微软雅黑" w:cs="宋体"/>
          <w:kern w:val="0"/>
          <w:sz w:val="24"/>
          <w:szCs w:val="24"/>
        </w:rPr>
        <w:t>内分泌治疗后疾病进展的治疗选择。</w:t>
      </w:r>
    </w:p>
    <w:p w14:paraId="5FEBFD56" w14:textId="77777777" w:rsidR="00685FA2" w:rsidRPr="00685FA2" w:rsidRDefault="00685FA2" w:rsidP="00685FA2">
      <w:pPr>
        <w:widowControl/>
        <w:spacing w:before="450"/>
        <w:rPr>
          <w:rFonts w:ascii="微软雅黑" w:eastAsia="微软雅黑" w:hAnsi="微软雅黑" w:cs="宋体"/>
          <w:kern w:val="0"/>
          <w:sz w:val="24"/>
          <w:szCs w:val="24"/>
        </w:rPr>
      </w:pPr>
      <w:hyperlink r:id="rId74" w:tgtFrame="_blank" w:history="1">
        <w:r w:rsidRPr="00685FA2">
          <w:rPr>
            <w:rFonts w:ascii="微软雅黑" w:eastAsia="微软雅黑" w:hAnsi="微软雅黑" w:cs="宋体"/>
            <w:kern w:val="0"/>
            <w:sz w:val="24"/>
            <w:szCs w:val="24"/>
            <w:u w:val="single"/>
          </w:rPr>
          <w:t>基于 MONARCH-3 III 期临床试验 ( NCT02246621</w:t>
        </w:r>
      </w:hyperlink>
      <w:r w:rsidRPr="00685FA2">
        <w:rPr>
          <w:rFonts w:ascii="微软雅黑" w:eastAsia="微软雅黑" w:hAnsi="微软雅黑" w:cs="宋体"/>
          <w:kern w:val="0"/>
          <w:sz w:val="24"/>
          <w:szCs w:val="24"/>
        </w:rPr>
        <w:t> ) ，阿贝西利获准与芳香化酶抑制剂 (AI) 联合使用。该研究主要针对既往接受过内分泌治疗的绝经后 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 xml:space="preserve"> 患者。研究观察了每日两次服用 150 mg 阿贝西利或安慰剂联合阿那曲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或来曲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 xml:space="preserve">的疗效。安慰剂组的中位无进展生存期 (PFS) 为 14.7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月，而阿贝西利组的中位 PFS 尚未达到 [ </w:t>
      </w:r>
      <w:hyperlink r:id="rId75" w:anchor="B34-ijms-22-12292" w:history="1">
        <w:r w:rsidRPr="00685FA2">
          <w:rPr>
            <w:rFonts w:ascii="微软雅黑" w:eastAsia="微软雅黑" w:hAnsi="微软雅黑" w:cs="宋体"/>
            <w:kern w:val="0"/>
            <w:sz w:val="24"/>
            <w:szCs w:val="24"/>
            <w:u w:val="single"/>
          </w:rPr>
          <w:t>34</w:t>
        </w:r>
      </w:hyperlink>
      <w:r w:rsidRPr="00685FA2">
        <w:rPr>
          <w:rFonts w:ascii="微软雅黑" w:eastAsia="微软雅黑" w:hAnsi="微软雅黑" w:cs="宋体"/>
          <w:kern w:val="0"/>
          <w:sz w:val="24"/>
          <w:szCs w:val="24"/>
        </w:rPr>
        <w:t> ]。阿贝西利的疗效还体现在其 59% 的客观缓解率上，而安慰剂组的客观缓解率为 44%。总体而言，阿贝西利联合 AI 被认为有效，并获准用于一线内分泌治疗后疾病进展的女性患者。</w:t>
      </w:r>
    </w:p>
    <w:p w14:paraId="7B62BA75"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II期MONARCH-1试验（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"https://clinicaltrials.gov/ct2/show/NCT02102490"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NCT02102490</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）是首个评估阿贝西利单药疗效的临床试验。接受内分泌治疗和化疗期间或治疗结束后病情进展的HR+/HER2-转移性乳腺癌患者，被随机分配接受每日两次200 mg阿贝西利或安慰剂治疗。治疗12个月后，阿贝西利组的客观缓解率为19.7%[ </w:t>
      </w:r>
      <w:hyperlink r:id="rId76" w:anchor="B35-ijms-22-12292" w:history="1">
        <w:r w:rsidRPr="00685FA2">
          <w:rPr>
            <w:rFonts w:ascii="微软雅黑" w:eastAsia="微软雅黑" w:hAnsi="微软雅黑" w:cs="宋体"/>
            <w:kern w:val="0"/>
            <w:sz w:val="24"/>
            <w:szCs w:val="24"/>
            <w:u w:val="single"/>
          </w:rPr>
          <w:t>35</w:t>
        </w:r>
      </w:hyperlink>
      <w:r w:rsidRPr="00685FA2">
        <w:rPr>
          <w:rFonts w:ascii="微软雅黑" w:eastAsia="微软雅黑" w:hAnsi="微软雅黑" w:cs="宋体"/>
          <w:kern w:val="0"/>
          <w:sz w:val="24"/>
          <w:szCs w:val="24"/>
        </w:rPr>
        <w:t> ]。此外，平均无进展生存期</w:t>
      </w:r>
      <w:r w:rsidRPr="00685FA2">
        <w:rPr>
          <w:rFonts w:ascii="微软雅黑" w:eastAsia="微软雅黑" w:hAnsi="微软雅黑" w:cs="宋体"/>
          <w:kern w:val="0"/>
          <w:sz w:val="24"/>
          <w:szCs w:val="24"/>
        </w:rPr>
        <w:lastRenderedPageBreak/>
        <w:t>（PFS）为6个月，</w:t>
      </w:r>
      <w:proofErr w:type="gramStart"/>
      <w:r w:rsidRPr="00685FA2">
        <w:rPr>
          <w:rFonts w:ascii="微软雅黑" w:eastAsia="微软雅黑" w:hAnsi="微软雅黑" w:cs="宋体"/>
          <w:kern w:val="0"/>
          <w:sz w:val="24"/>
          <w:szCs w:val="24"/>
        </w:rPr>
        <w:t>中位总生存期</w:t>
      </w:r>
      <w:proofErr w:type="gramEnd"/>
      <w:r w:rsidRPr="00685FA2">
        <w:rPr>
          <w:rFonts w:ascii="微软雅黑" w:eastAsia="微软雅黑" w:hAnsi="微软雅黑" w:cs="宋体"/>
          <w:kern w:val="0"/>
          <w:sz w:val="24"/>
          <w:szCs w:val="24"/>
        </w:rPr>
        <w:t>（OS）为17.7个月。考虑到该患者群体的疾病严重程度，阿贝西利被认为疗效显著。</w:t>
      </w:r>
    </w:p>
    <w:p w14:paraId="15982221"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有趣的是，阿贝西利是目前唯一</w:t>
      </w:r>
      <w:proofErr w:type="gramStart"/>
      <w:r w:rsidRPr="00685FA2">
        <w:rPr>
          <w:rFonts w:ascii="微软雅黑" w:eastAsia="微软雅黑" w:hAnsi="微软雅黑" w:cs="宋体"/>
          <w:kern w:val="0"/>
          <w:sz w:val="24"/>
          <w:szCs w:val="24"/>
        </w:rPr>
        <w:t>一</w:t>
      </w:r>
      <w:proofErr w:type="gramEnd"/>
      <w:r w:rsidRPr="00685FA2">
        <w:rPr>
          <w:rFonts w:ascii="微软雅黑" w:eastAsia="微软雅黑" w:hAnsi="微软雅黑" w:cs="宋体"/>
          <w:kern w:val="0"/>
          <w:sz w:val="24"/>
          <w:szCs w:val="24"/>
        </w:rPr>
        <w:t>种在HER2阳性患者中相对有效的CDK4/6抑制剂，这一发现最初是基于临床前研究[ </w:t>
      </w:r>
      <w:hyperlink r:id="rId77" w:anchor="B12-ijms-22-12292" w:history="1">
        <w:r w:rsidRPr="00685FA2">
          <w:rPr>
            <w:rFonts w:ascii="微软雅黑" w:eastAsia="微软雅黑" w:hAnsi="微软雅黑" w:cs="宋体"/>
            <w:kern w:val="0"/>
            <w:sz w:val="24"/>
            <w:szCs w:val="24"/>
            <w:u w:val="single"/>
          </w:rPr>
          <w:t>12</w:t>
        </w:r>
      </w:hyperlink>
      <w:r w:rsidRPr="00685FA2">
        <w:rPr>
          <w:rFonts w:ascii="微软雅黑" w:eastAsia="微软雅黑" w:hAnsi="微软雅黑" w:cs="宋体"/>
          <w:kern w:val="0"/>
          <w:sz w:val="24"/>
          <w:szCs w:val="24"/>
        </w:rPr>
        <w:t> ]。</w:t>
      </w:r>
      <w:proofErr w:type="spellStart"/>
      <w:r w:rsidRPr="00685FA2">
        <w:rPr>
          <w:rFonts w:ascii="微软雅黑" w:eastAsia="微软雅黑" w:hAnsi="微软雅黑" w:cs="宋体"/>
          <w:kern w:val="0"/>
          <w:sz w:val="24"/>
          <w:szCs w:val="24"/>
        </w:rPr>
        <w:t>monarcHER</w:t>
      </w:r>
      <w:proofErr w:type="spellEnd"/>
      <w:r w:rsidRPr="00685FA2">
        <w:rPr>
          <w:rFonts w:ascii="微软雅黑" w:eastAsia="微软雅黑" w:hAnsi="微软雅黑" w:cs="宋体"/>
          <w:kern w:val="0"/>
          <w:sz w:val="24"/>
          <w:szCs w:val="24"/>
        </w:rPr>
        <w:t>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"https://clinicaltrials.gov/ct2/show/NCT02675231"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NCT02675231</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）纳入了HR+/HER2+晚期或复发性乳腺癌患者，这些患者此前接受过两种或两种以上HER2靶</w:t>
      </w:r>
      <w:proofErr w:type="gramStart"/>
      <w:r w:rsidRPr="00685FA2">
        <w:rPr>
          <w:rFonts w:ascii="微软雅黑" w:eastAsia="微软雅黑" w:hAnsi="微软雅黑" w:cs="宋体"/>
          <w:kern w:val="0"/>
          <w:sz w:val="24"/>
          <w:szCs w:val="24"/>
        </w:rPr>
        <w:t>向治疗</w:t>
      </w:r>
      <w:proofErr w:type="gramEnd"/>
      <w:r w:rsidRPr="00685FA2">
        <w:rPr>
          <w:rFonts w:ascii="微软雅黑" w:eastAsia="微软雅黑" w:hAnsi="微软雅黑" w:cs="宋体"/>
          <w:kern w:val="0"/>
          <w:sz w:val="24"/>
          <w:szCs w:val="24"/>
        </w:rPr>
        <w:t>但均无反应。该试验通过将患者分为三组来评估阿贝西利的疗效。第一组患者接受每日两次150 mg阿贝西利治疗，第1天接受8 mg/kg</w:t>
      </w:r>
      <w:proofErr w:type="gramStart"/>
      <w:r w:rsidRPr="00685FA2">
        <w:rPr>
          <w:rFonts w:ascii="微软雅黑" w:eastAsia="微软雅黑" w:hAnsi="微软雅黑" w:cs="宋体"/>
          <w:kern w:val="0"/>
          <w:sz w:val="24"/>
          <w:szCs w:val="24"/>
        </w:rPr>
        <w:t>曲妥珠单</w:t>
      </w:r>
      <w:proofErr w:type="gramEnd"/>
      <w:r w:rsidRPr="00685FA2">
        <w:rPr>
          <w:rFonts w:ascii="微软雅黑" w:eastAsia="微软雅黑" w:hAnsi="微软雅黑" w:cs="宋体"/>
          <w:kern w:val="0"/>
          <w:sz w:val="24"/>
          <w:szCs w:val="24"/>
        </w:rPr>
        <w:t>抗（一种抗HER2单克隆抗体）治疗，之后每月接受6 mg/kg</w:t>
      </w:r>
      <w:proofErr w:type="gramStart"/>
      <w:r w:rsidRPr="00685FA2">
        <w:rPr>
          <w:rFonts w:ascii="微软雅黑" w:eastAsia="微软雅黑" w:hAnsi="微软雅黑" w:cs="宋体"/>
          <w:kern w:val="0"/>
          <w:sz w:val="24"/>
          <w:szCs w:val="24"/>
        </w:rPr>
        <w:t>曲妥珠单</w:t>
      </w:r>
      <w:proofErr w:type="gramEnd"/>
      <w:r w:rsidRPr="00685FA2">
        <w:rPr>
          <w:rFonts w:ascii="微软雅黑" w:eastAsia="微软雅黑" w:hAnsi="微软雅黑" w:cs="宋体"/>
          <w:kern w:val="0"/>
          <w:sz w:val="24"/>
          <w:szCs w:val="24"/>
        </w:rPr>
        <w:t>抗治疗，并在第一个月接受3次500 mg</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治疗，之后每月接受1次</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治疗。第2组采用相同的治疗方案，但仅接受阿贝西利和</w:t>
      </w:r>
      <w:proofErr w:type="gramStart"/>
      <w:r w:rsidRPr="00685FA2">
        <w:rPr>
          <w:rFonts w:ascii="微软雅黑" w:eastAsia="微软雅黑" w:hAnsi="微软雅黑" w:cs="宋体"/>
          <w:kern w:val="0"/>
          <w:sz w:val="24"/>
          <w:szCs w:val="24"/>
        </w:rPr>
        <w:t>曲妥珠单</w:t>
      </w:r>
      <w:proofErr w:type="gramEnd"/>
      <w:r w:rsidRPr="00685FA2">
        <w:rPr>
          <w:rFonts w:ascii="微软雅黑" w:eastAsia="微软雅黑" w:hAnsi="微软雅黑" w:cs="宋体"/>
          <w:kern w:val="0"/>
          <w:sz w:val="24"/>
          <w:szCs w:val="24"/>
        </w:rPr>
        <w:t>抗治疗；第3组接受</w:t>
      </w:r>
      <w:proofErr w:type="gramStart"/>
      <w:r w:rsidRPr="00685FA2">
        <w:rPr>
          <w:rFonts w:ascii="微软雅黑" w:eastAsia="微软雅黑" w:hAnsi="微软雅黑" w:cs="宋体"/>
          <w:kern w:val="0"/>
          <w:sz w:val="24"/>
          <w:szCs w:val="24"/>
        </w:rPr>
        <w:t>曲妥珠单</w:t>
      </w:r>
      <w:proofErr w:type="gramEnd"/>
      <w:r w:rsidRPr="00685FA2">
        <w:rPr>
          <w:rFonts w:ascii="微软雅黑" w:eastAsia="微软雅黑" w:hAnsi="微软雅黑" w:cs="宋体"/>
          <w:kern w:val="0"/>
          <w:sz w:val="24"/>
          <w:szCs w:val="24"/>
        </w:rPr>
        <w:t>抗治疗，并由医生选择标准治疗化疗方案。第1组的无进展生存期（PFS）为8.3个月，而第2组和第3组均为5.7个月[ </w:t>
      </w:r>
      <w:hyperlink r:id="rId78" w:anchor="B36-ijms-22-12292" w:history="1">
        <w:r w:rsidRPr="00685FA2">
          <w:rPr>
            <w:rFonts w:ascii="微软雅黑" w:eastAsia="微软雅黑" w:hAnsi="微软雅黑" w:cs="宋体"/>
            <w:kern w:val="0"/>
            <w:sz w:val="24"/>
            <w:szCs w:val="24"/>
            <w:u w:val="single"/>
          </w:rPr>
          <w:t>36</w:t>
        </w:r>
      </w:hyperlink>
      <w:r w:rsidRPr="00685FA2">
        <w:rPr>
          <w:rFonts w:ascii="微软雅黑" w:eastAsia="微软雅黑" w:hAnsi="微软雅黑" w:cs="宋体"/>
          <w:kern w:val="0"/>
          <w:sz w:val="24"/>
          <w:szCs w:val="24"/>
        </w:rPr>
        <w:t> ]。总体而言，这项研究表明，阿贝西利/</w:t>
      </w:r>
      <w:proofErr w:type="gramStart"/>
      <w:r w:rsidRPr="00685FA2">
        <w:rPr>
          <w:rFonts w:ascii="微软雅黑" w:eastAsia="微软雅黑" w:hAnsi="微软雅黑" w:cs="宋体"/>
          <w:kern w:val="0"/>
          <w:sz w:val="24"/>
          <w:szCs w:val="24"/>
        </w:rPr>
        <w:t>氟维司群/曲妥珠单抗联合方案</w:t>
      </w:r>
      <w:proofErr w:type="gramEnd"/>
      <w:r w:rsidRPr="00685FA2">
        <w:rPr>
          <w:rFonts w:ascii="微软雅黑" w:eastAsia="微软雅黑" w:hAnsi="微软雅黑" w:cs="宋体"/>
          <w:kern w:val="0"/>
          <w:sz w:val="24"/>
          <w:szCs w:val="24"/>
        </w:rPr>
        <w:t>即使在HER2阳性晚期患者中也有效。</w:t>
      </w:r>
    </w:p>
    <w:p w14:paraId="0861F6C7"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阿贝西利是唯一</w:t>
      </w:r>
      <w:proofErr w:type="gramStart"/>
      <w:r w:rsidRPr="00685FA2">
        <w:rPr>
          <w:rFonts w:ascii="微软雅黑" w:eastAsia="微软雅黑" w:hAnsi="微软雅黑" w:cs="宋体"/>
          <w:kern w:val="0"/>
          <w:sz w:val="24"/>
          <w:szCs w:val="24"/>
        </w:rPr>
        <w:t>一</w:t>
      </w:r>
      <w:proofErr w:type="gramEnd"/>
      <w:r w:rsidRPr="00685FA2">
        <w:rPr>
          <w:rFonts w:ascii="微软雅黑" w:eastAsia="微软雅黑" w:hAnsi="微软雅黑" w:cs="宋体"/>
          <w:kern w:val="0"/>
          <w:sz w:val="24"/>
          <w:szCs w:val="24"/>
        </w:rPr>
        <w:t>种可以连续给药而无需停药的 CDK4/6 抑制剂。此外，它需要每日两次给药，而非每日一次。这是因为研究表明阿贝西利的吸收会达到饱和；将推荐剂量分成两半，每日两次服用，可以提高吸收率[ </w:t>
      </w:r>
      <w:hyperlink r:id="rId79" w:anchor="B25-ijms-22-12292" w:history="1">
        <w:r w:rsidRPr="00685FA2">
          <w:rPr>
            <w:rFonts w:ascii="微软雅黑" w:eastAsia="微软雅黑" w:hAnsi="微软雅黑" w:cs="宋体"/>
            <w:kern w:val="0"/>
            <w:sz w:val="24"/>
            <w:szCs w:val="24"/>
            <w:u w:val="single"/>
          </w:rPr>
          <w:t>25</w:t>
        </w:r>
      </w:hyperlink>
      <w:r w:rsidRPr="00685FA2">
        <w:rPr>
          <w:rFonts w:ascii="微软雅黑" w:eastAsia="微软雅黑" w:hAnsi="微软雅黑" w:cs="宋体"/>
          <w:kern w:val="0"/>
          <w:sz w:val="24"/>
          <w:szCs w:val="24"/>
        </w:rPr>
        <w:t> ]。幸运的是，这种特定的给药方案可以带来多项益处。与停药一周相比，连续服用阿贝西利（无需停药一周）能更有效地缩小肿瘤体积[ </w:t>
      </w:r>
      <w:hyperlink r:id="rId80" w:anchor="B37-ijms-22-12292" w:history="1">
        <w:r w:rsidRPr="00685FA2">
          <w:rPr>
            <w:rFonts w:ascii="微软雅黑" w:eastAsia="微软雅黑" w:hAnsi="微软雅黑" w:cs="宋体"/>
            <w:kern w:val="0"/>
            <w:sz w:val="24"/>
            <w:szCs w:val="24"/>
            <w:u w:val="single"/>
          </w:rPr>
          <w:t>37</w:t>
        </w:r>
      </w:hyperlink>
      <w:r w:rsidRPr="00685FA2">
        <w:rPr>
          <w:rFonts w:ascii="微软雅黑" w:eastAsia="微软雅黑" w:hAnsi="微软雅黑" w:cs="宋体"/>
          <w:kern w:val="0"/>
          <w:sz w:val="24"/>
          <w:szCs w:val="24"/>
        </w:rPr>
        <w:t> ]。令人欣喜的是，这些研究表明，该药物是唯一</w:t>
      </w:r>
      <w:proofErr w:type="gramStart"/>
      <w:r w:rsidRPr="00685FA2">
        <w:rPr>
          <w:rFonts w:ascii="微软雅黑" w:eastAsia="微软雅黑" w:hAnsi="微软雅黑" w:cs="宋体"/>
          <w:kern w:val="0"/>
          <w:sz w:val="24"/>
          <w:szCs w:val="24"/>
        </w:rPr>
        <w:t>一</w:t>
      </w:r>
      <w:proofErr w:type="gramEnd"/>
      <w:r w:rsidRPr="00685FA2">
        <w:rPr>
          <w:rFonts w:ascii="微软雅黑" w:eastAsia="微软雅黑" w:hAnsi="微软雅黑" w:cs="宋体"/>
          <w:kern w:val="0"/>
          <w:sz w:val="24"/>
          <w:szCs w:val="24"/>
        </w:rPr>
        <w:t>种每日服用且无需停药即可耐受性良好的 CDK4/6 抑制剂。由于腹泻是一种非常常见的副作用，大多数患者在服用阿贝西利的同时也会服用止泻</w:t>
      </w:r>
      <w:r w:rsidRPr="00685FA2">
        <w:rPr>
          <w:rFonts w:ascii="微软雅黑" w:eastAsia="微软雅黑" w:hAnsi="微软雅黑" w:cs="宋体"/>
          <w:kern w:val="0"/>
          <w:sz w:val="24"/>
          <w:szCs w:val="24"/>
        </w:rPr>
        <w:lastRenderedPageBreak/>
        <w:t>药[ </w:t>
      </w:r>
      <w:hyperlink r:id="rId81" w:anchor="B35-ijms-22-12292" w:history="1">
        <w:r w:rsidRPr="00685FA2">
          <w:rPr>
            <w:rFonts w:ascii="微软雅黑" w:eastAsia="微软雅黑" w:hAnsi="微软雅黑" w:cs="宋体"/>
            <w:kern w:val="0"/>
            <w:sz w:val="24"/>
            <w:szCs w:val="24"/>
            <w:u w:val="single"/>
          </w:rPr>
          <w:t>35</w:t>
        </w:r>
      </w:hyperlink>
      <w:r w:rsidRPr="00685FA2">
        <w:rPr>
          <w:rFonts w:ascii="微软雅黑" w:eastAsia="微软雅黑" w:hAnsi="微软雅黑" w:cs="宋体"/>
          <w:kern w:val="0"/>
          <w:sz w:val="24"/>
          <w:szCs w:val="24"/>
        </w:rPr>
        <w:t> ]。阿贝西利的高亲脂性使其成为唯一</w:t>
      </w:r>
      <w:proofErr w:type="gramStart"/>
      <w:r w:rsidRPr="00685FA2">
        <w:rPr>
          <w:rFonts w:ascii="微软雅黑" w:eastAsia="微软雅黑" w:hAnsi="微软雅黑" w:cs="宋体"/>
          <w:kern w:val="0"/>
          <w:sz w:val="24"/>
          <w:szCs w:val="24"/>
        </w:rPr>
        <w:t>一种能够</w:t>
      </w:r>
      <w:proofErr w:type="gramEnd"/>
      <w:r w:rsidRPr="00685FA2">
        <w:rPr>
          <w:rFonts w:ascii="微软雅黑" w:eastAsia="微软雅黑" w:hAnsi="微软雅黑" w:cs="宋体"/>
          <w:kern w:val="0"/>
          <w:sz w:val="24"/>
          <w:szCs w:val="24"/>
        </w:rPr>
        <w:t>轻松穿透血脑屏障和乳腺组织的 CDK4/6 抑制剂，从而抑制脑肿瘤的生长[ </w:t>
      </w:r>
      <w:hyperlink r:id="rId82" w:anchor="B25-ijms-22-12292" w:history="1">
        <w:r w:rsidRPr="00685FA2">
          <w:rPr>
            <w:rFonts w:ascii="微软雅黑" w:eastAsia="微软雅黑" w:hAnsi="微软雅黑" w:cs="宋体"/>
            <w:kern w:val="0"/>
            <w:sz w:val="24"/>
            <w:szCs w:val="24"/>
            <w:u w:val="single"/>
          </w:rPr>
          <w:t>25 ]。因此，理论上阿贝西利是治疗乳腺癌脑转移患者的最佳 CDK4/6 抑制剂，目前正在一项临床试验（ </w:t>
        </w:r>
      </w:hyperlink>
      <w:hyperlink r:id="rId83" w:tgtFrame="_blank" w:history="1">
        <w:r w:rsidRPr="00685FA2">
          <w:rPr>
            <w:rFonts w:ascii="微软雅黑" w:eastAsia="微软雅黑" w:hAnsi="微软雅黑" w:cs="宋体"/>
            <w:kern w:val="0"/>
            <w:sz w:val="24"/>
            <w:szCs w:val="24"/>
            <w:u w:val="single"/>
          </w:rPr>
          <w:t>NCT02308020</w:t>
        </w:r>
      </w:hyperlink>
      <w:r w:rsidRPr="00685FA2">
        <w:rPr>
          <w:rFonts w:ascii="微软雅黑" w:eastAsia="微软雅黑" w:hAnsi="微软雅黑" w:cs="宋体"/>
          <w:kern w:val="0"/>
          <w:sz w:val="24"/>
          <w:szCs w:val="24"/>
        </w:rPr>
        <w:t> ）中对此进行进一步研究。</w:t>
      </w:r>
    </w:p>
    <w:p w14:paraId="3144D8E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这三种 CDK4/6 抑制剂被认为疗效相当，尽管它们之间从未进行过直接比较。每种抑制剂均可与内分泌治疗联合用于 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 xml:space="preserve"> 晚期乳腺癌患者的一线或二线治疗 [19]。然而，CDK4/6 抑制剂的最佳应用方案尚未确定。一项 III 期临床试验，即 SONIA 研究（NCT03425838），正在探索 CDK4/6 抑制剂在 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 xml:space="preserve"> 晚期乳腺癌患者中的最佳应用 [ </w:t>
      </w:r>
      <w:hyperlink r:id="rId84" w:anchor="B19-ijms-22-12292" w:history="1">
        <w:r w:rsidRPr="00685FA2">
          <w:rPr>
            <w:rFonts w:ascii="微软雅黑" w:eastAsia="微软雅黑" w:hAnsi="微软雅黑" w:cs="宋体"/>
            <w:kern w:val="0"/>
            <w:sz w:val="24"/>
            <w:szCs w:val="24"/>
            <w:u w:val="single"/>
          </w:rPr>
          <w:t>38</w:t>
        </w:r>
      </w:hyperlink>
      <w:r w:rsidRPr="00685FA2">
        <w:rPr>
          <w:rFonts w:ascii="微软雅黑" w:eastAsia="微软雅黑" w:hAnsi="微软雅黑" w:cs="宋体"/>
          <w:kern w:val="0"/>
          <w:sz w:val="24"/>
          <w:szCs w:val="24"/>
        </w:rPr>
        <w:t> ]。</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"https://clinicaltrials.gov/ct2/show/NCT03425838"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该</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研究</w:t>
      </w:r>
      <w:hyperlink r:id="rId85" w:anchor="B38-ijms-22-12292" w:history="1">
        <w:r w:rsidRPr="00685FA2">
          <w:rPr>
            <w:rFonts w:ascii="微软雅黑" w:eastAsia="微软雅黑" w:hAnsi="微软雅黑" w:cs="宋体"/>
            <w:kern w:val="0"/>
            <w:sz w:val="24"/>
            <w:szCs w:val="24"/>
            <w:u w:val="single"/>
          </w:rPr>
          <w:t>将</w:t>
        </w:r>
      </w:hyperlink>
      <w:r w:rsidRPr="00685FA2">
        <w:rPr>
          <w:rFonts w:ascii="微软雅黑" w:eastAsia="微软雅黑" w:hAnsi="微软雅黑" w:cs="宋体"/>
          <w:kern w:val="0"/>
          <w:sz w:val="24"/>
          <w:szCs w:val="24"/>
        </w:rPr>
        <w:t>患者分为两组。第一组患者将接受 CDK4/6 抑制剂联合非</w:t>
      </w:r>
      <w:proofErr w:type="gramStart"/>
      <w:r w:rsidRPr="00685FA2">
        <w:rPr>
          <w:rFonts w:ascii="微软雅黑" w:eastAsia="微软雅黑" w:hAnsi="微软雅黑" w:cs="宋体"/>
          <w:kern w:val="0"/>
          <w:sz w:val="24"/>
          <w:szCs w:val="24"/>
        </w:rPr>
        <w:t>甾</w:t>
      </w:r>
      <w:proofErr w:type="gramEnd"/>
      <w:r w:rsidRPr="00685FA2">
        <w:rPr>
          <w:rFonts w:ascii="微软雅黑" w:eastAsia="微软雅黑" w:hAnsi="微软雅黑" w:cs="宋体"/>
          <w:kern w:val="0"/>
          <w:sz w:val="24"/>
          <w:szCs w:val="24"/>
        </w:rPr>
        <w:t>体类芳香化酶抑制剂作为一线治疗。当疾病进展时，患者将接受</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治疗。第二组患者最初接受非</w:t>
      </w:r>
      <w:proofErr w:type="gramStart"/>
      <w:r w:rsidRPr="00685FA2">
        <w:rPr>
          <w:rFonts w:ascii="微软雅黑" w:eastAsia="微软雅黑" w:hAnsi="微软雅黑" w:cs="宋体"/>
          <w:kern w:val="0"/>
          <w:sz w:val="24"/>
          <w:szCs w:val="24"/>
        </w:rPr>
        <w:t>甾</w:t>
      </w:r>
      <w:proofErr w:type="gramEnd"/>
      <w:r w:rsidRPr="00685FA2">
        <w:rPr>
          <w:rFonts w:ascii="微软雅黑" w:eastAsia="微软雅黑" w:hAnsi="微软雅黑" w:cs="宋体"/>
          <w:kern w:val="0"/>
          <w:sz w:val="24"/>
          <w:szCs w:val="24"/>
        </w:rPr>
        <w:t>体类芳香化酶抑制剂治疗，当疾病进展时，他们将接受 CDK4/6 抑制剂联合</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治疗。试验结束时（当每个治疗组中有足够的关于次要进展点的数据时，试验就会结束），将评估患者的治疗结果，以确定 CDK4/6 抑制剂在主要治疗方案或次要治疗方案中是否更有效。</w:t>
      </w:r>
    </w:p>
    <w:p w14:paraId="394200FE" w14:textId="77777777" w:rsidR="00685FA2" w:rsidRPr="00685FA2" w:rsidRDefault="00685FA2" w:rsidP="00685FA2">
      <w:pPr>
        <w:widowControl/>
        <w:pBdr>
          <w:bottom w:val="single" w:sz="6" w:space="0" w:color="97B1C8"/>
        </w:pBdr>
        <w:spacing w:line="450" w:lineRule="atLeast"/>
        <w:outlineLvl w:val="1"/>
        <w:rPr>
          <w:rFonts w:ascii="微软雅黑" w:eastAsia="微软雅黑" w:hAnsi="微软雅黑" w:cs="宋体"/>
          <w:kern w:val="0"/>
          <w:sz w:val="34"/>
          <w:szCs w:val="34"/>
        </w:rPr>
      </w:pPr>
      <w:r w:rsidRPr="00685FA2">
        <w:rPr>
          <w:rFonts w:ascii="微软雅黑" w:eastAsia="微软雅黑" w:hAnsi="微软雅黑" w:cs="宋体"/>
          <w:kern w:val="0"/>
          <w:sz w:val="34"/>
          <w:szCs w:val="34"/>
        </w:rPr>
        <w:t>4. CDK4/6抑制剂的固有耐药性和获得性耐药性的出现</w:t>
      </w:r>
    </w:p>
    <w:p w14:paraId="342CD96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PALOMA-3试验中对患者循环肿瘤DNA的分析显示，抗雌激素和CDK4/6抑制剂联合治疗可产生两种不同的耐药类型。有趣的是，导致耐药的突变取决于所采用的治疗方案，并且发生在治疗的特定时间点。接受</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联</w:t>
      </w:r>
      <w:proofErr w:type="gramStart"/>
      <w:r w:rsidRPr="00685FA2">
        <w:rPr>
          <w:rFonts w:ascii="微软雅黑" w:eastAsia="微软雅黑" w:hAnsi="微软雅黑" w:cs="宋体"/>
          <w:kern w:val="0"/>
          <w:sz w:val="24"/>
          <w:szCs w:val="24"/>
        </w:rPr>
        <w:t>合帕</w:t>
      </w:r>
      <w:proofErr w:type="gramEnd"/>
      <w:r w:rsidRPr="00685FA2">
        <w:rPr>
          <w:rFonts w:ascii="微软雅黑" w:eastAsia="微软雅黑" w:hAnsi="微软雅黑" w:cs="宋体"/>
          <w:kern w:val="0"/>
          <w:sz w:val="24"/>
          <w:szCs w:val="24"/>
        </w:rPr>
        <w:t>博西</w:t>
      </w:r>
      <w:proofErr w:type="gramStart"/>
      <w:r w:rsidRPr="00685FA2">
        <w:rPr>
          <w:rFonts w:ascii="微软雅黑" w:eastAsia="微软雅黑" w:hAnsi="微软雅黑" w:cs="宋体"/>
          <w:kern w:val="0"/>
          <w:sz w:val="24"/>
          <w:szCs w:val="24"/>
        </w:rPr>
        <w:t>尼治疗</w:t>
      </w:r>
      <w:proofErr w:type="gramEnd"/>
      <w:r w:rsidRPr="00685FA2">
        <w:rPr>
          <w:rFonts w:ascii="微软雅黑" w:eastAsia="微软雅黑" w:hAnsi="微软雅黑" w:cs="宋体"/>
          <w:kern w:val="0"/>
          <w:sz w:val="24"/>
          <w:szCs w:val="24"/>
        </w:rPr>
        <w:t>的患者组与仅接受</w:t>
      </w:r>
      <w:proofErr w:type="gramStart"/>
      <w:r w:rsidRPr="00685FA2">
        <w:rPr>
          <w:rFonts w:ascii="微软雅黑" w:eastAsia="微软雅黑" w:hAnsi="微软雅黑" w:cs="宋体"/>
          <w:kern w:val="0"/>
          <w:sz w:val="24"/>
          <w:szCs w:val="24"/>
        </w:rPr>
        <w:t>氟维司群治疗</w:t>
      </w:r>
      <w:proofErr w:type="gramEnd"/>
      <w:r w:rsidRPr="00685FA2">
        <w:rPr>
          <w:rFonts w:ascii="微软雅黑" w:eastAsia="微软雅黑" w:hAnsi="微软雅黑" w:cs="宋体"/>
          <w:kern w:val="0"/>
          <w:sz w:val="24"/>
          <w:szCs w:val="24"/>
        </w:rPr>
        <w:t>的患者组在循环肿瘤细胞中观察到不同的基因突变，这表明在抗雌激素存在下生长所需的机制与绕过CDK4/6抑制剂所需</w:t>
      </w:r>
      <w:r w:rsidRPr="00685FA2">
        <w:rPr>
          <w:rFonts w:ascii="微软雅黑" w:eastAsia="微软雅黑" w:hAnsi="微软雅黑" w:cs="宋体"/>
          <w:kern w:val="0"/>
          <w:sz w:val="24"/>
          <w:szCs w:val="24"/>
        </w:rPr>
        <w:lastRenderedPageBreak/>
        <w:t>的机制不同。然而，即使在同一组内，突变也因癌症在治疗后早期或晚期进展而有所不同[ </w:t>
      </w:r>
      <w:hyperlink r:id="rId86" w:anchor="B39-ijms-22-12292" w:history="1">
        <w:r w:rsidRPr="00685FA2">
          <w:rPr>
            <w:rFonts w:ascii="微软雅黑" w:eastAsia="微软雅黑" w:hAnsi="微软雅黑" w:cs="宋体"/>
            <w:kern w:val="0"/>
            <w:sz w:val="24"/>
            <w:szCs w:val="24"/>
            <w:u w:val="single"/>
          </w:rPr>
          <w:t>39</w:t>
        </w:r>
      </w:hyperlink>
      <w:r w:rsidRPr="00685FA2">
        <w:rPr>
          <w:rFonts w:ascii="微软雅黑" w:eastAsia="微软雅黑" w:hAnsi="微软雅黑" w:cs="宋体"/>
          <w:kern w:val="0"/>
          <w:sz w:val="24"/>
          <w:szCs w:val="24"/>
        </w:rPr>
        <w:t> ]。这表明，导致初始耐药的突变与成功治疗一段时间后出现的耐药所需的突变不同。</w:t>
      </w:r>
    </w:p>
    <w:p w14:paraId="379D290C"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4.1. 内在的</w:t>
      </w:r>
    </w:p>
    <w:p w14:paraId="233C8907"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治疗开始后不久即出现的耐药性，导致患者对治疗无反应，被称为内在耐药。约20%接受CDK4/6抑制剂治疗的乳腺癌患者对治疗无反应[ </w:t>
      </w:r>
      <w:hyperlink r:id="rId87" w:anchor="B40-ijms-22-12292" w:history="1">
        <w:r w:rsidRPr="00685FA2">
          <w:rPr>
            <w:rFonts w:ascii="微软雅黑" w:eastAsia="微软雅黑" w:hAnsi="微软雅黑" w:cs="宋体"/>
            <w:kern w:val="0"/>
            <w:sz w:val="24"/>
            <w:szCs w:val="24"/>
            <w:u w:val="single"/>
          </w:rPr>
          <w:t>40</w:t>
        </w:r>
      </w:hyperlink>
      <w:r w:rsidRPr="00685FA2">
        <w:rPr>
          <w:rFonts w:ascii="微软雅黑" w:eastAsia="微软雅黑" w:hAnsi="微软雅黑" w:cs="宋体"/>
          <w:kern w:val="0"/>
          <w:sz w:val="24"/>
          <w:szCs w:val="24"/>
        </w:rPr>
        <w:t> ]。这些患者的肿瘤已存在突变，使其能够绕过CDK4/6抑制剂的作用，并在药物存在的情况下增殖。迄今为止，已发现多种内在耐药机制，它们似乎都与细胞周期蛋白D-CDK4/6-Rb通路的激活有关[ </w:t>
      </w:r>
      <w:hyperlink r:id="rId88" w:anchor="B41-ijms-22-12292" w:history="1">
        <w:r w:rsidRPr="00685FA2">
          <w:rPr>
            <w:rFonts w:ascii="微软雅黑" w:eastAsia="微软雅黑" w:hAnsi="微软雅黑" w:cs="宋体"/>
            <w:kern w:val="0"/>
            <w:sz w:val="24"/>
            <w:szCs w:val="24"/>
            <w:u w:val="single"/>
          </w:rPr>
          <w:t>41</w:t>
        </w:r>
      </w:hyperlink>
      <w:r w:rsidRPr="00685FA2">
        <w:rPr>
          <w:rFonts w:ascii="微软雅黑" w:eastAsia="微软雅黑" w:hAnsi="微软雅黑" w:cs="宋体"/>
          <w:kern w:val="0"/>
          <w:sz w:val="24"/>
          <w:szCs w:val="24"/>
        </w:rPr>
        <w:t> ]。有趣的是，所有Rb基因突变的肿瘤都存在对CDK4/6抑制的内在耐药[ </w:t>
      </w:r>
      <w:hyperlink r:id="rId89" w:anchor="B42-ijms-22-12292" w:history="1">
        <w:r w:rsidRPr="00685FA2">
          <w:rPr>
            <w:rFonts w:ascii="微软雅黑" w:eastAsia="微软雅黑" w:hAnsi="微软雅黑" w:cs="宋体"/>
            <w:kern w:val="0"/>
            <w:sz w:val="24"/>
            <w:szCs w:val="24"/>
            <w:u w:val="single"/>
          </w:rPr>
          <w:t>42</w:t>
        </w:r>
      </w:hyperlink>
      <w:r w:rsidRPr="00685FA2">
        <w:rPr>
          <w:rFonts w:ascii="微软雅黑" w:eastAsia="微软雅黑" w:hAnsi="微软雅黑" w:cs="宋体"/>
          <w:kern w:val="0"/>
          <w:sz w:val="24"/>
          <w:szCs w:val="24"/>
        </w:rPr>
        <w:t> ]。这种耐药性的发生机制将在下文详细解释。</w:t>
      </w:r>
    </w:p>
    <w:p w14:paraId="646198F3"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4.2. 已收购</w:t>
      </w:r>
    </w:p>
    <w:p w14:paraId="0F358017"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最初对治疗有反应但后期病情进展的患者被归类为获得性耐药。导致这种耐药性的驱动基因突变是克隆演化的结果[ </w:t>
      </w:r>
      <w:hyperlink r:id="rId90" w:anchor="B39-ijms-22-12292" w:history="1">
        <w:r w:rsidRPr="00685FA2">
          <w:rPr>
            <w:rFonts w:ascii="微软雅黑" w:eastAsia="微软雅黑" w:hAnsi="微软雅黑" w:cs="宋体"/>
            <w:kern w:val="0"/>
            <w:sz w:val="24"/>
            <w:szCs w:val="24"/>
            <w:u w:val="single"/>
          </w:rPr>
          <w:t>39</w:t>
        </w:r>
      </w:hyperlink>
      <w:r w:rsidRPr="00685FA2">
        <w:rPr>
          <w:rFonts w:ascii="微软雅黑" w:eastAsia="微软雅黑" w:hAnsi="微软雅黑" w:cs="宋体"/>
          <w:kern w:val="0"/>
          <w:sz w:val="24"/>
          <w:szCs w:val="24"/>
        </w:rPr>
        <w:t> ]。值得注意的是，许多不同的机制都可能导致对CDK4/6抑制剂的获得性耐药，包括细胞周期蛋白D-CDK4/6-Rb通路激活、其他增殖通路激活、肿瘤微环境改变以及肿瘤代谢调整[ </w:t>
      </w:r>
      <w:hyperlink r:id="rId91" w:anchor="B41-ijms-22-12292" w:history="1">
        <w:r w:rsidRPr="00685FA2">
          <w:rPr>
            <w:rFonts w:ascii="微软雅黑" w:eastAsia="微软雅黑" w:hAnsi="微软雅黑" w:cs="宋体"/>
            <w:kern w:val="0"/>
            <w:sz w:val="24"/>
            <w:szCs w:val="24"/>
            <w:u w:val="single"/>
          </w:rPr>
          <w:t>41</w:t>
        </w:r>
      </w:hyperlink>
      <w:r w:rsidRPr="00685FA2">
        <w:rPr>
          <w:rFonts w:ascii="微软雅黑" w:eastAsia="微软雅黑" w:hAnsi="微软雅黑" w:cs="宋体"/>
          <w:kern w:val="0"/>
          <w:sz w:val="24"/>
          <w:szCs w:val="24"/>
        </w:rPr>
        <w:t> ]。</w:t>
      </w:r>
    </w:p>
    <w:p w14:paraId="127FB5B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体外实验表明，用帕博西尼（</w:t>
      </w:r>
      <w:proofErr w:type="spellStart"/>
      <w:r w:rsidRPr="00685FA2">
        <w:rPr>
          <w:rFonts w:ascii="微软雅黑" w:eastAsia="微软雅黑" w:hAnsi="微软雅黑" w:cs="宋体"/>
          <w:kern w:val="0"/>
          <w:sz w:val="24"/>
          <w:szCs w:val="24"/>
        </w:rPr>
        <w:t>palbociclib</w:t>
      </w:r>
      <w:proofErr w:type="spellEnd"/>
      <w:r w:rsidRPr="00685FA2">
        <w:rPr>
          <w:rFonts w:ascii="微软雅黑" w:eastAsia="微软雅黑" w:hAnsi="微软雅黑" w:cs="宋体"/>
          <w:kern w:val="0"/>
          <w:sz w:val="24"/>
          <w:szCs w:val="24"/>
        </w:rPr>
        <w:t>）处理MCF7和T47D细胞，可以很容易地使乳腺癌细胞对CDK4/6抑制剂产生耐药性。处理24小时后，细胞周期发生阻滞。72小时后，细胞开始进入衰老状态并发生凋亡，表明细胞最初对治疗有反应。然而，如果治疗时间超过72小时，一些细胞能够重新进入细胞周期并继续生长[ </w:t>
      </w:r>
      <w:hyperlink r:id="rId92" w:anchor="B43-ijms-22-12292" w:history="1">
        <w:r w:rsidRPr="00685FA2">
          <w:rPr>
            <w:rFonts w:ascii="微软雅黑" w:eastAsia="微软雅黑" w:hAnsi="微软雅黑" w:cs="宋体"/>
            <w:kern w:val="0"/>
            <w:sz w:val="24"/>
            <w:szCs w:val="24"/>
            <w:u w:val="single"/>
          </w:rPr>
          <w:t>43</w:t>
        </w:r>
      </w:hyperlink>
      <w:r w:rsidRPr="00685FA2">
        <w:rPr>
          <w:rFonts w:ascii="微软雅黑" w:eastAsia="微软雅黑" w:hAnsi="微软雅黑" w:cs="宋体"/>
          <w:kern w:val="0"/>
          <w:sz w:val="24"/>
          <w:szCs w:val="24"/>
        </w:rPr>
        <w:t> ]。随着时间的推移，这些细胞会构成患者体内的肿瘤，因为它</w:t>
      </w:r>
      <w:r w:rsidRPr="00685FA2">
        <w:rPr>
          <w:rFonts w:ascii="微软雅黑" w:eastAsia="微软雅黑" w:hAnsi="微软雅黑" w:cs="宋体"/>
          <w:kern w:val="0"/>
          <w:sz w:val="24"/>
          <w:szCs w:val="24"/>
        </w:rPr>
        <w:lastRenderedPageBreak/>
        <w:t>们能够在CDK4/6抑制剂存在的情况下存活。虽然该实验展示了耐药性的快速发展，但人体内的耐药性发展需要更长时间。无论如何，该实验准确地描述了细胞为了在自身不具有耐药性的药物存在的情况下存活而必须如何适应。</w:t>
      </w:r>
    </w:p>
    <w:p w14:paraId="486B12A2"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临床证据充分表明，获得性耐药十分常见。在PALOMA-2试验中，开始治疗两年内，超过30%的入组患者对帕博西尼产生了耐药性[ </w:t>
      </w:r>
      <w:hyperlink r:id="rId93" w:anchor="B26-ijms-22-12292" w:history="1">
        <w:r w:rsidRPr="00685FA2">
          <w:rPr>
            <w:rFonts w:ascii="微软雅黑" w:eastAsia="微软雅黑" w:hAnsi="微软雅黑" w:cs="宋体"/>
            <w:kern w:val="0"/>
            <w:sz w:val="24"/>
            <w:szCs w:val="24"/>
            <w:u w:val="single"/>
          </w:rPr>
          <w:t>26</w:t>
        </w:r>
      </w:hyperlink>
      <w:r w:rsidRPr="00685FA2">
        <w:rPr>
          <w:rFonts w:ascii="微软雅黑" w:eastAsia="微软雅黑" w:hAnsi="微软雅黑" w:cs="宋体"/>
          <w:kern w:val="0"/>
          <w:sz w:val="24"/>
          <w:szCs w:val="24"/>
        </w:rPr>
        <w:t> ]。40个月后，该试验中帕博西尼联合来曲</w:t>
      </w:r>
      <w:proofErr w:type="gramStart"/>
      <w:r w:rsidRPr="00685FA2">
        <w:rPr>
          <w:rFonts w:ascii="微软雅黑" w:eastAsia="微软雅黑" w:hAnsi="微软雅黑" w:cs="宋体"/>
          <w:kern w:val="0"/>
          <w:sz w:val="24"/>
          <w:szCs w:val="24"/>
        </w:rPr>
        <w:t>唑组超过</w:t>
      </w:r>
      <w:proofErr w:type="gramEnd"/>
      <w:r w:rsidRPr="00685FA2">
        <w:rPr>
          <w:rFonts w:ascii="微软雅黑" w:eastAsia="微软雅黑" w:hAnsi="微软雅黑" w:cs="宋体"/>
          <w:kern w:val="0"/>
          <w:sz w:val="24"/>
          <w:szCs w:val="24"/>
        </w:rPr>
        <w:t>70%的患者病情进展。随着治疗时间的推移，越来越多的患者会产生耐药性；最终，所有接受CDK4/6抑制剂治疗的患者都会出现获得性耐药[ </w:t>
      </w:r>
      <w:hyperlink r:id="rId94" w:anchor="B41-ijms-22-12292" w:history="1">
        <w:r w:rsidRPr="00685FA2">
          <w:rPr>
            <w:rFonts w:ascii="微软雅黑" w:eastAsia="微软雅黑" w:hAnsi="微软雅黑" w:cs="宋体"/>
            <w:kern w:val="0"/>
            <w:sz w:val="24"/>
            <w:szCs w:val="24"/>
            <w:u w:val="single"/>
          </w:rPr>
          <w:t>41</w:t>
        </w:r>
      </w:hyperlink>
      <w:r w:rsidRPr="00685FA2">
        <w:rPr>
          <w:rFonts w:ascii="微软雅黑" w:eastAsia="微软雅黑" w:hAnsi="微软雅黑" w:cs="宋体"/>
          <w:kern w:val="0"/>
          <w:sz w:val="24"/>
          <w:szCs w:val="24"/>
        </w:rPr>
        <w:t> ]。因此，揭示这种耐药性的机制至关重要，因为这将有助于临床医生更好地利用新型疗法进行靶向治疗。</w:t>
      </w:r>
    </w:p>
    <w:p w14:paraId="4EB6B2EF" w14:textId="77777777" w:rsidR="00685FA2" w:rsidRPr="00685FA2" w:rsidRDefault="00685FA2" w:rsidP="00685FA2">
      <w:pPr>
        <w:widowControl/>
        <w:pBdr>
          <w:bottom w:val="single" w:sz="6" w:space="0" w:color="97B1C8"/>
        </w:pBdr>
        <w:spacing w:line="450" w:lineRule="atLeast"/>
        <w:outlineLvl w:val="1"/>
        <w:rPr>
          <w:rFonts w:ascii="微软雅黑" w:eastAsia="微软雅黑" w:hAnsi="微软雅黑" w:cs="宋体"/>
          <w:kern w:val="0"/>
          <w:sz w:val="34"/>
          <w:szCs w:val="34"/>
        </w:rPr>
      </w:pPr>
      <w:r w:rsidRPr="00685FA2">
        <w:rPr>
          <w:rFonts w:ascii="微软雅黑" w:eastAsia="微软雅黑" w:hAnsi="微软雅黑" w:cs="宋体"/>
          <w:kern w:val="0"/>
          <w:sz w:val="34"/>
          <w:szCs w:val="34"/>
        </w:rPr>
        <w:t>5. CDK4/6抑制剂的耐药机制</w:t>
      </w:r>
    </w:p>
    <w:p w14:paraId="51FB4BBF"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临床前和临床研究均已证实存在多种对 CDK4/6 抑制剂的耐药机制。这些机制总结于</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"https://pmc.ncbi.nlm.nih.gov/articles/PMC8625090/" \l "ijms-22-12292-f001"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图 1</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中。</w:t>
      </w:r>
    </w:p>
    <w:p w14:paraId="3095BED2" w14:textId="77777777" w:rsidR="00685FA2" w:rsidRPr="00685FA2" w:rsidRDefault="00685FA2" w:rsidP="00685FA2">
      <w:pPr>
        <w:widowControl/>
        <w:spacing w:line="450" w:lineRule="atLeast"/>
        <w:outlineLvl w:val="2"/>
        <w:rPr>
          <w:rFonts w:ascii="微软雅黑" w:eastAsia="微软雅黑" w:hAnsi="微软雅黑" w:cs="宋体"/>
          <w:kern w:val="0"/>
          <w:sz w:val="30"/>
          <w:szCs w:val="30"/>
        </w:rPr>
      </w:pPr>
      <w:r w:rsidRPr="00685FA2">
        <w:rPr>
          <w:rFonts w:ascii="微软雅黑" w:eastAsia="微软雅黑" w:hAnsi="微软雅黑" w:cs="宋体"/>
          <w:kern w:val="0"/>
          <w:sz w:val="30"/>
          <w:szCs w:val="30"/>
        </w:rPr>
        <w:t>图1。</w:t>
      </w:r>
    </w:p>
    <w:p w14:paraId="7BC64F5C" w14:textId="7F8CA889"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noProof/>
          <w:kern w:val="0"/>
          <w:sz w:val="24"/>
          <w:szCs w:val="24"/>
        </w:rPr>
        <w:lastRenderedPageBreak/>
        <w:drawing>
          <wp:inline distT="0" distB="0" distL="0" distR="0" wp14:anchorId="120D206B" wp14:editId="5C9948DA">
            <wp:extent cx="5274310" cy="3004185"/>
            <wp:effectExtent l="0" t="0" r="2540" b="5715"/>
            <wp:docPr id="2" name="图片 2" descr="图 1">
              <a:hlinkClick xmlns:a="http://schemas.openxmlformats.org/drawingml/2006/main" r:id="rId9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 1">
                      <a:hlinkClick r:id="rId95" tgtFrame="&quot;_blank&quot;"/>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274310" cy="3004185"/>
                    </a:xfrm>
                    <a:prstGeom prst="rect">
                      <a:avLst/>
                    </a:prstGeom>
                    <a:noFill/>
                    <a:ln>
                      <a:noFill/>
                    </a:ln>
                  </pic:spPr>
                </pic:pic>
              </a:graphicData>
            </a:graphic>
          </wp:inline>
        </w:drawing>
      </w:r>
    </w:p>
    <w:p w14:paraId="7310B6A6" w14:textId="77777777" w:rsidR="00685FA2" w:rsidRPr="00685FA2" w:rsidRDefault="00685FA2" w:rsidP="00685FA2">
      <w:pPr>
        <w:widowControl/>
        <w:rPr>
          <w:rFonts w:ascii="微软雅黑" w:eastAsia="微软雅黑" w:hAnsi="微软雅黑" w:cs="宋体"/>
          <w:kern w:val="0"/>
          <w:sz w:val="24"/>
          <w:szCs w:val="24"/>
        </w:rPr>
      </w:pPr>
      <w:r w:rsidRPr="00685FA2">
        <w:rPr>
          <w:rFonts w:ascii="微软雅黑" w:eastAsia="微软雅黑" w:hAnsi="微软雅黑" w:cs="宋体"/>
          <w:kern w:val="0"/>
          <w:sz w:val="24"/>
          <w:szCs w:val="24"/>
        </w:rPr>
        <w:t>迄今为止，已发现一些激活和失活突变，这些突变使细胞能够在 CDK4/6 抑制剂存在的情况下存活。细胞周期蛋白 D1、CDK4/6、CDK2、细胞周期蛋白 E1、E2F、PDK1、mTOR、CDK7、Wee1、PDLIM7、MDM2、FGFR1、KRAS、溶酶体和自噬体的激活可以帮助细胞在 CDK4/6 受到药物抑制时继续完成细胞周期。RB、FAT1 和 CDH18 的失活可以对细胞周期进程和整体细胞存活产生类似的影响。这些蛋白质和细胞组分的突变通过多种机制帮助细胞存活，这些机制将在第 5</w:t>
      </w:r>
      <w:hyperlink r:id="rId97" w:anchor="sec5-ijms-22-12292" w:history="1">
        <w:r w:rsidRPr="00685FA2">
          <w:rPr>
            <w:rFonts w:ascii="微软雅黑" w:eastAsia="微软雅黑" w:hAnsi="微软雅黑" w:cs="宋体"/>
            <w:kern w:val="0"/>
            <w:sz w:val="24"/>
            <w:szCs w:val="24"/>
            <w:u w:val="single"/>
          </w:rPr>
          <w:t>节</w:t>
        </w:r>
      </w:hyperlink>
      <w:r w:rsidRPr="00685FA2">
        <w:rPr>
          <w:rFonts w:ascii="微软雅黑" w:eastAsia="微软雅黑" w:hAnsi="微软雅黑" w:cs="宋体"/>
          <w:kern w:val="0"/>
          <w:sz w:val="24"/>
          <w:szCs w:val="24"/>
        </w:rPr>
        <w:t>中详细阐述。</w:t>
      </w:r>
    </w:p>
    <w:p w14:paraId="633BF464"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5.1. 细胞周期蛋白D1–CDK4/6–Rb激活</w:t>
      </w:r>
    </w:p>
    <w:p w14:paraId="0E1B9B70"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细胞周期蛋白D1-CDK4/6-Rb通路的激活可以说是CDK4/6抑制剂耐药的最直接原因。该通路激活的主要途径是CDK4或CDK6的</w:t>
      </w:r>
      <w:proofErr w:type="gramStart"/>
      <w:r w:rsidRPr="00685FA2">
        <w:rPr>
          <w:rFonts w:ascii="微软雅黑" w:eastAsia="微软雅黑" w:hAnsi="微软雅黑" w:cs="宋体"/>
          <w:kern w:val="0"/>
          <w:sz w:val="24"/>
          <w:szCs w:val="24"/>
        </w:rPr>
        <w:t>直接过</w:t>
      </w:r>
      <w:proofErr w:type="gramEnd"/>
      <w:r w:rsidRPr="00685FA2">
        <w:rPr>
          <w:rFonts w:ascii="微软雅黑" w:eastAsia="微软雅黑" w:hAnsi="微软雅黑" w:cs="宋体"/>
          <w:kern w:val="0"/>
          <w:sz w:val="24"/>
          <w:szCs w:val="24"/>
        </w:rPr>
        <w:t>表达。Yang等人[ </w:t>
      </w:r>
      <w:hyperlink r:id="rId98" w:anchor="B44-ijms-22-12292" w:history="1">
        <w:r w:rsidRPr="00685FA2">
          <w:rPr>
            <w:rFonts w:ascii="微软雅黑" w:eastAsia="微软雅黑" w:hAnsi="微软雅黑" w:cs="宋体"/>
            <w:kern w:val="0"/>
            <w:sz w:val="24"/>
            <w:szCs w:val="24"/>
            <w:u w:val="single"/>
          </w:rPr>
          <w:t>44</w:t>
        </w:r>
      </w:hyperlink>
      <w:r w:rsidRPr="00685FA2">
        <w:rPr>
          <w:rFonts w:ascii="微软雅黑" w:eastAsia="微软雅黑" w:hAnsi="微软雅黑" w:cs="宋体"/>
          <w:kern w:val="0"/>
          <w:sz w:val="24"/>
          <w:szCs w:val="24"/>
        </w:rPr>
        <w:t> ]对阿贝西利耐药细胞进行测序，发现许多细胞存在CDK6扩增。除了扩增之外，CDK4或CDK6的激活突变也会导致该通路过度激活。</w:t>
      </w:r>
    </w:p>
    <w:p w14:paraId="5426DBDF"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Rb 的缺失也会导致该通路上调。Dean 等人 [45] 利用离体模型研究了不同人类乳腺癌细胞对帕博西尼的反应，</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"https://pmc.ncbi.nlm.nih.gov/articles/PMC8625090/" \l "B45-ijms-22-12292"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发现</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当 Rb 发生功能缺失突变时，细胞对该抑制剂存在固有耐药性。Rb 的失活导致耐药，因为 Rb 无法阻止细胞从 G1 期向 S 期转变，因此抑制 CDK4/6 对细胞无效 [ </w:t>
      </w:r>
      <w:hyperlink r:id="rId99" w:anchor="B45-ijms-22-12292" w:history="1">
        <w:r w:rsidRPr="00685FA2">
          <w:rPr>
            <w:rFonts w:ascii="微软雅黑" w:eastAsia="微软雅黑" w:hAnsi="微软雅黑" w:cs="宋体"/>
            <w:kern w:val="0"/>
            <w:sz w:val="24"/>
            <w:szCs w:val="24"/>
            <w:u w:val="single"/>
          </w:rPr>
          <w:t>45</w:t>
        </w:r>
      </w:hyperlink>
      <w:r w:rsidRPr="00685FA2">
        <w:rPr>
          <w:rFonts w:ascii="微软雅黑" w:eastAsia="微软雅黑" w:hAnsi="微软雅黑" w:cs="宋体"/>
          <w:kern w:val="0"/>
          <w:sz w:val="24"/>
          <w:szCs w:val="24"/>
        </w:rPr>
        <w:t> ]。此外，PALOMA-3 试验的数据表明，RB1 中导致耐药性的失活突变仅在患者接受抗雌激素和 CDK4/6 抑制剂联合治疗时才会出现。有趣的是，在仅接受</w:t>
      </w:r>
      <w:proofErr w:type="gramStart"/>
      <w:r w:rsidRPr="00685FA2">
        <w:rPr>
          <w:rFonts w:ascii="微软雅黑" w:eastAsia="微软雅黑" w:hAnsi="微软雅黑" w:cs="宋体"/>
          <w:kern w:val="0"/>
          <w:sz w:val="24"/>
          <w:szCs w:val="24"/>
        </w:rPr>
        <w:t>氟维司群治疗</w:t>
      </w:r>
      <w:proofErr w:type="gramEnd"/>
      <w:r w:rsidRPr="00685FA2">
        <w:rPr>
          <w:rFonts w:ascii="微软雅黑" w:eastAsia="微软雅黑" w:hAnsi="微软雅黑" w:cs="宋体"/>
          <w:kern w:val="0"/>
          <w:sz w:val="24"/>
          <w:szCs w:val="24"/>
        </w:rPr>
        <w:t>的患者中未观察到 Rb 突变 [ </w:t>
      </w:r>
      <w:hyperlink r:id="rId100" w:anchor="B39-ijms-22-12292" w:history="1">
        <w:r w:rsidRPr="00685FA2">
          <w:rPr>
            <w:rFonts w:ascii="微软雅黑" w:eastAsia="微软雅黑" w:hAnsi="微软雅黑" w:cs="宋体"/>
            <w:kern w:val="0"/>
            <w:sz w:val="24"/>
            <w:szCs w:val="24"/>
            <w:u w:val="single"/>
          </w:rPr>
          <w:t>39</w:t>
        </w:r>
      </w:hyperlink>
      <w:r w:rsidRPr="00685FA2">
        <w:rPr>
          <w:rFonts w:ascii="微软雅黑" w:eastAsia="微软雅黑" w:hAnsi="微软雅黑" w:cs="宋体"/>
          <w:kern w:val="0"/>
          <w:sz w:val="24"/>
          <w:szCs w:val="24"/>
        </w:rPr>
        <w:t> ]。</w:t>
      </w:r>
      <w:proofErr w:type="spellStart"/>
      <w:r w:rsidRPr="00685FA2">
        <w:rPr>
          <w:rFonts w:ascii="微软雅黑" w:eastAsia="微软雅黑" w:hAnsi="微软雅黑" w:cs="宋体"/>
          <w:kern w:val="0"/>
          <w:sz w:val="24"/>
          <w:szCs w:val="24"/>
        </w:rPr>
        <w:t>Guarducci</w:t>
      </w:r>
      <w:proofErr w:type="spellEnd"/>
      <w:r w:rsidRPr="00685FA2">
        <w:rPr>
          <w:rFonts w:ascii="微软雅黑" w:eastAsia="微软雅黑" w:hAnsi="微软雅黑" w:cs="宋体"/>
          <w:kern w:val="0"/>
          <w:sz w:val="24"/>
          <w:szCs w:val="24"/>
        </w:rPr>
        <w:t xml:space="preserve"> 等人 [ </w:t>
      </w:r>
      <w:hyperlink r:id="rId101" w:anchor="B46-ijms-22-12292" w:history="1">
        <w:r w:rsidRPr="00685FA2">
          <w:rPr>
            <w:rFonts w:ascii="微软雅黑" w:eastAsia="微软雅黑" w:hAnsi="微软雅黑" w:cs="宋体"/>
            <w:kern w:val="0"/>
            <w:sz w:val="24"/>
            <w:szCs w:val="24"/>
            <w:u w:val="single"/>
          </w:rPr>
          <w:t>46</w:t>
        </w:r>
      </w:hyperlink>
      <w:r w:rsidRPr="00685FA2">
        <w:rPr>
          <w:rFonts w:ascii="微软雅黑" w:eastAsia="微软雅黑" w:hAnsi="微软雅黑" w:cs="宋体"/>
          <w:kern w:val="0"/>
          <w:sz w:val="24"/>
          <w:szCs w:val="24"/>
        </w:rPr>
        <w:t> ] 也强调了野生型 Rb 对于维持对 CDK4/6 抑制剂的敏感性的重要性。他们对七种ER阳性细胞系的基因表达谱分析发现，在对帕博西尼产生耐药性的细胞中，Rb蛋白表达降低，但仅有一种细胞系中Rb蛋白完全失活。幸运的是，ER阳性乳腺癌患者中Rb蛋白完全失活的突变相对罕见。一项对127例浸润性小叶癌患者基因谱的研究发现，仅有3.9%的肿瘤含有完全无功能的Rb蛋白[ </w:t>
      </w:r>
      <w:hyperlink r:id="rId102" w:anchor="B47-ijms-22-12292" w:history="1">
        <w:r w:rsidRPr="00685FA2">
          <w:rPr>
            <w:rFonts w:ascii="微软雅黑" w:eastAsia="微软雅黑" w:hAnsi="微软雅黑" w:cs="宋体"/>
            <w:kern w:val="0"/>
            <w:sz w:val="24"/>
            <w:szCs w:val="24"/>
            <w:u w:val="single"/>
          </w:rPr>
          <w:t>47</w:t>
        </w:r>
      </w:hyperlink>
      <w:r w:rsidRPr="00685FA2">
        <w:rPr>
          <w:rFonts w:ascii="微软雅黑" w:eastAsia="微软雅黑" w:hAnsi="微软雅黑" w:cs="宋体"/>
          <w:kern w:val="0"/>
          <w:sz w:val="24"/>
          <w:szCs w:val="24"/>
        </w:rPr>
        <w:t> ]。这一发现意义重大，因为功能性Rb蛋白是患者对CDK4/6抑制剂产生初始反应的必要条件。</w:t>
      </w:r>
    </w:p>
    <w:p w14:paraId="71CDDF16"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当E2F上调或过度活跃时，细胞周期蛋白D1-CDK4/6-Rb通路活性也会发生改变。过量的E2F会抑制Rb的活性，导致Rb无法结合细胞内所有的E2F。因此，E2F的转录</w:t>
      </w:r>
      <w:proofErr w:type="gramStart"/>
      <w:r w:rsidRPr="00685FA2">
        <w:rPr>
          <w:rFonts w:ascii="微软雅黑" w:eastAsia="微软雅黑" w:hAnsi="微软雅黑" w:cs="宋体"/>
          <w:kern w:val="0"/>
          <w:sz w:val="24"/>
          <w:szCs w:val="24"/>
        </w:rPr>
        <w:t>活性会</w:t>
      </w:r>
      <w:proofErr w:type="gramEnd"/>
      <w:r w:rsidRPr="00685FA2">
        <w:rPr>
          <w:rFonts w:ascii="微软雅黑" w:eastAsia="微软雅黑" w:hAnsi="微软雅黑" w:cs="宋体"/>
          <w:kern w:val="0"/>
          <w:sz w:val="24"/>
          <w:szCs w:val="24"/>
        </w:rPr>
        <w:t>增强。通过分析癌症基因组图谱（TCGA）中的基因特征，研究人员发现E2F家族的两个成员——E2F转录因子1（E2F1）和E2F转录因子2（E2F2）的表达增加与ER阳性乳腺癌中Rb功能的丧失相关[ </w:t>
      </w:r>
      <w:hyperlink r:id="rId103" w:anchor="B48-ijms-22-12292" w:history="1">
        <w:r w:rsidRPr="00685FA2">
          <w:rPr>
            <w:rFonts w:ascii="微软雅黑" w:eastAsia="微软雅黑" w:hAnsi="微软雅黑" w:cs="宋体"/>
            <w:kern w:val="0"/>
            <w:sz w:val="24"/>
            <w:szCs w:val="24"/>
            <w:u w:val="single"/>
          </w:rPr>
          <w:t>48</w:t>
        </w:r>
      </w:hyperlink>
      <w:r w:rsidRPr="00685FA2">
        <w:rPr>
          <w:rFonts w:ascii="微软雅黑" w:eastAsia="微软雅黑" w:hAnsi="微软雅黑" w:cs="宋体"/>
          <w:kern w:val="0"/>
          <w:sz w:val="24"/>
          <w:szCs w:val="24"/>
        </w:rPr>
        <w:t> ]。此外，这些Rb功能丧失的细胞系也更容易对帕博西尼产生耐药性。Rb特征也是一个预后因素，因为Rb功能丧失的患者的总生存期（OS）显著缩短。总的来说，这些数据表明 E2F 表达可以抑制 ER+ 乳腺癌对 CDK4/6 抑制剂的治疗反应。</w:t>
      </w:r>
    </w:p>
    <w:p w14:paraId="01F45079"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lastRenderedPageBreak/>
        <w:t>5.2. 细胞周期蛋白 E1/CDK2 激活</w:t>
      </w:r>
    </w:p>
    <w:p w14:paraId="14BFE0A4"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CCNE1基因编码细胞周期蛋白E1，位于细胞周期蛋白D1-CDK4/6-Rb信号通路下游。细胞周期蛋白E可与G1/S期调节因子细胞周期蛋白依赖性激酶2 (CDK2)结合，从而独立于CDK4/6和细胞周期蛋白D1磷酸化Rb[ </w:t>
      </w:r>
      <w:hyperlink r:id="rId104" w:anchor="B49-ijms-22-12292" w:history="1">
        <w:r w:rsidRPr="00685FA2">
          <w:rPr>
            <w:rFonts w:ascii="微软雅黑" w:eastAsia="微软雅黑" w:hAnsi="微软雅黑" w:cs="宋体"/>
            <w:kern w:val="0"/>
            <w:sz w:val="24"/>
            <w:szCs w:val="24"/>
            <w:u w:val="single"/>
          </w:rPr>
          <w:t>49</w:t>
        </w:r>
      </w:hyperlink>
      <w:r w:rsidRPr="00685FA2">
        <w:rPr>
          <w:rFonts w:ascii="微软雅黑" w:eastAsia="微软雅黑" w:hAnsi="微软雅黑" w:cs="宋体"/>
          <w:kern w:val="0"/>
          <w:sz w:val="24"/>
          <w:szCs w:val="24"/>
        </w:rPr>
        <w:t> ]。因此，细胞周期蛋白E1或CDK2的激活可使细胞绕过CDK4/6抑制剂的作用，从而促进细胞生长和增殖。</w:t>
      </w:r>
    </w:p>
    <w:p w14:paraId="2019AD47"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研究人员利用七种不同的ER+乳腺癌细胞系，测量了在对帕博西尼产生耐药性之前和整个过程中基因和蛋白质的差异表达[ </w:t>
      </w:r>
      <w:hyperlink r:id="rId105" w:anchor="B46-ijms-22-12292" w:history="1">
        <w:r w:rsidRPr="00685FA2">
          <w:rPr>
            <w:rFonts w:ascii="微软雅黑" w:eastAsia="微软雅黑" w:hAnsi="微软雅黑" w:cs="宋体"/>
            <w:kern w:val="0"/>
            <w:sz w:val="24"/>
            <w:szCs w:val="24"/>
            <w:u w:val="single"/>
          </w:rPr>
          <w:t>46</w:t>
        </w:r>
      </w:hyperlink>
      <w:r w:rsidRPr="00685FA2">
        <w:rPr>
          <w:rFonts w:ascii="微软雅黑" w:eastAsia="微软雅黑" w:hAnsi="微软雅黑" w:cs="宋体"/>
          <w:kern w:val="0"/>
          <w:sz w:val="24"/>
          <w:szCs w:val="24"/>
        </w:rPr>
        <w:t> ]。在10-27周的耐药过程中，基因表达分析发现所有细胞系均由于扩增或上调而过度表达细胞周期蛋白E1。此外，对38种不同的乳腺癌细胞系的检测表明，对帕博西尼无反应的细胞具有高水平的细胞周期蛋白E表达[ </w:t>
      </w:r>
      <w:hyperlink r:id="rId106" w:anchor="B50-ijms-22-12292" w:history="1">
        <w:r w:rsidRPr="00685FA2">
          <w:rPr>
            <w:rFonts w:ascii="微软雅黑" w:eastAsia="微软雅黑" w:hAnsi="微软雅黑" w:cs="宋体"/>
            <w:kern w:val="0"/>
            <w:sz w:val="24"/>
            <w:szCs w:val="24"/>
            <w:u w:val="single"/>
          </w:rPr>
          <w:t>50</w:t>
        </w:r>
      </w:hyperlink>
      <w:r w:rsidRPr="00685FA2">
        <w:rPr>
          <w:rFonts w:ascii="微软雅黑" w:eastAsia="微软雅黑" w:hAnsi="微软雅黑" w:cs="宋体"/>
          <w:kern w:val="0"/>
          <w:sz w:val="24"/>
          <w:szCs w:val="24"/>
        </w:rPr>
        <w:t> ]。</w:t>
      </w:r>
    </w:p>
    <w:p w14:paraId="1419420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Herrera-Abreu 等人 [ </w:t>
      </w:r>
      <w:hyperlink r:id="rId107" w:anchor="B43-ijms-22-12292" w:history="1">
        <w:r w:rsidRPr="00685FA2">
          <w:rPr>
            <w:rFonts w:ascii="微软雅黑" w:eastAsia="微软雅黑" w:hAnsi="微软雅黑" w:cs="宋体"/>
            <w:kern w:val="0"/>
            <w:sz w:val="24"/>
            <w:szCs w:val="24"/>
            <w:u w:val="single"/>
          </w:rPr>
          <w:t>43</w:t>
        </w:r>
      </w:hyperlink>
      <w:r w:rsidRPr="00685FA2">
        <w:rPr>
          <w:rFonts w:ascii="微软雅黑" w:eastAsia="微软雅黑" w:hAnsi="微软雅黑" w:cs="宋体"/>
          <w:kern w:val="0"/>
          <w:sz w:val="24"/>
          <w:szCs w:val="24"/>
        </w:rPr>
        <w:t xml:space="preserve"> ] 使用 </w:t>
      </w:r>
      <w:proofErr w:type="spellStart"/>
      <w:r w:rsidRPr="00685FA2">
        <w:rPr>
          <w:rFonts w:ascii="微软雅黑" w:eastAsia="微软雅黑" w:hAnsi="微软雅黑" w:cs="宋体"/>
          <w:kern w:val="0"/>
          <w:sz w:val="24"/>
          <w:szCs w:val="24"/>
        </w:rPr>
        <w:t>BrdUrd</w:t>
      </w:r>
      <w:proofErr w:type="spellEnd"/>
      <w:r w:rsidRPr="00685FA2">
        <w:rPr>
          <w:rFonts w:ascii="微软雅黑" w:eastAsia="微软雅黑" w:hAnsi="微软雅黑" w:cs="宋体"/>
          <w:kern w:val="0"/>
          <w:sz w:val="24"/>
          <w:szCs w:val="24"/>
        </w:rPr>
        <w:t xml:space="preserve"> 掺入-ELISA 检测法比较了 MCF7、T47D 和相应的帕博西尼耐药细胞系中 CCNE1 的拷贝数变异。有趣的是，在获得帕博西尼耐药性的细胞中，CCNE1 发生了扩增。当这些耐药细胞与靶向细胞周期蛋白 E1 或 CDK2 的 siRNA 联合处理时，细胞周期阻滞和生长减缓，表明这些耐药细胞重新获得了对帕博西尼的敏感性。这一观察结果表明，在耐药细胞中，细胞周期蛋白 E1 的表达是通过 CDK2 的激活而上调的，因为当 CDK4/6 受到抑制时，CDK2 可以结合并诱导细胞增殖。</w:t>
      </w:r>
    </w:p>
    <w:p w14:paraId="2806DA17"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患者数据也支持细胞周期蛋白E1可能与CDK4/6抑制剂耐药有关。</w:t>
      </w:r>
      <w:proofErr w:type="spellStart"/>
      <w:r w:rsidRPr="00685FA2">
        <w:rPr>
          <w:rFonts w:ascii="微软雅黑" w:eastAsia="微软雅黑" w:hAnsi="微软雅黑" w:cs="宋体"/>
          <w:kern w:val="0"/>
          <w:sz w:val="24"/>
          <w:szCs w:val="24"/>
        </w:rPr>
        <w:t>NeoPalAna</w:t>
      </w:r>
      <w:proofErr w:type="spellEnd"/>
      <w:r w:rsidRPr="00685FA2">
        <w:rPr>
          <w:rFonts w:ascii="微软雅黑" w:eastAsia="微软雅黑" w:hAnsi="微软雅黑" w:cs="宋体"/>
          <w:kern w:val="0"/>
          <w:sz w:val="24"/>
          <w:szCs w:val="24"/>
        </w:rPr>
        <w:t>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"https://clinicaltrials.gov/ct2/show/NCT01723774"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NCT01723774</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）评估了新辅助帕博西尼联合阿那曲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治疗与阿那曲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单药治疗在ER阳性乳腺癌患者中的疗效[ </w:t>
      </w:r>
      <w:hyperlink r:id="rId108" w:anchor="B51-ijms-22-12292" w:history="1">
        <w:r w:rsidRPr="00685FA2">
          <w:rPr>
            <w:rFonts w:ascii="微软雅黑" w:eastAsia="微软雅黑" w:hAnsi="微软雅黑" w:cs="宋体"/>
            <w:kern w:val="0"/>
            <w:sz w:val="24"/>
            <w:szCs w:val="24"/>
            <w:u w:val="single"/>
          </w:rPr>
          <w:t>51</w:t>
        </w:r>
      </w:hyperlink>
      <w:r w:rsidRPr="00685FA2">
        <w:rPr>
          <w:rFonts w:ascii="微软雅黑" w:eastAsia="微软雅黑" w:hAnsi="微软雅黑" w:cs="宋体"/>
          <w:kern w:val="0"/>
          <w:sz w:val="24"/>
          <w:szCs w:val="24"/>
        </w:rPr>
        <w:t> ]。该试验采用安</w:t>
      </w:r>
      <w:proofErr w:type="gramStart"/>
      <w:r w:rsidRPr="00685FA2">
        <w:rPr>
          <w:rFonts w:ascii="微软雅黑" w:eastAsia="微软雅黑" w:hAnsi="微软雅黑" w:cs="宋体"/>
          <w:kern w:val="0"/>
          <w:sz w:val="24"/>
          <w:szCs w:val="24"/>
        </w:rPr>
        <w:t>捷伦微阵列</w:t>
      </w:r>
      <w:proofErr w:type="gramEnd"/>
      <w:r w:rsidRPr="00685FA2">
        <w:rPr>
          <w:rFonts w:ascii="微软雅黑" w:eastAsia="微软雅黑" w:hAnsi="微软雅黑" w:cs="宋体"/>
          <w:kern w:val="0"/>
          <w:sz w:val="24"/>
          <w:szCs w:val="24"/>
        </w:rPr>
        <w:t>技术检测治疗前后肿瘤样本的差异基因表达，结果发现，帕博西尼治疗后出现耐药的患者中CCNE1的表达显著升高，而阿那曲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单药治疗的患者中未观察到这种变化。</w:t>
      </w:r>
    </w:p>
    <w:p w14:paraId="29E96C23"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5.3. PI3K–AKT 激活</w:t>
      </w:r>
    </w:p>
    <w:p w14:paraId="7AE65500"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多项研究表明，PI3K-AKT通路过度激活会影响肿瘤对CDK4/6抑制剂的反应。虽然一项研究并未专门分析ER+乳腺癌，但该研究利用黑色素瘤患者来源的异种移植模型（PDX）分析了CDK4/6抑制剂的耐药性，结果发现PI3K-AKT通路在固有耐药模型中被激活[ </w:t>
      </w:r>
      <w:hyperlink r:id="rId109" w:anchor="B52-ijms-22-12292" w:history="1">
        <w:r w:rsidRPr="00685FA2">
          <w:rPr>
            <w:rFonts w:ascii="微软雅黑" w:eastAsia="微软雅黑" w:hAnsi="微软雅黑" w:cs="宋体"/>
            <w:kern w:val="0"/>
            <w:sz w:val="24"/>
            <w:szCs w:val="24"/>
            <w:u w:val="single"/>
          </w:rPr>
          <w:t>52</w:t>
        </w:r>
      </w:hyperlink>
      <w:r w:rsidRPr="00685FA2">
        <w:rPr>
          <w:rFonts w:ascii="微软雅黑" w:eastAsia="微软雅黑" w:hAnsi="微软雅黑" w:cs="宋体"/>
          <w:kern w:val="0"/>
          <w:sz w:val="24"/>
          <w:szCs w:val="24"/>
        </w:rPr>
        <w:t> ]。CDK4/6抑制剂可导致细胞上调细胞周期蛋白D1，后者与PI3K-AKT通路下游的两个调节因子p21和p27结合。当这两个CDK抑制剂被隔离时，它们无法与CDK2结合。因此，CDK2被激活，促进细胞增殖。该机制已通过以下实验得到验证：当p21恢复表达时，细胞对CDK4/6抑制的反应增强。</w:t>
      </w:r>
    </w:p>
    <w:p w14:paraId="7157DC7B"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3-磷酸</w:t>
      </w:r>
      <w:r w:rsidRPr="00685FA2">
        <w:rPr>
          <w:rFonts w:ascii="MS Gothic" w:eastAsia="MS Gothic" w:hAnsi="MS Gothic" w:cs="MS Gothic" w:hint="eastAsia"/>
          <w:kern w:val="0"/>
          <w:sz w:val="24"/>
          <w:szCs w:val="24"/>
        </w:rPr>
        <w:t>​​</w:t>
      </w:r>
      <w:r w:rsidRPr="00685FA2">
        <w:rPr>
          <w:rFonts w:ascii="微软雅黑" w:eastAsia="微软雅黑" w:hAnsi="微软雅黑" w:cs="宋体"/>
          <w:kern w:val="0"/>
          <w:sz w:val="24"/>
          <w:szCs w:val="24"/>
        </w:rPr>
        <w:t>肌醇依赖性激酶1 (PDK1) 在PI3K-AKT通路中发挥作用，通过磷酸化完全激活AKT丝氨酸/苏氨酸激酶 (AKT) [ </w:t>
      </w:r>
      <w:hyperlink r:id="rId110" w:anchor="B53-ijms-22-12292" w:history="1">
        <w:r w:rsidRPr="00685FA2">
          <w:rPr>
            <w:rFonts w:ascii="微软雅黑" w:eastAsia="微软雅黑" w:hAnsi="微软雅黑" w:cs="宋体"/>
            <w:kern w:val="0"/>
            <w:sz w:val="24"/>
            <w:szCs w:val="24"/>
            <w:u w:val="single"/>
          </w:rPr>
          <w:t>53</w:t>
        </w:r>
      </w:hyperlink>
      <w:r w:rsidRPr="00685FA2">
        <w:rPr>
          <w:rFonts w:ascii="微软雅黑" w:eastAsia="微软雅黑" w:hAnsi="微软雅黑" w:cs="宋体"/>
          <w:kern w:val="0"/>
          <w:sz w:val="24"/>
          <w:szCs w:val="24"/>
        </w:rPr>
        <w:t> ]。这会诱导信号级联反应，促进细胞生长和存活 [ </w:t>
      </w:r>
      <w:hyperlink r:id="rId111" w:anchor="B54-ijms-22-12292" w:history="1">
        <w:r w:rsidRPr="00685FA2">
          <w:rPr>
            <w:rFonts w:ascii="微软雅黑" w:eastAsia="微软雅黑" w:hAnsi="微软雅黑" w:cs="宋体"/>
            <w:kern w:val="0"/>
            <w:sz w:val="24"/>
            <w:szCs w:val="24"/>
            <w:u w:val="single"/>
          </w:rPr>
          <w:t>54</w:t>
        </w:r>
      </w:hyperlink>
      <w:r w:rsidRPr="00685FA2">
        <w:rPr>
          <w:rFonts w:ascii="微软雅黑" w:eastAsia="微软雅黑" w:hAnsi="微软雅黑" w:cs="宋体"/>
          <w:kern w:val="0"/>
          <w:sz w:val="24"/>
          <w:szCs w:val="24"/>
        </w:rPr>
        <w:t> ]。一项针对乳腺癌细胞的高通量体外siRNA筛选发现，PDK1</w:t>
      </w:r>
      <w:proofErr w:type="gramStart"/>
      <w:r w:rsidRPr="00685FA2">
        <w:rPr>
          <w:rFonts w:ascii="微软雅黑" w:eastAsia="微软雅黑" w:hAnsi="微软雅黑" w:cs="宋体"/>
          <w:kern w:val="0"/>
          <w:sz w:val="24"/>
          <w:szCs w:val="24"/>
        </w:rPr>
        <w:t>敲低可</w:t>
      </w:r>
      <w:proofErr w:type="gramEnd"/>
      <w:r w:rsidRPr="00685FA2">
        <w:rPr>
          <w:rFonts w:ascii="微软雅黑" w:eastAsia="微软雅黑" w:hAnsi="微软雅黑" w:cs="宋体"/>
          <w:kern w:val="0"/>
          <w:sz w:val="24"/>
          <w:szCs w:val="24"/>
        </w:rPr>
        <w:t>提高细胞对CDK4/6抑制剂的敏感性 [ </w:t>
      </w:r>
      <w:hyperlink r:id="rId112" w:anchor="B53-ijms-22-12292" w:history="1">
        <w:r w:rsidRPr="00685FA2">
          <w:rPr>
            <w:rFonts w:ascii="微软雅黑" w:eastAsia="微软雅黑" w:hAnsi="微软雅黑" w:cs="宋体"/>
            <w:kern w:val="0"/>
            <w:sz w:val="24"/>
            <w:szCs w:val="24"/>
            <w:u w:val="single"/>
          </w:rPr>
          <w:t>53</w:t>
        </w:r>
      </w:hyperlink>
      <w:r w:rsidRPr="00685FA2">
        <w:rPr>
          <w:rFonts w:ascii="微软雅黑" w:eastAsia="微软雅黑" w:hAnsi="微软雅黑" w:cs="宋体"/>
          <w:kern w:val="0"/>
          <w:sz w:val="24"/>
          <w:szCs w:val="24"/>
        </w:rPr>
        <w:t> ]。此外，体外实验表明，PDK1抑制剂与</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联合使用可使耐药细胞产生反应。因此，PDK1与ER+乳腺癌细胞对CDK4/6抑制剂的耐药性密切相关。</w:t>
      </w:r>
    </w:p>
    <w:p w14:paraId="52B241B6"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本次siRNA筛选还发现，AKT丝氨酸/苏氨酸激酶1 (AKT1) 和AKT丝氨酸/苏氨酸激酶3 (AKT3) 的</w:t>
      </w:r>
      <w:proofErr w:type="gramStart"/>
      <w:r w:rsidRPr="00685FA2">
        <w:rPr>
          <w:rFonts w:ascii="微软雅黑" w:eastAsia="微软雅黑" w:hAnsi="微软雅黑" w:cs="宋体"/>
          <w:kern w:val="0"/>
          <w:sz w:val="24"/>
          <w:szCs w:val="24"/>
        </w:rPr>
        <w:t>两种亚</w:t>
      </w:r>
      <w:proofErr w:type="gramEnd"/>
      <w:r w:rsidRPr="00685FA2">
        <w:rPr>
          <w:rFonts w:ascii="微软雅黑" w:eastAsia="微软雅黑" w:hAnsi="微软雅黑" w:cs="宋体"/>
          <w:kern w:val="0"/>
          <w:sz w:val="24"/>
          <w:szCs w:val="24"/>
        </w:rPr>
        <w:t>型的激活突变也与耐药性有关。研究表明，</w:t>
      </w:r>
      <w:proofErr w:type="gramStart"/>
      <w:r w:rsidRPr="00685FA2">
        <w:rPr>
          <w:rFonts w:ascii="微软雅黑" w:eastAsia="微软雅黑" w:hAnsi="微软雅黑" w:cs="宋体"/>
          <w:kern w:val="0"/>
          <w:sz w:val="24"/>
          <w:szCs w:val="24"/>
        </w:rPr>
        <w:t>当敲低这</w:t>
      </w:r>
      <w:proofErr w:type="gramEnd"/>
      <w:r w:rsidRPr="00685FA2">
        <w:rPr>
          <w:rFonts w:ascii="微软雅黑" w:eastAsia="微软雅黑" w:hAnsi="微软雅黑" w:cs="宋体"/>
          <w:kern w:val="0"/>
          <w:sz w:val="24"/>
          <w:szCs w:val="24"/>
        </w:rPr>
        <w:t>两种激酶时，细胞对CDK4/6抑制剂的敏感性得以恢复[ </w:t>
      </w:r>
      <w:hyperlink r:id="rId113" w:anchor="B53-ijms-22-12292" w:history="1">
        <w:r w:rsidRPr="00685FA2">
          <w:rPr>
            <w:rFonts w:ascii="微软雅黑" w:eastAsia="微软雅黑" w:hAnsi="微软雅黑" w:cs="宋体"/>
            <w:kern w:val="0"/>
            <w:sz w:val="24"/>
            <w:szCs w:val="24"/>
            <w:u w:val="single"/>
          </w:rPr>
          <w:t>53</w:t>
        </w:r>
      </w:hyperlink>
      <w:r w:rsidRPr="00685FA2">
        <w:rPr>
          <w:rFonts w:ascii="微软雅黑" w:eastAsia="微软雅黑" w:hAnsi="微软雅黑" w:cs="宋体"/>
          <w:kern w:val="0"/>
          <w:sz w:val="24"/>
          <w:szCs w:val="24"/>
        </w:rPr>
        <w:t> ]。此外，对MCF7和T47D敏感细胞和耐药细胞的通路分析发现，对帕博西尼耐药的细胞中AKT1活性增强[ </w:t>
      </w:r>
      <w:hyperlink r:id="rId114" w:anchor="B55-ijms-22-12292" w:history="1">
        <w:r w:rsidRPr="00685FA2">
          <w:rPr>
            <w:rFonts w:ascii="微软雅黑" w:eastAsia="微软雅黑" w:hAnsi="微软雅黑" w:cs="宋体"/>
            <w:kern w:val="0"/>
            <w:sz w:val="24"/>
            <w:szCs w:val="24"/>
            <w:u w:val="single"/>
          </w:rPr>
          <w:t>55</w:t>
        </w:r>
      </w:hyperlink>
      <w:r w:rsidRPr="00685FA2">
        <w:rPr>
          <w:rFonts w:ascii="微软雅黑" w:eastAsia="微软雅黑" w:hAnsi="微软雅黑" w:cs="宋体"/>
          <w:kern w:val="0"/>
          <w:sz w:val="24"/>
          <w:szCs w:val="24"/>
        </w:rPr>
        <w:t> ]。另外，体外实验表明，帕博西尼与AKT抑制剂联合使用有助于克服耐药性，证实AKT活性有助于细胞对CDK4/6抑制剂产生耐药性。</w:t>
      </w:r>
    </w:p>
    <w:p w14:paraId="1B8FB3AB"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5.4. KRAS激活</w:t>
      </w:r>
    </w:p>
    <w:p w14:paraId="72EC64B6"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Kirsten鼠肉瘤病毒癌基因同源物（KRAS）是RAS基因中最常见的突变亚型，在细胞凋亡、生长和分化等过程中发挥作用[ </w:t>
      </w:r>
      <w:hyperlink r:id="rId115" w:anchor="B56-ijms-22-12292" w:history="1">
        <w:r w:rsidRPr="00685FA2">
          <w:rPr>
            <w:rFonts w:ascii="微软雅黑" w:eastAsia="微软雅黑" w:hAnsi="微软雅黑" w:cs="宋体"/>
            <w:kern w:val="0"/>
            <w:sz w:val="24"/>
            <w:szCs w:val="24"/>
            <w:u w:val="single"/>
          </w:rPr>
          <w:t>56</w:t>
        </w:r>
      </w:hyperlink>
      <w:r w:rsidRPr="00685FA2">
        <w:rPr>
          <w:rFonts w:ascii="微软雅黑" w:eastAsia="微软雅黑" w:hAnsi="微软雅黑" w:cs="宋体"/>
          <w:kern w:val="0"/>
          <w:sz w:val="24"/>
          <w:szCs w:val="24"/>
        </w:rPr>
        <w:t> ]。K-Ras过度</w:t>
      </w:r>
      <w:proofErr w:type="gramStart"/>
      <w:r w:rsidRPr="00685FA2">
        <w:rPr>
          <w:rFonts w:ascii="微软雅黑" w:eastAsia="微软雅黑" w:hAnsi="微软雅黑" w:cs="宋体"/>
          <w:kern w:val="0"/>
          <w:sz w:val="24"/>
          <w:szCs w:val="24"/>
        </w:rPr>
        <w:t>活跃会</w:t>
      </w:r>
      <w:proofErr w:type="gramEnd"/>
      <w:r w:rsidRPr="00685FA2">
        <w:rPr>
          <w:rFonts w:ascii="微软雅黑" w:eastAsia="微软雅黑" w:hAnsi="微软雅黑" w:cs="宋体"/>
          <w:kern w:val="0"/>
          <w:sz w:val="24"/>
          <w:szCs w:val="24"/>
        </w:rPr>
        <w:t>导致异常生长信号的传播，并已被证实会导致多种癌症产生耐药性[ </w:t>
      </w:r>
      <w:hyperlink r:id="rId116" w:anchor="B57-ijms-22-12292" w:history="1">
        <w:r w:rsidRPr="00685FA2">
          <w:rPr>
            <w:rFonts w:ascii="微软雅黑" w:eastAsia="微软雅黑" w:hAnsi="微软雅黑" w:cs="宋体"/>
            <w:kern w:val="0"/>
            <w:sz w:val="24"/>
            <w:szCs w:val="24"/>
            <w:u w:val="single"/>
          </w:rPr>
          <w:t>57</w:t>
        </w:r>
      </w:hyperlink>
      <w:r w:rsidRPr="00685FA2">
        <w:rPr>
          <w:rFonts w:ascii="微软雅黑" w:eastAsia="微软雅黑" w:hAnsi="微软雅黑" w:cs="宋体"/>
          <w:kern w:val="0"/>
          <w:sz w:val="24"/>
          <w:szCs w:val="24"/>
        </w:rPr>
        <w:t> ]。这一现象最初在乳腺癌中被发现，一项研究分析了106例接受</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联</w:t>
      </w:r>
      <w:proofErr w:type="gramStart"/>
      <w:r w:rsidRPr="00685FA2">
        <w:rPr>
          <w:rFonts w:ascii="微软雅黑" w:eastAsia="微软雅黑" w:hAnsi="微软雅黑" w:cs="宋体"/>
          <w:kern w:val="0"/>
          <w:sz w:val="24"/>
          <w:szCs w:val="24"/>
        </w:rPr>
        <w:t>合帕</w:t>
      </w:r>
      <w:proofErr w:type="gramEnd"/>
      <w:r w:rsidRPr="00685FA2">
        <w:rPr>
          <w:rFonts w:ascii="微软雅黑" w:eastAsia="微软雅黑" w:hAnsi="微软雅黑" w:cs="宋体"/>
          <w:kern w:val="0"/>
          <w:sz w:val="24"/>
          <w:szCs w:val="24"/>
        </w:rPr>
        <w:t>博西</w:t>
      </w:r>
      <w:proofErr w:type="gramStart"/>
      <w:r w:rsidRPr="00685FA2">
        <w:rPr>
          <w:rFonts w:ascii="微软雅黑" w:eastAsia="微软雅黑" w:hAnsi="微软雅黑" w:cs="宋体"/>
          <w:kern w:val="0"/>
          <w:sz w:val="24"/>
          <w:szCs w:val="24"/>
        </w:rPr>
        <w:t>尼治疗</w:t>
      </w:r>
      <w:proofErr w:type="gramEnd"/>
      <w:r w:rsidRPr="00685FA2">
        <w:rPr>
          <w:rFonts w:ascii="微软雅黑" w:eastAsia="微软雅黑" w:hAnsi="微软雅黑" w:cs="宋体"/>
          <w:kern w:val="0"/>
          <w:sz w:val="24"/>
          <w:szCs w:val="24"/>
        </w:rPr>
        <w:t>的ER阳性转移性乳腺癌患者的血液样本。值得注意的是，这些患者此前均对内分泌治疗敏感。通过液体活检检测到KRAS突变的患者对治疗产生了耐药性。事实上，他们在治疗期间的平均无进展生存期（PFS）仅为3个月，而野生型KRAS患者的PFS在18个月的随访期内甚至尚未达到[ </w:t>
      </w:r>
      <w:hyperlink r:id="rId117" w:anchor="B57-ijms-22-12292" w:history="1">
        <w:r w:rsidRPr="00685FA2">
          <w:rPr>
            <w:rFonts w:ascii="微软雅黑" w:eastAsia="微软雅黑" w:hAnsi="微软雅黑" w:cs="宋体"/>
            <w:kern w:val="0"/>
            <w:sz w:val="24"/>
            <w:szCs w:val="24"/>
            <w:u w:val="single"/>
          </w:rPr>
          <w:t>57</w:t>
        </w:r>
      </w:hyperlink>
      <w:r w:rsidRPr="00685FA2">
        <w:rPr>
          <w:rFonts w:ascii="微软雅黑" w:eastAsia="微软雅黑" w:hAnsi="微软雅黑" w:cs="宋体"/>
          <w:kern w:val="0"/>
          <w:sz w:val="24"/>
          <w:szCs w:val="24"/>
        </w:rPr>
        <w:t> ]。循环中携带KRAS突变的细胞数量增加的患者，其转移灶也更多。大多数KRAS突变型癌症患者也表现出高水平的细胞周期蛋白D1表达[ </w:t>
      </w:r>
      <w:hyperlink r:id="rId118" w:anchor="B58-ijms-22-12292" w:history="1">
        <w:r w:rsidRPr="00685FA2">
          <w:rPr>
            <w:rFonts w:ascii="微软雅黑" w:eastAsia="微软雅黑" w:hAnsi="微软雅黑" w:cs="宋体"/>
            <w:kern w:val="0"/>
            <w:sz w:val="24"/>
            <w:szCs w:val="24"/>
            <w:u w:val="single"/>
          </w:rPr>
          <w:t>58</w:t>
        </w:r>
      </w:hyperlink>
      <w:r w:rsidRPr="00685FA2">
        <w:rPr>
          <w:rFonts w:ascii="微软雅黑" w:eastAsia="微软雅黑" w:hAnsi="微软雅黑" w:cs="宋体"/>
          <w:kern w:val="0"/>
          <w:sz w:val="24"/>
          <w:szCs w:val="24"/>
        </w:rPr>
        <w:t> ]。这进一步解释了KRAS如何在CDK4/6抑制剂存在的情况下导致异常的生长信号传导。迄今为止，尚未发现针对ER阳性CDK4/6抑制剂耐药乳腺癌中KRAS突变的有效疗法。</w:t>
      </w:r>
    </w:p>
    <w:p w14:paraId="71E07FCB"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5.5 自噬和溶酶体活性</w:t>
      </w:r>
    </w:p>
    <w:p w14:paraId="4C937B51"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自噬是细胞在应激状态下启动的一种机制。它是一种溶酶体</w:t>
      </w:r>
      <w:proofErr w:type="gramStart"/>
      <w:r w:rsidRPr="00685FA2">
        <w:rPr>
          <w:rFonts w:ascii="微软雅黑" w:eastAsia="微软雅黑" w:hAnsi="微软雅黑" w:cs="宋体"/>
          <w:kern w:val="0"/>
          <w:sz w:val="24"/>
          <w:szCs w:val="24"/>
        </w:rPr>
        <w:t>介</w:t>
      </w:r>
      <w:proofErr w:type="gramEnd"/>
      <w:r w:rsidRPr="00685FA2">
        <w:rPr>
          <w:rFonts w:ascii="微软雅黑" w:eastAsia="微软雅黑" w:hAnsi="微软雅黑" w:cs="宋体"/>
          <w:kern w:val="0"/>
          <w:sz w:val="24"/>
          <w:szCs w:val="24"/>
        </w:rPr>
        <w:t>导的过程，能够将细胞成分回收利用，转化为能量来源。当耐药细胞接受其不敏感药物治疗时，自噬通量会增加[ </w:t>
      </w:r>
      <w:hyperlink r:id="rId119" w:anchor="B59-ijms-22-12292" w:history="1">
        <w:r w:rsidRPr="00685FA2">
          <w:rPr>
            <w:rFonts w:ascii="微软雅黑" w:eastAsia="微软雅黑" w:hAnsi="微软雅黑" w:cs="宋体"/>
            <w:kern w:val="0"/>
            <w:sz w:val="24"/>
            <w:szCs w:val="24"/>
            <w:u w:val="single"/>
          </w:rPr>
          <w:t>59</w:t>
        </w:r>
      </w:hyperlink>
      <w:r w:rsidRPr="00685FA2">
        <w:rPr>
          <w:rFonts w:ascii="微软雅黑" w:eastAsia="微软雅黑" w:hAnsi="微软雅黑" w:cs="宋体"/>
          <w:kern w:val="0"/>
          <w:sz w:val="24"/>
          <w:szCs w:val="24"/>
        </w:rPr>
        <w:t> ]。此前已有研究表明，在三阴性乳腺癌的耐药细胞中，自噬表达上调。</w:t>
      </w:r>
    </w:p>
    <w:p w14:paraId="50EEB3E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当ER+乳腺癌细胞接受帕博西尼治疗时，它们会增强对自噬的依赖性[ </w:t>
      </w:r>
      <w:hyperlink r:id="rId120" w:anchor="B60-ijms-22-12292" w:history="1">
        <w:r w:rsidRPr="00685FA2">
          <w:rPr>
            <w:rFonts w:ascii="微软雅黑" w:eastAsia="微软雅黑" w:hAnsi="微软雅黑" w:cs="宋体"/>
            <w:kern w:val="0"/>
            <w:sz w:val="24"/>
            <w:szCs w:val="24"/>
            <w:u w:val="single"/>
          </w:rPr>
          <w:t>60</w:t>
        </w:r>
      </w:hyperlink>
      <w:r w:rsidRPr="00685FA2">
        <w:rPr>
          <w:rFonts w:ascii="微软雅黑" w:eastAsia="微软雅黑" w:hAnsi="微软雅黑" w:cs="宋体"/>
          <w:kern w:val="0"/>
          <w:sz w:val="24"/>
          <w:szCs w:val="24"/>
        </w:rPr>
        <w:t> ]。与敏感的亲代细胞相比，对帕博西尼产生耐药性的MCF7细胞的</w:t>
      </w:r>
      <w:proofErr w:type="gramStart"/>
      <w:r w:rsidRPr="00685FA2">
        <w:rPr>
          <w:rFonts w:ascii="微软雅黑" w:eastAsia="微软雅黑" w:hAnsi="微软雅黑" w:cs="宋体"/>
          <w:kern w:val="0"/>
          <w:sz w:val="24"/>
          <w:szCs w:val="24"/>
        </w:rPr>
        <w:t>转录组</w:t>
      </w:r>
      <w:proofErr w:type="gramEnd"/>
      <w:r w:rsidRPr="00685FA2">
        <w:rPr>
          <w:rFonts w:ascii="微软雅黑" w:eastAsia="微软雅黑" w:hAnsi="微软雅黑" w:cs="宋体"/>
          <w:kern w:val="0"/>
          <w:sz w:val="24"/>
          <w:szCs w:val="24"/>
        </w:rPr>
        <w:t>分析显示，许多参与自噬的基因表达上调[ </w:t>
      </w:r>
      <w:hyperlink r:id="rId121" w:anchor="B61-ijms-22-12292" w:history="1">
        <w:r w:rsidRPr="00685FA2">
          <w:rPr>
            <w:rFonts w:ascii="微软雅黑" w:eastAsia="微软雅黑" w:hAnsi="微软雅黑" w:cs="宋体"/>
            <w:kern w:val="0"/>
            <w:sz w:val="24"/>
            <w:szCs w:val="24"/>
            <w:u w:val="single"/>
          </w:rPr>
          <w:t>61</w:t>
        </w:r>
      </w:hyperlink>
      <w:r w:rsidRPr="00685FA2">
        <w:rPr>
          <w:rFonts w:ascii="微软雅黑" w:eastAsia="微软雅黑" w:hAnsi="微软雅黑" w:cs="宋体"/>
          <w:kern w:val="0"/>
          <w:sz w:val="24"/>
          <w:szCs w:val="24"/>
        </w:rPr>
        <w:t> ]。耐药细胞还形成了更多的自噬体，这进一步表明ER+乳腺癌细胞通过上调自噬来应对药物对CDK4/6的抑制。自噬还可以通过阻断细胞凋亡来帮助细胞应对CDK4/6的抑制[ </w:t>
      </w:r>
      <w:hyperlink r:id="rId122" w:anchor="B61-ijms-22-12292" w:history="1">
        <w:r w:rsidRPr="00685FA2">
          <w:rPr>
            <w:rFonts w:ascii="微软雅黑" w:eastAsia="微软雅黑" w:hAnsi="微软雅黑" w:cs="宋体"/>
            <w:kern w:val="0"/>
            <w:sz w:val="24"/>
            <w:szCs w:val="24"/>
            <w:u w:val="single"/>
          </w:rPr>
          <w:t>61</w:t>
        </w:r>
      </w:hyperlink>
      <w:r w:rsidRPr="00685FA2">
        <w:rPr>
          <w:rFonts w:ascii="微软雅黑" w:eastAsia="微软雅黑" w:hAnsi="微软雅黑" w:cs="宋体"/>
          <w:kern w:val="0"/>
          <w:sz w:val="24"/>
          <w:szCs w:val="24"/>
        </w:rPr>
        <w:t> ]。通过阻止细胞凋亡，原本应该因CDK4/6抑制而死亡的细胞得以存活。</w:t>
      </w:r>
    </w:p>
    <w:p w14:paraId="7078B12E"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一项研究探讨了溶酶体活性在对 CDK4/6 抑制剂耐药的三阴性乳腺癌细胞中的作用。令人惊讶的是，存在一部分三阴性乳腺癌细胞实际上依赖 CDK4/6 进行增殖，这意味着靶向 CDK4/6 可能成为此类患者的一种治疗选择。当探究这些细胞为何对 CDK4/6 抑制剂无反应时，研究发现这些细胞会上调溶酶体，从而帮助隔离 CDK4/6 抑制剂 [ </w:t>
      </w:r>
      <w:hyperlink r:id="rId123" w:anchor="B62-ijms-22-12292" w:history="1">
        <w:r w:rsidRPr="00685FA2">
          <w:rPr>
            <w:rFonts w:ascii="微软雅黑" w:eastAsia="微软雅黑" w:hAnsi="微软雅黑" w:cs="宋体"/>
            <w:kern w:val="0"/>
            <w:sz w:val="24"/>
            <w:szCs w:val="24"/>
            <w:u w:val="single"/>
          </w:rPr>
          <w:t>62</w:t>
        </w:r>
      </w:hyperlink>
      <w:r w:rsidRPr="00685FA2">
        <w:rPr>
          <w:rFonts w:ascii="微软雅黑" w:eastAsia="微软雅黑" w:hAnsi="微软雅黑" w:cs="宋体"/>
          <w:kern w:val="0"/>
          <w:sz w:val="24"/>
          <w:szCs w:val="24"/>
        </w:rPr>
        <w:t> ]。将 CDK4/6 抑制剂与溶酶体趋向剂或溶酶体去稳定剂联合使用证实了这一点，这种联合用药有助于提高耐药细胞的敏感性。此外，使用一种能够逃避溶酶体的 CDK4/6 抑制剂也能提高细胞的敏感性。尽管这项研究尚未在ER+乳腺癌细胞中重复进行，但ER+乳腺癌对CDK4/6抑制剂的耐药性可能源于溶酶体分离增加。此外，靶向溶酶体或许是克服这种耐药性的一种潜在机制。为了证实这一可能性，必须在ER+乳腺癌模型中重复这些实验。</w:t>
      </w:r>
    </w:p>
    <w:p w14:paraId="6132331C"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lastRenderedPageBreak/>
        <w:t>5.6. FAT1 损失</w:t>
      </w:r>
    </w:p>
    <w:p w14:paraId="5DDFADAF"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非典型钙</w:t>
      </w:r>
      <w:proofErr w:type="gramStart"/>
      <w:r w:rsidRPr="00685FA2">
        <w:rPr>
          <w:rFonts w:ascii="微软雅黑" w:eastAsia="微软雅黑" w:hAnsi="微软雅黑" w:cs="宋体"/>
          <w:kern w:val="0"/>
          <w:sz w:val="24"/>
          <w:szCs w:val="24"/>
        </w:rPr>
        <w:t>黏</w:t>
      </w:r>
      <w:proofErr w:type="gramEnd"/>
      <w:r w:rsidRPr="00685FA2">
        <w:rPr>
          <w:rFonts w:ascii="微软雅黑" w:eastAsia="微软雅黑" w:hAnsi="微软雅黑" w:cs="宋体"/>
          <w:kern w:val="0"/>
          <w:sz w:val="24"/>
          <w:szCs w:val="24"/>
        </w:rPr>
        <w:t>蛋白1 (FAT1) 是一种肿瘤抑制因子，参与发育、增殖、迁移和侵袭[ </w:t>
      </w:r>
      <w:hyperlink r:id="rId124" w:anchor="B63-ijms-22-12292" w:history="1">
        <w:r w:rsidRPr="00685FA2">
          <w:rPr>
            <w:rFonts w:ascii="微软雅黑" w:eastAsia="微软雅黑" w:hAnsi="微软雅黑" w:cs="宋体"/>
            <w:kern w:val="0"/>
            <w:sz w:val="24"/>
            <w:szCs w:val="24"/>
            <w:u w:val="single"/>
          </w:rPr>
          <w:t>63</w:t>
        </w:r>
      </w:hyperlink>
      <w:r w:rsidRPr="00685FA2">
        <w:rPr>
          <w:rFonts w:ascii="微软雅黑" w:eastAsia="微软雅黑" w:hAnsi="微软雅黑" w:cs="宋体"/>
          <w:kern w:val="0"/>
          <w:sz w:val="24"/>
          <w:szCs w:val="24"/>
        </w:rPr>
        <w:t> ]。其表达失调与多种癌症相关。为了鉴定可能导致 CDK4/6 抑制剂耐药的基因，Li 等人[ </w:t>
      </w:r>
      <w:hyperlink r:id="rId125" w:anchor="B64-ijms-22-12292" w:history="1">
        <w:r w:rsidRPr="00685FA2">
          <w:rPr>
            <w:rFonts w:ascii="微软雅黑" w:eastAsia="微软雅黑" w:hAnsi="微软雅黑" w:cs="宋体"/>
            <w:kern w:val="0"/>
            <w:sz w:val="24"/>
            <w:szCs w:val="24"/>
            <w:u w:val="single"/>
          </w:rPr>
          <w:t>64</w:t>
        </w:r>
      </w:hyperlink>
      <w:r w:rsidRPr="00685FA2">
        <w:rPr>
          <w:rFonts w:ascii="微软雅黑" w:eastAsia="微软雅黑" w:hAnsi="微软雅黑" w:cs="宋体"/>
          <w:kern w:val="0"/>
          <w:sz w:val="24"/>
          <w:szCs w:val="24"/>
        </w:rPr>
        <w:t> ] 对 348 例 ER+/HER2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 xml:space="preserve"> 乳腺癌患者样本进行了癌症相关基因的测序筛选。随后，这些患者接受了 CDK4/6 抑制剂治疗，并将他们的治疗反应与肿瘤的原始基因谱进行了比较。有趣的是，FAT1 基因改变的患者的无进展生存期 (PFS) 较短（2.4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月），而 FAT1 基因未改变的患者则为 10.1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月。后续的体内实验证实了 FAT1 缺失的这一作用。与野生型 FAT1 小鼠相比，FAT1 </w:t>
      </w:r>
      <w:proofErr w:type="gramStart"/>
      <w:r w:rsidRPr="00685FA2">
        <w:rPr>
          <w:rFonts w:ascii="微软雅黑" w:eastAsia="微软雅黑" w:hAnsi="微软雅黑" w:cs="宋体"/>
          <w:kern w:val="0"/>
          <w:sz w:val="24"/>
          <w:szCs w:val="24"/>
        </w:rPr>
        <w:t>敲低或</w:t>
      </w:r>
      <w:proofErr w:type="gramEnd"/>
      <w:r w:rsidRPr="00685FA2">
        <w:rPr>
          <w:rFonts w:ascii="微软雅黑" w:eastAsia="微软雅黑" w:hAnsi="微软雅黑" w:cs="宋体"/>
          <w:kern w:val="0"/>
          <w:sz w:val="24"/>
          <w:szCs w:val="24"/>
        </w:rPr>
        <w:t xml:space="preserve">敲除的 MCF7 异种移植瘤对 50 </w:t>
      </w:r>
      <w:proofErr w:type="spellStart"/>
      <w:r w:rsidRPr="00685FA2">
        <w:rPr>
          <w:rFonts w:ascii="微软雅黑" w:eastAsia="微软雅黑" w:hAnsi="微软雅黑" w:cs="宋体"/>
          <w:kern w:val="0"/>
          <w:sz w:val="24"/>
          <w:szCs w:val="24"/>
        </w:rPr>
        <w:t>nM</w:t>
      </w:r>
      <w:proofErr w:type="spellEnd"/>
      <w:r w:rsidRPr="00685FA2">
        <w:rPr>
          <w:rFonts w:ascii="微软雅黑" w:eastAsia="微软雅黑" w:hAnsi="微软雅黑" w:cs="宋体"/>
          <w:kern w:val="0"/>
          <w:sz w:val="24"/>
          <w:szCs w:val="24"/>
        </w:rPr>
        <w:t xml:space="preserve"> 阿贝西利的敏感性显著降低。对这些样本进行蛋白质印迹分析表明，FAT1 的减少允许 Rb 发生部分磷酸化并诱导 CDK6 表达，而 FAT1 野生型细胞则完全阻断了 Rb 磷酸化，且 CDK6 表达降低 [ </w:t>
      </w:r>
      <w:hyperlink r:id="rId126" w:anchor="B64-ijms-22-12292" w:history="1">
        <w:r w:rsidRPr="00685FA2">
          <w:rPr>
            <w:rFonts w:ascii="微软雅黑" w:eastAsia="微软雅黑" w:hAnsi="微软雅黑" w:cs="宋体"/>
            <w:kern w:val="0"/>
            <w:sz w:val="24"/>
            <w:szCs w:val="24"/>
            <w:u w:val="single"/>
          </w:rPr>
          <w:t>64</w:t>
        </w:r>
      </w:hyperlink>
      <w:r w:rsidRPr="00685FA2">
        <w:rPr>
          <w:rFonts w:ascii="微软雅黑" w:eastAsia="微软雅黑" w:hAnsi="微软雅黑" w:cs="宋体"/>
          <w:kern w:val="0"/>
          <w:sz w:val="24"/>
          <w:szCs w:val="24"/>
        </w:rPr>
        <w:t> ]。qPCR 也显示，FAT1 的缺失导致 Hippo 信号通路增强。此外，</w:t>
      </w:r>
      <w:proofErr w:type="gramStart"/>
      <w:r w:rsidRPr="00685FA2">
        <w:rPr>
          <w:rFonts w:ascii="微软雅黑" w:eastAsia="微软雅黑" w:hAnsi="微软雅黑" w:cs="宋体"/>
          <w:kern w:val="0"/>
          <w:sz w:val="24"/>
          <w:szCs w:val="24"/>
        </w:rPr>
        <w:t>敲低</w:t>
      </w:r>
      <w:proofErr w:type="gramEnd"/>
      <w:r w:rsidRPr="00685FA2">
        <w:rPr>
          <w:rFonts w:ascii="微软雅黑" w:eastAsia="微软雅黑" w:hAnsi="微软雅黑" w:cs="宋体"/>
          <w:kern w:val="0"/>
          <w:sz w:val="24"/>
          <w:szCs w:val="24"/>
        </w:rPr>
        <w:t xml:space="preserve"> Yes1 相关转录调节因子 (YAP1) 和具有 PDZ 结合基序的转录共激活因子 (TAZ) 可抑制 CDK6 信号通路并恢复这些细胞对 CDK4/6 抑制剂的敏感性。因此，可以确定 FAT1 的缺失会增强 Hippo 信号通路并诱导强烈的 CDK6 活性，从而使这些细胞对治疗不敏感。</w:t>
      </w:r>
    </w:p>
    <w:p w14:paraId="6916FDB8"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5.7. FGFR1激活</w:t>
      </w:r>
    </w:p>
    <w:p w14:paraId="3210724E"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成纤维细胞生长因子受体1 (FGFR1) 是一种酪氨酸激酶家族蛋白。其信号传导对细胞迁移、增殖、分化和存活等细胞过程至关重要[ </w:t>
      </w:r>
      <w:hyperlink r:id="rId127" w:anchor="B65-ijms-22-12292" w:history="1">
        <w:r w:rsidRPr="00685FA2">
          <w:rPr>
            <w:rFonts w:ascii="微软雅黑" w:eastAsia="微软雅黑" w:hAnsi="微软雅黑" w:cs="宋体"/>
            <w:kern w:val="0"/>
            <w:sz w:val="24"/>
            <w:szCs w:val="24"/>
            <w:u w:val="single"/>
          </w:rPr>
          <w:t>65</w:t>
        </w:r>
      </w:hyperlink>
      <w:r w:rsidRPr="00685FA2">
        <w:rPr>
          <w:rFonts w:ascii="微软雅黑" w:eastAsia="微软雅黑" w:hAnsi="微软雅黑" w:cs="宋体"/>
          <w:kern w:val="0"/>
          <w:sz w:val="24"/>
          <w:szCs w:val="24"/>
        </w:rPr>
        <w:t> ]。FGFR1在15%的ER阳性乳腺癌中存在扩增或过表达[ </w:t>
      </w:r>
      <w:hyperlink r:id="rId128" w:anchor="B66-ijms-22-12292" w:history="1">
        <w:r w:rsidRPr="00685FA2">
          <w:rPr>
            <w:rFonts w:ascii="微软雅黑" w:eastAsia="微软雅黑" w:hAnsi="微软雅黑" w:cs="宋体"/>
            <w:kern w:val="0"/>
            <w:sz w:val="24"/>
            <w:szCs w:val="24"/>
            <w:u w:val="single"/>
          </w:rPr>
          <w:t>66</w:t>
        </w:r>
      </w:hyperlink>
      <w:r w:rsidRPr="00685FA2">
        <w:rPr>
          <w:rFonts w:ascii="微软雅黑" w:eastAsia="微软雅黑" w:hAnsi="微软雅黑" w:cs="宋体"/>
          <w:kern w:val="0"/>
          <w:sz w:val="24"/>
          <w:szCs w:val="24"/>
        </w:rPr>
        <w:t> ]。不出所料，FGFR1突变已被证实与ER阳性乳腺癌对内分泌治疗的耐药性有关。为了研究其在CDK4/6抑制剂耐药性</w:t>
      </w:r>
      <w:r w:rsidRPr="00685FA2">
        <w:rPr>
          <w:rFonts w:ascii="微软雅黑" w:eastAsia="微软雅黑" w:hAnsi="微软雅黑" w:cs="宋体"/>
          <w:kern w:val="0"/>
          <w:sz w:val="24"/>
          <w:szCs w:val="24"/>
        </w:rPr>
        <w:lastRenderedPageBreak/>
        <w:t>中的潜在作用，研究人员在用</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和瑞博西尼处理的MCF7和T47D细胞中检测了FGFR1的过表达情况。</w:t>
      </w:r>
      <w:proofErr w:type="spellStart"/>
      <w:r w:rsidRPr="00685FA2">
        <w:rPr>
          <w:rFonts w:ascii="微软雅黑" w:eastAsia="微软雅黑" w:hAnsi="微软雅黑" w:cs="宋体"/>
          <w:kern w:val="0"/>
          <w:sz w:val="24"/>
          <w:szCs w:val="24"/>
        </w:rPr>
        <w:t>Formisano</w:t>
      </w:r>
      <w:proofErr w:type="spellEnd"/>
      <w:r w:rsidRPr="00685FA2">
        <w:rPr>
          <w:rFonts w:ascii="微软雅黑" w:eastAsia="微软雅黑" w:hAnsi="微软雅黑" w:cs="宋体"/>
          <w:kern w:val="0"/>
          <w:sz w:val="24"/>
          <w:szCs w:val="24"/>
        </w:rPr>
        <w:t>等人[ </w:t>
      </w:r>
      <w:hyperlink r:id="rId129" w:anchor="B66-ijms-22-12292" w:history="1">
        <w:r w:rsidRPr="00685FA2">
          <w:rPr>
            <w:rFonts w:ascii="微软雅黑" w:eastAsia="微软雅黑" w:hAnsi="微软雅黑" w:cs="宋体"/>
            <w:kern w:val="0"/>
            <w:sz w:val="24"/>
            <w:szCs w:val="24"/>
            <w:u w:val="single"/>
          </w:rPr>
          <w:t>66</w:t>
        </w:r>
      </w:hyperlink>
      <w:r w:rsidRPr="00685FA2">
        <w:rPr>
          <w:rFonts w:ascii="微软雅黑" w:eastAsia="微软雅黑" w:hAnsi="微软雅黑" w:cs="宋体"/>
          <w:kern w:val="0"/>
          <w:sz w:val="24"/>
          <w:szCs w:val="24"/>
        </w:rPr>
        <w:t> ]发现，FGFR1的过表达导致细胞对该治疗的反应性降低。为了验证这一推测，研究人员用FGFR抑制剂卢西</w:t>
      </w:r>
      <w:proofErr w:type="gramStart"/>
      <w:r w:rsidRPr="00685FA2">
        <w:rPr>
          <w:rFonts w:ascii="微软雅黑" w:eastAsia="微软雅黑" w:hAnsi="微软雅黑" w:cs="宋体"/>
          <w:kern w:val="0"/>
          <w:sz w:val="24"/>
          <w:szCs w:val="24"/>
        </w:rPr>
        <w:t>替尼处理</w:t>
      </w:r>
      <w:proofErr w:type="gramEnd"/>
      <w:r w:rsidRPr="00685FA2">
        <w:rPr>
          <w:rFonts w:ascii="微软雅黑" w:eastAsia="微软雅黑" w:hAnsi="微软雅黑" w:cs="宋体"/>
          <w:kern w:val="0"/>
          <w:sz w:val="24"/>
          <w:szCs w:val="24"/>
        </w:rPr>
        <w:t>了这些过表达FGFR1的耐药细胞。事实上，这种治疗逆转了先前观察到的耐药性。在异种移植模型中使用另一种FGFR1抑制剂</w:t>
      </w:r>
      <w:proofErr w:type="gramStart"/>
      <w:r w:rsidRPr="00685FA2">
        <w:rPr>
          <w:rFonts w:ascii="微软雅黑" w:eastAsia="微软雅黑" w:hAnsi="微软雅黑" w:cs="宋体"/>
          <w:kern w:val="0"/>
          <w:sz w:val="24"/>
          <w:szCs w:val="24"/>
        </w:rPr>
        <w:t>厄达替尼</w:t>
      </w:r>
      <w:proofErr w:type="gramEnd"/>
      <w:r w:rsidRPr="00685FA2">
        <w:rPr>
          <w:rFonts w:ascii="微软雅黑" w:eastAsia="微软雅黑" w:hAnsi="微软雅黑" w:cs="宋体"/>
          <w:kern w:val="0"/>
          <w:sz w:val="24"/>
          <w:szCs w:val="24"/>
        </w:rPr>
        <w:t>也获得了相同的结果。该研究还评估了MONALEESA-2试验中患者的FGFR1状态，发现FGFR1扩增患者的无进展生存期（PFS）短于FGFR1野生型患者[ </w:t>
      </w:r>
      <w:hyperlink r:id="rId130" w:anchor="B66-ijms-22-12292" w:history="1">
        <w:r w:rsidRPr="00685FA2">
          <w:rPr>
            <w:rFonts w:ascii="微软雅黑" w:eastAsia="微软雅黑" w:hAnsi="微软雅黑" w:cs="宋体"/>
            <w:kern w:val="0"/>
            <w:sz w:val="24"/>
            <w:szCs w:val="24"/>
            <w:u w:val="single"/>
          </w:rPr>
          <w:t>66</w:t>
        </w:r>
      </w:hyperlink>
      <w:r w:rsidRPr="00685FA2">
        <w:rPr>
          <w:rFonts w:ascii="微软雅黑" w:eastAsia="微软雅黑" w:hAnsi="微软雅黑" w:cs="宋体"/>
          <w:kern w:val="0"/>
          <w:sz w:val="24"/>
          <w:szCs w:val="24"/>
        </w:rPr>
        <w:t> ]。因此，FGFR1扩增或上调被认为与CDK4/6抑制剂耐药性有关。</w:t>
      </w:r>
    </w:p>
    <w:p w14:paraId="3BFDFAD8"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5.8. MDM2失调</w:t>
      </w:r>
    </w:p>
    <w:p w14:paraId="198D0883"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尽管大多数乳腺癌细胞并不携带突变的p53蛋白，但p53蛋白的活性常常会因诸如小鼠双微体2同源物（MDM2）等调控蛋白的激活而发生异常[ </w:t>
      </w:r>
      <w:hyperlink r:id="rId131" w:anchor="B67-ijms-22-12292" w:history="1">
        <w:r w:rsidRPr="00685FA2">
          <w:rPr>
            <w:rFonts w:ascii="微软雅黑" w:eastAsia="微软雅黑" w:hAnsi="微软雅黑" w:cs="宋体"/>
            <w:kern w:val="0"/>
            <w:sz w:val="24"/>
            <w:szCs w:val="24"/>
            <w:u w:val="single"/>
          </w:rPr>
          <w:t>67</w:t>
        </w:r>
      </w:hyperlink>
      <w:r w:rsidRPr="00685FA2">
        <w:rPr>
          <w:rFonts w:ascii="微软雅黑" w:eastAsia="微软雅黑" w:hAnsi="微软雅黑" w:cs="宋体"/>
          <w:kern w:val="0"/>
          <w:sz w:val="24"/>
          <w:szCs w:val="24"/>
        </w:rPr>
        <w:t> ]。MDM2与p53相互作用，通过隔离和信号传导抑制p53的降解。因此，MDM2活性升高会阻碍DNA修复，促进细胞周期异常进展，并阻止严重受损细胞的凋亡[ </w:t>
      </w:r>
      <w:hyperlink r:id="rId132" w:anchor="B68-ijms-22-12292" w:history="1">
        <w:r w:rsidRPr="00685FA2">
          <w:rPr>
            <w:rFonts w:ascii="微软雅黑" w:eastAsia="微软雅黑" w:hAnsi="微软雅黑" w:cs="宋体"/>
            <w:kern w:val="0"/>
            <w:sz w:val="24"/>
            <w:szCs w:val="24"/>
            <w:u w:val="single"/>
          </w:rPr>
          <w:t>68</w:t>
        </w:r>
      </w:hyperlink>
      <w:r w:rsidRPr="00685FA2">
        <w:rPr>
          <w:rFonts w:ascii="微软雅黑" w:eastAsia="微软雅黑" w:hAnsi="微软雅黑" w:cs="宋体"/>
          <w:kern w:val="0"/>
          <w:sz w:val="24"/>
          <w:szCs w:val="24"/>
        </w:rPr>
        <w:t> ]。有趣的是，ER阳性乳腺癌细胞中MDM2的表达水平往往更高。对CDK4/6抑制剂产生耐药性的细胞无法正常诱导衰老，而MDM2上调导致的p53通路中断可能是造成这种耐药性的原因[ </w:t>
      </w:r>
      <w:hyperlink r:id="rId133" w:anchor="B67-ijms-22-12292" w:history="1">
        <w:r w:rsidRPr="00685FA2">
          <w:rPr>
            <w:rFonts w:ascii="微软雅黑" w:eastAsia="微软雅黑" w:hAnsi="微软雅黑" w:cs="宋体"/>
            <w:kern w:val="0"/>
            <w:sz w:val="24"/>
            <w:szCs w:val="24"/>
            <w:u w:val="single"/>
          </w:rPr>
          <w:t>67</w:t>
        </w:r>
      </w:hyperlink>
      <w:r w:rsidRPr="00685FA2">
        <w:rPr>
          <w:rFonts w:ascii="微软雅黑" w:eastAsia="微软雅黑" w:hAnsi="微软雅黑" w:cs="宋体"/>
          <w:kern w:val="0"/>
          <w:sz w:val="24"/>
          <w:szCs w:val="24"/>
        </w:rPr>
        <w:t> , </w:t>
      </w:r>
      <w:hyperlink r:id="rId134" w:anchor="B69-ijms-22-12292" w:history="1">
        <w:r w:rsidRPr="00685FA2">
          <w:rPr>
            <w:rFonts w:ascii="微软雅黑" w:eastAsia="微软雅黑" w:hAnsi="微软雅黑" w:cs="宋体"/>
            <w:kern w:val="0"/>
            <w:sz w:val="24"/>
            <w:szCs w:val="24"/>
            <w:u w:val="single"/>
          </w:rPr>
          <w:t>69</w:t>
        </w:r>
      </w:hyperlink>
      <w:r w:rsidRPr="00685FA2">
        <w:rPr>
          <w:rFonts w:ascii="微软雅黑" w:eastAsia="微软雅黑" w:hAnsi="微软雅黑" w:cs="宋体"/>
          <w:kern w:val="0"/>
          <w:sz w:val="24"/>
          <w:szCs w:val="24"/>
        </w:rPr>
        <w:t> ]。MDM2受PDZ和LIM结构域7（PDLIM7）的调控，PDLIM7有助于稳定MDM2。当II型钙</w:t>
      </w:r>
      <w:proofErr w:type="gramStart"/>
      <w:r w:rsidRPr="00685FA2">
        <w:rPr>
          <w:rFonts w:ascii="微软雅黑" w:eastAsia="微软雅黑" w:hAnsi="微软雅黑" w:cs="宋体"/>
          <w:kern w:val="0"/>
          <w:sz w:val="24"/>
          <w:szCs w:val="24"/>
        </w:rPr>
        <w:t>黏</w:t>
      </w:r>
      <w:proofErr w:type="gramEnd"/>
      <w:r w:rsidRPr="00685FA2">
        <w:rPr>
          <w:rFonts w:ascii="微软雅黑" w:eastAsia="微软雅黑" w:hAnsi="微软雅黑" w:cs="宋体"/>
          <w:kern w:val="0"/>
          <w:sz w:val="24"/>
          <w:szCs w:val="24"/>
        </w:rPr>
        <w:t>蛋白18 (CDH18) 表达量较高时，PDLIM7会被隔离，无法稳定MDM2 [ </w:t>
      </w:r>
      <w:hyperlink r:id="rId135" w:anchor="B70-ijms-22-12292" w:history="1">
        <w:r w:rsidRPr="00685FA2">
          <w:rPr>
            <w:rFonts w:ascii="微软雅黑" w:eastAsia="微软雅黑" w:hAnsi="微软雅黑" w:cs="宋体"/>
            <w:kern w:val="0"/>
            <w:sz w:val="24"/>
            <w:szCs w:val="24"/>
            <w:u w:val="single"/>
          </w:rPr>
          <w:t>70</w:t>
        </w:r>
      </w:hyperlink>
      <w:r w:rsidRPr="00685FA2">
        <w:rPr>
          <w:rFonts w:ascii="微软雅黑" w:eastAsia="微软雅黑" w:hAnsi="微软雅黑" w:cs="宋体"/>
          <w:kern w:val="0"/>
          <w:sz w:val="24"/>
          <w:szCs w:val="24"/>
        </w:rPr>
        <w:t> ]。基于此机制，在临床试验中，接受帕博西尼治疗的CDH18阴性患者的无进展生存期（PFS）较CDH18阳性患者（9周 vs. 17.9周）更短 [ </w:t>
      </w:r>
      <w:hyperlink r:id="rId136" w:anchor="B70-ijms-22-12292" w:history="1">
        <w:r w:rsidRPr="00685FA2">
          <w:rPr>
            <w:rFonts w:ascii="微软雅黑" w:eastAsia="微软雅黑" w:hAnsi="微软雅黑" w:cs="宋体"/>
            <w:kern w:val="0"/>
            <w:sz w:val="24"/>
            <w:szCs w:val="24"/>
            <w:u w:val="single"/>
          </w:rPr>
          <w:t>70</w:t>
        </w:r>
      </w:hyperlink>
      <w:r w:rsidRPr="00685FA2">
        <w:rPr>
          <w:rFonts w:ascii="微软雅黑" w:eastAsia="微软雅黑" w:hAnsi="微软雅黑" w:cs="宋体"/>
          <w:kern w:val="0"/>
          <w:sz w:val="24"/>
          <w:szCs w:val="24"/>
        </w:rPr>
        <w:t> ]。此外，CDH18阴性患者的总生存期（OS）为19.8个月，而CDH18阳性患者为42.4个月。简而言之，</w:t>
      </w:r>
      <w:r w:rsidRPr="00685FA2">
        <w:rPr>
          <w:rFonts w:ascii="微软雅黑" w:eastAsia="微软雅黑" w:hAnsi="微软雅黑" w:cs="宋体"/>
          <w:kern w:val="0"/>
          <w:sz w:val="24"/>
          <w:szCs w:val="24"/>
        </w:rPr>
        <w:lastRenderedPageBreak/>
        <w:t>CDH18阴性患者的MDM2活性更高，这可能使他们能够绕过CDK4/6抑制剂的作用。因此，通过抑制下游MDM2</w:t>
      </w:r>
      <w:proofErr w:type="gramStart"/>
      <w:r w:rsidRPr="00685FA2">
        <w:rPr>
          <w:rFonts w:ascii="微软雅黑" w:eastAsia="微软雅黑" w:hAnsi="微软雅黑" w:cs="宋体"/>
          <w:kern w:val="0"/>
          <w:sz w:val="24"/>
          <w:szCs w:val="24"/>
        </w:rPr>
        <w:t>来靶向</w:t>
      </w:r>
      <w:proofErr w:type="gramEnd"/>
      <w:r w:rsidRPr="00685FA2">
        <w:rPr>
          <w:rFonts w:ascii="微软雅黑" w:eastAsia="微软雅黑" w:hAnsi="微软雅黑" w:cs="宋体"/>
          <w:kern w:val="0"/>
          <w:sz w:val="24"/>
          <w:szCs w:val="24"/>
        </w:rPr>
        <w:t>该通路是逆转CDK4/6抑制剂耐药性的可行方法。</w:t>
      </w:r>
    </w:p>
    <w:p w14:paraId="528C4D79"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5.9. mTOR激活</w:t>
      </w:r>
    </w:p>
    <w:p w14:paraId="6B850A86"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在对 CDK4/6 抑制剂耐药的 ER+ 乳腺癌细胞中，</w:t>
      </w:r>
      <w:proofErr w:type="gramStart"/>
      <w:r w:rsidRPr="00685FA2">
        <w:rPr>
          <w:rFonts w:ascii="微软雅黑" w:eastAsia="微软雅黑" w:hAnsi="微软雅黑" w:cs="宋体"/>
          <w:kern w:val="0"/>
          <w:sz w:val="24"/>
          <w:szCs w:val="24"/>
        </w:rPr>
        <w:t>哺乳动物雷帕霉素</w:t>
      </w:r>
      <w:proofErr w:type="gramEnd"/>
      <w:r w:rsidRPr="00685FA2">
        <w:rPr>
          <w:rFonts w:ascii="微软雅黑" w:eastAsia="微软雅黑" w:hAnsi="微软雅黑" w:cs="宋体"/>
          <w:kern w:val="0"/>
          <w:sz w:val="24"/>
          <w:szCs w:val="24"/>
        </w:rPr>
        <w:t>靶蛋白 (mTOR) 通路通常发生突变 [ </w:t>
      </w:r>
      <w:hyperlink r:id="rId137" w:anchor="B71-ijms-22-12292" w:history="1">
        <w:r w:rsidRPr="00685FA2">
          <w:rPr>
            <w:rFonts w:ascii="微软雅黑" w:eastAsia="微软雅黑" w:hAnsi="微软雅黑" w:cs="宋体"/>
            <w:kern w:val="0"/>
            <w:sz w:val="24"/>
            <w:szCs w:val="24"/>
            <w:u w:val="single"/>
          </w:rPr>
          <w:t>71</w:t>
        </w:r>
      </w:hyperlink>
      <w:r w:rsidRPr="00685FA2">
        <w:rPr>
          <w:rFonts w:ascii="微软雅黑" w:eastAsia="微软雅黑" w:hAnsi="微软雅黑" w:cs="宋体"/>
          <w:kern w:val="0"/>
          <w:sz w:val="24"/>
          <w:szCs w:val="24"/>
        </w:rPr>
        <w:t> ]。mTOR 激酶形成两个独立的复合物，即 mTORC1 和 mTORC2。mTOR 参与许多影响细胞生长的过程，例如通过有丝分裂原和营养信号调控细胞周期、大小和增殖，以及自噬。mTOR 的功能还受到 PI3K-AKT 通路的部分调控，这进一步增加了其复杂性。此外，</w:t>
      </w:r>
      <w:proofErr w:type="spellStart"/>
      <w:r w:rsidRPr="00685FA2">
        <w:rPr>
          <w:rFonts w:ascii="微软雅黑" w:eastAsia="微软雅黑" w:hAnsi="微软雅黑" w:cs="宋体"/>
          <w:kern w:val="0"/>
          <w:sz w:val="24"/>
          <w:szCs w:val="24"/>
        </w:rPr>
        <w:t>Michaloglou</w:t>
      </w:r>
      <w:proofErr w:type="spellEnd"/>
      <w:r w:rsidRPr="00685FA2">
        <w:rPr>
          <w:rFonts w:ascii="微软雅黑" w:eastAsia="微软雅黑" w:hAnsi="微软雅黑" w:cs="宋体"/>
          <w:kern w:val="0"/>
          <w:sz w:val="24"/>
          <w:szCs w:val="24"/>
        </w:rPr>
        <w:t xml:space="preserve"> 等人 [ </w:t>
      </w:r>
      <w:hyperlink r:id="rId138" w:anchor="B71-ijms-22-12292" w:history="1">
        <w:r w:rsidRPr="00685FA2">
          <w:rPr>
            <w:rFonts w:ascii="微软雅黑" w:eastAsia="微软雅黑" w:hAnsi="微软雅黑" w:cs="宋体"/>
            <w:kern w:val="0"/>
            <w:sz w:val="24"/>
            <w:szCs w:val="24"/>
            <w:u w:val="single"/>
          </w:rPr>
          <w:t>71</w:t>
        </w:r>
      </w:hyperlink>
      <w:r w:rsidRPr="00685FA2">
        <w:rPr>
          <w:rFonts w:ascii="微软雅黑" w:eastAsia="微软雅黑" w:hAnsi="微软雅黑" w:cs="宋体"/>
          <w:kern w:val="0"/>
          <w:sz w:val="24"/>
          <w:szCs w:val="24"/>
        </w:rPr>
        <w:t xml:space="preserve"> ] 使用 qPCR 检测到 mTORC1/2 抑制剂 </w:t>
      </w:r>
      <w:proofErr w:type="spellStart"/>
      <w:r w:rsidRPr="00685FA2">
        <w:rPr>
          <w:rFonts w:ascii="微软雅黑" w:eastAsia="微软雅黑" w:hAnsi="微软雅黑" w:cs="宋体"/>
          <w:kern w:val="0"/>
          <w:sz w:val="24"/>
          <w:szCs w:val="24"/>
        </w:rPr>
        <w:t>vistusertib</w:t>
      </w:r>
      <w:proofErr w:type="spellEnd"/>
      <w:r w:rsidRPr="00685FA2">
        <w:rPr>
          <w:rFonts w:ascii="微软雅黑" w:eastAsia="微软雅黑" w:hAnsi="微软雅黑" w:cs="宋体"/>
          <w:kern w:val="0"/>
          <w:sz w:val="24"/>
          <w:szCs w:val="24"/>
        </w:rPr>
        <w:t xml:space="preserve"> 会导致 E2F </w:t>
      </w:r>
      <w:proofErr w:type="gramStart"/>
      <w:r w:rsidRPr="00685FA2">
        <w:rPr>
          <w:rFonts w:ascii="微软雅黑" w:eastAsia="微软雅黑" w:hAnsi="微软雅黑" w:cs="宋体"/>
          <w:kern w:val="0"/>
          <w:sz w:val="24"/>
          <w:szCs w:val="24"/>
        </w:rPr>
        <w:t>介</w:t>
      </w:r>
      <w:proofErr w:type="gramEnd"/>
      <w:r w:rsidRPr="00685FA2">
        <w:rPr>
          <w:rFonts w:ascii="微软雅黑" w:eastAsia="微软雅黑" w:hAnsi="微软雅黑" w:cs="宋体"/>
          <w:kern w:val="0"/>
          <w:sz w:val="24"/>
          <w:szCs w:val="24"/>
        </w:rPr>
        <w:t xml:space="preserve">导的转录减少。因此，mTOR </w:t>
      </w:r>
      <w:proofErr w:type="gramStart"/>
      <w:r w:rsidRPr="00685FA2">
        <w:rPr>
          <w:rFonts w:ascii="微软雅黑" w:eastAsia="微软雅黑" w:hAnsi="微软雅黑" w:cs="宋体"/>
          <w:kern w:val="0"/>
          <w:sz w:val="24"/>
          <w:szCs w:val="24"/>
        </w:rPr>
        <w:t>活性负责</w:t>
      </w:r>
      <w:proofErr w:type="gramEnd"/>
      <w:r w:rsidRPr="00685FA2">
        <w:rPr>
          <w:rFonts w:ascii="微软雅黑" w:eastAsia="微软雅黑" w:hAnsi="微软雅黑" w:cs="宋体"/>
          <w:kern w:val="0"/>
          <w:sz w:val="24"/>
          <w:szCs w:val="24"/>
        </w:rPr>
        <w:t xml:space="preserve">上调 E2F 的表达。如前所述，对 CDK4/6 抑制剂耐药的细胞已被证实会增加对 E2F 的依赖性。这表明，上调 mTOR 的细胞利用 E2F </w:t>
      </w:r>
      <w:proofErr w:type="gramStart"/>
      <w:r w:rsidRPr="00685FA2">
        <w:rPr>
          <w:rFonts w:ascii="微软雅黑" w:eastAsia="微软雅黑" w:hAnsi="微软雅黑" w:cs="宋体"/>
          <w:kern w:val="0"/>
          <w:sz w:val="24"/>
          <w:szCs w:val="24"/>
        </w:rPr>
        <w:t>介</w:t>
      </w:r>
      <w:proofErr w:type="gramEnd"/>
      <w:r w:rsidRPr="00685FA2">
        <w:rPr>
          <w:rFonts w:ascii="微软雅黑" w:eastAsia="微软雅黑" w:hAnsi="微软雅黑" w:cs="宋体"/>
          <w:kern w:val="0"/>
          <w:sz w:val="24"/>
          <w:szCs w:val="24"/>
        </w:rPr>
        <w:t>导的转录增加来抵抗 CDK4/6 抑制剂的作用，</w:t>
      </w:r>
      <w:proofErr w:type="gramStart"/>
      <w:r w:rsidRPr="00685FA2">
        <w:rPr>
          <w:rFonts w:ascii="微软雅黑" w:eastAsia="微软雅黑" w:hAnsi="微软雅黑" w:cs="宋体"/>
          <w:kern w:val="0"/>
          <w:sz w:val="24"/>
          <w:szCs w:val="24"/>
        </w:rPr>
        <w:t>而靶向</w:t>
      </w:r>
      <w:proofErr w:type="gramEnd"/>
      <w:r w:rsidRPr="00685FA2">
        <w:rPr>
          <w:rFonts w:ascii="微软雅黑" w:eastAsia="微软雅黑" w:hAnsi="微软雅黑" w:cs="宋体"/>
          <w:kern w:val="0"/>
          <w:sz w:val="24"/>
          <w:szCs w:val="24"/>
        </w:rPr>
        <w:t xml:space="preserve"> mTOR 可以逆转 E2F 依赖的细胞增殖。</w:t>
      </w:r>
    </w:p>
    <w:p w14:paraId="69F1A246"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5.10. G2/M期活性增强：WEE1和CDK7过表达</w:t>
      </w:r>
    </w:p>
    <w:p w14:paraId="75EB5156"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CDK4/6抑制剂治疗会导致G1检查点缺陷。为了应对该检查点的缺失，细胞依赖G2检查点来修复细胞分裂前可能存在的任何DNA损伤[ </w:t>
      </w:r>
      <w:hyperlink r:id="rId139" w:anchor="B72-ijms-22-12292" w:history="1">
        <w:r w:rsidRPr="00685FA2">
          <w:rPr>
            <w:rFonts w:ascii="微软雅黑" w:eastAsia="微软雅黑" w:hAnsi="微软雅黑" w:cs="宋体"/>
            <w:kern w:val="0"/>
            <w:sz w:val="24"/>
            <w:szCs w:val="24"/>
            <w:u w:val="single"/>
          </w:rPr>
          <w:t>72</w:t>
        </w:r>
      </w:hyperlink>
      <w:r w:rsidRPr="00685FA2">
        <w:rPr>
          <w:rFonts w:ascii="微软雅黑" w:eastAsia="微软雅黑" w:hAnsi="微软雅黑" w:cs="宋体"/>
          <w:kern w:val="0"/>
          <w:sz w:val="24"/>
          <w:szCs w:val="24"/>
        </w:rPr>
        <w:t> ]。通过对癌症基因组图谱数据库中ER阳性原发性乳腺肿瘤的分析，研究人员发现G2/M通路评分升高与增殖相关基因（如</w:t>
      </w:r>
      <w:proofErr w:type="spellStart"/>
      <w:r w:rsidRPr="00685FA2">
        <w:rPr>
          <w:rFonts w:ascii="微软雅黑" w:eastAsia="微软雅黑" w:hAnsi="微软雅黑" w:cs="宋体"/>
          <w:kern w:val="0"/>
          <w:sz w:val="24"/>
          <w:szCs w:val="24"/>
        </w:rPr>
        <w:t>Myc</w:t>
      </w:r>
      <w:proofErr w:type="spellEnd"/>
      <w:r w:rsidRPr="00685FA2">
        <w:rPr>
          <w:rFonts w:ascii="微软雅黑" w:eastAsia="微软雅黑" w:hAnsi="微软雅黑" w:cs="宋体"/>
          <w:kern w:val="0"/>
          <w:sz w:val="24"/>
          <w:szCs w:val="24"/>
        </w:rPr>
        <w:t>、有丝分裂纺锤体和E2F）的</w:t>
      </w:r>
      <w:proofErr w:type="gramStart"/>
      <w:r w:rsidRPr="00685FA2">
        <w:rPr>
          <w:rFonts w:ascii="微软雅黑" w:eastAsia="微软雅黑" w:hAnsi="微软雅黑" w:cs="宋体"/>
          <w:kern w:val="0"/>
          <w:sz w:val="24"/>
          <w:szCs w:val="24"/>
        </w:rPr>
        <w:t>高表达</w:t>
      </w:r>
      <w:proofErr w:type="gramEnd"/>
      <w:r w:rsidRPr="00685FA2">
        <w:rPr>
          <w:rFonts w:ascii="微软雅黑" w:eastAsia="微软雅黑" w:hAnsi="微软雅黑" w:cs="宋体"/>
          <w:kern w:val="0"/>
          <w:sz w:val="24"/>
          <w:szCs w:val="24"/>
        </w:rPr>
        <w:t>相关。G2/M评分是G2/M细胞周期检查点活性的指标。如前所述，经CDK4/6抑制</w:t>
      </w:r>
      <w:r w:rsidRPr="00685FA2">
        <w:rPr>
          <w:rFonts w:ascii="微软雅黑" w:eastAsia="微软雅黑" w:hAnsi="微软雅黑" w:cs="宋体"/>
          <w:kern w:val="0"/>
          <w:sz w:val="24"/>
          <w:szCs w:val="24"/>
        </w:rPr>
        <w:lastRenderedPageBreak/>
        <w:t>剂处理的细胞依赖G2/M检查点进行修复。高增殖细胞中G2/M活性的增强进一步解释了G1/S活性受到抑制的细胞如何能够继续生长[ </w:t>
      </w:r>
      <w:hyperlink r:id="rId140" w:anchor="B73-ijms-22-12292" w:history="1">
        <w:r w:rsidRPr="00685FA2">
          <w:rPr>
            <w:rFonts w:ascii="微软雅黑" w:eastAsia="微软雅黑" w:hAnsi="微软雅黑" w:cs="宋体"/>
            <w:kern w:val="0"/>
            <w:sz w:val="24"/>
            <w:szCs w:val="24"/>
            <w:u w:val="single"/>
          </w:rPr>
          <w:t>73</w:t>
        </w:r>
      </w:hyperlink>
      <w:r w:rsidRPr="00685FA2">
        <w:rPr>
          <w:rFonts w:ascii="微软雅黑" w:eastAsia="微软雅黑" w:hAnsi="微软雅黑" w:cs="宋体"/>
          <w:kern w:val="0"/>
          <w:sz w:val="24"/>
          <w:szCs w:val="24"/>
        </w:rPr>
        <w:t> ]。</w:t>
      </w:r>
    </w:p>
    <w:p w14:paraId="5F9C3E63"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激酶重编程是细胞产生对 CDK4/6 抑制剂耐药性的必要条件。由敏感亲代细胞分化而来的 CDK4/6 抑制剂耐药细胞中，G2/M 期活性细胞周期蛋白和 CDK 的表达水平升高 [ </w:t>
      </w:r>
      <w:hyperlink r:id="rId141" w:anchor="B74-ijms-22-12292" w:history="1">
        <w:r w:rsidRPr="00685FA2">
          <w:rPr>
            <w:rFonts w:ascii="微软雅黑" w:eastAsia="微软雅黑" w:hAnsi="微软雅黑" w:cs="宋体"/>
            <w:kern w:val="0"/>
            <w:sz w:val="24"/>
            <w:szCs w:val="24"/>
            <w:u w:val="single"/>
          </w:rPr>
          <w:t>74</w:t>
        </w:r>
      </w:hyperlink>
      <w:r w:rsidRPr="00685FA2">
        <w:rPr>
          <w:rFonts w:ascii="微软雅黑" w:eastAsia="微软雅黑" w:hAnsi="微软雅黑" w:cs="宋体"/>
          <w:kern w:val="0"/>
          <w:sz w:val="24"/>
          <w:szCs w:val="24"/>
        </w:rPr>
        <w:t> ]。WEE1 G2 检查点激酶 (WEE1) 和细胞周期蛋白依赖性激酶 7 (CDK7) 均参与 G2/M 期调控，它们与帕博西尼耐药细胞的耐药性相关（</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"https://pmc.ncbi.nlm.nih.gov/articles/PMC8625090/" \l "ijms-22-12292-f002"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图 2</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w:t>
      </w:r>
    </w:p>
    <w:p w14:paraId="08123668" w14:textId="77777777" w:rsidR="00685FA2" w:rsidRPr="00685FA2" w:rsidRDefault="00685FA2" w:rsidP="00685FA2">
      <w:pPr>
        <w:widowControl/>
        <w:spacing w:line="450" w:lineRule="atLeast"/>
        <w:outlineLvl w:val="3"/>
        <w:rPr>
          <w:rFonts w:ascii="微软雅黑" w:eastAsia="微软雅黑" w:hAnsi="微软雅黑" w:cs="宋体"/>
          <w:kern w:val="0"/>
          <w:sz w:val="30"/>
          <w:szCs w:val="30"/>
        </w:rPr>
      </w:pPr>
      <w:r w:rsidRPr="00685FA2">
        <w:rPr>
          <w:rFonts w:ascii="微软雅黑" w:eastAsia="微软雅黑" w:hAnsi="微软雅黑" w:cs="宋体"/>
          <w:kern w:val="0"/>
          <w:sz w:val="30"/>
          <w:szCs w:val="30"/>
        </w:rPr>
        <w:t>图2。</w:t>
      </w:r>
    </w:p>
    <w:p w14:paraId="3DBDF079" w14:textId="138D8479"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noProof/>
          <w:kern w:val="0"/>
          <w:sz w:val="24"/>
          <w:szCs w:val="24"/>
        </w:rPr>
        <w:drawing>
          <wp:inline distT="0" distB="0" distL="0" distR="0" wp14:anchorId="1CA1571B" wp14:editId="28B71AD7">
            <wp:extent cx="5274310" cy="3149600"/>
            <wp:effectExtent l="0" t="0" r="2540" b="0"/>
            <wp:docPr id="1" name="图片 1" descr="图 2">
              <a:hlinkClick xmlns:a="http://schemas.openxmlformats.org/drawingml/2006/main" r:id="rId14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 2">
                      <a:hlinkClick r:id="rId142" tgtFrame="&quot;_blank&quot;"/>
                    </pic:cNvPr>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274310" cy="3149600"/>
                    </a:xfrm>
                    <a:prstGeom prst="rect">
                      <a:avLst/>
                    </a:prstGeom>
                    <a:noFill/>
                    <a:ln>
                      <a:noFill/>
                    </a:ln>
                  </pic:spPr>
                </pic:pic>
              </a:graphicData>
            </a:graphic>
          </wp:inline>
        </w:drawing>
      </w:r>
    </w:p>
    <w:p w14:paraId="53BDBA3F" w14:textId="77777777" w:rsidR="00685FA2" w:rsidRPr="00685FA2" w:rsidRDefault="00685FA2" w:rsidP="00685FA2">
      <w:pPr>
        <w:widowControl/>
        <w:rPr>
          <w:rFonts w:ascii="微软雅黑" w:eastAsia="微软雅黑" w:hAnsi="微软雅黑" w:cs="宋体"/>
          <w:kern w:val="0"/>
          <w:sz w:val="24"/>
          <w:szCs w:val="24"/>
        </w:rPr>
      </w:pPr>
      <w:r w:rsidRPr="00685FA2">
        <w:rPr>
          <w:rFonts w:ascii="微软雅黑" w:eastAsia="微软雅黑" w:hAnsi="微软雅黑" w:cs="宋体"/>
          <w:kern w:val="0"/>
          <w:sz w:val="24"/>
          <w:szCs w:val="24"/>
        </w:rPr>
        <w:t>细胞对 G2/M 检查点的依赖性增强，使其能够绕过 CDK4/6 抑制剂引起的 G1/M 期缺陷。Wee1 在 G2/M 检查点发挥作用，阻滞有丝分裂并诱导 DNA 修复，从而使细胞在 CDK 抑制剂存在的情况下也能继续进行细胞周期进程。MK1775 的作用机制是抑制 Wee1 的活性，从而阻止 DNA 修复，使细胞无</w:t>
      </w:r>
      <w:r w:rsidRPr="00685FA2">
        <w:rPr>
          <w:rFonts w:ascii="微软雅黑" w:eastAsia="微软雅黑" w:hAnsi="微软雅黑" w:cs="宋体"/>
          <w:kern w:val="0"/>
          <w:sz w:val="24"/>
          <w:szCs w:val="24"/>
        </w:rPr>
        <w:lastRenderedPageBreak/>
        <w:t>法继续分裂。此外，在 G2/M 期，CDK7 磷酸化 CDK1，通过细胞周期蛋白 B1 促进细胞周期进程。THZ1 是一种 CDK7 抑制剂，可以阻止这种细胞周期进程。</w:t>
      </w:r>
    </w:p>
    <w:p w14:paraId="309ED8D5"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Wee1 与细胞周期蛋白依赖性激酶 1 (CDK1) 协同作用，是细胞周期调控因子之一，在 G2/M 期检查点发挥作用，阻止受损细胞继续分裂。这种酪氨酸激酶调控有丝分裂的时机，使受损细胞有机会在分裂前修复损伤 [ </w:t>
      </w:r>
      <w:hyperlink r:id="rId144" w:anchor="B72-ijms-22-12292" w:history="1">
        <w:r w:rsidRPr="00685FA2">
          <w:rPr>
            <w:rFonts w:ascii="微软雅黑" w:eastAsia="微软雅黑" w:hAnsi="微软雅黑" w:cs="宋体"/>
            <w:kern w:val="0"/>
            <w:sz w:val="24"/>
            <w:szCs w:val="24"/>
            <w:u w:val="single"/>
          </w:rPr>
          <w:t>72</w:t>
        </w:r>
      </w:hyperlink>
      <w:r w:rsidRPr="00685FA2">
        <w:rPr>
          <w:rFonts w:ascii="微软雅黑" w:eastAsia="微软雅黑" w:hAnsi="微软雅黑" w:cs="宋体"/>
          <w:kern w:val="0"/>
          <w:sz w:val="24"/>
          <w:szCs w:val="24"/>
        </w:rPr>
        <w:t> ]。在对帕博西尼耐药的 MCF7 和 T47D 细胞中进行的 siRNA 激酶</w:t>
      </w:r>
      <w:proofErr w:type="gramStart"/>
      <w:r w:rsidRPr="00685FA2">
        <w:rPr>
          <w:rFonts w:ascii="微软雅黑" w:eastAsia="微软雅黑" w:hAnsi="微软雅黑" w:cs="宋体"/>
          <w:kern w:val="0"/>
          <w:sz w:val="24"/>
          <w:szCs w:val="24"/>
        </w:rPr>
        <w:t>组敲低</w:t>
      </w:r>
      <w:proofErr w:type="gramEnd"/>
      <w:r w:rsidRPr="00685FA2">
        <w:rPr>
          <w:rFonts w:ascii="微软雅黑" w:eastAsia="微软雅黑" w:hAnsi="微软雅黑" w:cs="宋体"/>
          <w:kern w:val="0"/>
          <w:sz w:val="24"/>
          <w:szCs w:val="24"/>
        </w:rPr>
        <w:t xml:space="preserve">实验表明，Wee1 </w:t>
      </w:r>
      <w:proofErr w:type="gramStart"/>
      <w:r w:rsidRPr="00685FA2">
        <w:rPr>
          <w:rFonts w:ascii="微软雅黑" w:eastAsia="微软雅黑" w:hAnsi="微软雅黑" w:cs="宋体"/>
          <w:kern w:val="0"/>
          <w:sz w:val="24"/>
          <w:szCs w:val="24"/>
        </w:rPr>
        <w:t>敲低有助于</w:t>
      </w:r>
      <w:proofErr w:type="gramEnd"/>
      <w:r w:rsidRPr="00685FA2">
        <w:rPr>
          <w:rFonts w:ascii="微软雅黑" w:eastAsia="微软雅黑" w:hAnsi="微软雅黑" w:cs="宋体"/>
          <w:kern w:val="0"/>
          <w:sz w:val="24"/>
          <w:szCs w:val="24"/>
        </w:rPr>
        <w:t>逆转耐药性 [ </w:t>
      </w:r>
      <w:hyperlink r:id="rId145" w:anchor="B75-ijms-22-12292" w:history="1">
        <w:r w:rsidRPr="00685FA2">
          <w:rPr>
            <w:rFonts w:ascii="微软雅黑" w:eastAsia="微软雅黑" w:hAnsi="微软雅黑" w:cs="宋体"/>
            <w:kern w:val="0"/>
            <w:sz w:val="24"/>
            <w:szCs w:val="24"/>
            <w:u w:val="single"/>
          </w:rPr>
          <w:t>75</w:t>
        </w:r>
      </w:hyperlink>
      <w:r w:rsidRPr="00685FA2">
        <w:rPr>
          <w:rFonts w:ascii="微软雅黑" w:eastAsia="微软雅黑" w:hAnsi="微软雅黑" w:cs="宋体"/>
          <w:kern w:val="0"/>
          <w:sz w:val="24"/>
          <w:szCs w:val="24"/>
        </w:rPr>
        <w:t> ]。使用 Wee1 抑制剂 MK1775 进一步验证了 Wee1 的作用。这一发现进一步表明 Wee1 过表达是 CDK4/6 抑制剂耐药机制之一，并证实耐药细胞比敏感细胞更依赖 G2/M 期检查点。</w:t>
      </w:r>
    </w:p>
    <w:p w14:paraId="58F123F7"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CDK7在细胞周期中发挥多种作用，参与G2/M期细胞周期的进程。在此过程中，CDK7需要磷酸化CDK1并增加细胞周期蛋白B1的表达[ </w:t>
      </w:r>
      <w:hyperlink r:id="rId146" w:anchor="B76-ijms-22-12292" w:history="1">
        <w:r w:rsidRPr="00685FA2">
          <w:rPr>
            <w:rFonts w:ascii="微软雅黑" w:eastAsia="微软雅黑" w:hAnsi="微软雅黑" w:cs="宋体"/>
            <w:kern w:val="0"/>
            <w:sz w:val="24"/>
            <w:szCs w:val="24"/>
            <w:u w:val="single"/>
          </w:rPr>
          <w:t>76</w:t>
        </w:r>
      </w:hyperlink>
      <w:r w:rsidRPr="00685FA2">
        <w:rPr>
          <w:rFonts w:ascii="微软雅黑" w:eastAsia="微软雅黑" w:hAnsi="微软雅黑" w:cs="宋体"/>
          <w:kern w:val="0"/>
          <w:sz w:val="24"/>
          <w:szCs w:val="24"/>
        </w:rPr>
        <w:t> ]。这些组分对于G2/M</w:t>
      </w:r>
      <w:proofErr w:type="gramStart"/>
      <w:r w:rsidRPr="00685FA2">
        <w:rPr>
          <w:rFonts w:ascii="微软雅黑" w:eastAsia="微软雅黑" w:hAnsi="微软雅黑" w:cs="宋体"/>
          <w:kern w:val="0"/>
          <w:sz w:val="24"/>
          <w:szCs w:val="24"/>
        </w:rPr>
        <w:t>期进程</w:t>
      </w:r>
      <w:proofErr w:type="gramEnd"/>
      <w:r w:rsidRPr="00685FA2">
        <w:rPr>
          <w:rFonts w:ascii="微软雅黑" w:eastAsia="微软雅黑" w:hAnsi="微软雅黑" w:cs="宋体"/>
          <w:kern w:val="0"/>
          <w:sz w:val="24"/>
          <w:szCs w:val="24"/>
        </w:rPr>
        <w:t>至关重要。Martin等人[ </w:t>
      </w:r>
      <w:hyperlink r:id="rId147" w:anchor="B75-ijms-22-12292" w:history="1">
        <w:r w:rsidRPr="00685FA2">
          <w:rPr>
            <w:rFonts w:ascii="微软雅黑" w:eastAsia="微软雅黑" w:hAnsi="微软雅黑" w:cs="宋体"/>
            <w:kern w:val="0"/>
            <w:sz w:val="24"/>
            <w:szCs w:val="24"/>
            <w:u w:val="single"/>
          </w:rPr>
          <w:t>75</w:t>
        </w:r>
      </w:hyperlink>
      <w:r w:rsidRPr="00685FA2">
        <w:rPr>
          <w:rFonts w:ascii="微软雅黑" w:eastAsia="微软雅黑" w:hAnsi="微软雅黑" w:cs="宋体"/>
          <w:kern w:val="0"/>
          <w:sz w:val="24"/>
          <w:szCs w:val="24"/>
        </w:rPr>
        <w:t> ]利用siRNA激酶</w:t>
      </w:r>
      <w:proofErr w:type="gramStart"/>
      <w:r w:rsidRPr="00685FA2">
        <w:rPr>
          <w:rFonts w:ascii="微软雅黑" w:eastAsia="微软雅黑" w:hAnsi="微软雅黑" w:cs="宋体"/>
          <w:kern w:val="0"/>
          <w:sz w:val="24"/>
          <w:szCs w:val="24"/>
        </w:rPr>
        <w:t>组敲低</w:t>
      </w:r>
      <w:proofErr w:type="gramEnd"/>
      <w:r w:rsidRPr="00685FA2">
        <w:rPr>
          <w:rFonts w:ascii="微软雅黑" w:eastAsia="微软雅黑" w:hAnsi="微软雅黑" w:cs="宋体"/>
          <w:kern w:val="0"/>
          <w:sz w:val="24"/>
          <w:szCs w:val="24"/>
        </w:rPr>
        <w:t>实验证明了CDK7在帕博西尼耐药细胞中的重要性。CDK7</w:t>
      </w:r>
      <w:proofErr w:type="gramStart"/>
      <w:r w:rsidRPr="00685FA2">
        <w:rPr>
          <w:rFonts w:ascii="微软雅黑" w:eastAsia="微软雅黑" w:hAnsi="微软雅黑" w:cs="宋体"/>
          <w:kern w:val="0"/>
          <w:sz w:val="24"/>
          <w:szCs w:val="24"/>
        </w:rPr>
        <w:t>敲低的</w:t>
      </w:r>
      <w:proofErr w:type="gramEnd"/>
      <w:r w:rsidRPr="00685FA2">
        <w:rPr>
          <w:rFonts w:ascii="微软雅黑" w:eastAsia="微软雅黑" w:hAnsi="微软雅黑" w:cs="宋体"/>
          <w:kern w:val="0"/>
          <w:sz w:val="24"/>
          <w:szCs w:val="24"/>
        </w:rPr>
        <w:t>耐药细胞对帕博西尼的敏感性增加。使用CDK7抑制剂THZ1验证了CDK7下调可以帮助克服耐药性。总之，这些数据表明耐药细胞会更加依赖CDK7来绕过G1/S期抑制。</w:t>
      </w:r>
    </w:p>
    <w:p w14:paraId="35FDAA99" w14:textId="77777777" w:rsidR="00685FA2" w:rsidRPr="00685FA2" w:rsidRDefault="00685FA2" w:rsidP="00685FA2">
      <w:pPr>
        <w:widowControl/>
        <w:pBdr>
          <w:bottom w:val="single" w:sz="6" w:space="0" w:color="97B1C8"/>
        </w:pBdr>
        <w:spacing w:line="450" w:lineRule="atLeast"/>
        <w:outlineLvl w:val="1"/>
        <w:rPr>
          <w:rFonts w:ascii="微软雅黑" w:eastAsia="微软雅黑" w:hAnsi="微软雅黑" w:cs="宋体"/>
          <w:kern w:val="0"/>
          <w:sz w:val="34"/>
          <w:szCs w:val="34"/>
        </w:rPr>
      </w:pPr>
      <w:r w:rsidRPr="00685FA2">
        <w:rPr>
          <w:rFonts w:ascii="微软雅黑" w:eastAsia="微软雅黑" w:hAnsi="微软雅黑" w:cs="宋体"/>
          <w:kern w:val="0"/>
          <w:sz w:val="34"/>
          <w:szCs w:val="34"/>
        </w:rPr>
        <w:t>6. 针对 CDK4/6 抑制剂固有或获得性耐药性的可能疗法</w:t>
      </w:r>
    </w:p>
    <w:p w14:paraId="5F8690B0"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尽管上述机制尚未全部得到成功靶向，但迄今为止已发现多种能够逆转 CDK4/6 耐药肿瘤耐药性的药物。</w:t>
      </w:r>
    </w:p>
    <w:p w14:paraId="4869995D"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6.1 抗雌激素</w:t>
      </w:r>
    </w:p>
    <w:p w14:paraId="162D4E11"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 xml:space="preserve">当 CDK4/6 抑制剂开始在临床上进行研究时，标准治疗方案是使用选择性雌激素受体调节剂 (SERM)、选择性雌激素受体降解剂 (SERD) 或芳香化酶抑制剂 (AI) 进行抗雌激素治疗。因此，当 CDK4/6 抑制剂的临床试验开始进行时，它们通常与这些标准治疗方案联合使用。然而，最初的试验并未研究 CDK4/6 抑制剂单独使用的疗效；因此，抗雌激素在此类患者中的疗效相对未知。II 期 </w:t>
      </w:r>
      <w:proofErr w:type="spellStart"/>
      <w:r w:rsidRPr="00685FA2">
        <w:rPr>
          <w:rFonts w:ascii="微软雅黑" w:eastAsia="微软雅黑" w:hAnsi="微软雅黑" w:cs="宋体"/>
          <w:kern w:val="0"/>
          <w:sz w:val="24"/>
          <w:szCs w:val="24"/>
        </w:rPr>
        <w:t>TREnd</w:t>
      </w:r>
      <w:proofErr w:type="spellEnd"/>
      <w:r w:rsidRPr="00685FA2">
        <w:rPr>
          <w:rFonts w:ascii="微软雅黑" w:eastAsia="微软雅黑" w:hAnsi="微软雅黑" w:cs="宋体"/>
          <w:kern w:val="0"/>
          <w:sz w:val="24"/>
          <w:szCs w:val="24"/>
        </w:rPr>
        <w:t xml:space="preserve"> 试验 ( </w:t>
      </w:r>
      <w:hyperlink r:id="rId148" w:tgtFrame="_blank" w:history="1">
        <w:r w:rsidRPr="00685FA2">
          <w:rPr>
            <w:rFonts w:ascii="微软雅黑" w:eastAsia="微软雅黑" w:hAnsi="微软雅黑" w:cs="宋体"/>
            <w:kern w:val="0"/>
            <w:sz w:val="24"/>
            <w:szCs w:val="24"/>
            <w:u w:val="single"/>
          </w:rPr>
          <w:t>NCT02549430</w:t>
        </w:r>
      </w:hyperlink>
      <w:r w:rsidRPr="00685FA2">
        <w:rPr>
          <w:rFonts w:ascii="微软雅黑" w:eastAsia="微软雅黑" w:hAnsi="微软雅黑" w:cs="宋体"/>
          <w:kern w:val="0"/>
          <w:sz w:val="24"/>
          <w:szCs w:val="24"/>
        </w:rPr>
        <w:t> ) 纳入了既往接受内分泌治疗后病情进展的 HR+/HER2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 xml:space="preserve"> 绝经后转移性乳腺癌患者。这些患者被随机分配接受每日 125 mg 帕博西尼治疗，持续 3 周，每 28 天为一个周期；或者接受相同的帕博西尼治疗方案，但继续接受之前接受的内分泌治疗 [ </w:t>
      </w:r>
      <w:hyperlink r:id="rId149" w:anchor="B77-ijms-22-12292" w:history="1">
        <w:r w:rsidRPr="00685FA2">
          <w:rPr>
            <w:rFonts w:ascii="微软雅黑" w:eastAsia="微软雅黑" w:hAnsi="微软雅黑" w:cs="宋体"/>
            <w:kern w:val="0"/>
            <w:sz w:val="24"/>
            <w:szCs w:val="24"/>
            <w:u w:val="single"/>
          </w:rPr>
          <w:t>77</w:t>
        </w:r>
      </w:hyperlink>
      <w:r w:rsidRPr="00685FA2">
        <w:rPr>
          <w:rFonts w:ascii="微软雅黑" w:eastAsia="微软雅黑" w:hAnsi="微软雅黑" w:cs="宋体"/>
          <w:kern w:val="0"/>
          <w:sz w:val="24"/>
          <w:szCs w:val="24"/>
        </w:rPr>
        <w:t xml:space="preserve"> ]。单用帕博西尼治疗患者的中位无进展生存期 (PFS) 为 6.5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月，而联合治疗患者的获益时间更长，为 10.8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月。值得注意的是，这种优势仅在接受过 6 </w:t>
      </w:r>
      <w:proofErr w:type="gramStart"/>
      <w:r w:rsidRPr="00685FA2">
        <w:rPr>
          <w:rFonts w:ascii="微软雅黑" w:eastAsia="微软雅黑" w:hAnsi="微软雅黑" w:cs="宋体"/>
          <w:kern w:val="0"/>
          <w:sz w:val="24"/>
          <w:szCs w:val="24"/>
        </w:rPr>
        <w:t>个月以上</w:t>
      </w:r>
      <w:proofErr w:type="gramEnd"/>
      <w:r w:rsidRPr="00685FA2">
        <w:rPr>
          <w:rFonts w:ascii="微软雅黑" w:eastAsia="微软雅黑" w:hAnsi="微软雅黑" w:cs="宋体"/>
          <w:kern w:val="0"/>
          <w:sz w:val="24"/>
          <w:szCs w:val="24"/>
        </w:rPr>
        <w:t>内分泌治疗的患者中观察到。</w:t>
      </w:r>
    </w:p>
    <w:p w14:paraId="6318AE60"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另一项使用阿贝西利（</w:t>
      </w:r>
      <w:proofErr w:type="spellStart"/>
      <w:r w:rsidRPr="00685FA2">
        <w:rPr>
          <w:rFonts w:ascii="微软雅黑" w:eastAsia="微软雅黑" w:hAnsi="微软雅黑" w:cs="宋体"/>
          <w:kern w:val="0"/>
          <w:sz w:val="24"/>
          <w:szCs w:val="24"/>
        </w:rPr>
        <w:t>abemaciclib</w:t>
      </w:r>
      <w:proofErr w:type="spellEnd"/>
      <w:r w:rsidRPr="00685FA2">
        <w:rPr>
          <w:rFonts w:ascii="微软雅黑" w:eastAsia="微软雅黑" w:hAnsi="微软雅黑" w:cs="宋体"/>
          <w:kern w:val="0"/>
          <w:sz w:val="24"/>
          <w:szCs w:val="24"/>
        </w:rPr>
        <w:t>）的试验旨在观察使用不同的 CDK4/6 抑制剂是否也能观察到这种差异，这一点非常重要，因为阿贝西利是目前唯一获批在某些情况下可作为单药疗法的药物。</w:t>
      </w:r>
      <w:proofErr w:type="spellStart"/>
      <w:r w:rsidRPr="00685FA2">
        <w:rPr>
          <w:rFonts w:ascii="微软雅黑" w:eastAsia="微软雅黑" w:hAnsi="微软雅黑" w:cs="宋体"/>
          <w:kern w:val="0"/>
          <w:sz w:val="24"/>
          <w:szCs w:val="24"/>
        </w:rPr>
        <w:t>nextMONARCH</w:t>
      </w:r>
      <w:proofErr w:type="spellEnd"/>
      <w:r w:rsidRPr="00685FA2">
        <w:rPr>
          <w:rFonts w:ascii="微软雅黑" w:eastAsia="微软雅黑" w:hAnsi="微软雅黑" w:cs="宋体"/>
          <w:kern w:val="0"/>
          <w:sz w:val="24"/>
          <w:szCs w:val="24"/>
        </w:rPr>
        <w:t xml:space="preserve"> 试验纳入了既往接受过化疗的 HR+/HER2- 转移性乳腺癌患者，并将他们分为三组 [ </w:t>
      </w:r>
      <w:hyperlink r:id="rId150" w:anchor="B78-ijms-22-12292" w:history="1">
        <w:r w:rsidRPr="00685FA2">
          <w:rPr>
            <w:rFonts w:ascii="微软雅黑" w:eastAsia="微软雅黑" w:hAnsi="微软雅黑" w:cs="宋体"/>
            <w:kern w:val="0"/>
            <w:sz w:val="24"/>
            <w:szCs w:val="24"/>
            <w:u w:val="single"/>
          </w:rPr>
          <w:t>78</w:t>
        </w:r>
      </w:hyperlink>
      <w:r w:rsidRPr="00685FA2">
        <w:rPr>
          <w:rFonts w:ascii="微软雅黑" w:eastAsia="微软雅黑" w:hAnsi="微软雅黑" w:cs="宋体"/>
          <w:kern w:val="0"/>
          <w:sz w:val="24"/>
          <w:szCs w:val="24"/>
        </w:rPr>
        <w:t> ]。单药治疗组每 12 小时服用 150 mg 阿贝西利。另一组每 12 小时服用 200 mg 阿贝西利，并同时服用</w:t>
      </w:r>
      <w:proofErr w:type="gramStart"/>
      <w:r w:rsidRPr="00685FA2">
        <w:rPr>
          <w:rFonts w:ascii="微软雅黑" w:eastAsia="微软雅黑" w:hAnsi="微软雅黑" w:cs="宋体"/>
          <w:kern w:val="0"/>
          <w:sz w:val="24"/>
          <w:szCs w:val="24"/>
        </w:rPr>
        <w:t>洛哌丁胺以控制</w:t>
      </w:r>
      <w:proofErr w:type="gramEnd"/>
      <w:r w:rsidRPr="00685FA2">
        <w:rPr>
          <w:rFonts w:ascii="微软雅黑" w:eastAsia="微软雅黑" w:hAnsi="微软雅黑" w:cs="宋体"/>
          <w:kern w:val="0"/>
          <w:sz w:val="24"/>
          <w:szCs w:val="24"/>
        </w:rPr>
        <w:t>高剂量阿贝西利常见的早期腹泻不良反应。第三组每 12 小时服用 150 mg 阿贝西利，并同时服用 20 mg 他</w:t>
      </w:r>
      <w:proofErr w:type="gramStart"/>
      <w:r w:rsidRPr="00685FA2">
        <w:rPr>
          <w:rFonts w:ascii="微软雅黑" w:eastAsia="微软雅黑" w:hAnsi="微软雅黑" w:cs="宋体"/>
          <w:kern w:val="0"/>
          <w:sz w:val="24"/>
          <w:szCs w:val="24"/>
        </w:rPr>
        <w:t>莫昔芬</w:t>
      </w:r>
      <w:proofErr w:type="gramEnd"/>
      <w:r w:rsidRPr="00685FA2">
        <w:rPr>
          <w:rFonts w:ascii="微软雅黑" w:eastAsia="微软雅黑" w:hAnsi="微软雅黑" w:cs="宋体"/>
          <w:kern w:val="0"/>
          <w:sz w:val="24"/>
          <w:szCs w:val="24"/>
        </w:rPr>
        <w:t>。有趣的是，</w:t>
      </w:r>
      <w:proofErr w:type="gramStart"/>
      <w:r w:rsidRPr="00685FA2">
        <w:rPr>
          <w:rFonts w:ascii="微软雅黑" w:eastAsia="微软雅黑" w:hAnsi="微软雅黑" w:cs="宋体"/>
          <w:kern w:val="0"/>
          <w:sz w:val="24"/>
          <w:szCs w:val="24"/>
        </w:rPr>
        <w:t>洛哌</w:t>
      </w:r>
      <w:proofErr w:type="gramEnd"/>
      <w:r w:rsidRPr="00685FA2">
        <w:rPr>
          <w:rFonts w:ascii="微软雅黑" w:eastAsia="微软雅黑" w:hAnsi="微软雅黑" w:cs="宋体"/>
          <w:kern w:val="0"/>
          <w:sz w:val="24"/>
          <w:szCs w:val="24"/>
        </w:rPr>
        <w:t>丁</w:t>
      </w:r>
      <w:proofErr w:type="gramStart"/>
      <w:r w:rsidRPr="00685FA2">
        <w:rPr>
          <w:rFonts w:ascii="微软雅黑" w:eastAsia="微软雅黑" w:hAnsi="微软雅黑" w:cs="宋体"/>
          <w:kern w:val="0"/>
          <w:sz w:val="24"/>
          <w:szCs w:val="24"/>
        </w:rPr>
        <w:t>胺似乎</w:t>
      </w:r>
      <w:proofErr w:type="gramEnd"/>
      <w:r w:rsidRPr="00685FA2">
        <w:rPr>
          <w:rFonts w:ascii="微软雅黑" w:eastAsia="微软雅黑" w:hAnsi="微软雅黑" w:cs="宋体"/>
          <w:kern w:val="0"/>
          <w:sz w:val="24"/>
          <w:szCs w:val="24"/>
        </w:rPr>
        <w:t>并未在降低腹泻的发生率和严重程度方面带来任何显著益处。与接受200 mg阿贝西利治疗的组相比，接受阿贝西利联合他</w:t>
      </w:r>
      <w:proofErr w:type="gramStart"/>
      <w:r w:rsidRPr="00685FA2">
        <w:rPr>
          <w:rFonts w:ascii="微软雅黑" w:eastAsia="微软雅黑" w:hAnsi="微软雅黑" w:cs="宋体"/>
          <w:kern w:val="0"/>
          <w:sz w:val="24"/>
          <w:szCs w:val="24"/>
        </w:rPr>
        <w:t>莫昔芬</w:t>
      </w:r>
      <w:proofErr w:type="gramEnd"/>
      <w:r w:rsidRPr="00685FA2">
        <w:rPr>
          <w:rFonts w:ascii="微软雅黑" w:eastAsia="微软雅黑" w:hAnsi="微软雅黑" w:cs="宋体"/>
          <w:kern w:val="0"/>
          <w:sz w:val="24"/>
          <w:szCs w:val="24"/>
        </w:rPr>
        <w:t>治疗的组</w:t>
      </w:r>
      <w:r w:rsidRPr="00685FA2">
        <w:rPr>
          <w:rFonts w:ascii="微软雅黑" w:eastAsia="微软雅黑" w:hAnsi="微软雅黑" w:cs="宋体"/>
          <w:kern w:val="0"/>
          <w:sz w:val="24"/>
          <w:szCs w:val="24"/>
        </w:rPr>
        <w:lastRenderedPageBreak/>
        <w:t>的无进展生存期（PFS）略有延长，为9.1个月，但差异无统计学意义（7.4个月）。接受150 mg阿贝西利治疗的组的PFS略短，为6.5个月。值得注意的是，本试验并未纳入对CDK4/6抑制剂耐药的患者。因此，本试验中观察到的微弱获益，在耐药患者同时接受阿贝西利内分泌治疗时可能会被放大。为了验证这一可能性，未来的试验需要重点关注该药物组合在此类患者中的应用。</w:t>
      </w:r>
    </w:p>
    <w:p w14:paraId="44E68EAA"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目前尚无临床试验或临床前研究正式探讨在瑞博西尼治疗中加入激素疗法是否能延缓瑞博西尼耐药性的产生。尽管瑞博西尼与帕博西尼的药理作用非常相似，但仍有必要开展相关研究来探讨这一重要问题，希望这些研究能在不久的将来启动。</w:t>
      </w:r>
    </w:p>
    <w:p w14:paraId="5BFBD7EA"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6.2. PI3K抑制剂</w:t>
      </w:r>
    </w:p>
    <w:p w14:paraId="679702C6"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PI3K信号通路参与细胞的生长、代谢、增殖和存活等多种功能。有趣的是，对CDK4/6抑制剂的获得性耐药与PI3K信号通路的高水平相关。O'Brien等人[ </w:t>
      </w:r>
      <w:hyperlink r:id="rId151" w:anchor="B79-ijms-22-12292" w:history="1">
        <w:r w:rsidRPr="00685FA2">
          <w:rPr>
            <w:rFonts w:ascii="微软雅黑" w:eastAsia="微软雅黑" w:hAnsi="微软雅黑" w:cs="宋体"/>
            <w:kern w:val="0"/>
            <w:sz w:val="24"/>
            <w:szCs w:val="24"/>
            <w:u w:val="single"/>
          </w:rPr>
          <w:t>79</w:t>
        </w:r>
      </w:hyperlink>
      <w:r w:rsidRPr="00685FA2">
        <w:rPr>
          <w:rFonts w:ascii="微软雅黑" w:eastAsia="微软雅黑" w:hAnsi="微软雅黑" w:cs="宋体"/>
          <w:kern w:val="0"/>
          <w:sz w:val="24"/>
          <w:szCs w:val="24"/>
        </w:rPr>
        <w:t> ]利用反相蛋白芯片技术，在体外和体内CDK4/6耐药的ER+乳腺癌模型中，鉴定了耐药肿瘤中仍然活跃的信号通路。幸运的是，PI3K信号通路在对CDK4/6抑制剂耐药的肿瘤中仍然活跃。这使其成为对细胞周期蛋白D-CDK4/6-Rb通路抑制无反应的肿瘤的可行靶向通路。后续动物研究表明，p110α选择性PI3K抑制剂</w:t>
      </w:r>
      <w:proofErr w:type="spellStart"/>
      <w:r w:rsidRPr="00685FA2">
        <w:rPr>
          <w:rFonts w:ascii="微软雅黑" w:eastAsia="微软雅黑" w:hAnsi="微软雅黑" w:cs="宋体"/>
          <w:kern w:val="0"/>
          <w:sz w:val="24"/>
          <w:szCs w:val="24"/>
        </w:rPr>
        <w:t>alpelisib</w:t>
      </w:r>
      <w:proofErr w:type="spellEnd"/>
      <w:r w:rsidRPr="00685FA2">
        <w:rPr>
          <w:rFonts w:ascii="微软雅黑" w:eastAsia="微软雅黑" w:hAnsi="微软雅黑" w:cs="宋体"/>
          <w:kern w:val="0"/>
          <w:sz w:val="24"/>
          <w:szCs w:val="24"/>
        </w:rPr>
        <w:t>能够阻止对CDK4/6抑制剂耐药的ER+异种移植瘤的进展[ </w:t>
      </w:r>
      <w:hyperlink r:id="rId152" w:anchor="B79-ijms-22-12292" w:history="1">
        <w:r w:rsidRPr="00685FA2">
          <w:rPr>
            <w:rFonts w:ascii="微软雅黑" w:eastAsia="微软雅黑" w:hAnsi="微软雅黑" w:cs="宋体"/>
            <w:kern w:val="0"/>
            <w:sz w:val="24"/>
            <w:szCs w:val="24"/>
            <w:u w:val="single"/>
          </w:rPr>
          <w:t>79</w:t>
        </w:r>
      </w:hyperlink>
      <w:r w:rsidRPr="00685FA2">
        <w:rPr>
          <w:rFonts w:ascii="微软雅黑" w:eastAsia="微软雅黑" w:hAnsi="微软雅黑" w:cs="宋体"/>
          <w:kern w:val="0"/>
          <w:sz w:val="24"/>
          <w:szCs w:val="24"/>
        </w:rPr>
        <w:t> ]。 PI3K抑制剂之所以有效，是因为它们能降低细胞周期蛋白D1以及其他在G1/S期转换过程中发挥作用的细胞周期蛋白的水平。这种药物还有助于阻止Rb蛋白的磷酸化，并抑制进入S期所需基因的转录[ </w:t>
      </w:r>
      <w:hyperlink r:id="rId153" w:anchor="B43-ijms-22-12292" w:history="1">
        <w:r w:rsidRPr="00685FA2">
          <w:rPr>
            <w:rFonts w:ascii="微软雅黑" w:eastAsia="微软雅黑" w:hAnsi="微软雅黑" w:cs="宋体"/>
            <w:kern w:val="0"/>
            <w:sz w:val="24"/>
            <w:szCs w:val="24"/>
            <w:u w:val="single"/>
          </w:rPr>
          <w:t>43</w:t>
        </w:r>
      </w:hyperlink>
      <w:r w:rsidRPr="00685FA2">
        <w:rPr>
          <w:rFonts w:ascii="微软雅黑" w:eastAsia="微软雅黑" w:hAnsi="微软雅黑" w:cs="宋体"/>
          <w:kern w:val="0"/>
          <w:sz w:val="24"/>
          <w:szCs w:val="24"/>
        </w:rPr>
        <w:t> ]。</w:t>
      </w:r>
    </w:p>
    <w:p w14:paraId="27524CCF"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PDK1抑制剂正处于研发阶段，旨在通过抑制PI3K通路来克服耐药性。其中两种药物SNS-229和SNS-510已被证实能够成功抑制PDK1磷酸化，从而阻断PI3K-AKT通路信号传导。这种抑制作用还与多种血液肿瘤模型（包括多发性骨髓瘤、</w:t>
      </w:r>
      <w:proofErr w:type="gramStart"/>
      <w:r w:rsidRPr="00685FA2">
        <w:rPr>
          <w:rFonts w:ascii="微软雅黑" w:eastAsia="微软雅黑" w:hAnsi="微软雅黑" w:cs="宋体"/>
          <w:kern w:val="0"/>
          <w:sz w:val="24"/>
          <w:szCs w:val="24"/>
        </w:rPr>
        <w:t>急性髓系白血病</w:t>
      </w:r>
      <w:proofErr w:type="gramEnd"/>
      <w:r w:rsidRPr="00685FA2">
        <w:rPr>
          <w:rFonts w:ascii="微软雅黑" w:eastAsia="微软雅黑" w:hAnsi="微软雅黑" w:cs="宋体"/>
          <w:kern w:val="0"/>
          <w:sz w:val="24"/>
          <w:szCs w:val="24"/>
        </w:rPr>
        <w:t>、弥漫性大B细胞淋巴瘤和套细胞淋巴瘤）的体外增殖减少相关。异种移植瘤实验也反映了PDK1抑制剂的疗效。经PDK1抑制剂治疗3周后，超过95%的肿瘤生长受到显著抑制，超过50%的肿瘤甚至出现消退[ </w:t>
      </w:r>
      <w:hyperlink r:id="rId154" w:anchor="B80-ijms-22-12292" w:history="1">
        <w:r w:rsidRPr="00685FA2">
          <w:rPr>
            <w:rFonts w:ascii="微软雅黑" w:eastAsia="微软雅黑" w:hAnsi="微软雅黑" w:cs="宋体"/>
            <w:kern w:val="0"/>
            <w:sz w:val="24"/>
            <w:szCs w:val="24"/>
            <w:u w:val="single"/>
          </w:rPr>
          <w:t>80</w:t>
        </w:r>
      </w:hyperlink>
      <w:r w:rsidRPr="00685FA2">
        <w:rPr>
          <w:rFonts w:ascii="微软雅黑" w:eastAsia="微软雅黑" w:hAnsi="微软雅黑" w:cs="宋体"/>
          <w:kern w:val="0"/>
          <w:sz w:val="24"/>
          <w:szCs w:val="24"/>
        </w:rPr>
        <w:t> ]。尽管这些实验是在血液肿瘤模型中进行的，但作者指出，该药物在PDK1过度活跃的实体瘤中也具有应用前景。</w:t>
      </w:r>
    </w:p>
    <w:p w14:paraId="1B5963BD"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目前已启动多项采用PI3K抑制剂的临床试验。其中一项II期</w:t>
      </w:r>
      <w:proofErr w:type="spellStart"/>
      <w:r w:rsidRPr="00685FA2">
        <w:rPr>
          <w:rFonts w:ascii="微软雅黑" w:eastAsia="微软雅黑" w:hAnsi="微软雅黑" w:cs="宋体"/>
          <w:kern w:val="0"/>
          <w:sz w:val="24"/>
          <w:szCs w:val="24"/>
        </w:rPr>
        <w:t>BYLieve</w:t>
      </w:r>
      <w:proofErr w:type="spellEnd"/>
      <w:r w:rsidRPr="00685FA2">
        <w:rPr>
          <w:rFonts w:ascii="微软雅黑" w:eastAsia="微软雅黑" w:hAnsi="微软雅黑" w:cs="宋体"/>
          <w:kern w:val="0"/>
          <w:sz w:val="24"/>
          <w:szCs w:val="24"/>
        </w:rPr>
        <w:t>研究（</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"https://clinicaltrials.gov/ct2/show/NCT03056755"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NCT03056755</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）评估了PI3K抑制剂</w:t>
      </w:r>
      <w:proofErr w:type="spellStart"/>
      <w:r w:rsidRPr="00685FA2">
        <w:rPr>
          <w:rFonts w:ascii="微软雅黑" w:eastAsia="微软雅黑" w:hAnsi="微软雅黑" w:cs="宋体"/>
          <w:kern w:val="0"/>
          <w:sz w:val="24"/>
          <w:szCs w:val="24"/>
        </w:rPr>
        <w:t>alpelisib</w:t>
      </w:r>
      <w:proofErr w:type="spellEnd"/>
      <w:r w:rsidRPr="00685FA2">
        <w:rPr>
          <w:rFonts w:ascii="微软雅黑" w:eastAsia="微软雅黑" w:hAnsi="微软雅黑" w:cs="宋体"/>
          <w:kern w:val="0"/>
          <w:sz w:val="24"/>
          <w:szCs w:val="24"/>
        </w:rPr>
        <w:t>联合</w:t>
      </w:r>
      <w:proofErr w:type="gramStart"/>
      <w:r w:rsidRPr="00685FA2">
        <w:rPr>
          <w:rFonts w:ascii="微软雅黑" w:eastAsia="微软雅黑" w:hAnsi="微软雅黑" w:cs="宋体"/>
          <w:kern w:val="0"/>
          <w:sz w:val="24"/>
          <w:szCs w:val="24"/>
        </w:rPr>
        <w:t>氟维司群治疗</w:t>
      </w:r>
      <w:proofErr w:type="gramEnd"/>
      <w:r w:rsidRPr="00685FA2">
        <w:rPr>
          <w:rFonts w:ascii="微软雅黑" w:eastAsia="微软雅黑" w:hAnsi="微软雅黑" w:cs="宋体"/>
          <w:kern w:val="0"/>
          <w:sz w:val="24"/>
          <w:szCs w:val="24"/>
        </w:rPr>
        <w:t>HR+/HER2-、PIK3CA突变型晚期乳腺癌患者的疗效，这些患者此前曾接受过CDK4/6抑制剂和芳香化酶抑制剂治疗但病情进展[ </w:t>
      </w:r>
      <w:hyperlink r:id="rId155" w:anchor="B81-ijms-22-12292" w:history="1">
        <w:r w:rsidRPr="00685FA2">
          <w:rPr>
            <w:rFonts w:ascii="微软雅黑" w:eastAsia="微软雅黑" w:hAnsi="微软雅黑" w:cs="宋体"/>
            <w:kern w:val="0"/>
            <w:sz w:val="24"/>
            <w:szCs w:val="24"/>
            <w:u w:val="single"/>
          </w:rPr>
          <w:t>81</w:t>
        </w:r>
      </w:hyperlink>
      <w:r w:rsidRPr="00685FA2">
        <w:rPr>
          <w:rFonts w:ascii="微软雅黑" w:eastAsia="微软雅黑" w:hAnsi="微软雅黑" w:cs="宋体"/>
          <w:kern w:val="0"/>
          <w:sz w:val="24"/>
          <w:szCs w:val="24"/>
        </w:rPr>
        <w:t xml:space="preserve"> ]。这些患者在第一个28天周期中，每日服用300 mg </w:t>
      </w:r>
      <w:proofErr w:type="spellStart"/>
      <w:r w:rsidRPr="00685FA2">
        <w:rPr>
          <w:rFonts w:ascii="微软雅黑" w:eastAsia="微软雅黑" w:hAnsi="微软雅黑" w:cs="宋体"/>
          <w:kern w:val="0"/>
          <w:sz w:val="24"/>
          <w:szCs w:val="24"/>
        </w:rPr>
        <w:t>alpelisib</w:t>
      </w:r>
      <w:proofErr w:type="spellEnd"/>
      <w:r w:rsidRPr="00685FA2">
        <w:rPr>
          <w:rFonts w:ascii="微软雅黑" w:eastAsia="微软雅黑" w:hAnsi="微软雅黑" w:cs="宋体"/>
          <w:kern w:val="0"/>
          <w:sz w:val="24"/>
          <w:szCs w:val="24"/>
        </w:rPr>
        <w:t>，并在第1天和第15天服用500 mg</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；之后所有周期的第一天均服用500 mg</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。治疗期间，最常见的3/4级不良事件发生率为26%，包括高血糖和皮疹。主要终点定义为6个月后病情</w:t>
      </w:r>
      <w:proofErr w:type="gramStart"/>
      <w:r w:rsidRPr="00685FA2">
        <w:rPr>
          <w:rFonts w:ascii="微软雅黑" w:eastAsia="微软雅黑" w:hAnsi="微软雅黑" w:cs="宋体"/>
          <w:kern w:val="0"/>
          <w:sz w:val="24"/>
          <w:szCs w:val="24"/>
        </w:rPr>
        <w:t>未进展</w:t>
      </w:r>
      <w:proofErr w:type="gramEnd"/>
      <w:r w:rsidRPr="00685FA2">
        <w:rPr>
          <w:rFonts w:ascii="微软雅黑" w:eastAsia="微软雅黑" w:hAnsi="微软雅黑" w:cs="宋体"/>
          <w:kern w:val="0"/>
          <w:sz w:val="24"/>
          <w:szCs w:val="24"/>
        </w:rPr>
        <w:t>的患者，50.4%的患者达到了该终点。此外，平均无进展生存期（PFS）为7.3个月。该试验还研究了阿培利西布联合来曲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治疗既往接受过CDK4/6抑制剂和</w:t>
      </w:r>
      <w:proofErr w:type="gramStart"/>
      <w:r w:rsidRPr="00685FA2">
        <w:rPr>
          <w:rFonts w:ascii="微软雅黑" w:eastAsia="微软雅黑" w:hAnsi="微软雅黑" w:cs="宋体"/>
          <w:kern w:val="0"/>
          <w:sz w:val="24"/>
          <w:szCs w:val="24"/>
        </w:rPr>
        <w:t>氟维司群治疗</w:t>
      </w:r>
      <w:proofErr w:type="gramEnd"/>
      <w:r w:rsidRPr="00685FA2">
        <w:rPr>
          <w:rFonts w:ascii="微软雅黑" w:eastAsia="微软雅黑" w:hAnsi="微软雅黑" w:cs="宋体"/>
          <w:kern w:val="0"/>
          <w:sz w:val="24"/>
          <w:szCs w:val="24"/>
        </w:rPr>
        <w:t>的患者的疗效。该亚组患者每日接受300 mg阿培利西布和2.5 mg来曲</w:t>
      </w:r>
      <w:proofErr w:type="gramStart"/>
      <w:r w:rsidRPr="00685FA2">
        <w:rPr>
          <w:rFonts w:ascii="微软雅黑" w:eastAsia="微软雅黑" w:hAnsi="微软雅黑" w:cs="宋体"/>
          <w:kern w:val="0"/>
          <w:sz w:val="24"/>
          <w:szCs w:val="24"/>
        </w:rPr>
        <w:t>唑</w:t>
      </w:r>
      <w:proofErr w:type="gramEnd"/>
      <w:r w:rsidRPr="00685FA2">
        <w:rPr>
          <w:rFonts w:ascii="微软雅黑" w:eastAsia="微软雅黑" w:hAnsi="微软雅黑" w:cs="宋体"/>
          <w:kern w:val="0"/>
          <w:sz w:val="24"/>
          <w:szCs w:val="24"/>
        </w:rPr>
        <w:t>治疗。6个月后，46.1%的患者病情未进展，该队列的PFS为5.7个月[ </w:t>
      </w:r>
      <w:hyperlink r:id="rId156" w:anchor="B82-ijms-22-12292" w:history="1">
        <w:r w:rsidRPr="00685FA2">
          <w:rPr>
            <w:rFonts w:ascii="微软雅黑" w:eastAsia="微软雅黑" w:hAnsi="微软雅黑" w:cs="宋体"/>
            <w:kern w:val="0"/>
            <w:sz w:val="24"/>
            <w:szCs w:val="24"/>
            <w:u w:val="single"/>
          </w:rPr>
          <w:t>82</w:t>
        </w:r>
      </w:hyperlink>
      <w:r w:rsidRPr="00685FA2">
        <w:rPr>
          <w:rFonts w:ascii="微软雅黑" w:eastAsia="微软雅黑" w:hAnsi="微软雅黑" w:cs="宋体"/>
          <w:kern w:val="0"/>
          <w:sz w:val="24"/>
          <w:szCs w:val="24"/>
        </w:rPr>
        <w:t> ]。常见不良事件包括腹泻、恶心和食欲减退，严重不良事件包括高血糖和皮疹。尽管该临床试验未设置对照组进行疗效比较，但结果表明，对于接受</w:t>
      </w:r>
      <w:r w:rsidRPr="00685FA2">
        <w:rPr>
          <w:rFonts w:ascii="微软雅黑" w:eastAsia="微软雅黑" w:hAnsi="微软雅黑" w:cs="宋体"/>
          <w:kern w:val="0"/>
          <w:sz w:val="24"/>
          <w:szCs w:val="24"/>
        </w:rPr>
        <w:lastRenderedPageBreak/>
        <w:t>CDK4/6抑制剂治疗期间肿瘤进展的ER阳性乳腺癌患者，阿培利西布联合治疗是有效的。</w:t>
      </w:r>
    </w:p>
    <w:p w14:paraId="4F540886"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除了使用PI3K抑制剂克服耐药性外，在CDK4/6抑制剂治疗中加入PI3K抑制剂也能有效延缓初始耐药性的产生。Vora等人[ </w:t>
      </w:r>
      <w:hyperlink r:id="rId157" w:anchor="B83-ijms-22-12292" w:history="1">
        <w:r w:rsidRPr="00685FA2">
          <w:rPr>
            <w:rFonts w:ascii="微软雅黑" w:eastAsia="微软雅黑" w:hAnsi="微软雅黑" w:cs="宋体"/>
            <w:kern w:val="0"/>
            <w:sz w:val="24"/>
            <w:szCs w:val="24"/>
            <w:u w:val="single"/>
          </w:rPr>
          <w:t>83</w:t>
        </w:r>
      </w:hyperlink>
      <w:r w:rsidRPr="00685FA2">
        <w:rPr>
          <w:rFonts w:ascii="微软雅黑" w:eastAsia="微软雅黑" w:hAnsi="微软雅黑" w:cs="宋体"/>
          <w:kern w:val="0"/>
          <w:sz w:val="24"/>
          <w:szCs w:val="24"/>
        </w:rPr>
        <w:t> ]利用异种移植模型证实了CDK4/6抑制剂与PI3K抑制剂联合用药的疗效。研究发现，这些药物具有协同作用，能够降低细胞活力。其作用机制是通过降低Rb蛋白的磷酸化水平，从而维持Rb蛋白作为细胞周期抑制剂的功能。因此，对于携带野生型Rb蛋白的ER阳性患者，这种联合治疗方案可能提高CDK4/6抑制剂的疗效，并有可能克服耐药性的产生。</w:t>
      </w:r>
    </w:p>
    <w:p w14:paraId="65D7E5BA"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此外，O'Brien 等人 [ </w:t>
      </w:r>
      <w:hyperlink r:id="rId158" w:anchor="B79-ijms-22-12292" w:history="1">
        <w:r w:rsidRPr="00685FA2">
          <w:rPr>
            <w:rFonts w:ascii="微软雅黑" w:eastAsia="微软雅黑" w:hAnsi="微软雅黑" w:cs="宋体"/>
            <w:kern w:val="0"/>
            <w:sz w:val="24"/>
            <w:szCs w:val="24"/>
            <w:u w:val="single"/>
          </w:rPr>
          <w:t>79</w:t>
        </w:r>
      </w:hyperlink>
      <w:r w:rsidRPr="00685FA2">
        <w:rPr>
          <w:rFonts w:ascii="微软雅黑" w:eastAsia="微软雅黑" w:hAnsi="微软雅黑" w:cs="宋体"/>
          <w:kern w:val="0"/>
          <w:sz w:val="24"/>
          <w:szCs w:val="24"/>
        </w:rPr>
        <w:t xml:space="preserve"> ] 强调了在 ER+ 乳腺癌患者的初始治疗方案中加入 PI3K 抑制剂的潜力。他们利用 ER+ 乳腺癌异种移植模型，评估了在现有标准治疗方案中加入 </w:t>
      </w:r>
      <w:proofErr w:type="spellStart"/>
      <w:r w:rsidRPr="00685FA2">
        <w:rPr>
          <w:rFonts w:ascii="微软雅黑" w:eastAsia="微软雅黑" w:hAnsi="微软雅黑" w:cs="宋体"/>
          <w:kern w:val="0"/>
          <w:sz w:val="24"/>
          <w:szCs w:val="24"/>
        </w:rPr>
        <w:t>alpelisib</w:t>
      </w:r>
      <w:proofErr w:type="spellEnd"/>
      <w:r w:rsidRPr="00685FA2">
        <w:rPr>
          <w:rFonts w:ascii="微软雅黑" w:eastAsia="微软雅黑" w:hAnsi="微软雅黑" w:cs="宋体"/>
          <w:kern w:val="0"/>
          <w:sz w:val="24"/>
          <w:szCs w:val="24"/>
        </w:rPr>
        <w:t xml:space="preserve"> 的疗效。结果显示，与接受 </w:t>
      </w:r>
      <w:proofErr w:type="spellStart"/>
      <w:r w:rsidRPr="00685FA2">
        <w:rPr>
          <w:rFonts w:ascii="微软雅黑" w:eastAsia="微软雅黑" w:hAnsi="微软雅黑" w:cs="宋体"/>
          <w:kern w:val="0"/>
          <w:sz w:val="24"/>
          <w:szCs w:val="24"/>
        </w:rPr>
        <w:t>alpelisib</w:t>
      </w:r>
      <w:proofErr w:type="spellEnd"/>
      <w:r w:rsidRPr="00685FA2">
        <w:rPr>
          <w:rFonts w:ascii="微软雅黑" w:eastAsia="微软雅黑" w:hAnsi="微软雅黑" w:cs="宋体"/>
          <w:kern w:val="0"/>
          <w:sz w:val="24"/>
          <w:szCs w:val="24"/>
        </w:rPr>
        <w:t>、</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 xml:space="preserve"> 和 </w:t>
      </w:r>
      <w:proofErr w:type="spellStart"/>
      <w:r w:rsidRPr="00685FA2">
        <w:rPr>
          <w:rFonts w:ascii="微软雅黑" w:eastAsia="微软雅黑" w:hAnsi="微软雅黑" w:cs="宋体"/>
          <w:kern w:val="0"/>
          <w:sz w:val="24"/>
          <w:szCs w:val="24"/>
        </w:rPr>
        <w:t>fulvestrant</w:t>
      </w:r>
      <w:proofErr w:type="spellEnd"/>
      <w:r w:rsidRPr="00685FA2">
        <w:rPr>
          <w:rFonts w:ascii="微软雅黑" w:eastAsia="微软雅黑" w:hAnsi="微软雅黑" w:cs="宋体"/>
          <w:kern w:val="0"/>
          <w:sz w:val="24"/>
          <w:szCs w:val="24"/>
        </w:rPr>
        <w:t xml:space="preserve"> 三种药物中任意两种或单药治疗的小鼠相比，接受 </w:t>
      </w:r>
      <w:proofErr w:type="spellStart"/>
      <w:r w:rsidRPr="00685FA2">
        <w:rPr>
          <w:rFonts w:ascii="微软雅黑" w:eastAsia="微软雅黑" w:hAnsi="微软雅黑" w:cs="宋体"/>
          <w:kern w:val="0"/>
          <w:sz w:val="24"/>
          <w:szCs w:val="24"/>
        </w:rPr>
        <w:t>alpelisib</w:t>
      </w:r>
      <w:proofErr w:type="spellEnd"/>
      <w:r w:rsidRPr="00685FA2">
        <w:rPr>
          <w:rFonts w:ascii="微软雅黑" w:eastAsia="微软雅黑" w:hAnsi="微软雅黑" w:cs="宋体"/>
          <w:kern w:val="0"/>
          <w:sz w:val="24"/>
          <w:szCs w:val="24"/>
        </w:rPr>
        <w:t xml:space="preserve"> 治疗的小鼠肿瘤体积缩小最为显著，而接受 </w:t>
      </w:r>
      <w:proofErr w:type="spellStart"/>
      <w:r w:rsidRPr="00685FA2">
        <w:rPr>
          <w:rFonts w:ascii="微软雅黑" w:eastAsia="微软雅黑" w:hAnsi="微软雅黑" w:cs="宋体"/>
          <w:kern w:val="0"/>
          <w:sz w:val="24"/>
          <w:szCs w:val="24"/>
        </w:rPr>
        <w:t>alpelisib</w:t>
      </w:r>
      <w:proofErr w:type="spellEnd"/>
      <w:r w:rsidRPr="00685FA2">
        <w:rPr>
          <w:rFonts w:ascii="微软雅黑" w:eastAsia="微软雅黑" w:hAnsi="微软雅黑" w:cs="宋体"/>
          <w:kern w:val="0"/>
          <w:sz w:val="24"/>
          <w:szCs w:val="24"/>
        </w:rPr>
        <w:t>、</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 xml:space="preserve"> 和 </w:t>
      </w:r>
      <w:proofErr w:type="spellStart"/>
      <w:r w:rsidRPr="00685FA2">
        <w:rPr>
          <w:rFonts w:ascii="微软雅黑" w:eastAsia="微软雅黑" w:hAnsi="微软雅黑" w:cs="宋体"/>
          <w:kern w:val="0"/>
          <w:sz w:val="24"/>
          <w:szCs w:val="24"/>
        </w:rPr>
        <w:t>fulvestrant</w:t>
      </w:r>
      <w:proofErr w:type="spellEnd"/>
      <w:r w:rsidRPr="00685FA2">
        <w:rPr>
          <w:rFonts w:ascii="微软雅黑" w:eastAsia="微软雅黑" w:hAnsi="微软雅黑" w:cs="宋体"/>
          <w:kern w:val="0"/>
          <w:sz w:val="24"/>
          <w:szCs w:val="24"/>
        </w:rPr>
        <w:t xml:space="preserve"> 联合治疗的小鼠肿瘤体积缩小最为显著。因此，这些作者建议，对于初治患者，抗雌激素、CDK4/6 抑制剂和 PI3K 抑制剂的三联疗法应作为一线治疗方案。</w:t>
      </w:r>
    </w:p>
    <w:p w14:paraId="269503BD"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此外，Herrera-Abreu 等人 [ </w:t>
      </w:r>
      <w:hyperlink r:id="rId159" w:anchor="B43-ijms-22-12292" w:history="1">
        <w:r w:rsidRPr="00685FA2">
          <w:rPr>
            <w:rFonts w:ascii="微软雅黑" w:eastAsia="微软雅黑" w:hAnsi="微软雅黑" w:cs="宋体"/>
            <w:kern w:val="0"/>
            <w:sz w:val="24"/>
            <w:szCs w:val="24"/>
            <w:u w:val="single"/>
          </w:rPr>
          <w:t>43</w:t>
        </w:r>
      </w:hyperlink>
      <w:r w:rsidRPr="00685FA2">
        <w:rPr>
          <w:rFonts w:ascii="微软雅黑" w:eastAsia="微软雅黑" w:hAnsi="微软雅黑" w:cs="宋体"/>
          <w:kern w:val="0"/>
          <w:sz w:val="24"/>
          <w:szCs w:val="24"/>
        </w:rPr>
        <w:t> ] 发现，在体外和 ER+ 乳腺癌的 PDX 模型中，当 PI3K 抑制剂与 CDK4/6 抑制剂联合使用时，细胞会发生凋亡。比较 PDX 对包含</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 xml:space="preserve">、瑞博西尼和 PI3K 抑制剂 (BYL719) 的联合疗法的反应，发现包含这三种药物的联合疗法可使肿瘤体积最大程度地缩小。事实上，治疗 </w:t>
      </w:r>
      <w:r w:rsidRPr="00685FA2">
        <w:rPr>
          <w:rFonts w:ascii="微软雅黑" w:eastAsia="微软雅黑" w:hAnsi="微软雅黑" w:cs="宋体"/>
          <w:kern w:val="0"/>
          <w:sz w:val="24"/>
          <w:szCs w:val="24"/>
        </w:rPr>
        <w:lastRenderedPageBreak/>
        <w:t>47 天后，87% 的肿瘤已经消退。基于此，研究人员确定包含这三种药物的联合治疗方案是最有效的选择，尤其是在延缓耐药性发展方面。</w:t>
      </w:r>
    </w:p>
    <w:p w14:paraId="3DBD241B"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6.3. mTOR抑制剂</w:t>
      </w:r>
    </w:p>
    <w:p w14:paraId="1C1EED5D"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抑制 mTOR 有可能克服对 CDK4/6 抑制剂的获得性耐药。O'Brien 等人 [ </w:t>
      </w:r>
      <w:hyperlink r:id="rId160" w:anchor="B79-ijms-22-12292" w:history="1">
        <w:r w:rsidRPr="00685FA2">
          <w:rPr>
            <w:rFonts w:ascii="微软雅黑" w:eastAsia="微软雅黑" w:hAnsi="微软雅黑" w:cs="宋体"/>
            <w:kern w:val="0"/>
            <w:sz w:val="24"/>
            <w:szCs w:val="24"/>
            <w:u w:val="single"/>
          </w:rPr>
          <w:t>79</w:t>
        </w:r>
      </w:hyperlink>
      <w:r w:rsidRPr="00685FA2">
        <w:rPr>
          <w:rFonts w:ascii="微软雅黑" w:eastAsia="微软雅黑" w:hAnsi="微软雅黑" w:cs="宋体"/>
          <w:kern w:val="0"/>
          <w:sz w:val="24"/>
          <w:szCs w:val="24"/>
        </w:rPr>
        <w:t> ] 的研究表明，与</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联合瑞博西尼或阿培利西布治疗相比，用 mTOR 抑制剂依维莫司联合</w:t>
      </w:r>
      <w:proofErr w:type="gramStart"/>
      <w:r w:rsidRPr="00685FA2">
        <w:rPr>
          <w:rFonts w:ascii="微软雅黑" w:eastAsia="微软雅黑" w:hAnsi="微软雅黑" w:cs="宋体"/>
          <w:kern w:val="0"/>
          <w:sz w:val="24"/>
          <w:szCs w:val="24"/>
        </w:rPr>
        <w:t>氟维司群治疗</w:t>
      </w:r>
      <w:proofErr w:type="gramEnd"/>
      <w:r w:rsidRPr="00685FA2">
        <w:rPr>
          <w:rFonts w:ascii="微软雅黑" w:eastAsia="微软雅黑" w:hAnsi="微软雅黑" w:cs="宋体"/>
          <w:kern w:val="0"/>
          <w:sz w:val="24"/>
          <w:szCs w:val="24"/>
        </w:rPr>
        <w:t xml:space="preserve"> CDK4/6 抑制剂耐药的异种移植瘤在约 115 天内肿瘤体积缩小最为显著。这提示使用 mTOR 抑制剂可能逆转对 CDK4/6 抑制剂的耐药性。</w:t>
      </w:r>
    </w:p>
    <w:p w14:paraId="6984BC2F"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临床数据显示，mTOR抑制剂在克服耐药性方面可能具有一定的疗效。一项回顾性研究分析了41例接受帕博西尼治疗后病情进展的转移性乳腺癌患者，并追踪了接受不同剂量依维莫司治疗的患者的疗效。虽然大多数患者的病情进展，但仍有17.1%的患者获得了客观缓解和临床获益[ </w:t>
      </w:r>
      <w:hyperlink r:id="rId161" w:anchor="B84-ijms-22-12292" w:history="1">
        <w:r w:rsidRPr="00685FA2">
          <w:rPr>
            <w:rFonts w:ascii="微软雅黑" w:eastAsia="微软雅黑" w:hAnsi="微软雅黑" w:cs="宋体"/>
            <w:kern w:val="0"/>
            <w:sz w:val="24"/>
            <w:szCs w:val="24"/>
            <w:u w:val="single"/>
          </w:rPr>
          <w:t>84</w:t>
        </w:r>
      </w:hyperlink>
      <w:r w:rsidRPr="00685FA2">
        <w:rPr>
          <w:rFonts w:ascii="微软雅黑" w:eastAsia="微软雅黑" w:hAnsi="微软雅黑" w:cs="宋体"/>
          <w:kern w:val="0"/>
          <w:sz w:val="24"/>
          <w:szCs w:val="24"/>
        </w:rPr>
        <w:t> ]。值得注意的是，有两名患者的获益持续时间分别长达13个月和16个月。尽管这些结果并不十分显著，但它们确实表明依维莫司有可能使部分患者获益。</w:t>
      </w:r>
    </w:p>
    <w:p w14:paraId="24344825"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另一项回顾性研究纳入了对 CDK4/6 抑制剂产生耐药性的患者，并考察了依维莫司联合依西美坦（一种</w:t>
      </w:r>
      <w:proofErr w:type="gramStart"/>
      <w:r w:rsidRPr="00685FA2">
        <w:rPr>
          <w:rFonts w:ascii="微软雅黑" w:eastAsia="微软雅黑" w:hAnsi="微软雅黑" w:cs="宋体"/>
          <w:kern w:val="0"/>
          <w:sz w:val="24"/>
          <w:szCs w:val="24"/>
        </w:rPr>
        <w:t>甾</w:t>
      </w:r>
      <w:proofErr w:type="gramEnd"/>
      <w:r w:rsidRPr="00685FA2">
        <w:rPr>
          <w:rFonts w:ascii="微软雅黑" w:eastAsia="微软雅黑" w:hAnsi="微软雅黑" w:cs="宋体"/>
          <w:kern w:val="0"/>
          <w:sz w:val="24"/>
          <w:szCs w:val="24"/>
        </w:rPr>
        <w:t>体类芳香化酶抑制剂）的疗效。研究共纳入 17 例在接受依维莫司/依西美坦联合治疗前曾接受过 CDK4/6 抑制剂治疗的患者[ </w:t>
      </w:r>
      <w:hyperlink r:id="rId162" w:anchor="B85-ijms-22-12292" w:history="1">
        <w:r w:rsidRPr="00685FA2">
          <w:rPr>
            <w:rFonts w:ascii="微软雅黑" w:eastAsia="微软雅黑" w:hAnsi="微软雅黑" w:cs="宋体"/>
            <w:kern w:val="0"/>
            <w:sz w:val="24"/>
            <w:szCs w:val="24"/>
            <w:u w:val="single"/>
          </w:rPr>
          <w:t>85</w:t>
        </w:r>
      </w:hyperlink>
      <w:r w:rsidRPr="00685FA2">
        <w:rPr>
          <w:rFonts w:ascii="微软雅黑" w:eastAsia="微软雅黑" w:hAnsi="微软雅黑" w:cs="宋体"/>
          <w:kern w:val="0"/>
          <w:sz w:val="24"/>
          <w:szCs w:val="24"/>
        </w:rPr>
        <w:t xml:space="preserve"> ]。其中 16 例接受了帕博西尼治疗，1 例接受了瑞博西尼治疗。虽然口腔炎是常见的副作用，但患者确实获得了轻微的临床获益。CDK4/6 抑制剂耐药患者的无进展生存期（PFS）为 15.6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月，而未在接受依维莫司/依西美坦治疗前接受过 </w:t>
      </w:r>
      <w:r w:rsidRPr="00685FA2">
        <w:rPr>
          <w:rFonts w:ascii="微软雅黑" w:eastAsia="微软雅黑" w:hAnsi="微软雅黑" w:cs="宋体"/>
          <w:kern w:val="0"/>
          <w:sz w:val="24"/>
          <w:szCs w:val="24"/>
        </w:rPr>
        <w:lastRenderedPageBreak/>
        <w:t xml:space="preserve">CDK4/6 抑制剂治疗的患者的 PFS 为 11.3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月。虽然差异不显著，但确实表明依维莫司对既往接受过 CDK4/6 抑制剂治疗的患者具有一定的疗效。根据轻微的疗效，这些作者建议将依维莫司和依西美坦作为 CDK4/6 抑制剂治疗的二线疗法。</w:t>
      </w:r>
    </w:p>
    <w:p w14:paraId="04C06A9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临床试验数据也支持这一观点。一项回顾性研究比较了多种不同的治疗方案，包括依维莫司，用于一线或二线 CDK4/6 抑制剂治疗后病情进展的患者。患者分别接受依维莫司/依西美坦联合治疗、</w:t>
      </w:r>
      <w:proofErr w:type="gramStart"/>
      <w:r w:rsidRPr="00685FA2">
        <w:rPr>
          <w:rFonts w:ascii="微软雅黑" w:eastAsia="微软雅黑" w:hAnsi="微软雅黑" w:cs="宋体"/>
          <w:kern w:val="0"/>
          <w:sz w:val="24"/>
          <w:szCs w:val="24"/>
        </w:rPr>
        <w:t>单药抗雌激素</w:t>
      </w:r>
      <w:proofErr w:type="gramEnd"/>
      <w:r w:rsidRPr="00685FA2">
        <w:rPr>
          <w:rFonts w:ascii="微软雅黑" w:eastAsia="微软雅黑" w:hAnsi="微软雅黑" w:cs="宋体"/>
          <w:kern w:val="0"/>
          <w:sz w:val="24"/>
          <w:szCs w:val="24"/>
        </w:rPr>
        <w:t>治疗或化疗。其中，依维莫司联合依西美坦治疗效果最佳，中</w:t>
      </w:r>
      <w:proofErr w:type="gramStart"/>
      <w:r w:rsidRPr="00685FA2">
        <w:rPr>
          <w:rFonts w:ascii="微软雅黑" w:eastAsia="微软雅黑" w:hAnsi="微软雅黑" w:cs="宋体"/>
          <w:kern w:val="0"/>
          <w:sz w:val="24"/>
          <w:szCs w:val="24"/>
        </w:rPr>
        <w:t>位治疗</w:t>
      </w:r>
      <w:proofErr w:type="gramEnd"/>
      <w:r w:rsidRPr="00685FA2">
        <w:rPr>
          <w:rFonts w:ascii="微软雅黑" w:eastAsia="微软雅黑" w:hAnsi="微软雅黑" w:cs="宋体"/>
          <w:kern w:val="0"/>
          <w:sz w:val="24"/>
          <w:szCs w:val="24"/>
        </w:rPr>
        <w:t xml:space="preserve">失败时间为 13.2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月，而单药激素治疗和化疗的中</w:t>
      </w:r>
      <w:proofErr w:type="gramStart"/>
      <w:r w:rsidRPr="00685FA2">
        <w:rPr>
          <w:rFonts w:ascii="微软雅黑" w:eastAsia="微软雅黑" w:hAnsi="微软雅黑" w:cs="宋体"/>
          <w:kern w:val="0"/>
          <w:sz w:val="24"/>
          <w:szCs w:val="24"/>
        </w:rPr>
        <w:t>位治疗</w:t>
      </w:r>
      <w:proofErr w:type="gramEnd"/>
      <w:r w:rsidRPr="00685FA2">
        <w:rPr>
          <w:rFonts w:ascii="微软雅黑" w:eastAsia="微软雅黑" w:hAnsi="微软雅黑" w:cs="宋体"/>
          <w:kern w:val="0"/>
          <w:sz w:val="24"/>
          <w:szCs w:val="24"/>
        </w:rPr>
        <w:t xml:space="preserve">失败时间分别为 3.1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月和 4.1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月 [ </w:t>
      </w:r>
      <w:hyperlink r:id="rId163" w:anchor="B86-ijms-22-12292" w:history="1">
        <w:r w:rsidRPr="00685FA2">
          <w:rPr>
            <w:rFonts w:ascii="微软雅黑" w:eastAsia="微软雅黑" w:hAnsi="微软雅黑" w:cs="宋体"/>
            <w:kern w:val="0"/>
            <w:sz w:val="24"/>
            <w:szCs w:val="24"/>
            <w:u w:val="single"/>
          </w:rPr>
          <w:t>86</w:t>
        </w:r>
      </w:hyperlink>
      <w:r w:rsidRPr="00685FA2">
        <w:rPr>
          <w:rFonts w:ascii="微软雅黑" w:eastAsia="微软雅黑" w:hAnsi="微软雅黑" w:cs="宋体"/>
          <w:kern w:val="0"/>
          <w:sz w:val="24"/>
          <w:szCs w:val="24"/>
        </w:rPr>
        <w:t> ]。这项研究进一步支持在 CDK4/6 抑制剂耐药后，将依维莫司联合依西美坦作为二线治疗方案。</w:t>
      </w:r>
    </w:p>
    <w:p w14:paraId="64C5F0B4"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近期开展的TRINITI-1试验（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"https://clinicaltrials.gov/ct2/show/NCT02732119"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NCT02732119</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与其他探索mTOR抑制剂在ER阳性乳腺癌患者中应用的试验有所不同，因为该试验中的患者即使之前使用CDK4/6抑制剂治疗后病情进展，也接受了瑞博西尼作为治疗方案的一部分。此举旨在通过联合其他药物来克服肿瘤的耐药机制，从而恢复CDK4/6抑制剂的疗效。该研究将患者分为两组，分别接受不同剂量的瑞博西尼、依维莫司和依西美坦。第1组每日接受300 mg瑞博西尼、2.5 mg依维莫司和25 mg依西美坦[ </w:t>
      </w:r>
      <w:hyperlink r:id="rId164" w:anchor="B87-ijms-22-12292" w:history="1">
        <w:r w:rsidRPr="00685FA2">
          <w:rPr>
            <w:rFonts w:ascii="微软雅黑" w:eastAsia="微软雅黑" w:hAnsi="微软雅黑" w:cs="宋体"/>
            <w:kern w:val="0"/>
            <w:sz w:val="24"/>
            <w:szCs w:val="24"/>
            <w:u w:val="single"/>
          </w:rPr>
          <w:t>87</w:t>
        </w:r>
      </w:hyperlink>
      <w:r w:rsidRPr="00685FA2">
        <w:rPr>
          <w:rFonts w:ascii="微软雅黑" w:eastAsia="微软雅黑" w:hAnsi="微软雅黑" w:cs="宋体"/>
          <w:kern w:val="0"/>
          <w:sz w:val="24"/>
          <w:szCs w:val="24"/>
        </w:rPr>
        <w:t> ]。第2组每日接受200 mg瑞博西尼、5 mg依维莫司和25 mg依西美坦。该给药方案尤其值得关注，因为患者在28天的周期内持续接受</w:t>
      </w:r>
      <w:proofErr w:type="spellStart"/>
      <w:r w:rsidRPr="00685FA2">
        <w:rPr>
          <w:rFonts w:ascii="微软雅黑" w:eastAsia="微软雅黑" w:hAnsi="微软雅黑" w:cs="宋体"/>
          <w:kern w:val="0"/>
          <w:sz w:val="24"/>
          <w:szCs w:val="24"/>
        </w:rPr>
        <w:t>ribociclib</w:t>
      </w:r>
      <w:proofErr w:type="spellEnd"/>
      <w:r w:rsidRPr="00685FA2">
        <w:rPr>
          <w:rFonts w:ascii="微软雅黑" w:eastAsia="微软雅黑" w:hAnsi="微软雅黑" w:cs="宋体"/>
          <w:kern w:val="0"/>
          <w:sz w:val="24"/>
          <w:szCs w:val="24"/>
        </w:rPr>
        <w:t>治疗，中间没有停药期。尽管这种给药方案不常见，但在此II</w:t>
      </w:r>
      <w:proofErr w:type="gramStart"/>
      <w:r w:rsidRPr="00685FA2">
        <w:rPr>
          <w:rFonts w:ascii="微软雅黑" w:eastAsia="微软雅黑" w:hAnsi="微软雅黑" w:cs="宋体"/>
          <w:kern w:val="0"/>
          <w:sz w:val="24"/>
          <w:szCs w:val="24"/>
        </w:rPr>
        <w:t>期试验</w:t>
      </w:r>
      <w:proofErr w:type="gramEnd"/>
      <w:r w:rsidRPr="00685FA2">
        <w:rPr>
          <w:rFonts w:ascii="微软雅黑" w:eastAsia="微软雅黑" w:hAnsi="微软雅黑" w:cs="宋体"/>
          <w:kern w:val="0"/>
          <w:sz w:val="24"/>
          <w:szCs w:val="24"/>
        </w:rPr>
        <w:t>之前进行的I期研究推荐该方案作为CDK4/6抑制剂与依维莫司和依西美坦联合用药时的最</w:t>
      </w:r>
      <w:r w:rsidRPr="00685FA2">
        <w:rPr>
          <w:rFonts w:ascii="微软雅黑" w:eastAsia="微软雅黑" w:hAnsi="微软雅黑" w:cs="宋体"/>
          <w:kern w:val="0"/>
          <w:sz w:val="24"/>
          <w:szCs w:val="24"/>
        </w:rPr>
        <w:lastRenderedPageBreak/>
        <w:t>佳方案[ </w:t>
      </w:r>
      <w:hyperlink r:id="rId165" w:anchor="B88-ijms-22-12292" w:history="1">
        <w:r w:rsidRPr="00685FA2">
          <w:rPr>
            <w:rFonts w:ascii="微软雅黑" w:eastAsia="微软雅黑" w:hAnsi="微软雅黑" w:cs="宋体"/>
            <w:kern w:val="0"/>
            <w:sz w:val="24"/>
            <w:szCs w:val="24"/>
            <w:u w:val="single"/>
          </w:rPr>
          <w:t>88</w:t>
        </w:r>
      </w:hyperlink>
      <w:r w:rsidRPr="00685FA2">
        <w:rPr>
          <w:rFonts w:ascii="微软雅黑" w:eastAsia="微软雅黑" w:hAnsi="微软雅黑" w:cs="宋体"/>
          <w:kern w:val="0"/>
          <w:sz w:val="24"/>
          <w:szCs w:val="24"/>
        </w:rPr>
        <w:t> ]。虽然完整结果尚未发表，但初步数据显示，到第24周，临床获益率（定义为达到完全缓解/部分缓解或病情稳定的患者人数占入组患者总数的比例）为41.1%[ </w:t>
      </w:r>
      <w:hyperlink r:id="rId166" w:anchor="B87-ijms-22-12292" w:history="1">
        <w:r w:rsidRPr="00685FA2">
          <w:rPr>
            <w:rFonts w:ascii="微软雅黑" w:eastAsia="微软雅黑" w:hAnsi="微软雅黑" w:cs="宋体"/>
            <w:kern w:val="0"/>
            <w:sz w:val="24"/>
            <w:szCs w:val="24"/>
            <w:u w:val="single"/>
          </w:rPr>
          <w:t>87</w:t>
        </w:r>
      </w:hyperlink>
      <w:r w:rsidRPr="00685FA2">
        <w:rPr>
          <w:rFonts w:ascii="微软雅黑" w:eastAsia="微软雅黑" w:hAnsi="微软雅黑" w:cs="宋体"/>
          <w:kern w:val="0"/>
          <w:sz w:val="24"/>
          <w:szCs w:val="24"/>
        </w:rPr>
        <w:t> ]。值得注意的是，最常见的不良事件是口腔炎和中性粒细胞减少症。然而，考虑到6个月后仍有相当比例的患者保持疗效，对于既往使用CDK4/6抑制剂治疗后病情进展的晚期ER+患者，该联合方案被认为是一种有效的治疗选择。</w:t>
      </w:r>
    </w:p>
    <w:p w14:paraId="18B01F0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 xml:space="preserve">除了克服耐药性外，mTOR抑制剂也被认为是一种延长耐药性发展的潜在方法。体外实验比较了100 </w:t>
      </w:r>
      <w:proofErr w:type="spellStart"/>
      <w:r w:rsidRPr="00685FA2">
        <w:rPr>
          <w:rFonts w:ascii="微软雅黑" w:eastAsia="微软雅黑" w:hAnsi="微软雅黑" w:cs="宋体"/>
          <w:kern w:val="0"/>
          <w:sz w:val="24"/>
          <w:szCs w:val="24"/>
        </w:rPr>
        <w:t>nM</w:t>
      </w:r>
      <w:proofErr w:type="spellEnd"/>
      <w:r w:rsidRPr="00685FA2">
        <w:rPr>
          <w:rFonts w:ascii="微软雅黑" w:eastAsia="微软雅黑" w:hAnsi="微软雅黑" w:cs="宋体"/>
          <w:kern w:val="0"/>
          <w:sz w:val="24"/>
          <w:szCs w:val="24"/>
        </w:rPr>
        <w:t>的mTOR抑制剂</w:t>
      </w:r>
      <w:proofErr w:type="spellStart"/>
      <w:r w:rsidRPr="00685FA2">
        <w:rPr>
          <w:rFonts w:ascii="微软雅黑" w:eastAsia="微软雅黑" w:hAnsi="微软雅黑" w:cs="宋体"/>
          <w:kern w:val="0"/>
          <w:sz w:val="24"/>
          <w:szCs w:val="24"/>
        </w:rPr>
        <w:t>vistusertib</w:t>
      </w:r>
      <w:proofErr w:type="spellEnd"/>
      <w:r w:rsidRPr="00685FA2">
        <w:rPr>
          <w:rFonts w:ascii="微软雅黑" w:eastAsia="微软雅黑" w:hAnsi="微软雅黑" w:cs="宋体"/>
          <w:kern w:val="0"/>
          <w:sz w:val="24"/>
          <w:szCs w:val="24"/>
        </w:rPr>
        <w:t xml:space="preserve">和300 </w:t>
      </w:r>
      <w:proofErr w:type="spellStart"/>
      <w:r w:rsidRPr="00685FA2">
        <w:rPr>
          <w:rFonts w:ascii="微软雅黑" w:eastAsia="微软雅黑" w:hAnsi="微软雅黑" w:cs="宋体"/>
          <w:kern w:val="0"/>
          <w:sz w:val="24"/>
          <w:szCs w:val="24"/>
        </w:rPr>
        <w:t>nM</w:t>
      </w:r>
      <w:proofErr w:type="spellEnd"/>
      <w:r w:rsidRPr="00685FA2">
        <w:rPr>
          <w:rFonts w:ascii="微软雅黑" w:eastAsia="微软雅黑" w:hAnsi="微软雅黑" w:cs="宋体"/>
          <w:kern w:val="0"/>
          <w:sz w:val="24"/>
          <w:szCs w:val="24"/>
        </w:rPr>
        <w:t>的</w:t>
      </w:r>
      <w:proofErr w:type="spellStart"/>
      <w:r w:rsidRPr="00685FA2">
        <w:rPr>
          <w:rFonts w:ascii="微软雅黑" w:eastAsia="微软雅黑" w:hAnsi="微软雅黑" w:cs="宋体"/>
          <w:kern w:val="0"/>
          <w:sz w:val="24"/>
          <w:szCs w:val="24"/>
        </w:rPr>
        <w:t>palbociclib</w:t>
      </w:r>
      <w:proofErr w:type="spellEnd"/>
      <w:r w:rsidRPr="00685FA2">
        <w:rPr>
          <w:rFonts w:ascii="微软雅黑" w:eastAsia="微软雅黑" w:hAnsi="微软雅黑" w:cs="宋体"/>
          <w:kern w:val="0"/>
          <w:sz w:val="24"/>
          <w:szCs w:val="24"/>
        </w:rPr>
        <w:t>，结果显示，与仅接受其中一种药物的细胞相比，接受联合用药5天后，细胞增殖受到显著抑制。体外实验表明，依维莫司单药或与</w:t>
      </w:r>
      <w:proofErr w:type="spellStart"/>
      <w:r w:rsidRPr="00685FA2">
        <w:rPr>
          <w:rFonts w:ascii="微软雅黑" w:eastAsia="微软雅黑" w:hAnsi="微软雅黑" w:cs="宋体"/>
          <w:kern w:val="0"/>
          <w:sz w:val="24"/>
          <w:szCs w:val="24"/>
        </w:rPr>
        <w:t>palbociclib</w:t>
      </w:r>
      <w:proofErr w:type="spellEnd"/>
      <w:r w:rsidRPr="00685FA2">
        <w:rPr>
          <w:rFonts w:ascii="微软雅黑" w:eastAsia="微软雅黑" w:hAnsi="微软雅黑" w:cs="宋体"/>
          <w:kern w:val="0"/>
          <w:sz w:val="24"/>
          <w:szCs w:val="24"/>
        </w:rPr>
        <w:t>联合用药也能有效降低细胞增殖[ </w:t>
      </w:r>
      <w:hyperlink r:id="rId167" w:anchor="B71-ijms-22-12292" w:history="1">
        <w:r w:rsidRPr="00685FA2">
          <w:rPr>
            <w:rFonts w:ascii="微软雅黑" w:eastAsia="微软雅黑" w:hAnsi="微软雅黑" w:cs="宋体"/>
            <w:kern w:val="0"/>
            <w:sz w:val="24"/>
            <w:szCs w:val="24"/>
            <w:u w:val="single"/>
          </w:rPr>
          <w:t>71</w:t>
        </w:r>
      </w:hyperlink>
      <w:r w:rsidRPr="00685FA2">
        <w:rPr>
          <w:rFonts w:ascii="微软雅黑" w:eastAsia="微软雅黑" w:hAnsi="微软雅黑" w:cs="宋体"/>
          <w:kern w:val="0"/>
          <w:sz w:val="24"/>
          <w:szCs w:val="24"/>
        </w:rPr>
        <w:t> ]。</w:t>
      </w:r>
    </w:p>
    <w:p w14:paraId="37A33020" w14:textId="77777777" w:rsidR="00685FA2" w:rsidRPr="00685FA2" w:rsidRDefault="00685FA2" w:rsidP="00685FA2">
      <w:pPr>
        <w:widowControl/>
        <w:spacing w:before="450"/>
        <w:rPr>
          <w:rFonts w:ascii="微软雅黑" w:eastAsia="微软雅黑" w:hAnsi="微软雅黑" w:cs="宋体"/>
          <w:kern w:val="0"/>
          <w:sz w:val="24"/>
          <w:szCs w:val="24"/>
        </w:rPr>
      </w:pPr>
      <w:proofErr w:type="spellStart"/>
      <w:r w:rsidRPr="00685FA2">
        <w:rPr>
          <w:rFonts w:ascii="微软雅黑" w:eastAsia="微软雅黑" w:hAnsi="微软雅黑" w:cs="宋体"/>
          <w:kern w:val="0"/>
          <w:sz w:val="24"/>
          <w:szCs w:val="24"/>
        </w:rPr>
        <w:t>Michaloglou</w:t>
      </w:r>
      <w:proofErr w:type="spellEnd"/>
      <w:r w:rsidRPr="00685FA2">
        <w:rPr>
          <w:rFonts w:ascii="微软雅黑" w:eastAsia="微软雅黑" w:hAnsi="微软雅黑" w:cs="宋体"/>
          <w:kern w:val="0"/>
          <w:sz w:val="24"/>
          <w:szCs w:val="24"/>
        </w:rPr>
        <w:t xml:space="preserve"> 等人 [ </w:t>
      </w:r>
      <w:hyperlink r:id="rId168" w:anchor="B71-ijms-22-12292" w:history="1">
        <w:r w:rsidRPr="00685FA2">
          <w:rPr>
            <w:rFonts w:ascii="微软雅黑" w:eastAsia="微软雅黑" w:hAnsi="微软雅黑" w:cs="宋体"/>
            <w:kern w:val="0"/>
            <w:sz w:val="24"/>
            <w:szCs w:val="24"/>
            <w:u w:val="single"/>
          </w:rPr>
          <w:t>71</w:t>
        </w:r>
      </w:hyperlink>
      <w:r w:rsidRPr="00685FA2">
        <w:rPr>
          <w:rFonts w:ascii="微软雅黑" w:eastAsia="微软雅黑" w:hAnsi="微软雅黑" w:cs="宋体"/>
          <w:kern w:val="0"/>
          <w:sz w:val="24"/>
          <w:szCs w:val="24"/>
        </w:rPr>
        <w:t xml:space="preserve"> ] 利用 MCF7 异种移植模型，测试了在现有标准治疗方案中加入 mTOR 抑制剂的体内疗效。接受 </w:t>
      </w:r>
      <w:proofErr w:type="spellStart"/>
      <w:r w:rsidRPr="00685FA2">
        <w:rPr>
          <w:rFonts w:ascii="微软雅黑" w:eastAsia="微软雅黑" w:hAnsi="微软雅黑" w:cs="宋体"/>
          <w:kern w:val="0"/>
          <w:sz w:val="24"/>
          <w:szCs w:val="24"/>
        </w:rPr>
        <w:t>vistusertib</w:t>
      </w:r>
      <w:proofErr w:type="spellEnd"/>
      <w:r w:rsidRPr="00685FA2">
        <w:rPr>
          <w:rFonts w:ascii="微软雅黑" w:eastAsia="微软雅黑" w:hAnsi="微软雅黑" w:cs="宋体"/>
          <w:kern w:val="0"/>
          <w:sz w:val="24"/>
          <w:szCs w:val="24"/>
        </w:rPr>
        <w:t>、</w:t>
      </w:r>
      <w:proofErr w:type="spellStart"/>
      <w:r w:rsidRPr="00685FA2">
        <w:rPr>
          <w:rFonts w:ascii="微软雅黑" w:eastAsia="微软雅黑" w:hAnsi="微软雅黑" w:cs="宋体"/>
          <w:kern w:val="0"/>
          <w:sz w:val="24"/>
          <w:szCs w:val="24"/>
        </w:rPr>
        <w:t>palbociclib</w:t>
      </w:r>
      <w:proofErr w:type="spellEnd"/>
      <w:r w:rsidRPr="00685FA2">
        <w:rPr>
          <w:rFonts w:ascii="微软雅黑" w:eastAsia="微软雅黑" w:hAnsi="微软雅黑" w:cs="宋体"/>
          <w:kern w:val="0"/>
          <w:sz w:val="24"/>
          <w:szCs w:val="24"/>
        </w:rPr>
        <w:t xml:space="preserve"> 和 </w:t>
      </w:r>
      <w:proofErr w:type="spellStart"/>
      <w:r w:rsidRPr="00685FA2">
        <w:rPr>
          <w:rFonts w:ascii="微软雅黑" w:eastAsia="微软雅黑" w:hAnsi="微软雅黑" w:cs="宋体"/>
          <w:kern w:val="0"/>
          <w:sz w:val="24"/>
          <w:szCs w:val="24"/>
        </w:rPr>
        <w:t>fulvestrant</w:t>
      </w:r>
      <w:proofErr w:type="spellEnd"/>
      <w:r w:rsidRPr="00685FA2">
        <w:rPr>
          <w:rFonts w:ascii="微软雅黑" w:eastAsia="微软雅黑" w:hAnsi="微软雅黑" w:cs="宋体"/>
          <w:kern w:val="0"/>
          <w:sz w:val="24"/>
          <w:szCs w:val="24"/>
        </w:rPr>
        <w:t xml:space="preserve"> 治疗的小鼠，在实验第 48 天肿瘤生长抑制率达到 110.2%。此外，在接下来的 58 天内，肿瘤未出现复发。总而言之，这项研究有力地支持将 CDK4/6 抑制剂和抗雌激素与 mTOR 抑制剂联合使用，以延缓 ER+ 乳腺癌耐药性的发生。</w:t>
      </w:r>
    </w:p>
    <w:p w14:paraId="0A7A1AA3"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6.4. FGFR抑制剂</w:t>
      </w:r>
    </w:p>
    <w:p w14:paraId="095C9EFC"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如前所述，为了验证FGFR1扩增是否与CDK4/6抑制剂耐药有关，</w:t>
      </w:r>
      <w:proofErr w:type="spellStart"/>
      <w:r w:rsidRPr="00685FA2">
        <w:rPr>
          <w:rFonts w:ascii="微软雅黑" w:eastAsia="微软雅黑" w:hAnsi="微软雅黑" w:cs="宋体"/>
          <w:kern w:val="0"/>
          <w:sz w:val="24"/>
          <w:szCs w:val="24"/>
        </w:rPr>
        <w:t>Formisano</w:t>
      </w:r>
      <w:proofErr w:type="spellEnd"/>
      <w:r w:rsidRPr="00685FA2">
        <w:rPr>
          <w:rFonts w:ascii="微软雅黑" w:eastAsia="微软雅黑" w:hAnsi="微软雅黑" w:cs="宋体"/>
          <w:kern w:val="0"/>
          <w:sz w:val="24"/>
          <w:szCs w:val="24"/>
        </w:rPr>
        <w:t>等人[ </w:t>
      </w:r>
      <w:hyperlink r:id="rId169" w:anchor="B66-ijms-22-12292" w:history="1">
        <w:r w:rsidRPr="00685FA2">
          <w:rPr>
            <w:rFonts w:ascii="微软雅黑" w:eastAsia="微软雅黑" w:hAnsi="微软雅黑" w:cs="宋体"/>
            <w:kern w:val="0"/>
            <w:sz w:val="24"/>
            <w:szCs w:val="24"/>
            <w:u w:val="single"/>
          </w:rPr>
          <w:t>66</w:t>
        </w:r>
      </w:hyperlink>
      <w:r w:rsidRPr="00685FA2">
        <w:rPr>
          <w:rFonts w:ascii="微软雅黑" w:eastAsia="微软雅黑" w:hAnsi="微软雅黑" w:cs="宋体"/>
          <w:kern w:val="0"/>
          <w:sz w:val="24"/>
          <w:szCs w:val="24"/>
        </w:rPr>
        <w:t> ]使用</w:t>
      </w:r>
      <w:proofErr w:type="spellStart"/>
      <w:r w:rsidRPr="00685FA2">
        <w:rPr>
          <w:rFonts w:ascii="微软雅黑" w:eastAsia="微软雅黑" w:hAnsi="微软雅黑" w:cs="宋体"/>
          <w:kern w:val="0"/>
          <w:sz w:val="24"/>
          <w:szCs w:val="24"/>
        </w:rPr>
        <w:t>lucitanib</w:t>
      </w:r>
      <w:proofErr w:type="spellEnd"/>
      <w:r w:rsidRPr="00685FA2">
        <w:rPr>
          <w:rFonts w:ascii="微软雅黑" w:eastAsia="微软雅黑" w:hAnsi="微软雅黑" w:cs="宋体"/>
          <w:kern w:val="0"/>
          <w:sz w:val="24"/>
          <w:szCs w:val="24"/>
        </w:rPr>
        <w:t>逆转了MCF7和T47D细胞的耐药性。在确定这确实</w:t>
      </w:r>
      <w:r w:rsidRPr="00685FA2">
        <w:rPr>
          <w:rFonts w:ascii="微软雅黑" w:eastAsia="微软雅黑" w:hAnsi="微软雅黑" w:cs="宋体"/>
          <w:kern w:val="0"/>
          <w:sz w:val="24"/>
          <w:szCs w:val="24"/>
        </w:rPr>
        <w:lastRenderedPageBreak/>
        <w:t>是细胞绕过CDK4/6抑制的一种机制后，他们进行了更多相关的临床前研究，以确定该药物对体内肿瘤生长的影响。他们将过表达MCF7-FGFR1的细胞植入无胸腺小鼠体内，并使其肿瘤生长。然后，分别用载体、</w:t>
      </w:r>
      <w:proofErr w:type="gramStart"/>
      <w:r w:rsidRPr="00685FA2">
        <w:rPr>
          <w:rFonts w:ascii="微软雅黑" w:eastAsia="微软雅黑" w:hAnsi="微软雅黑" w:cs="宋体"/>
          <w:kern w:val="0"/>
          <w:sz w:val="24"/>
          <w:szCs w:val="24"/>
        </w:rPr>
        <w:t>氟维司群、氟维司群</w:t>
      </w:r>
      <w:proofErr w:type="gramEnd"/>
      <w:r w:rsidRPr="00685FA2">
        <w:rPr>
          <w:rFonts w:ascii="微软雅黑" w:eastAsia="微软雅黑" w:hAnsi="微软雅黑" w:cs="宋体"/>
          <w:kern w:val="0"/>
          <w:sz w:val="24"/>
          <w:szCs w:val="24"/>
        </w:rPr>
        <w:t>联</w:t>
      </w:r>
      <w:proofErr w:type="gramStart"/>
      <w:r w:rsidRPr="00685FA2">
        <w:rPr>
          <w:rFonts w:ascii="微软雅黑" w:eastAsia="微软雅黑" w:hAnsi="微软雅黑" w:cs="宋体"/>
          <w:kern w:val="0"/>
          <w:sz w:val="24"/>
          <w:szCs w:val="24"/>
        </w:rPr>
        <w:t>合帕</w:t>
      </w:r>
      <w:proofErr w:type="gramEnd"/>
      <w:r w:rsidRPr="00685FA2">
        <w:rPr>
          <w:rFonts w:ascii="微软雅黑" w:eastAsia="微软雅黑" w:hAnsi="微软雅黑" w:cs="宋体"/>
          <w:kern w:val="0"/>
          <w:sz w:val="24"/>
          <w:szCs w:val="24"/>
        </w:rPr>
        <w:t>博西尼或</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联</w:t>
      </w:r>
      <w:proofErr w:type="gramStart"/>
      <w:r w:rsidRPr="00685FA2">
        <w:rPr>
          <w:rFonts w:ascii="微软雅黑" w:eastAsia="微软雅黑" w:hAnsi="微软雅黑" w:cs="宋体"/>
          <w:kern w:val="0"/>
          <w:sz w:val="24"/>
          <w:szCs w:val="24"/>
        </w:rPr>
        <w:t>合帕</w:t>
      </w:r>
      <w:proofErr w:type="gramEnd"/>
      <w:r w:rsidRPr="00685FA2">
        <w:rPr>
          <w:rFonts w:ascii="微软雅黑" w:eastAsia="微软雅黑" w:hAnsi="微软雅黑" w:cs="宋体"/>
          <w:kern w:val="0"/>
          <w:sz w:val="24"/>
          <w:szCs w:val="24"/>
        </w:rPr>
        <w:t>博西尼和</w:t>
      </w:r>
      <w:proofErr w:type="spellStart"/>
      <w:r w:rsidRPr="00685FA2">
        <w:rPr>
          <w:rFonts w:ascii="微软雅黑" w:eastAsia="微软雅黑" w:hAnsi="微软雅黑" w:cs="宋体"/>
          <w:kern w:val="0"/>
          <w:sz w:val="24"/>
          <w:szCs w:val="24"/>
        </w:rPr>
        <w:t>lucitanib</w:t>
      </w:r>
      <w:proofErr w:type="spellEnd"/>
      <w:r w:rsidRPr="00685FA2">
        <w:rPr>
          <w:rFonts w:ascii="微软雅黑" w:eastAsia="微软雅黑" w:hAnsi="微软雅黑" w:cs="宋体"/>
          <w:kern w:val="0"/>
          <w:sz w:val="24"/>
          <w:szCs w:val="24"/>
        </w:rPr>
        <w:t>治疗小鼠。结果表明，三种药物联合使用在降低肿瘤负荷方面最为有效。事实上，仅3周后，肿瘤体积就减少了约50%。此外，肿瘤未过度表达 FGFR1 的小鼠在接受三联疗法或</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和帕博西尼治疗时，未出现任何差异，</w:t>
      </w:r>
      <w:proofErr w:type="gramStart"/>
      <w:r w:rsidRPr="00685FA2">
        <w:rPr>
          <w:rFonts w:ascii="微软雅黑" w:eastAsia="微软雅黑" w:hAnsi="微软雅黑" w:cs="宋体"/>
          <w:kern w:val="0"/>
          <w:sz w:val="24"/>
          <w:szCs w:val="24"/>
        </w:rPr>
        <w:t>这强调</w:t>
      </w:r>
      <w:proofErr w:type="gramEnd"/>
      <w:r w:rsidRPr="00685FA2">
        <w:rPr>
          <w:rFonts w:ascii="微软雅黑" w:eastAsia="微软雅黑" w:hAnsi="微软雅黑" w:cs="宋体"/>
          <w:kern w:val="0"/>
          <w:sz w:val="24"/>
          <w:szCs w:val="24"/>
        </w:rPr>
        <w:t>了鲁西他</w:t>
      </w:r>
      <w:proofErr w:type="gramStart"/>
      <w:r w:rsidRPr="00685FA2">
        <w:rPr>
          <w:rFonts w:ascii="微软雅黑" w:eastAsia="微软雅黑" w:hAnsi="微软雅黑" w:cs="宋体"/>
          <w:kern w:val="0"/>
          <w:sz w:val="24"/>
          <w:szCs w:val="24"/>
        </w:rPr>
        <w:t>尼能够</w:t>
      </w:r>
      <w:proofErr w:type="gramEnd"/>
      <w:r w:rsidRPr="00685FA2">
        <w:rPr>
          <w:rFonts w:ascii="微软雅黑" w:eastAsia="微软雅黑" w:hAnsi="微软雅黑" w:cs="宋体"/>
          <w:kern w:val="0"/>
          <w:sz w:val="24"/>
          <w:szCs w:val="24"/>
        </w:rPr>
        <w:t>成功靶向 FGFR 过度表达的细胞。</w:t>
      </w:r>
    </w:p>
    <w:p w14:paraId="414BCCC3"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尽管目前尚无临床试验评估通过此机制抑制FGFR1治疗对CDK4/6抑制剂耐药患者的疗效，但一项针对FGFR1扩增的转移性ER+/HER2-患者的</w:t>
      </w:r>
      <w:proofErr w:type="spellStart"/>
      <w:r w:rsidRPr="00685FA2">
        <w:rPr>
          <w:rFonts w:ascii="微软雅黑" w:eastAsia="微软雅黑" w:hAnsi="微软雅黑" w:cs="宋体"/>
          <w:kern w:val="0"/>
          <w:sz w:val="24"/>
          <w:szCs w:val="24"/>
        </w:rPr>
        <w:t>Ib</w:t>
      </w:r>
      <w:proofErr w:type="spellEnd"/>
      <w:r w:rsidRPr="00685FA2">
        <w:rPr>
          <w:rFonts w:ascii="微软雅黑" w:eastAsia="微软雅黑" w:hAnsi="微软雅黑" w:cs="宋体"/>
          <w:kern w:val="0"/>
          <w:sz w:val="24"/>
          <w:szCs w:val="24"/>
        </w:rPr>
        <w:t>期临床试验（ </w:t>
      </w:r>
      <w:hyperlink r:id="rId170" w:tgtFrame="_blank" w:history="1">
        <w:r w:rsidRPr="00685FA2">
          <w:rPr>
            <w:rFonts w:ascii="微软雅黑" w:eastAsia="微软雅黑" w:hAnsi="微软雅黑" w:cs="宋体"/>
            <w:kern w:val="0"/>
            <w:sz w:val="24"/>
            <w:szCs w:val="24"/>
            <w:u w:val="single"/>
          </w:rPr>
          <w:t>NCT03238196 ）即将完成[ </w:t>
        </w:r>
      </w:hyperlink>
      <w:hyperlink r:id="rId171" w:anchor="B89-ijms-22-12292" w:history="1">
        <w:r w:rsidRPr="00685FA2">
          <w:rPr>
            <w:rFonts w:ascii="微软雅黑" w:eastAsia="微软雅黑" w:hAnsi="微软雅黑" w:cs="宋体"/>
            <w:kern w:val="0"/>
            <w:sz w:val="24"/>
            <w:szCs w:val="24"/>
            <w:u w:val="single"/>
          </w:rPr>
          <w:t>89</w:t>
        </w:r>
      </w:hyperlink>
      <w:r w:rsidRPr="00685FA2">
        <w:rPr>
          <w:rFonts w:ascii="微软雅黑" w:eastAsia="微软雅黑" w:hAnsi="微软雅黑" w:cs="宋体"/>
          <w:kern w:val="0"/>
          <w:sz w:val="24"/>
          <w:szCs w:val="24"/>
        </w:rPr>
        <w:t> ]。该</w:t>
      </w:r>
      <w:proofErr w:type="spellStart"/>
      <w:r w:rsidRPr="00685FA2">
        <w:rPr>
          <w:rFonts w:ascii="微软雅黑" w:eastAsia="微软雅黑" w:hAnsi="微软雅黑" w:cs="宋体"/>
          <w:kern w:val="0"/>
          <w:sz w:val="24"/>
          <w:szCs w:val="24"/>
        </w:rPr>
        <w:t>Ib</w:t>
      </w:r>
      <w:proofErr w:type="spellEnd"/>
      <w:r w:rsidRPr="00685FA2">
        <w:rPr>
          <w:rFonts w:ascii="微软雅黑" w:eastAsia="微软雅黑" w:hAnsi="微软雅黑" w:cs="宋体"/>
          <w:kern w:val="0"/>
          <w:sz w:val="24"/>
          <w:szCs w:val="24"/>
        </w:rPr>
        <w:t>期临床试验旨在评估</w:t>
      </w:r>
      <w:proofErr w:type="gramStart"/>
      <w:r w:rsidRPr="00685FA2">
        <w:rPr>
          <w:rFonts w:ascii="微软雅黑" w:eastAsia="微软雅黑" w:hAnsi="微软雅黑" w:cs="宋体"/>
          <w:kern w:val="0"/>
          <w:sz w:val="24"/>
          <w:szCs w:val="24"/>
        </w:rPr>
        <w:t>厄达替尼</w:t>
      </w:r>
      <w:proofErr w:type="gramEnd"/>
      <w:r w:rsidRPr="00685FA2">
        <w:rPr>
          <w:rFonts w:ascii="微软雅黑" w:eastAsia="微软雅黑" w:hAnsi="微软雅黑" w:cs="宋体"/>
          <w:kern w:val="0"/>
          <w:sz w:val="24"/>
          <w:szCs w:val="24"/>
        </w:rPr>
        <w:t>的安全性、耐受性和疗效。患者每日一次服用4-8 mg</w:t>
      </w:r>
      <w:proofErr w:type="gramStart"/>
      <w:r w:rsidRPr="00685FA2">
        <w:rPr>
          <w:rFonts w:ascii="微软雅黑" w:eastAsia="微软雅黑" w:hAnsi="微软雅黑" w:cs="宋体"/>
          <w:kern w:val="0"/>
          <w:sz w:val="24"/>
          <w:szCs w:val="24"/>
        </w:rPr>
        <w:t>厄达替尼</w:t>
      </w:r>
      <w:proofErr w:type="gramEnd"/>
      <w:r w:rsidRPr="00685FA2">
        <w:rPr>
          <w:rFonts w:ascii="微软雅黑" w:eastAsia="微软雅黑" w:hAnsi="微软雅黑" w:cs="宋体"/>
          <w:kern w:val="0"/>
          <w:sz w:val="24"/>
          <w:szCs w:val="24"/>
        </w:rPr>
        <w:t>，联合每月一次500 mg</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注射和125 mg帕博西尼，作为标准治疗方案的一部分。治疗期间严重不良事件罕见，但包括转氨酶升高、血栓栓塞事件和结肠炎各一例。常见不良反应包括高磷血症、味觉障碍、腹泻、疲乏和中性粒细胞减少症。</w:t>
      </w:r>
      <w:proofErr w:type="gramStart"/>
      <w:r w:rsidRPr="00685FA2">
        <w:rPr>
          <w:rFonts w:ascii="微软雅黑" w:eastAsia="微软雅黑" w:hAnsi="微软雅黑" w:cs="宋体"/>
          <w:kern w:val="0"/>
          <w:sz w:val="24"/>
          <w:szCs w:val="24"/>
        </w:rPr>
        <w:t>厄达替尼</w:t>
      </w:r>
      <w:proofErr w:type="gramEnd"/>
      <w:r w:rsidRPr="00685FA2">
        <w:rPr>
          <w:rFonts w:ascii="微软雅黑" w:eastAsia="微软雅黑" w:hAnsi="微软雅黑" w:cs="宋体"/>
          <w:kern w:val="0"/>
          <w:sz w:val="24"/>
          <w:szCs w:val="24"/>
        </w:rPr>
        <w:t xml:space="preserve">的最大耐受剂量为 6 mg，试验中未观察到其与另外两种药物的相互作用。治疗开始后 6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月的临床获益率为 28%，中位无进展生存期 (PFS) 为 3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月。值得注意的是，FGFR1 扩增数量较高的患者的 PFS 延长至 6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 xml:space="preserve">月。这一获益将在 II </w:t>
      </w:r>
      <w:proofErr w:type="gramStart"/>
      <w:r w:rsidRPr="00685FA2">
        <w:rPr>
          <w:rFonts w:ascii="微软雅黑" w:eastAsia="微软雅黑" w:hAnsi="微软雅黑" w:cs="宋体"/>
          <w:kern w:val="0"/>
          <w:sz w:val="24"/>
          <w:szCs w:val="24"/>
        </w:rPr>
        <w:t>期试验</w:t>
      </w:r>
      <w:proofErr w:type="gramEnd"/>
      <w:r w:rsidRPr="00685FA2">
        <w:rPr>
          <w:rFonts w:ascii="微软雅黑" w:eastAsia="微软雅黑" w:hAnsi="微软雅黑" w:cs="宋体"/>
          <w:kern w:val="0"/>
          <w:sz w:val="24"/>
          <w:szCs w:val="24"/>
        </w:rPr>
        <w:t>中进一步评估。总体而言，由于对 CDK4/6 抑制剂耐药的乳腺癌患者可能因 FGFR1 扩增而产生耐药性，因此，如果未来的研究重点关注这一特定人群，则很可能观察到 FGFR1 抑制剂的相同治疗效果。</w:t>
      </w:r>
    </w:p>
    <w:p w14:paraId="13FB3CEB"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lastRenderedPageBreak/>
        <w:t>6.5. CDK2抑制剂</w:t>
      </w:r>
    </w:p>
    <w:p w14:paraId="285CC250"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 xml:space="preserve">由于 CDK2 参与了 CDK4/6 抑制剂耐药性的产生，因此靶向 CDK2 被认为是一种使细胞恢复敏感性的方法。这一想法在对帕博西尼产生耐药性的 MCF7 细胞中进行了验证。首先，将 CDK2 siRNA 转染到经帕博西尼处理的细胞中，以观察 CDK2 </w:t>
      </w:r>
      <w:proofErr w:type="gramStart"/>
      <w:r w:rsidRPr="00685FA2">
        <w:rPr>
          <w:rFonts w:ascii="微软雅黑" w:eastAsia="微软雅黑" w:hAnsi="微软雅黑" w:cs="宋体"/>
          <w:kern w:val="0"/>
          <w:sz w:val="24"/>
          <w:szCs w:val="24"/>
        </w:rPr>
        <w:t>敲低是否</w:t>
      </w:r>
      <w:proofErr w:type="gramEnd"/>
      <w:r w:rsidRPr="00685FA2">
        <w:rPr>
          <w:rFonts w:ascii="微软雅黑" w:eastAsia="微软雅黑" w:hAnsi="微软雅黑" w:cs="宋体"/>
          <w:kern w:val="0"/>
          <w:sz w:val="24"/>
          <w:szCs w:val="24"/>
        </w:rPr>
        <w:t>能使细胞恢复对帕博西尼的反应 [ </w:t>
      </w:r>
      <w:hyperlink r:id="rId172" w:anchor="B90-ijms-22-12292" w:history="1">
        <w:r w:rsidRPr="00685FA2">
          <w:rPr>
            <w:rFonts w:ascii="微软雅黑" w:eastAsia="微软雅黑" w:hAnsi="微软雅黑" w:cs="宋体"/>
            <w:kern w:val="0"/>
            <w:sz w:val="24"/>
            <w:szCs w:val="24"/>
            <w:u w:val="single"/>
          </w:rPr>
          <w:t>90</w:t>
        </w:r>
      </w:hyperlink>
      <w:r w:rsidRPr="00685FA2">
        <w:rPr>
          <w:rFonts w:ascii="微软雅黑" w:eastAsia="微软雅黑" w:hAnsi="微软雅黑" w:cs="宋体"/>
          <w:kern w:val="0"/>
          <w:sz w:val="24"/>
          <w:szCs w:val="24"/>
        </w:rPr>
        <w:t xml:space="preserve"> ]。结果表明，CDK2 </w:t>
      </w:r>
      <w:proofErr w:type="gramStart"/>
      <w:r w:rsidRPr="00685FA2">
        <w:rPr>
          <w:rFonts w:ascii="微软雅黑" w:eastAsia="微软雅黑" w:hAnsi="微软雅黑" w:cs="宋体"/>
          <w:kern w:val="0"/>
          <w:sz w:val="24"/>
          <w:szCs w:val="24"/>
        </w:rPr>
        <w:t>敲低确实</w:t>
      </w:r>
      <w:proofErr w:type="gramEnd"/>
      <w:r w:rsidRPr="00685FA2">
        <w:rPr>
          <w:rFonts w:ascii="微软雅黑" w:eastAsia="微软雅黑" w:hAnsi="微软雅黑" w:cs="宋体"/>
          <w:kern w:val="0"/>
          <w:sz w:val="24"/>
          <w:szCs w:val="24"/>
        </w:rPr>
        <w:t>使先前耐药的细胞对 CDK4/6 抑制剂产生了反应。随后，通过蛋白质印迹分析证实，CDK2 和 CDK4/6 的抑制具有协同作用，因为它们会导致磷酸化 C-MYC 水平降低，从而使 C-MYC 不稳定 [ </w:t>
      </w:r>
      <w:hyperlink r:id="rId173" w:anchor="B90-ijms-22-12292" w:history="1">
        <w:r w:rsidRPr="00685FA2">
          <w:rPr>
            <w:rFonts w:ascii="微软雅黑" w:eastAsia="微软雅黑" w:hAnsi="微软雅黑" w:cs="宋体"/>
            <w:kern w:val="0"/>
            <w:sz w:val="24"/>
            <w:szCs w:val="24"/>
            <w:u w:val="single"/>
          </w:rPr>
          <w:t>90</w:t>
        </w:r>
      </w:hyperlink>
      <w:r w:rsidRPr="00685FA2">
        <w:rPr>
          <w:rFonts w:ascii="微软雅黑" w:eastAsia="微软雅黑" w:hAnsi="微软雅黑" w:cs="宋体"/>
          <w:kern w:val="0"/>
          <w:sz w:val="24"/>
          <w:szCs w:val="24"/>
        </w:rPr>
        <w:t> ]。磷酸化的 C-MYC 稳定，使细胞能够逃避衰老。这些实验在异种移植模型中重复进行，并获得了相同的结果。总之，这些实验表明，抑制 CDK2 可以通过迫使细胞衰老来帮助细胞克服对 CDK4/6 抑制剂的耐药性。</w:t>
      </w:r>
    </w:p>
    <w:p w14:paraId="099740B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目前，多种 CDK2 小分子抑制剂正在研发中，旨在用于治疗对 CDK4/6 抑制剂具有固有或获得性耐药性的患者。在体外 CDK4/6 抑制剂耐药细胞中，CDK2 抑制剂既能降低细胞增殖，又能将细胞阻滞在 G2/M 期 [ </w:t>
      </w:r>
      <w:hyperlink r:id="rId174" w:anchor="B91-ijms-22-12292" w:history="1">
        <w:r w:rsidRPr="00685FA2">
          <w:rPr>
            <w:rFonts w:ascii="微软雅黑" w:eastAsia="微软雅黑" w:hAnsi="微软雅黑" w:cs="宋体"/>
            <w:kern w:val="0"/>
            <w:sz w:val="24"/>
            <w:szCs w:val="24"/>
            <w:u w:val="single"/>
          </w:rPr>
          <w:t>91</w:t>
        </w:r>
      </w:hyperlink>
      <w:r w:rsidRPr="00685FA2">
        <w:rPr>
          <w:rFonts w:ascii="微软雅黑" w:eastAsia="微软雅黑" w:hAnsi="微软雅黑" w:cs="宋体"/>
          <w:kern w:val="0"/>
          <w:sz w:val="24"/>
          <w:szCs w:val="24"/>
        </w:rPr>
        <w:t> ]。这些实验也在小鼠异种移植模型中重复进行，以评估这些药物在 CDK4/6 抑制剂获得性耐药的体内模型中的疗效。Lim 等人 [ </w:t>
      </w:r>
      <w:hyperlink r:id="rId175" w:anchor="B2-ijms-22-12292" w:history="1">
        <w:r w:rsidRPr="00685FA2">
          <w:rPr>
            <w:rFonts w:ascii="微软雅黑" w:eastAsia="微软雅黑" w:hAnsi="微软雅黑" w:cs="宋体"/>
            <w:kern w:val="0"/>
            <w:sz w:val="24"/>
            <w:szCs w:val="24"/>
            <w:u w:val="single"/>
          </w:rPr>
          <w:t>2</w:t>
        </w:r>
      </w:hyperlink>
      <w:r w:rsidRPr="00685FA2">
        <w:rPr>
          <w:rFonts w:ascii="微软雅黑" w:eastAsia="微软雅黑" w:hAnsi="微软雅黑" w:cs="宋体"/>
          <w:kern w:val="0"/>
          <w:sz w:val="24"/>
          <w:szCs w:val="24"/>
        </w:rPr>
        <w:t> ] 的研究也表明，使用 CDK2/9 抑制剂 CYC065 靶向 CDK2 可以帮助对 CDK4/6 抑制剂和内分泌疗法耐药的 MCF7 细胞和 MCF7 衍生异种移植</w:t>
      </w:r>
      <w:proofErr w:type="gramStart"/>
      <w:r w:rsidRPr="00685FA2">
        <w:rPr>
          <w:rFonts w:ascii="微软雅黑" w:eastAsia="微软雅黑" w:hAnsi="微软雅黑" w:cs="宋体"/>
          <w:kern w:val="0"/>
          <w:sz w:val="24"/>
          <w:szCs w:val="24"/>
        </w:rPr>
        <w:t>瘤恢复</w:t>
      </w:r>
      <w:proofErr w:type="gramEnd"/>
      <w:r w:rsidRPr="00685FA2">
        <w:rPr>
          <w:rFonts w:ascii="微软雅黑" w:eastAsia="微软雅黑" w:hAnsi="微软雅黑" w:cs="宋体"/>
          <w:kern w:val="0"/>
          <w:sz w:val="24"/>
          <w:szCs w:val="24"/>
        </w:rPr>
        <w:t>敏感性。令人振奋的是，药理学抑制 CDK2 是一种克服 CDK4/6 抑制剂耐药性的一种很有前景的新方法。</w:t>
      </w:r>
    </w:p>
    <w:p w14:paraId="0A9A9B87"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6.6 化疗</w:t>
      </w:r>
    </w:p>
    <w:p w14:paraId="684D44DC"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遗憾的是，由于Rb基因缺失而产生耐药性的肿瘤无法直接针对该突变进行治疗。为了探究Rb基因缺失是否与化疗疗效更佳相关，研究人员开展了相关实验，以评估其是否是一种可行的替代治疗方案。他们利用乳腺癌患者的基因表达数据集，旨在确定Rb信号通路减弱的患者是否比Rb基因完整的患者对化疗的反应更好[ </w:t>
      </w:r>
      <w:hyperlink r:id="rId176" w:anchor="B92-ijms-22-12292" w:history="1">
        <w:r w:rsidRPr="00685FA2">
          <w:rPr>
            <w:rFonts w:ascii="微软雅黑" w:eastAsia="微软雅黑" w:hAnsi="微软雅黑" w:cs="宋体"/>
            <w:kern w:val="0"/>
            <w:sz w:val="24"/>
            <w:szCs w:val="24"/>
            <w:u w:val="single"/>
          </w:rPr>
          <w:t>92</w:t>
        </w:r>
      </w:hyperlink>
      <w:r w:rsidRPr="00685FA2">
        <w:rPr>
          <w:rFonts w:ascii="微软雅黑" w:eastAsia="微软雅黑" w:hAnsi="微软雅黑" w:cs="宋体"/>
          <w:kern w:val="0"/>
          <w:sz w:val="24"/>
          <w:szCs w:val="24"/>
        </w:rPr>
        <w:t> ]。研究发现，接受三种不同化疗方案（5-氟尿嘧啶/阿霉素/环磷酰胺、紫杉烷/阿霉素/环磷酰胺和紫杉烷/5-氟尿嘧啶/阿霉素/环磷酰胺）治疗的Rb基因突变乳腺癌患者通常对治疗有完全反应。然而，幸运的是，这些肿瘤通常对化疗敏感，因为Rb基因突变实际上会使细胞对DNA损伤药物更加敏感。研究人员还利用免疫组织化学（IHC）方法检测了治疗前活检样本中的Rb基因水平，并得出了相同的结果。重要的是，在临床环境中，可以在治疗前轻松地对活检样本进行 IHC 分析，以评估患者对化疗是否会产生良好的反应。</w:t>
      </w:r>
    </w:p>
    <w:p w14:paraId="77579C50"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尽管在临床上，CDK4/6抑制剂治疗进展后通常会采用化疗，但几乎没有试验真正评估过这种策略是否特别有效。为了收集相关数据，Rossi等人[ </w:t>
      </w:r>
      <w:hyperlink r:id="rId177" w:anchor="B93-ijms-22-12292" w:history="1">
        <w:r w:rsidRPr="00685FA2">
          <w:rPr>
            <w:rFonts w:ascii="微软雅黑" w:eastAsia="微软雅黑" w:hAnsi="微软雅黑" w:cs="宋体"/>
            <w:kern w:val="0"/>
            <w:sz w:val="24"/>
            <w:szCs w:val="24"/>
            <w:u w:val="single"/>
          </w:rPr>
          <w:t>93</w:t>
        </w:r>
      </w:hyperlink>
      <w:r w:rsidRPr="00685FA2">
        <w:rPr>
          <w:rFonts w:ascii="微软雅黑" w:eastAsia="微软雅黑" w:hAnsi="微软雅黑" w:cs="宋体"/>
          <w:kern w:val="0"/>
          <w:sz w:val="24"/>
          <w:szCs w:val="24"/>
        </w:rPr>
        <w:t> ]分析了前述</w:t>
      </w:r>
      <w:proofErr w:type="spellStart"/>
      <w:r w:rsidRPr="00685FA2">
        <w:rPr>
          <w:rFonts w:ascii="微软雅黑" w:eastAsia="微软雅黑" w:hAnsi="微软雅黑" w:cs="宋体"/>
          <w:kern w:val="0"/>
          <w:sz w:val="24"/>
          <w:szCs w:val="24"/>
        </w:rPr>
        <w:t>TREnd</w:t>
      </w:r>
      <w:proofErr w:type="spellEnd"/>
      <w:r w:rsidRPr="00685FA2">
        <w:rPr>
          <w:rFonts w:ascii="微软雅黑" w:eastAsia="微软雅黑" w:hAnsi="微软雅黑" w:cs="宋体"/>
          <w:kern w:val="0"/>
          <w:sz w:val="24"/>
          <w:szCs w:val="24"/>
        </w:rPr>
        <w:t>试验中部分患者的预后情况。在患者出现疾病进展并退出试验后，研究人员对接受化疗或内分泌治疗的患者进行了回顾性随访。接受化疗患者的中</w:t>
      </w:r>
      <w:proofErr w:type="gramStart"/>
      <w:r w:rsidRPr="00685FA2">
        <w:rPr>
          <w:rFonts w:ascii="微软雅黑" w:eastAsia="微软雅黑" w:hAnsi="微软雅黑" w:cs="宋体"/>
          <w:kern w:val="0"/>
          <w:sz w:val="24"/>
          <w:szCs w:val="24"/>
        </w:rPr>
        <w:t>位治疗</w:t>
      </w:r>
      <w:proofErr w:type="gramEnd"/>
      <w:r w:rsidRPr="00685FA2">
        <w:rPr>
          <w:rFonts w:ascii="微软雅黑" w:eastAsia="微软雅黑" w:hAnsi="微软雅黑" w:cs="宋体"/>
          <w:kern w:val="0"/>
          <w:sz w:val="24"/>
          <w:szCs w:val="24"/>
        </w:rPr>
        <w:t>失败时间为4.6个月，而接受内分泌治疗患者的中</w:t>
      </w:r>
      <w:proofErr w:type="gramStart"/>
      <w:r w:rsidRPr="00685FA2">
        <w:rPr>
          <w:rFonts w:ascii="微软雅黑" w:eastAsia="微软雅黑" w:hAnsi="微软雅黑" w:cs="宋体"/>
          <w:kern w:val="0"/>
          <w:sz w:val="24"/>
          <w:szCs w:val="24"/>
        </w:rPr>
        <w:t>位治疗</w:t>
      </w:r>
      <w:proofErr w:type="gramEnd"/>
      <w:r w:rsidRPr="00685FA2">
        <w:rPr>
          <w:rFonts w:ascii="微软雅黑" w:eastAsia="微软雅黑" w:hAnsi="微软雅黑" w:cs="宋体"/>
          <w:kern w:val="0"/>
          <w:sz w:val="24"/>
          <w:szCs w:val="24"/>
        </w:rPr>
        <w:t>失败时间为3.7个月[ </w:t>
      </w:r>
      <w:hyperlink r:id="rId178" w:anchor="B93-ijms-22-12292" w:history="1">
        <w:r w:rsidRPr="00685FA2">
          <w:rPr>
            <w:rFonts w:ascii="微软雅黑" w:eastAsia="微软雅黑" w:hAnsi="微软雅黑" w:cs="宋体"/>
            <w:kern w:val="0"/>
            <w:sz w:val="24"/>
            <w:szCs w:val="24"/>
            <w:u w:val="single"/>
          </w:rPr>
          <w:t>93</w:t>
        </w:r>
      </w:hyperlink>
      <w:r w:rsidRPr="00685FA2">
        <w:rPr>
          <w:rFonts w:ascii="微软雅黑" w:eastAsia="微软雅黑" w:hAnsi="微软雅黑" w:cs="宋体"/>
          <w:kern w:val="0"/>
          <w:sz w:val="24"/>
          <w:szCs w:val="24"/>
        </w:rPr>
        <w:t> ]。虽然这一时间差异很小，但确实表明，CDK4/6抑制剂治疗进展的患者确实能从化疗中获得一些益处。</w:t>
      </w:r>
    </w:p>
    <w:p w14:paraId="77149495"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目前正在研究将化疗与 CDK4/6 抑制剂联合使用，以提高其作为一线治疗方案的疗效。如果这两种药物在患者体内表现出协同作用，则有望通过化疗延长甚至预防 CDK4/6 抑制剂耐药性的产生。一项 I 期临床试验 ( </w:t>
      </w:r>
      <w:hyperlink r:id="rId179" w:tgtFrame="_blank" w:history="1">
        <w:r w:rsidRPr="00685FA2">
          <w:rPr>
            <w:rFonts w:ascii="微软雅黑" w:eastAsia="微软雅黑" w:hAnsi="微软雅黑" w:cs="宋体"/>
            <w:kern w:val="0"/>
            <w:sz w:val="24"/>
            <w:szCs w:val="24"/>
            <w:u w:val="single"/>
          </w:rPr>
          <w:t>NCT01320592</w:t>
        </w:r>
      </w:hyperlink>
      <w:r w:rsidRPr="00685FA2">
        <w:rPr>
          <w:rFonts w:ascii="微软雅黑" w:eastAsia="微软雅黑" w:hAnsi="微软雅黑" w:cs="宋体"/>
          <w:kern w:val="0"/>
          <w:sz w:val="24"/>
          <w:szCs w:val="24"/>
        </w:rPr>
        <w:t> ) 首</w:t>
      </w:r>
      <w:r w:rsidRPr="00685FA2">
        <w:rPr>
          <w:rFonts w:ascii="微软雅黑" w:eastAsia="微软雅黑" w:hAnsi="微软雅黑" w:cs="宋体"/>
          <w:kern w:val="0"/>
          <w:sz w:val="24"/>
          <w:szCs w:val="24"/>
        </w:rPr>
        <w:lastRenderedPageBreak/>
        <w:t>次研究了帕博西尼与化疗药物紫杉</w:t>
      </w:r>
      <w:proofErr w:type="gramStart"/>
      <w:r w:rsidRPr="00685FA2">
        <w:rPr>
          <w:rFonts w:ascii="微软雅黑" w:eastAsia="微软雅黑" w:hAnsi="微软雅黑" w:cs="宋体"/>
          <w:kern w:val="0"/>
          <w:sz w:val="24"/>
          <w:szCs w:val="24"/>
        </w:rPr>
        <w:t>醇</w:t>
      </w:r>
      <w:proofErr w:type="gramEnd"/>
      <w:r w:rsidRPr="00685FA2">
        <w:rPr>
          <w:rFonts w:ascii="微软雅黑" w:eastAsia="微软雅黑" w:hAnsi="微软雅黑" w:cs="宋体"/>
          <w:kern w:val="0"/>
          <w:sz w:val="24"/>
          <w:szCs w:val="24"/>
        </w:rPr>
        <w:t>联合用药，以评估这两种药物在晚期乳腺癌患者中的联合疗效和耐受性 [ </w:t>
      </w:r>
      <w:hyperlink r:id="rId180" w:anchor="B94-ijms-22-12292" w:history="1">
        <w:r w:rsidRPr="00685FA2">
          <w:rPr>
            <w:rFonts w:ascii="微软雅黑" w:eastAsia="微软雅黑" w:hAnsi="微软雅黑" w:cs="宋体"/>
            <w:kern w:val="0"/>
            <w:sz w:val="24"/>
            <w:szCs w:val="24"/>
            <w:u w:val="single"/>
          </w:rPr>
          <w:t>94</w:t>
        </w:r>
      </w:hyperlink>
      <w:r w:rsidRPr="00685FA2">
        <w:rPr>
          <w:rFonts w:ascii="微软雅黑" w:eastAsia="微软雅黑" w:hAnsi="微软雅黑" w:cs="宋体"/>
          <w:kern w:val="0"/>
          <w:sz w:val="24"/>
          <w:szCs w:val="24"/>
        </w:rPr>
        <w:t> ]。帕博西尼的给药方案为：连续 5 天服用 50 毫克，停药 2 天，持续 3 周，28 天为一个周期。患者在开始帕博西尼治疗的前一天以及停用帕博西尼的当周的第 22 天接受紫杉</w:t>
      </w:r>
      <w:proofErr w:type="gramStart"/>
      <w:r w:rsidRPr="00685FA2">
        <w:rPr>
          <w:rFonts w:ascii="微软雅黑" w:eastAsia="微软雅黑" w:hAnsi="微软雅黑" w:cs="宋体"/>
          <w:kern w:val="0"/>
          <w:sz w:val="24"/>
          <w:szCs w:val="24"/>
        </w:rPr>
        <w:t>醇</w:t>
      </w:r>
      <w:proofErr w:type="gramEnd"/>
      <w:r w:rsidRPr="00685FA2">
        <w:rPr>
          <w:rFonts w:ascii="微软雅黑" w:eastAsia="微软雅黑" w:hAnsi="微软雅黑" w:cs="宋体"/>
          <w:kern w:val="0"/>
          <w:sz w:val="24"/>
          <w:szCs w:val="24"/>
        </w:rPr>
        <w:t xml:space="preserve">治疗。该方案持续 3 </w:t>
      </w:r>
      <w:proofErr w:type="gramStart"/>
      <w:r w:rsidRPr="00685FA2">
        <w:rPr>
          <w:rFonts w:ascii="微软雅黑" w:eastAsia="微软雅黑" w:hAnsi="微软雅黑" w:cs="宋体"/>
          <w:kern w:val="0"/>
          <w:sz w:val="24"/>
          <w:szCs w:val="24"/>
        </w:rPr>
        <w:t>个</w:t>
      </w:r>
      <w:proofErr w:type="gramEnd"/>
      <w:r w:rsidRPr="00685FA2">
        <w:rPr>
          <w:rFonts w:ascii="微软雅黑" w:eastAsia="微软雅黑" w:hAnsi="微软雅黑" w:cs="宋体"/>
          <w:kern w:val="0"/>
          <w:sz w:val="24"/>
          <w:szCs w:val="24"/>
        </w:rPr>
        <w:t>月。之后，除停用帕博西尼期间不再使用紫杉醇外，其他治疗方案保持不变。六个疗程后疗效不佳的患者有机会将帕博西尼剂量增加至下一个较高剂量：75 mg、100 mg 或 125 mg。值得注意的是，这两种药物不能在同一天给药，因为临床前研究表明，它们同时服用时会产生拮抗作用[ </w:t>
      </w:r>
      <w:hyperlink r:id="rId181" w:anchor="B94-ijms-22-12292" w:history="1">
        <w:r w:rsidRPr="00685FA2">
          <w:rPr>
            <w:rFonts w:ascii="微软雅黑" w:eastAsia="微软雅黑" w:hAnsi="微软雅黑" w:cs="宋体"/>
            <w:kern w:val="0"/>
            <w:sz w:val="24"/>
            <w:szCs w:val="24"/>
            <w:u w:val="single"/>
          </w:rPr>
          <w:t>94</w:t>
        </w:r>
      </w:hyperlink>
      <w:r w:rsidRPr="00685FA2">
        <w:rPr>
          <w:rFonts w:ascii="微软雅黑" w:eastAsia="微软雅黑" w:hAnsi="微软雅黑" w:cs="宋体"/>
          <w:kern w:val="0"/>
          <w:sz w:val="24"/>
          <w:szCs w:val="24"/>
        </w:rPr>
        <w:t> ]。在整个研究过程中，许多患者出现 3/4 级中性粒细胞减少症，导致部分患者需要降低帕博西尼的剂量。然而，不良事件的发生率和严重程度并不高于单独服用任</w:t>
      </w:r>
      <w:proofErr w:type="gramStart"/>
      <w:r w:rsidRPr="00685FA2">
        <w:rPr>
          <w:rFonts w:ascii="微软雅黑" w:eastAsia="微软雅黑" w:hAnsi="微软雅黑" w:cs="宋体"/>
          <w:kern w:val="0"/>
          <w:sz w:val="24"/>
          <w:szCs w:val="24"/>
        </w:rPr>
        <w:t>一</w:t>
      </w:r>
      <w:proofErr w:type="gramEnd"/>
      <w:r w:rsidRPr="00685FA2">
        <w:rPr>
          <w:rFonts w:ascii="微软雅黑" w:eastAsia="微软雅黑" w:hAnsi="微软雅黑" w:cs="宋体"/>
          <w:kern w:val="0"/>
          <w:sz w:val="24"/>
          <w:szCs w:val="24"/>
        </w:rPr>
        <w:t>药物的情况。治疗效果由缓解率和无进展生存期 (PFS) 共同决定，并随帕博西尼剂量而变化。 50 mg、75 mg、100 mg 和 125 mg 组的客观缓解率分别为 50%、44%、50% 和 33.3%。各组的中位无进展生存期（PFS）依次为 105 天、812 天、234 天和 209 天。总体而言，本研究表明 CDK4/6 抑制剂联合化疗是一种安全有效的方案。未来的研究需要比较接受该联合治疗的患者与接受 CDK4/6 抑制剂单药治疗的患者的 PFS 和客观缓解率，以评估该方案是否是延长乳腺癌患者 CDK4/6 抑制剂耐药性的可行方法。</w:t>
      </w:r>
    </w:p>
    <w:p w14:paraId="6B950B24"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6.7 自噬抑制剂</w:t>
      </w:r>
    </w:p>
    <w:p w14:paraId="4FD95D63"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当出现 CDK4/6 抑制剂耐药性时，自噬抑制剂是一种很有前景的治疗选择。通过 shRNA 下调两种自噬基因 Atg-5 和 Beclin-1 来抑制自噬，可使 ER+ 乳腺癌细胞对帕博西尼敏感，并导致不可逆的细胞周期阻滞和生长抑制 [ </w:t>
      </w:r>
      <w:hyperlink r:id="rId182" w:anchor="B60-ijms-22-12292" w:history="1">
        <w:r w:rsidRPr="00685FA2">
          <w:rPr>
            <w:rFonts w:ascii="微软雅黑" w:eastAsia="微软雅黑" w:hAnsi="微软雅黑" w:cs="宋体"/>
            <w:kern w:val="0"/>
            <w:sz w:val="24"/>
            <w:szCs w:val="24"/>
            <w:u w:val="single"/>
          </w:rPr>
          <w:t>60</w:t>
        </w:r>
      </w:hyperlink>
      <w:r w:rsidRPr="00685FA2">
        <w:rPr>
          <w:rFonts w:ascii="微软雅黑" w:eastAsia="微软雅黑" w:hAnsi="微软雅黑" w:cs="宋体"/>
          <w:kern w:val="0"/>
          <w:sz w:val="24"/>
          <w:szCs w:val="24"/>
        </w:rPr>
        <w:t> ]。在</w:t>
      </w:r>
      <w:r w:rsidRPr="00685FA2">
        <w:rPr>
          <w:rFonts w:ascii="微软雅黑" w:eastAsia="微软雅黑" w:hAnsi="微软雅黑" w:cs="宋体"/>
          <w:kern w:val="0"/>
          <w:sz w:val="24"/>
          <w:szCs w:val="24"/>
        </w:rPr>
        <w:lastRenderedPageBreak/>
        <w:t>用帕博西尼和</w:t>
      </w:r>
      <w:proofErr w:type="gramStart"/>
      <w:r w:rsidRPr="00685FA2">
        <w:rPr>
          <w:rFonts w:ascii="微软雅黑" w:eastAsia="微软雅黑" w:hAnsi="微软雅黑" w:cs="宋体"/>
          <w:kern w:val="0"/>
          <w:sz w:val="24"/>
          <w:szCs w:val="24"/>
        </w:rPr>
        <w:t>羟氯喹</w:t>
      </w:r>
      <w:proofErr w:type="gramEnd"/>
      <w:r w:rsidRPr="00685FA2">
        <w:rPr>
          <w:rFonts w:ascii="微软雅黑" w:eastAsia="微软雅黑" w:hAnsi="微软雅黑" w:cs="宋体"/>
          <w:kern w:val="0"/>
          <w:sz w:val="24"/>
          <w:szCs w:val="24"/>
        </w:rPr>
        <w:t>（一种自噬抑制剂）联合治疗的细胞和异种移植瘤中也观察到了相同的结果。这些药物协同作用的一种可能机制是，自噬通常会降解活性氧 (ROS)。自噬抑制剂会导致 ROS 水平升高，从而诱导细胞衰老和凋亡 [ </w:t>
      </w:r>
      <w:hyperlink r:id="rId183" w:anchor="B60-ijms-22-12292" w:history="1">
        <w:r w:rsidRPr="00685FA2">
          <w:rPr>
            <w:rFonts w:ascii="微软雅黑" w:eastAsia="微软雅黑" w:hAnsi="微软雅黑" w:cs="宋体"/>
            <w:kern w:val="0"/>
            <w:sz w:val="24"/>
            <w:szCs w:val="24"/>
            <w:u w:val="single"/>
          </w:rPr>
          <w:t>60</w:t>
        </w:r>
      </w:hyperlink>
      <w:r w:rsidRPr="00685FA2">
        <w:rPr>
          <w:rFonts w:ascii="微软雅黑" w:eastAsia="微软雅黑" w:hAnsi="微软雅黑" w:cs="宋体"/>
          <w:kern w:val="0"/>
          <w:sz w:val="24"/>
          <w:szCs w:val="24"/>
        </w:rPr>
        <w:t> ]。</w:t>
      </w:r>
    </w:p>
    <w:p w14:paraId="60E07BCD"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如在对</w:t>
      </w:r>
      <w:proofErr w:type="gramStart"/>
      <w:r w:rsidRPr="00685FA2">
        <w:rPr>
          <w:rFonts w:ascii="微软雅黑" w:eastAsia="微软雅黑" w:hAnsi="微软雅黑" w:cs="宋体"/>
          <w:kern w:val="0"/>
          <w:sz w:val="24"/>
          <w:szCs w:val="24"/>
        </w:rPr>
        <w:t>蒽</w:t>
      </w:r>
      <w:proofErr w:type="gramEnd"/>
      <w:r w:rsidRPr="00685FA2">
        <w:rPr>
          <w:rFonts w:ascii="微软雅黑" w:eastAsia="微软雅黑" w:hAnsi="微软雅黑" w:cs="宋体"/>
          <w:kern w:val="0"/>
          <w:sz w:val="24"/>
          <w:szCs w:val="24"/>
        </w:rPr>
        <w:t>环类药物耐药的三阴性乳腺癌中所示，自噬抑制剂可有效辅助</w:t>
      </w:r>
      <w:proofErr w:type="gramStart"/>
      <w:r w:rsidRPr="00685FA2">
        <w:rPr>
          <w:rFonts w:ascii="微软雅黑" w:eastAsia="微软雅黑" w:hAnsi="微软雅黑" w:cs="宋体"/>
          <w:kern w:val="0"/>
          <w:sz w:val="24"/>
          <w:szCs w:val="24"/>
        </w:rPr>
        <w:t>蒽</w:t>
      </w:r>
      <w:proofErr w:type="gramEnd"/>
      <w:r w:rsidRPr="00685FA2">
        <w:rPr>
          <w:rFonts w:ascii="微软雅黑" w:eastAsia="微软雅黑" w:hAnsi="微软雅黑" w:cs="宋体"/>
          <w:kern w:val="0"/>
          <w:sz w:val="24"/>
          <w:szCs w:val="24"/>
        </w:rPr>
        <w:t>环类药物，降低细胞增殖和存活率。诱导细胞凋亡是自噬抑制剂发挥作用的另一个重要机制。在进行caspase活性检测之前，对自噬相关基因产物自噬相关蛋白5 (ATG5) 和自噬相关蛋白7 (ATG7) 进行分子敲低，结果表明，自噬水平的降低与耐药细胞中caspase-3和caspase-7的增加相关。抑制自噬诱导caspase依赖性细胞死亡</w:t>
      </w:r>
      <w:proofErr w:type="gramStart"/>
      <w:r w:rsidRPr="00685FA2">
        <w:rPr>
          <w:rFonts w:ascii="微软雅黑" w:eastAsia="微软雅黑" w:hAnsi="微软雅黑" w:cs="宋体"/>
          <w:kern w:val="0"/>
          <w:sz w:val="24"/>
          <w:szCs w:val="24"/>
        </w:rPr>
        <w:t>是靶向</w:t>
      </w:r>
      <w:proofErr w:type="gramEnd"/>
      <w:r w:rsidRPr="00685FA2">
        <w:rPr>
          <w:rFonts w:ascii="微软雅黑" w:eastAsia="微软雅黑" w:hAnsi="微软雅黑" w:cs="宋体"/>
          <w:kern w:val="0"/>
          <w:sz w:val="24"/>
          <w:szCs w:val="24"/>
        </w:rPr>
        <w:t>自噬以应对药物治疗的细胞的原因之一[ </w:t>
      </w:r>
      <w:hyperlink r:id="rId184" w:anchor="B59-ijms-22-12292" w:history="1">
        <w:r w:rsidRPr="00685FA2">
          <w:rPr>
            <w:rFonts w:ascii="微软雅黑" w:eastAsia="微软雅黑" w:hAnsi="微软雅黑" w:cs="宋体"/>
            <w:kern w:val="0"/>
            <w:sz w:val="24"/>
            <w:szCs w:val="24"/>
            <w:u w:val="single"/>
          </w:rPr>
          <w:t>59</w:t>
        </w:r>
      </w:hyperlink>
      <w:r w:rsidRPr="00685FA2">
        <w:rPr>
          <w:rFonts w:ascii="微软雅黑" w:eastAsia="微软雅黑" w:hAnsi="微软雅黑" w:cs="宋体"/>
          <w:kern w:val="0"/>
          <w:sz w:val="24"/>
          <w:szCs w:val="24"/>
        </w:rPr>
        <w:t> ]。由于自噬是ER+肿瘤对CDK4/6抑制剂产生耐药性的已知机制，未来的研究应重点使用该亚型乳腺癌模型重复此实验，以证实这种克服耐药性的机制在ER+人群中也有效。</w:t>
      </w:r>
    </w:p>
    <w:p w14:paraId="1EFA4356"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目前正在进行一项临床试验（</w:t>
      </w:r>
      <w:hyperlink r:id="rId185" w:tgtFrame="_blank" w:history="1">
        <w:r w:rsidRPr="00685FA2">
          <w:rPr>
            <w:rFonts w:ascii="微软雅黑" w:eastAsia="微软雅黑" w:hAnsi="微软雅黑" w:cs="宋体"/>
            <w:kern w:val="0"/>
            <w:sz w:val="24"/>
            <w:szCs w:val="24"/>
            <w:u w:val="single"/>
          </w:rPr>
          <w:t>NCT04841148</w:t>
        </w:r>
      </w:hyperlink>
      <w:r w:rsidRPr="00685FA2">
        <w:rPr>
          <w:rFonts w:ascii="微软雅黑" w:eastAsia="微软雅黑" w:hAnsi="微软雅黑" w:cs="宋体"/>
          <w:kern w:val="0"/>
          <w:sz w:val="24"/>
          <w:szCs w:val="24"/>
        </w:rPr>
        <w:t>），旨在评估</w:t>
      </w:r>
      <w:proofErr w:type="gramStart"/>
      <w:r w:rsidRPr="00685FA2">
        <w:rPr>
          <w:rFonts w:ascii="微软雅黑" w:eastAsia="微软雅黑" w:hAnsi="微软雅黑" w:cs="宋体"/>
          <w:kern w:val="0"/>
          <w:sz w:val="24"/>
          <w:szCs w:val="24"/>
        </w:rPr>
        <w:t>羟</w:t>
      </w:r>
      <w:proofErr w:type="gramEnd"/>
      <w:r w:rsidRPr="00685FA2">
        <w:rPr>
          <w:rFonts w:ascii="微软雅黑" w:eastAsia="微软雅黑" w:hAnsi="微软雅黑" w:cs="宋体"/>
          <w:kern w:val="0"/>
          <w:sz w:val="24"/>
          <w:szCs w:val="24"/>
        </w:rPr>
        <w:t>氯喹联</w:t>
      </w:r>
      <w:proofErr w:type="gramStart"/>
      <w:r w:rsidRPr="00685FA2">
        <w:rPr>
          <w:rFonts w:ascii="微软雅黑" w:eastAsia="微软雅黑" w:hAnsi="微软雅黑" w:cs="宋体"/>
          <w:kern w:val="0"/>
          <w:sz w:val="24"/>
          <w:szCs w:val="24"/>
        </w:rPr>
        <w:t>合帕</w:t>
      </w:r>
      <w:proofErr w:type="gramEnd"/>
      <w:r w:rsidRPr="00685FA2">
        <w:rPr>
          <w:rFonts w:ascii="微软雅黑" w:eastAsia="微软雅黑" w:hAnsi="微软雅黑" w:cs="宋体"/>
          <w:kern w:val="0"/>
          <w:sz w:val="24"/>
          <w:szCs w:val="24"/>
        </w:rPr>
        <w:t>博西</w:t>
      </w:r>
      <w:proofErr w:type="gramStart"/>
      <w:r w:rsidRPr="00685FA2">
        <w:rPr>
          <w:rFonts w:ascii="微软雅黑" w:eastAsia="微软雅黑" w:hAnsi="微软雅黑" w:cs="宋体"/>
          <w:kern w:val="0"/>
          <w:sz w:val="24"/>
          <w:szCs w:val="24"/>
        </w:rPr>
        <w:t>尼治疗</w:t>
      </w:r>
      <w:proofErr w:type="gramEnd"/>
      <w:r w:rsidRPr="00685FA2">
        <w:rPr>
          <w:rFonts w:ascii="微软雅黑" w:eastAsia="微软雅黑" w:hAnsi="微软雅黑" w:cs="宋体"/>
          <w:kern w:val="0"/>
          <w:sz w:val="24"/>
          <w:szCs w:val="24"/>
        </w:rPr>
        <w:t>ER阳性乳腺癌骨转移患者预防复发的疗效。由于自噬是乳腺癌细胞进入休眠状态并最终重新形成肿瘤的一种机制，因此在可能复发的患者亚组中测试自噬抑制剂的疗效至关重要。试验中，一组患者将每日两次服用600毫克</w:t>
      </w:r>
      <w:proofErr w:type="gramStart"/>
      <w:r w:rsidRPr="00685FA2">
        <w:rPr>
          <w:rFonts w:ascii="微软雅黑" w:eastAsia="微软雅黑" w:hAnsi="微软雅黑" w:cs="宋体"/>
          <w:kern w:val="0"/>
          <w:sz w:val="24"/>
          <w:szCs w:val="24"/>
        </w:rPr>
        <w:t>羟</w:t>
      </w:r>
      <w:proofErr w:type="gramEnd"/>
      <w:r w:rsidRPr="00685FA2">
        <w:rPr>
          <w:rFonts w:ascii="微软雅黑" w:eastAsia="微软雅黑" w:hAnsi="微软雅黑" w:cs="宋体"/>
          <w:kern w:val="0"/>
          <w:sz w:val="24"/>
          <w:szCs w:val="24"/>
        </w:rPr>
        <w:t>氯喹，另一组患者将每日两次服用600毫克</w:t>
      </w:r>
      <w:proofErr w:type="gramStart"/>
      <w:r w:rsidRPr="00685FA2">
        <w:rPr>
          <w:rFonts w:ascii="微软雅黑" w:eastAsia="微软雅黑" w:hAnsi="微软雅黑" w:cs="宋体"/>
          <w:kern w:val="0"/>
          <w:sz w:val="24"/>
          <w:szCs w:val="24"/>
        </w:rPr>
        <w:t>羟</w:t>
      </w:r>
      <w:proofErr w:type="gramEnd"/>
      <w:r w:rsidRPr="00685FA2">
        <w:rPr>
          <w:rFonts w:ascii="微软雅黑" w:eastAsia="微软雅黑" w:hAnsi="微软雅黑" w:cs="宋体"/>
          <w:kern w:val="0"/>
          <w:sz w:val="24"/>
          <w:szCs w:val="24"/>
        </w:rPr>
        <w:t>氯喹，并接受以下两种帕博西尼治疗方案之一：每日125毫克，连续服用21天，停药7天；或每日75毫克，连续服用28天[ </w:t>
      </w:r>
      <w:hyperlink r:id="rId186" w:anchor="B95-ijms-22-12292" w:history="1">
        <w:r w:rsidRPr="00685FA2">
          <w:rPr>
            <w:rFonts w:ascii="微软雅黑" w:eastAsia="微软雅黑" w:hAnsi="微软雅黑" w:cs="宋体"/>
            <w:kern w:val="0"/>
            <w:sz w:val="24"/>
            <w:szCs w:val="24"/>
            <w:u w:val="single"/>
          </w:rPr>
          <w:t>95</w:t>
        </w:r>
      </w:hyperlink>
      <w:r w:rsidRPr="00685FA2">
        <w:rPr>
          <w:rFonts w:ascii="微软雅黑" w:eastAsia="微软雅黑" w:hAnsi="微软雅黑" w:cs="宋体"/>
          <w:kern w:val="0"/>
          <w:sz w:val="24"/>
          <w:szCs w:val="24"/>
        </w:rPr>
        <w:t> ]。虽然该试验主要针对转移性患者，但其结果也将有助于阐明自噬抑制剂和CDK4/6抑制剂联合治疗在非转移性患者中克服耐药性的潜力。如果这项试验发现帕博西尼和</w:t>
      </w:r>
      <w:proofErr w:type="gramStart"/>
      <w:r w:rsidRPr="00685FA2">
        <w:rPr>
          <w:rFonts w:ascii="微软雅黑" w:eastAsia="微软雅黑" w:hAnsi="微软雅黑" w:cs="宋体"/>
          <w:kern w:val="0"/>
          <w:sz w:val="24"/>
          <w:szCs w:val="24"/>
        </w:rPr>
        <w:t>羟氯喹</w:t>
      </w:r>
      <w:proofErr w:type="gramEnd"/>
      <w:r w:rsidRPr="00685FA2">
        <w:rPr>
          <w:rFonts w:ascii="微软雅黑" w:eastAsia="微软雅黑" w:hAnsi="微软雅黑" w:cs="宋体"/>
          <w:kern w:val="0"/>
          <w:sz w:val="24"/>
          <w:szCs w:val="24"/>
        </w:rPr>
        <w:t>具有协同作用，并能显著提高转移性</w:t>
      </w:r>
      <w:r w:rsidRPr="00685FA2">
        <w:rPr>
          <w:rFonts w:ascii="MS Gothic" w:eastAsia="MS Gothic" w:hAnsi="MS Gothic" w:cs="MS Gothic" w:hint="eastAsia"/>
          <w:kern w:val="0"/>
          <w:sz w:val="24"/>
          <w:szCs w:val="24"/>
        </w:rPr>
        <w:t>​​</w:t>
      </w:r>
      <w:r w:rsidRPr="00685FA2">
        <w:rPr>
          <w:rFonts w:ascii="微软雅黑" w:eastAsia="微软雅黑" w:hAnsi="微软雅黑" w:cs="宋体"/>
          <w:kern w:val="0"/>
          <w:sz w:val="24"/>
          <w:szCs w:val="24"/>
        </w:rPr>
        <w:t>患者的无复</w:t>
      </w:r>
      <w:r w:rsidRPr="00685FA2">
        <w:rPr>
          <w:rFonts w:ascii="微软雅黑" w:eastAsia="微软雅黑" w:hAnsi="微软雅黑" w:cs="宋体"/>
          <w:kern w:val="0"/>
          <w:sz w:val="24"/>
          <w:szCs w:val="24"/>
        </w:rPr>
        <w:lastRenderedPageBreak/>
        <w:t>发生存期，那么未来应该开展类似的试验，研究</w:t>
      </w:r>
      <w:proofErr w:type="gramStart"/>
      <w:r w:rsidRPr="00685FA2">
        <w:rPr>
          <w:rFonts w:ascii="微软雅黑" w:eastAsia="微软雅黑" w:hAnsi="微软雅黑" w:cs="宋体"/>
          <w:kern w:val="0"/>
          <w:sz w:val="24"/>
          <w:szCs w:val="24"/>
        </w:rPr>
        <w:t>羟</w:t>
      </w:r>
      <w:proofErr w:type="gramEnd"/>
      <w:r w:rsidRPr="00685FA2">
        <w:rPr>
          <w:rFonts w:ascii="微软雅黑" w:eastAsia="微软雅黑" w:hAnsi="微软雅黑" w:cs="宋体"/>
          <w:kern w:val="0"/>
          <w:sz w:val="24"/>
          <w:szCs w:val="24"/>
        </w:rPr>
        <w:t>氯喹在先前对 CDK4/6 抑制剂产生耐药性的患者中的应用。</w:t>
      </w:r>
    </w:p>
    <w:p w14:paraId="01F6083F"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6.8. eIF4A抑制剂</w:t>
      </w:r>
    </w:p>
    <w:p w14:paraId="56A70FBC"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真核起始因子4A (eIF4A) 是一种翻译因子，参与翻译过程中限速的5'端重塑和40S核糖体亚基结合步骤[ </w:t>
      </w:r>
      <w:hyperlink r:id="rId187" w:anchor="B40-ijms-22-12292" w:history="1">
        <w:r w:rsidRPr="00685FA2">
          <w:rPr>
            <w:rFonts w:ascii="微软雅黑" w:eastAsia="微软雅黑" w:hAnsi="微软雅黑" w:cs="宋体"/>
            <w:kern w:val="0"/>
            <w:sz w:val="24"/>
            <w:szCs w:val="24"/>
            <w:u w:val="single"/>
          </w:rPr>
          <w:t>40</w:t>
        </w:r>
      </w:hyperlink>
      <w:r w:rsidRPr="00685FA2">
        <w:rPr>
          <w:rFonts w:ascii="微软雅黑" w:eastAsia="微软雅黑" w:hAnsi="微软雅黑" w:cs="宋体"/>
          <w:kern w:val="0"/>
          <w:sz w:val="24"/>
          <w:szCs w:val="24"/>
        </w:rPr>
        <w:t> ]。目前有两种强效的eIF4A抑制剂：</w:t>
      </w:r>
      <w:proofErr w:type="gramStart"/>
      <w:r w:rsidRPr="00685FA2">
        <w:rPr>
          <w:rFonts w:ascii="微软雅黑" w:eastAsia="微软雅黑" w:hAnsi="微软雅黑" w:cs="宋体"/>
          <w:kern w:val="0"/>
          <w:sz w:val="24"/>
          <w:szCs w:val="24"/>
        </w:rPr>
        <w:t>西维司醇和</w:t>
      </w:r>
      <w:proofErr w:type="gramEnd"/>
      <w:r w:rsidRPr="00685FA2">
        <w:rPr>
          <w:rFonts w:ascii="微软雅黑" w:eastAsia="微软雅黑" w:hAnsi="微软雅黑" w:cs="宋体"/>
          <w:kern w:val="0"/>
          <w:sz w:val="24"/>
          <w:szCs w:val="24"/>
        </w:rPr>
        <w:t>CR-1-31-B。它们能使eIF4A与mRNA的5'端前导序列紧密结合，从而阻止翻译起始。此外，它们还能阻止eIF4A亚基与eIF4F结合，进一步抑制翻译。</w:t>
      </w:r>
    </w:p>
    <w:p w14:paraId="621377A3"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eIF4A抑制剂的使用可间接影响细胞中多种不同的CDK4/6抑制剂耐药机制。在MCF7和T47D细胞中，低剂量（3.2 nmol/L）的eIF4A抑制剂可抑制细胞周期蛋白D1的合成，而高剂量（25.6 nmol/L）则抑制细胞周期蛋白E的形成，二者上调均可导致CDK4/6抑制剂耐药[ </w:t>
      </w:r>
      <w:hyperlink r:id="rId188" w:anchor="B40-ijms-22-12292" w:history="1">
        <w:r w:rsidRPr="00685FA2">
          <w:rPr>
            <w:rFonts w:ascii="微软雅黑" w:eastAsia="微软雅黑" w:hAnsi="微软雅黑" w:cs="宋体"/>
            <w:kern w:val="0"/>
            <w:sz w:val="24"/>
            <w:szCs w:val="24"/>
            <w:u w:val="single"/>
          </w:rPr>
          <w:t>40</w:t>
        </w:r>
      </w:hyperlink>
      <w:r w:rsidRPr="00685FA2">
        <w:rPr>
          <w:rFonts w:ascii="微软雅黑" w:eastAsia="微软雅黑" w:hAnsi="微软雅黑" w:cs="宋体"/>
          <w:kern w:val="0"/>
          <w:sz w:val="24"/>
          <w:szCs w:val="24"/>
        </w:rPr>
        <w:t> ]。帕博西尼与CR-1-31-B联合用药具有协同作用，可降低细胞周期蛋白D1和细胞周期蛋白E的水平。反过来，该联合用药可导致细胞周期阻滞。一项体外实验比较了MCF7亲代细胞和CDK4/6耐药衍生细胞，结果表明，耐药细胞（其细胞周期蛋白D1和细胞周期蛋白E1也上调）对这种联合疗法更为敏感。当将MCF7细胞注射到免疫缺陷小鼠的乳腺脂肪垫中时，与单药治疗相比，帕博西尼联合CR-1-31-B治疗可显著抑制肿瘤生长。此外，对这些小鼠进行免疫组化分析显示，联合治疗组小鼠的细胞周期蛋白D1和细胞周期蛋白E1表达降低，进一步证实了eIF4A抑制剂在此模型中的作用机制。理想情况下，CR-1-31-B将在近期用于对CDK4/6抑制剂耐药的异种移植瘤模型中进行测试，以验证这些模型是否也具有治疗效果。</w:t>
      </w:r>
    </w:p>
    <w:p w14:paraId="1FE19EFA"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lastRenderedPageBreak/>
        <w:t>6.9. MDM2抑制剂</w:t>
      </w:r>
    </w:p>
    <w:p w14:paraId="2D9CB2D7"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根据MDM2诱导乳腺癌细胞对CDK4/6抑制剂产生耐药性的机制，临床前研究评估了MDM2抑制剂对CDK4/6耐药肿瘤生长的影响。对CDK4/6抑制剂和内分泌疗法均产生耐药性的MCF7细胞，在接受MDM2抑制剂NVP-CGM097治疗后，重新获得敏感性[ </w:t>
      </w:r>
      <w:hyperlink r:id="rId189" w:anchor="B67-ijms-22-12292" w:history="1">
        <w:r w:rsidRPr="00685FA2">
          <w:rPr>
            <w:rFonts w:ascii="微软雅黑" w:eastAsia="微软雅黑" w:hAnsi="微软雅黑" w:cs="宋体"/>
            <w:kern w:val="0"/>
            <w:sz w:val="24"/>
            <w:szCs w:val="24"/>
            <w:u w:val="single"/>
          </w:rPr>
          <w:t>67</w:t>
        </w:r>
      </w:hyperlink>
      <w:r w:rsidRPr="00685FA2">
        <w:rPr>
          <w:rFonts w:ascii="微软雅黑" w:eastAsia="微软雅黑" w:hAnsi="微软雅黑" w:cs="宋体"/>
          <w:kern w:val="0"/>
          <w:sz w:val="24"/>
          <w:szCs w:val="24"/>
        </w:rPr>
        <w:t> ]。在该模型中，帕博西尼和MDM2抑制剂均能诱导细胞周期阻滞并导致细胞衰老。研究人员还利用小鼠异种移植模型在体内重复了这项研究，并获得了相同的结果。</w:t>
      </w:r>
    </w:p>
    <w:p w14:paraId="6F85A9A9"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 xml:space="preserve">此外，另一项研究表明，NVP-CGM097 与 </w:t>
      </w:r>
      <w:proofErr w:type="spellStart"/>
      <w:r w:rsidRPr="00685FA2">
        <w:rPr>
          <w:rFonts w:ascii="微软雅黑" w:eastAsia="微软雅黑" w:hAnsi="微软雅黑" w:cs="宋体"/>
          <w:kern w:val="0"/>
          <w:sz w:val="24"/>
          <w:szCs w:val="24"/>
        </w:rPr>
        <w:t>palbociclib</w:t>
      </w:r>
      <w:proofErr w:type="spellEnd"/>
      <w:r w:rsidRPr="00685FA2">
        <w:rPr>
          <w:rFonts w:ascii="微软雅黑" w:eastAsia="微软雅黑" w:hAnsi="微软雅黑" w:cs="宋体"/>
          <w:kern w:val="0"/>
          <w:sz w:val="24"/>
          <w:szCs w:val="24"/>
        </w:rPr>
        <w:t xml:space="preserve"> 具有协同作用，但该研究是在去分化脂肪肉瘤模型中进行的。体外实验表明，这种联合用药可增加细胞凋亡，而异种移植瘤治疗显示，联合用药能更有效地降低肿瘤生长速度[ </w:t>
      </w:r>
      <w:hyperlink r:id="rId190" w:anchor="B69-ijms-22-12292" w:history="1">
        <w:r w:rsidRPr="00685FA2">
          <w:rPr>
            <w:rFonts w:ascii="微软雅黑" w:eastAsia="微软雅黑" w:hAnsi="微软雅黑" w:cs="宋体"/>
            <w:kern w:val="0"/>
            <w:sz w:val="24"/>
            <w:szCs w:val="24"/>
            <w:u w:val="single"/>
          </w:rPr>
          <w:t>69</w:t>
        </w:r>
      </w:hyperlink>
      <w:r w:rsidRPr="00685FA2">
        <w:rPr>
          <w:rFonts w:ascii="微软雅黑" w:eastAsia="微软雅黑" w:hAnsi="微软雅黑" w:cs="宋体"/>
          <w:kern w:val="0"/>
          <w:sz w:val="24"/>
          <w:szCs w:val="24"/>
        </w:rPr>
        <w:t> ]。虽然这项研究并非在乳腺癌细胞中进行，但值得注意的是，诱导细胞凋亡是该联合用药抑制肿瘤生长的机制之一，因为当 MDM2 过度激活时，该通路通常会失调。</w:t>
      </w:r>
    </w:p>
    <w:p w14:paraId="75CAA423"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在乳腺癌患者中使用MDM2抑制剂的临床试验并不多。然而，一项I/II期临床试验（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"https://clinicaltrials.gov/ct2/show/NCT03566485"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NCT03566485</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）正在探索MDM2拮抗剂</w:t>
      </w:r>
      <w:proofErr w:type="spellStart"/>
      <w:r w:rsidRPr="00685FA2">
        <w:rPr>
          <w:rFonts w:ascii="微软雅黑" w:eastAsia="微软雅黑" w:hAnsi="微软雅黑" w:cs="宋体"/>
          <w:kern w:val="0"/>
          <w:sz w:val="24"/>
          <w:szCs w:val="24"/>
        </w:rPr>
        <w:t>idasanutlin</w:t>
      </w:r>
      <w:proofErr w:type="spellEnd"/>
      <w:r w:rsidRPr="00685FA2">
        <w:rPr>
          <w:rFonts w:ascii="微软雅黑" w:eastAsia="微软雅黑" w:hAnsi="微软雅黑" w:cs="宋体"/>
          <w:kern w:val="0"/>
          <w:sz w:val="24"/>
          <w:szCs w:val="24"/>
        </w:rPr>
        <w:t>在III期和IV期ER+/HER2</w:t>
      </w:r>
      <w:r w:rsidRPr="00685FA2">
        <w:rPr>
          <w:rFonts w:ascii="微软雅黑" w:eastAsia="微软雅黑" w:hAnsi="微软雅黑" w:cs="微软雅黑" w:hint="eastAsia"/>
          <w:kern w:val="0"/>
          <w:sz w:val="24"/>
          <w:szCs w:val="24"/>
        </w:rPr>
        <w:t>−</w:t>
      </w:r>
      <w:r w:rsidRPr="00685FA2">
        <w:rPr>
          <w:rFonts w:ascii="微软雅黑" w:eastAsia="微软雅黑" w:hAnsi="微软雅黑" w:cs="宋体"/>
          <w:kern w:val="0"/>
          <w:sz w:val="24"/>
          <w:szCs w:val="24"/>
        </w:rPr>
        <w:t>乳腺癌患者中的应用，以确定其疗效和安全性。在该研究中，</w:t>
      </w:r>
      <w:proofErr w:type="spellStart"/>
      <w:r w:rsidRPr="00685FA2">
        <w:rPr>
          <w:rFonts w:ascii="微软雅黑" w:eastAsia="微软雅黑" w:hAnsi="微软雅黑" w:cs="宋体"/>
          <w:kern w:val="0"/>
          <w:sz w:val="24"/>
          <w:szCs w:val="24"/>
        </w:rPr>
        <w:t>idasanutlin</w:t>
      </w:r>
      <w:proofErr w:type="spellEnd"/>
      <w:r w:rsidRPr="00685FA2">
        <w:rPr>
          <w:rFonts w:ascii="微软雅黑" w:eastAsia="微软雅黑" w:hAnsi="微软雅黑" w:cs="宋体"/>
          <w:kern w:val="0"/>
          <w:sz w:val="24"/>
          <w:szCs w:val="24"/>
        </w:rPr>
        <w:t>与MEK抑制剂</w:t>
      </w:r>
      <w:proofErr w:type="spellStart"/>
      <w:r w:rsidRPr="00685FA2">
        <w:rPr>
          <w:rFonts w:ascii="微软雅黑" w:eastAsia="微软雅黑" w:hAnsi="微软雅黑" w:cs="宋体"/>
          <w:kern w:val="0"/>
          <w:sz w:val="24"/>
          <w:szCs w:val="24"/>
        </w:rPr>
        <w:t>cobimetinib</w:t>
      </w:r>
      <w:proofErr w:type="spellEnd"/>
      <w:r w:rsidRPr="00685FA2">
        <w:rPr>
          <w:rFonts w:ascii="微软雅黑" w:eastAsia="微软雅黑" w:hAnsi="微软雅黑" w:cs="宋体"/>
          <w:kern w:val="0"/>
          <w:sz w:val="24"/>
          <w:szCs w:val="24"/>
        </w:rPr>
        <w:t>或PD-L1抑制剂atezolizumab联合使用[ </w:t>
      </w:r>
      <w:hyperlink r:id="rId191" w:anchor="B96-ijms-22-12292" w:history="1">
        <w:r w:rsidRPr="00685FA2">
          <w:rPr>
            <w:rFonts w:ascii="微软雅黑" w:eastAsia="微软雅黑" w:hAnsi="微软雅黑" w:cs="宋体"/>
            <w:kern w:val="0"/>
            <w:sz w:val="24"/>
            <w:szCs w:val="24"/>
            <w:u w:val="single"/>
          </w:rPr>
          <w:t>96</w:t>
        </w:r>
      </w:hyperlink>
      <w:r w:rsidRPr="00685FA2">
        <w:rPr>
          <w:rFonts w:ascii="微软雅黑" w:eastAsia="微软雅黑" w:hAnsi="微软雅黑" w:cs="宋体"/>
          <w:kern w:val="0"/>
          <w:sz w:val="24"/>
          <w:szCs w:val="24"/>
        </w:rPr>
        <w:t> ]。该试验中的一些患者在接受CDK4/6抑制剂治疗期间病情进展；然而，这并非该试验的入组标准所要求的。因此，该试验的结果将有助于了解MDM2抑制剂在这些特定患者中的潜在疗效。一旦这些数据发表并被认为安全，</w:t>
      </w:r>
      <w:r w:rsidRPr="00685FA2">
        <w:rPr>
          <w:rFonts w:ascii="微软雅黑" w:eastAsia="微软雅黑" w:hAnsi="微软雅黑" w:cs="宋体"/>
          <w:kern w:val="0"/>
          <w:sz w:val="24"/>
          <w:szCs w:val="24"/>
        </w:rPr>
        <w:lastRenderedPageBreak/>
        <w:t>希望能够对该药物进行进一步评估，直接分析对CDK4/6抑制剂耐药的ER+患者的疗效。</w:t>
      </w:r>
    </w:p>
    <w:p w14:paraId="7A07DAB5"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6.10 免疫疗法</w:t>
      </w:r>
    </w:p>
    <w:p w14:paraId="1A5E45AC"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临床前研究表明，将 CDK4/6 抑制剂与免疫疗法联合使用有助于克服耐药性。一些癌细胞会</w:t>
      </w:r>
      <w:proofErr w:type="gramStart"/>
      <w:r w:rsidRPr="00685FA2">
        <w:rPr>
          <w:rFonts w:ascii="微软雅黑" w:eastAsia="微软雅黑" w:hAnsi="微软雅黑" w:cs="宋体"/>
          <w:kern w:val="0"/>
          <w:sz w:val="24"/>
          <w:szCs w:val="24"/>
        </w:rPr>
        <w:t>高表达</w:t>
      </w:r>
      <w:proofErr w:type="gramEnd"/>
      <w:r w:rsidRPr="00685FA2">
        <w:rPr>
          <w:rFonts w:ascii="微软雅黑" w:eastAsia="微软雅黑" w:hAnsi="微软雅黑" w:cs="宋体"/>
          <w:kern w:val="0"/>
          <w:sz w:val="24"/>
          <w:szCs w:val="24"/>
        </w:rPr>
        <w:t xml:space="preserve"> PD-1，PD-1 可与 T 细胞上的 PD-L1 结合，从而阻止 T 细胞攻击癌细胞 [ </w:t>
      </w:r>
      <w:hyperlink r:id="rId192" w:anchor="B97-ijms-22-12292" w:history="1">
        <w:r w:rsidRPr="00685FA2">
          <w:rPr>
            <w:rFonts w:ascii="微软雅黑" w:eastAsia="微软雅黑" w:hAnsi="微软雅黑" w:cs="宋体"/>
            <w:kern w:val="0"/>
            <w:sz w:val="24"/>
            <w:szCs w:val="24"/>
            <w:u w:val="single"/>
          </w:rPr>
          <w:t>97</w:t>
        </w:r>
      </w:hyperlink>
      <w:r w:rsidRPr="00685FA2">
        <w:rPr>
          <w:rFonts w:ascii="微软雅黑" w:eastAsia="微软雅黑" w:hAnsi="微软雅黑" w:cs="宋体"/>
          <w:kern w:val="0"/>
          <w:sz w:val="24"/>
          <w:szCs w:val="24"/>
        </w:rPr>
        <w:t> ]。抗 PD-1 抗体通过与 PD-1 结合来阻断这种相互作用，使 T 细胞能够有效地识别和摧毁癌细胞。</w:t>
      </w:r>
    </w:p>
    <w:p w14:paraId="2DA38AF6"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免疫疗法作为一种潜在的乳腺癌治疗方法正逐渐兴起。2017 年的一篇论文首次证实 CDK4/6 抑制剂有助于激活免疫系统 [ </w:t>
      </w:r>
      <w:hyperlink r:id="rId193" w:anchor="B98-ijms-22-12292" w:history="1">
        <w:r w:rsidRPr="00685FA2">
          <w:rPr>
            <w:rFonts w:ascii="微软雅黑" w:eastAsia="微软雅黑" w:hAnsi="微软雅黑" w:cs="宋体"/>
            <w:kern w:val="0"/>
            <w:sz w:val="24"/>
            <w:szCs w:val="24"/>
            <w:u w:val="single"/>
          </w:rPr>
          <w:t>98</w:t>
        </w:r>
      </w:hyperlink>
      <w:r w:rsidRPr="00685FA2">
        <w:rPr>
          <w:rFonts w:ascii="微软雅黑" w:eastAsia="微软雅黑" w:hAnsi="微软雅黑" w:cs="宋体"/>
          <w:kern w:val="0"/>
          <w:sz w:val="24"/>
          <w:szCs w:val="24"/>
        </w:rPr>
        <w:t> ]。研究人员使用阿贝西利治疗乳腺癌小鼠模型，并分析了其基因表达。结果显示，参与抗原加工和呈递的基因在治疗后表达上调。此外，接受阿贝西利治疗的小鼠肿瘤中程序性死亡蛋白 1 (PD-1)、细胞毒性 T 淋巴细胞相关蛋白 4 (CTLA-4) 和其他免疫阻断标志物的表达降低，这凸显了阿贝西利的另一种抗肿瘤作用，并提示免疫疗法可能与 CDK4/6 抑制剂具有协同作用。为了验证这一假设，研究人员使用阿贝西利或阿贝西利联合抗 PD-L1 抗体治疗荷瘤小鼠。接受联合治疗的小鼠肿瘤在第13天缩小了70%，且在治疗35天前未出现耐药性。与此同时，接受阿贝西利单药治疗的小鼠肿瘤在治疗21天后仅略有缩小，随后继续生长。令人振奋的是，这些结果表明，将抗PD-1免疫疗法与CDK4/6抑制剂联合使用，有可能延长甚至完全阻止CDK4/6抑制剂耐药性的产生。</w:t>
      </w:r>
    </w:p>
    <w:p w14:paraId="7616D109"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 xml:space="preserve">一年后，另一项研究进一步加深了对 CDK4/6 抑制剂与抗 PD-1 阻断剂协同作用的理解。研究人员用已获批准用于治疗转移性非小细胞肺癌的 CDK4/6 抑制剂 </w:t>
      </w:r>
      <w:proofErr w:type="spellStart"/>
      <w:r w:rsidRPr="00685FA2">
        <w:rPr>
          <w:rFonts w:ascii="微软雅黑" w:eastAsia="微软雅黑" w:hAnsi="微软雅黑" w:cs="宋体"/>
          <w:kern w:val="0"/>
          <w:sz w:val="24"/>
          <w:szCs w:val="24"/>
        </w:rPr>
        <w:t>trilaciclib</w:t>
      </w:r>
      <w:proofErr w:type="spellEnd"/>
      <w:r w:rsidRPr="00685FA2">
        <w:rPr>
          <w:rFonts w:ascii="微软雅黑" w:eastAsia="微软雅黑" w:hAnsi="微软雅黑" w:cs="宋体"/>
          <w:kern w:val="0"/>
          <w:sz w:val="24"/>
          <w:szCs w:val="24"/>
        </w:rPr>
        <w:t xml:space="preserve"> 治疗已植入肿瘤的小鼠，随后测量了肿瘤体积 [ </w:t>
      </w:r>
      <w:hyperlink r:id="rId194" w:anchor="B99-ijms-22-12292" w:history="1">
        <w:r w:rsidRPr="00685FA2">
          <w:rPr>
            <w:rFonts w:ascii="微软雅黑" w:eastAsia="微软雅黑" w:hAnsi="微软雅黑" w:cs="宋体"/>
            <w:kern w:val="0"/>
            <w:sz w:val="24"/>
            <w:szCs w:val="24"/>
            <w:u w:val="single"/>
          </w:rPr>
          <w:t>99</w:t>
        </w:r>
      </w:hyperlink>
      <w:r w:rsidRPr="00685FA2">
        <w:rPr>
          <w:rFonts w:ascii="微软雅黑" w:eastAsia="微软雅黑" w:hAnsi="微软雅黑" w:cs="宋体"/>
          <w:kern w:val="0"/>
          <w:sz w:val="24"/>
          <w:szCs w:val="24"/>
        </w:rPr>
        <w:t xml:space="preserve"> ]。单独使用 </w:t>
      </w:r>
      <w:proofErr w:type="spellStart"/>
      <w:r w:rsidRPr="00685FA2">
        <w:rPr>
          <w:rFonts w:ascii="微软雅黑" w:eastAsia="微软雅黑" w:hAnsi="微软雅黑" w:cs="宋体"/>
          <w:kern w:val="0"/>
          <w:sz w:val="24"/>
          <w:szCs w:val="24"/>
        </w:rPr>
        <w:t>trilaciclib</w:t>
      </w:r>
      <w:proofErr w:type="spellEnd"/>
      <w:r w:rsidRPr="00685FA2">
        <w:rPr>
          <w:rFonts w:ascii="微软雅黑" w:eastAsia="微软雅黑" w:hAnsi="微软雅黑" w:cs="宋体"/>
          <w:kern w:val="0"/>
          <w:sz w:val="24"/>
          <w:szCs w:val="24"/>
        </w:rPr>
        <w:t xml:space="preserve"> 不足以显著缩小肿瘤体积。然而，在小鼠来源的球状体中，将 PD-1 抑制剂添加到 </w:t>
      </w:r>
      <w:proofErr w:type="spellStart"/>
      <w:r w:rsidRPr="00685FA2">
        <w:rPr>
          <w:rFonts w:ascii="微软雅黑" w:eastAsia="微软雅黑" w:hAnsi="微软雅黑" w:cs="宋体"/>
          <w:kern w:val="0"/>
          <w:sz w:val="24"/>
          <w:szCs w:val="24"/>
        </w:rPr>
        <w:t>trilaciclib</w:t>
      </w:r>
      <w:proofErr w:type="spellEnd"/>
      <w:r w:rsidRPr="00685FA2">
        <w:rPr>
          <w:rFonts w:ascii="微软雅黑" w:eastAsia="微软雅黑" w:hAnsi="微软雅黑" w:cs="宋体"/>
          <w:kern w:val="0"/>
          <w:sz w:val="24"/>
          <w:szCs w:val="24"/>
        </w:rPr>
        <w:t xml:space="preserve"> 中会导致广泛的细胞死亡。当在免疫功能正常的小鼠中将 </w:t>
      </w:r>
      <w:proofErr w:type="spellStart"/>
      <w:r w:rsidRPr="00685FA2">
        <w:rPr>
          <w:rFonts w:ascii="微软雅黑" w:eastAsia="微软雅黑" w:hAnsi="微软雅黑" w:cs="宋体"/>
          <w:kern w:val="0"/>
          <w:sz w:val="24"/>
          <w:szCs w:val="24"/>
        </w:rPr>
        <w:t>trilaciclib</w:t>
      </w:r>
      <w:proofErr w:type="spellEnd"/>
      <w:r w:rsidRPr="00685FA2">
        <w:rPr>
          <w:rFonts w:ascii="微软雅黑" w:eastAsia="微软雅黑" w:hAnsi="微软雅黑" w:cs="宋体"/>
          <w:kern w:val="0"/>
          <w:sz w:val="24"/>
          <w:szCs w:val="24"/>
        </w:rPr>
        <w:t xml:space="preserve"> 或 </w:t>
      </w:r>
      <w:proofErr w:type="spellStart"/>
      <w:r w:rsidRPr="00685FA2">
        <w:rPr>
          <w:rFonts w:ascii="微软雅黑" w:eastAsia="微软雅黑" w:hAnsi="微软雅黑" w:cs="宋体"/>
          <w:kern w:val="0"/>
          <w:sz w:val="24"/>
          <w:szCs w:val="24"/>
        </w:rPr>
        <w:t>palbociclib</w:t>
      </w:r>
      <w:proofErr w:type="spellEnd"/>
      <w:r w:rsidRPr="00685FA2">
        <w:rPr>
          <w:rFonts w:ascii="微软雅黑" w:eastAsia="微软雅黑" w:hAnsi="微软雅黑" w:cs="宋体"/>
          <w:kern w:val="0"/>
          <w:sz w:val="24"/>
          <w:szCs w:val="24"/>
        </w:rPr>
        <w:t xml:space="preserve"> 与 PD-1 抑制剂联合使用时，肿瘤几乎完全被清除。总而言之，这项研究强调了 CDK4/6 抑制剂与抗 PD-1 抗体联合治疗对单独使用 CDK4/6 抑制剂无效的肿瘤的疗效。</w:t>
      </w:r>
    </w:p>
    <w:p w14:paraId="645E4605"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目前正在进行一项临床试验（</w:t>
      </w:r>
      <w:hyperlink r:id="rId195" w:tgtFrame="_blank" w:history="1">
        <w:r w:rsidRPr="00685FA2">
          <w:rPr>
            <w:rFonts w:ascii="微软雅黑" w:eastAsia="微软雅黑" w:hAnsi="微软雅黑" w:cs="宋体"/>
            <w:kern w:val="0"/>
            <w:sz w:val="24"/>
            <w:szCs w:val="24"/>
            <w:u w:val="single"/>
          </w:rPr>
          <w:t>NCT03147287</w:t>
        </w:r>
      </w:hyperlink>
      <w:r w:rsidRPr="00685FA2">
        <w:rPr>
          <w:rFonts w:ascii="微软雅黑" w:eastAsia="微软雅黑" w:hAnsi="微软雅黑" w:cs="宋体"/>
          <w:kern w:val="0"/>
          <w:sz w:val="24"/>
          <w:szCs w:val="24"/>
        </w:rPr>
        <w:t>），旨在研究</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、帕博西尼和阿维鲁单抗（另一种PD-1抑制剂）联合治疗对既往对帕博西尼和内分泌治疗产生耐药性的ER+/HER2-患者的疗效[ </w:t>
      </w:r>
      <w:hyperlink r:id="rId196" w:anchor="B100-ijms-22-12292" w:history="1">
        <w:r w:rsidRPr="00685FA2">
          <w:rPr>
            <w:rFonts w:ascii="微软雅黑" w:eastAsia="微软雅黑" w:hAnsi="微软雅黑" w:cs="宋体"/>
            <w:kern w:val="0"/>
            <w:sz w:val="24"/>
            <w:szCs w:val="24"/>
            <w:u w:val="single"/>
          </w:rPr>
          <w:t>100</w:t>
        </w:r>
      </w:hyperlink>
      <w:r w:rsidRPr="00685FA2">
        <w:rPr>
          <w:rFonts w:ascii="微软雅黑" w:eastAsia="微软雅黑" w:hAnsi="微软雅黑" w:cs="宋体"/>
          <w:kern w:val="0"/>
          <w:sz w:val="24"/>
          <w:szCs w:val="24"/>
        </w:rPr>
        <w:t> ]。该试验将患者与接受</w:t>
      </w:r>
      <w:proofErr w:type="gramStart"/>
      <w:r w:rsidRPr="00685FA2">
        <w:rPr>
          <w:rFonts w:ascii="微软雅黑" w:eastAsia="微软雅黑" w:hAnsi="微软雅黑" w:cs="宋体"/>
          <w:kern w:val="0"/>
          <w:sz w:val="24"/>
          <w:szCs w:val="24"/>
        </w:rPr>
        <w:t>氟维司群单</w:t>
      </w:r>
      <w:proofErr w:type="gramEnd"/>
      <w:r w:rsidRPr="00685FA2">
        <w:rPr>
          <w:rFonts w:ascii="微软雅黑" w:eastAsia="微软雅黑" w:hAnsi="微软雅黑" w:cs="宋体"/>
          <w:kern w:val="0"/>
          <w:sz w:val="24"/>
          <w:szCs w:val="24"/>
        </w:rPr>
        <w:t>药治疗或</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联</w:t>
      </w:r>
      <w:proofErr w:type="gramStart"/>
      <w:r w:rsidRPr="00685FA2">
        <w:rPr>
          <w:rFonts w:ascii="微软雅黑" w:eastAsia="微软雅黑" w:hAnsi="微软雅黑" w:cs="宋体"/>
          <w:kern w:val="0"/>
          <w:sz w:val="24"/>
          <w:szCs w:val="24"/>
        </w:rPr>
        <w:t>合帕</w:t>
      </w:r>
      <w:proofErr w:type="gramEnd"/>
      <w:r w:rsidRPr="00685FA2">
        <w:rPr>
          <w:rFonts w:ascii="微软雅黑" w:eastAsia="微软雅黑" w:hAnsi="微软雅黑" w:cs="宋体"/>
          <w:kern w:val="0"/>
          <w:sz w:val="24"/>
          <w:szCs w:val="24"/>
        </w:rPr>
        <w:t>博西</w:t>
      </w:r>
      <w:proofErr w:type="gramStart"/>
      <w:r w:rsidRPr="00685FA2">
        <w:rPr>
          <w:rFonts w:ascii="微软雅黑" w:eastAsia="微软雅黑" w:hAnsi="微软雅黑" w:cs="宋体"/>
          <w:kern w:val="0"/>
          <w:sz w:val="24"/>
          <w:szCs w:val="24"/>
        </w:rPr>
        <w:t>尼治疗</w:t>
      </w:r>
      <w:proofErr w:type="gramEnd"/>
      <w:r w:rsidRPr="00685FA2">
        <w:rPr>
          <w:rFonts w:ascii="微软雅黑" w:eastAsia="微软雅黑" w:hAnsi="微软雅黑" w:cs="宋体"/>
          <w:kern w:val="0"/>
          <w:sz w:val="24"/>
          <w:szCs w:val="24"/>
        </w:rPr>
        <w:t>的患者进行比较。无进展生存期（PFS）将在两年内进行测量，以此比较每种治疗方案的疗效。基于临床前数据，预计接受阿维鲁单抗治疗的患者组的中位PFS最长。如果情况属实，这将有力地支持在临床上使用PD-1抑制剂来帮助克服CDK4/6抑制剂的耐药性。</w:t>
      </w:r>
    </w:p>
    <w:p w14:paraId="0FB1227C" w14:textId="77777777" w:rsidR="00685FA2" w:rsidRPr="00685FA2" w:rsidRDefault="00685FA2" w:rsidP="00685FA2">
      <w:pPr>
        <w:widowControl/>
        <w:spacing w:line="450" w:lineRule="atLeast"/>
        <w:outlineLvl w:val="2"/>
        <w:rPr>
          <w:rFonts w:ascii="微软雅黑" w:eastAsia="微软雅黑" w:hAnsi="微软雅黑" w:cs="宋体"/>
          <w:kern w:val="0"/>
          <w:sz w:val="32"/>
          <w:szCs w:val="32"/>
        </w:rPr>
      </w:pPr>
      <w:r w:rsidRPr="00685FA2">
        <w:rPr>
          <w:rFonts w:ascii="微软雅黑" w:eastAsia="微软雅黑" w:hAnsi="微软雅黑" w:cs="宋体"/>
          <w:kern w:val="0"/>
          <w:sz w:val="32"/>
          <w:szCs w:val="32"/>
        </w:rPr>
        <w:t>6.11. G2/M 检查点抑制</w:t>
      </w:r>
    </w:p>
    <w:p w14:paraId="19849B6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由于绕过G1期的细胞会更加依赖G2期，因此关闭G2期检查点会导致细胞无法修复任何DNA损伤，从而导致细胞死亡。如前所述，耐药细胞会上调WEE1和CDK7的表达，以增强G2/M期检查点的活性。</w:t>
      </w:r>
    </w:p>
    <w:p w14:paraId="0F4AACA4"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lastRenderedPageBreak/>
        <w:t>在多种ER阳性乳腺癌细胞系中，WEE1抑制剂AZD1775（MK1775）通过降低G2/M期检查点的WEE1活性，已被证实能够提高对CDK4/6抑制剂耐药细胞的敏感性并诱导细胞死亡[ </w:t>
      </w:r>
      <w:hyperlink r:id="rId197" w:anchor="B72-ijms-22-12292" w:history="1">
        <w:r w:rsidRPr="00685FA2">
          <w:rPr>
            <w:rFonts w:ascii="微软雅黑" w:eastAsia="微软雅黑" w:hAnsi="微软雅黑" w:cs="宋体"/>
            <w:kern w:val="0"/>
            <w:sz w:val="24"/>
            <w:szCs w:val="24"/>
            <w:u w:val="single"/>
          </w:rPr>
          <w:t>72</w:t>
        </w:r>
      </w:hyperlink>
      <w:r w:rsidRPr="00685FA2">
        <w:rPr>
          <w:rFonts w:ascii="微软雅黑" w:eastAsia="微软雅黑" w:hAnsi="微软雅黑" w:cs="宋体"/>
          <w:kern w:val="0"/>
          <w:sz w:val="24"/>
          <w:szCs w:val="24"/>
        </w:rPr>
        <w:t> ]。此外，在MCF7和T47D耐药细胞中，使用AZD1775靶向WEE1的增殖实验表明，WEE1</w:t>
      </w:r>
      <w:proofErr w:type="gramStart"/>
      <w:r w:rsidRPr="00685FA2">
        <w:rPr>
          <w:rFonts w:ascii="微软雅黑" w:eastAsia="微软雅黑" w:hAnsi="微软雅黑" w:cs="宋体"/>
          <w:kern w:val="0"/>
          <w:sz w:val="24"/>
          <w:szCs w:val="24"/>
        </w:rPr>
        <w:t>敲低能够</w:t>
      </w:r>
      <w:proofErr w:type="gramEnd"/>
      <w:r w:rsidRPr="00685FA2">
        <w:rPr>
          <w:rFonts w:ascii="微软雅黑" w:eastAsia="微软雅黑" w:hAnsi="微软雅黑" w:cs="宋体"/>
          <w:kern w:val="0"/>
          <w:sz w:val="24"/>
          <w:szCs w:val="24"/>
        </w:rPr>
        <w:t>降低对帕博西尼耐药细胞的增殖[ </w:t>
      </w:r>
      <w:hyperlink r:id="rId198" w:anchor="B74-ijms-22-12292" w:history="1">
        <w:r w:rsidRPr="00685FA2">
          <w:rPr>
            <w:rFonts w:ascii="微软雅黑" w:eastAsia="微软雅黑" w:hAnsi="微软雅黑" w:cs="宋体"/>
            <w:kern w:val="0"/>
            <w:sz w:val="24"/>
            <w:szCs w:val="24"/>
            <w:u w:val="single"/>
          </w:rPr>
          <w:t>74</w:t>
        </w:r>
      </w:hyperlink>
      <w:r w:rsidRPr="00685FA2">
        <w:rPr>
          <w:rFonts w:ascii="微软雅黑" w:eastAsia="微软雅黑" w:hAnsi="微软雅黑" w:cs="宋体"/>
          <w:kern w:val="0"/>
          <w:sz w:val="24"/>
          <w:szCs w:val="24"/>
        </w:rPr>
        <w:t> ]。</w:t>
      </w:r>
      <w:proofErr w:type="spellStart"/>
      <w:r w:rsidRPr="00685FA2">
        <w:rPr>
          <w:rFonts w:ascii="微软雅黑" w:eastAsia="微软雅黑" w:hAnsi="微软雅黑" w:cs="宋体"/>
          <w:kern w:val="0"/>
          <w:sz w:val="24"/>
          <w:szCs w:val="24"/>
        </w:rPr>
        <w:t>Fallah</w:t>
      </w:r>
      <w:proofErr w:type="spellEnd"/>
      <w:r w:rsidRPr="00685FA2">
        <w:rPr>
          <w:rFonts w:ascii="微软雅黑" w:eastAsia="微软雅黑" w:hAnsi="微软雅黑" w:cs="宋体"/>
          <w:kern w:val="0"/>
          <w:sz w:val="24"/>
          <w:szCs w:val="24"/>
        </w:rPr>
        <w:t>等人[ </w:t>
      </w:r>
      <w:hyperlink r:id="rId199" w:anchor="B72-ijms-22-12292" w:history="1">
        <w:r w:rsidRPr="00685FA2">
          <w:rPr>
            <w:rFonts w:ascii="微软雅黑" w:eastAsia="微软雅黑" w:hAnsi="微软雅黑" w:cs="宋体"/>
            <w:kern w:val="0"/>
            <w:sz w:val="24"/>
            <w:szCs w:val="24"/>
            <w:u w:val="single"/>
          </w:rPr>
          <w:t>72</w:t>
        </w:r>
      </w:hyperlink>
      <w:r w:rsidRPr="00685FA2">
        <w:rPr>
          <w:rFonts w:ascii="微软雅黑" w:eastAsia="微软雅黑" w:hAnsi="微软雅黑" w:cs="宋体"/>
          <w:kern w:val="0"/>
          <w:sz w:val="24"/>
          <w:szCs w:val="24"/>
        </w:rPr>
        <w:t> ]也发现AZD1775能够降低细胞增殖，但这种作用仅限于对所有三种CDK4/6抑制剂均耐药的细胞。未来将通过异种移植实验进一步研究AZD1775的体内疗效。</w:t>
      </w:r>
    </w:p>
    <w:p w14:paraId="3ECDCA79"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Martin等人[ </w:t>
      </w:r>
      <w:hyperlink r:id="rId200" w:anchor="B75-ijms-22-12292" w:history="1">
        <w:r w:rsidRPr="00685FA2">
          <w:rPr>
            <w:rFonts w:ascii="微软雅黑" w:eastAsia="微软雅黑" w:hAnsi="微软雅黑" w:cs="宋体"/>
            <w:kern w:val="0"/>
            <w:sz w:val="24"/>
            <w:szCs w:val="24"/>
            <w:u w:val="single"/>
          </w:rPr>
          <w:t>75</w:t>
        </w:r>
      </w:hyperlink>
      <w:r w:rsidRPr="00685FA2">
        <w:rPr>
          <w:rFonts w:ascii="微软雅黑" w:eastAsia="微软雅黑" w:hAnsi="微软雅黑" w:cs="宋体"/>
          <w:kern w:val="0"/>
          <w:sz w:val="24"/>
          <w:szCs w:val="24"/>
        </w:rPr>
        <w:t> ]的上述数据表明，通过药物靶向CDK7可以克服帕博西尼耐药性。THZ1及其衍生物SY-1365是两种靶向CDK7的药物，可选择性地抑制其在G2/M</w:t>
      </w:r>
      <w:proofErr w:type="gramStart"/>
      <w:r w:rsidRPr="00685FA2">
        <w:rPr>
          <w:rFonts w:ascii="微软雅黑" w:eastAsia="微软雅黑" w:hAnsi="微软雅黑" w:cs="宋体"/>
          <w:kern w:val="0"/>
          <w:sz w:val="24"/>
          <w:szCs w:val="24"/>
        </w:rPr>
        <w:t>期进程</w:t>
      </w:r>
      <w:proofErr w:type="gramEnd"/>
      <w:r w:rsidRPr="00685FA2">
        <w:rPr>
          <w:rFonts w:ascii="微软雅黑" w:eastAsia="微软雅黑" w:hAnsi="微软雅黑" w:cs="宋体"/>
          <w:kern w:val="0"/>
          <w:sz w:val="24"/>
          <w:szCs w:val="24"/>
        </w:rPr>
        <w:t>中的功能[ </w:t>
      </w:r>
      <w:hyperlink r:id="rId201" w:anchor="B101-ijms-22-12292" w:history="1">
        <w:r w:rsidRPr="00685FA2">
          <w:rPr>
            <w:rFonts w:ascii="微软雅黑" w:eastAsia="微软雅黑" w:hAnsi="微软雅黑" w:cs="宋体"/>
            <w:kern w:val="0"/>
            <w:sz w:val="24"/>
            <w:szCs w:val="24"/>
            <w:u w:val="single"/>
          </w:rPr>
          <w:t>101</w:t>
        </w:r>
      </w:hyperlink>
      <w:r w:rsidRPr="00685FA2">
        <w:rPr>
          <w:rFonts w:ascii="微软雅黑" w:eastAsia="微软雅黑" w:hAnsi="微软雅黑" w:cs="宋体"/>
          <w:kern w:val="0"/>
          <w:sz w:val="24"/>
          <w:szCs w:val="24"/>
        </w:rPr>
        <w:t> ]。因此，使用这些药物可使细胞停滞在G2/M期。比较帕博西尼敏感和帕博西尼耐药的ER+乳腺癌细胞对这些药物的敏感性，发现耐药细胞的增殖减少与敏感细胞相似[ </w:t>
      </w:r>
      <w:hyperlink r:id="rId202" w:anchor="B50-ijms-22-12292" w:history="1">
        <w:r w:rsidRPr="00685FA2">
          <w:rPr>
            <w:rFonts w:ascii="微软雅黑" w:eastAsia="微软雅黑" w:hAnsi="微软雅黑" w:cs="宋体"/>
            <w:kern w:val="0"/>
            <w:sz w:val="24"/>
            <w:szCs w:val="24"/>
            <w:u w:val="single"/>
          </w:rPr>
          <w:t>50</w:t>
        </w:r>
      </w:hyperlink>
      <w:r w:rsidRPr="00685FA2">
        <w:rPr>
          <w:rFonts w:ascii="微软雅黑" w:eastAsia="微软雅黑" w:hAnsi="微软雅黑" w:cs="宋体"/>
          <w:kern w:val="0"/>
          <w:sz w:val="24"/>
          <w:szCs w:val="24"/>
        </w:rPr>
        <w:t> ]。这有力地表明耐药细胞对靶向CDK7的治疗有反应。此外，SY-1365与</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联合治疗对耐药的T47D细胞具有协同作用，提示该联合疗法可能有助于克服对CDK4/6抑制剂的耐药性，并可在患者中进行试验。目前正在进行一项临床试验（</w:t>
      </w:r>
      <w:r w:rsidRPr="00685FA2">
        <w:rPr>
          <w:rFonts w:ascii="微软雅黑" w:eastAsia="微软雅黑" w:hAnsi="微软雅黑" w:cs="宋体"/>
          <w:kern w:val="0"/>
          <w:sz w:val="24"/>
          <w:szCs w:val="24"/>
        </w:rPr>
        <w:fldChar w:fldCharType="begin"/>
      </w:r>
      <w:r w:rsidRPr="00685FA2">
        <w:rPr>
          <w:rFonts w:ascii="微软雅黑" w:eastAsia="微软雅黑" w:hAnsi="微软雅黑" w:cs="宋体"/>
          <w:kern w:val="0"/>
          <w:sz w:val="24"/>
          <w:szCs w:val="24"/>
        </w:rPr>
        <w:instrText xml:space="preserve"> HYPERLINK "https://clinicaltrials.gov/ct2/show/NCT03134638" \t "_blank" </w:instrText>
      </w:r>
      <w:r w:rsidRPr="00685FA2">
        <w:rPr>
          <w:rFonts w:ascii="微软雅黑" w:eastAsia="微软雅黑" w:hAnsi="微软雅黑" w:cs="宋体"/>
          <w:kern w:val="0"/>
          <w:sz w:val="24"/>
          <w:szCs w:val="24"/>
        </w:rPr>
        <w:fldChar w:fldCharType="separate"/>
      </w:r>
      <w:r w:rsidRPr="00685FA2">
        <w:rPr>
          <w:rFonts w:ascii="微软雅黑" w:eastAsia="微软雅黑" w:hAnsi="微软雅黑" w:cs="宋体"/>
          <w:kern w:val="0"/>
          <w:sz w:val="24"/>
          <w:szCs w:val="24"/>
          <w:u w:val="single"/>
        </w:rPr>
        <w:t>NCT03134638</w:t>
      </w:r>
      <w:r w:rsidRPr="00685FA2">
        <w:rPr>
          <w:rFonts w:ascii="微软雅黑" w:eastAsia="微软雅黑" w:hAnsi="微软雅黑" w:cs="宋体"/>
          <w:kern w:val="0"/>
          <w:sz w:val="24"/>
          <w:szCs w:val="24"/>
        </w:rPr>
        <w:fldChar w:fldCharType="end"/>
      </w:r>
      <w:r w:rsidRPr="00685FA2">
        <w:rPr>
          <w:rFonts w:ascii="微软雅黑" w:eastAsia="微软雅黑" w:hAnsi="微软雅黑" w:cs="宋体"/>
          <w:kern w:val="0"/>
          <w:sz w:val="24"/>
          <w:szCs w:val="24"/>
        </w:rPr>
        <w:t>），该试验正在测试 SY-1365 与</w:t>
      </w:r>
      <w:proofErr w:type="gramStart"/>
      <w:r w:rsidRPr="00685FA2">
        <w:rPr>
          <w:rFonts w:ascii="微软雅黑" w:eastAsia="微软雅黑" w:hAnsi="微软雅黑" w:cs="宋体"/>
          <w:kern w:val="0"/>
          <w:sz w:val="24"/>
          <w:szCs w:val="24"/>
        </w:rPr>
        <w:t>氟维司群</w:t>
      </w:r>
      <w:proofErr w:type="gramEnd"/>
      <w:r w:rsidRPr="00685FA2">
        <w:rPr>
          <w:rFonts w:ascii="微软雅黑" w:eastAsia="微软雅黑" w:hAnsi="微软雅黑" w:cs="宋体"/>
          <w:kern w:val="0"/>
          <w:sz w:val="24"/>
          <w:szCs w:val="24"/>
        </w:rPr>
        <w:t>联合治疗对先前对 CDK4/6 抑制剂产生耐药性的 HR+ 转移性患者的疗效[ </w:t>
      </w:r>
      <w:hyperlink r:id="rId203" w:anchor="B101-ijms-22-12292" w:history="1">
        <w:r w:rsidRPr="00685FA2">
          <w:rPr>
            <w:rFonts w:ascii="微软雅黑" w:eastAsia="微软雅黑" w:hAnsi="微软雅黑" w:cs="宋体"/>
            <w:kern w:val="0"/>
            <w:sz w:val="24"/>
            <w:szCs w:val="24"/>
            <w:u w:val="single"/>
          </w:rPr>
          <w:t>101</w:t>
        </w:r>
      </w:hyperlink>
      <w:r w:rsidRPr="00685FA2">
        <w:rPr>
          <w:rFonts w:ascii="微软雅黑" w:eastAsia="微软雅黑" w:hAnsi="微软雅黑" w:cs="宋体"/>
          <w:kern w:val="0"/>
          <w:sz w:val="24"/>
          <w:szCs w:val="24"/>
        </w:rPr>
        <w:t> ]。</w:t>
      </w:r>
    </w:p>
    <w:p w14:paraId="77DD54F4" w14:textId="77777777" w:rsidR="00685FA2" w:rsidRPr="00685FA2" w:rsidRDefault="00685FA2" w:rsidP="00685FA2">
      <w:pPr>
        <w:widowControl/>
        <w:pBdr>
          <w:bottom w:val="single" w:sz="6" w:space="0" w:color="97B1C8"/>
        </w:pBdr>
        <w:spacing w:line="450" w:lineRule="atLeast"/>
        <w:outlineLvl w:val="1"/>
        <w:rPr>
          <w:rFonts w:ascii="微软雅黑" w:eastAsia="微软雅黑" w:hAnsi="微软雅黑" w:cs="宋体"/>
          <w:kern w:val="0"/>
          <w:sz w:val="34"/>
          <w:szCs w:val="34"/>
        </w:rPr>
      </w:pPr>
      <w:r w:rsidRPr="00685FA2">
        <w:rPr>
          <w:rFonts w:ascii="微软雅黑" w:eastAsia="微软雅黑" w:hAnsi="微软雅黑" w:cs="宋体"/>
          <w:kern w:val="0"/>
          <w:sz w:val="34"/>
          <w:szCs w:val="34"/>
        </w:rPr>
        <w:t>7. 防止对 CDK4/6 抑制剂产生耐药性</w:t>
      </w:r>
    </w:p>
    <w:p w14:paraId="0110FC0C"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预防 CDK4/6 抑制剂耐药性的产生，很大程度上依赖于生物标志物的开发，以识别特定肿瘤可能利用哪些机制来规避这些药物的作用。因此，发现和筛选这些生物标志物有助于临床医生根据个体肿瘤的生物学特性，制定最佳治疗方案。理</w:t>
      </w:r>
      <w:r w:rsidRPr="00685FA2">
        <w:rPr>
          <w:rFonts w:ascii="微软雅黑" w:eastAsia="微软雅黑" w:hAnsi="微软雅黑" w:cs="宋体"/>
          <w:kern w:val="0"/>
          <w:sz w:val="24"/>
          <w:szCs w:val="24"/>
        </w:rPr>
        <w:lastRenderedPageBreak/>
        <w:t>想情况下，这将确保患者不会接受无效治疗，而是引导医生为其提供针对特定癌症突变的个性化治疗。总而言之，这是预防耐药性产生的最佳途径。</w:t>
      </w:r>
    </w:p>
    <w:p w14:paraId="03A1FEF4"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Rb 和细胞周期蛋白 E 的状态有可能作为 ER+ 乳腺癌患者对 CDK4/6 抑制剂反应的决定因素。细胞周期蛋白 E 阴性且 Rb 阳性所指示的正常 G1/S 细胞周期检查点是 ER+ 患者中可靠的生物标志物 [ </w:t>
      </w:r>
      <w:hyperlink r:id="rId204" w:anchor="B60-ijms-22-12292" w:history="1">
        <w:r w:rsidRPr="00685FA2">
          <w:rPr>
            <w:rFonts w:ascii="微软雅黑" w:eastAsia="微软雅黑" w:hAnsi="微软雅黑" w:cs="宋体"/>
            <w:kern w:val="0"/>
            <w:sz w:val="24"/>
            <w:szCs w:val="24"/>
            <w:u w:val="single"/>
          </w:rPr>
          <w:t>60</w:t>
        </w:r>
      </w:hyperlink>
      <w:r w:rsidRPr="00685FA2">
        <w:rPr>
          <w:rFonts w:ascii="微软雅黑" w:eastAsia="微软雅黑" w:hAnsi="微软雅黑" w:cs="宋体"/>
          <w:kern w:val="0"/>
          <w:sz w:val="24"/>
          <w:szCs w:val="24"/>
        </w:rPr>
        <w:t> ]。因此，CCNE1 上调和 RB1 下调被认为是帕博西尼耐药的标志物 [ </w:t>
      </w:r>
      <w:hyperlink r:id="rId205" w:anchor="B46-ijms-22-12292" w:history="1">
        <w:r w:rsidRPr="00685FA2">
          <w:rPr>
            <w:rFonts w:ascii="微软雅黑" w:eastAsia="微软雅黑" w:hAnsi="微软雅黑" w:cs="宋体"/>
            <w:kern w:val="0"/>
            <w:sz w:val="24"/>
            <w:szCs w:val="24"/>
            <w:u w:val="single"/>
          </w:rPr>
          <w:t>46</w:t>
        </w:r>
      </w:hyperlink>
      <w:r w:rsidRPr="00685FA2">
        <w:rPr>
          <w:rFonts w:ascii="微软雅黑" w:eastAsia="微软雅黑" w:hAnsi="微软雅黑" w:cs="宋体"/>
          <w:kern w:val="0"/>
          <w:sz w:val="24"/>
          <w:szCs w:val="24"/>
        </w:rPr>
        <w:t> , </w:t>
      </w:r>
      <w:hyperlink r:id="rId206" w:anchor="B49-ijms-22-12292" w:history="1">
        <w:r w:rsidRPr="00685FA2">
          <w:rPr>
            <w:rFonts w:ascii="微软雅黑" w:eastAsia="微软雅黑" w:hAnsi="微软雅黑" w:cs="宋体"/>
            <w:kern w:val="0"/>
            <w:sz w:val="24"/>
            <w:szCs w:val="24"/>
            <w:u w:val="single"/>
          </w:rPr>
          <w:t>49</w:t>
        </w:r>
      </w:hyperlink>
      <w:r w:rsidRPr="00685FA2">
        <w:rPr>
          <w:rFonts w:ascii="微软雅黑" w:eastAsia="微软雅黑" w:hAnsi="微软雅黑" w:cs="宋体"/>
          <w:kern w:val="0"/>
          <w:sz w:val="24"/>
          <w:szCs w:val="24"/>
        </w:rPr>
        <w:t> ]。与此相符的是，ER+ 乳腺癌患者中细胞周期蛋白 E 的</w:t>
      </w:r>
      <w:proofErr w:type="gramStart"/>
      <w:r w:rsidRPr="00685FA2">
        <w:rPr>
          <w:rFonts w:ascii="微软雅黑" w:eastAsia="微软雅黑" w:hAnsi="微软雅黑" w:cs="宋体"/>
          <w:kern w:val="0"/>
          <w:sz w:val="24"/>
          <w:szCs w:val="24"/>
        </w:rPr>
        <w:t>高表达</w:t>
      </w:r>
      <w:proofErr w:type="gramEnd"/>
      <w:r w:rsidRPr="00685FA2">
        <w:rPr>
          <w:rFonts w:ascii="微软雅黑" w:eastAsia="微软雅黑" w:hAnsi="微软雅黑" w:cs="宋体"/>
          <w:kern w:val="0"/>
          <w:sz w:val="24"/>
          <w:szCs w:val="24"/>
        </w:rPr>
        <w:t>预示着不良预后 [ </w:t>
      </w:r>
      <w:hyperlink r:id="rId207" w:anchor="B46-ijms-22-12292" w:history="1">
        <w:r w:rsidRPr="00685FA2">
          <w:rPr>
            <w:rFonts w:ascii="微软雅黑" w:eastAsia="微软雅黑" w:hAnsi="微软雅黑" w:cs="宋体"/>
            <w:kern w:val="0"/>
            <w:sz w:val="24"/>
            <w:szCs w:val="24"/>
            <w:u w:val="single"/>
          </w:rPr>
          <w:t>46</w:t>
        </w:r>
      </w:hyperlink>
      <w:r w:rsidRPr="00685FA2">
        <w:rPr>
          <w:rFonts w:ascii="微软雅黑" w:eastAsia="微软雅黑" w:hAnsi="微软雅黑" w:cs="宋体"/>
          <w:kern w:val="0"/>
          <w:sz w:val="24"/>
          <w:szCs w:val="24"/>
        </w:rPr>
        <w:t xml:space="preserve"> ]。在 PALOMA-3 试验的 302 例患者的基因表达分析中也观察到了同样的模式；CCNE1 </w:t>
      </w:r>
      <w:proofErr w:type="gramStart"/>
      <w:r w:rsidRPr="00685FA2">
        <w:rPr>
          <w:rFonts w:ascii="微软雅黑" w:eastAsia="微软雅黑" w:hAnsi="微软雅黑" w:cs="宋体"/>
          <w:kern w:val="0"/>
          <w:sz w:val="24"/>
          <w:szCs w:val="24"/>
        </w:rPr>
        <w:t>高表达</w:t>
      </w:r>
      <w:proofErr w:type="gramEnd"/>
      <w:r w:rsidRPr="00685FA2">
        <w:rPr>
          <w:rFonts w:ascii="微软雅黑" w:eastAsia="微软雅黑" w:hAnsi="微软雅黑" w:cs="宋体"/>
          <w:kern w:val="0"/>
          <w:sz w:val="24"/>
          <w:szCs w:val="24"/>
        </w:rPr>
        <w:t>的患者对帕博西尼的反应并不显著 [ </w:t>
      </w:r>
      <w:hyperlink r:id="rId208" w:anchor="B53-ijms-22-12292" w:history="1">
        <w:r w:rsidRPr="00685FA2">
          <w:rPr>
            <w:rFonts w:ascii="微软雅黑" w:eastAsia="微软雅黑" w:hAnsi="微软雅黑" w:cs="宋体"/>
            <w:kern w:val="0"/>
            <w:sz w:val="24"/>
            <w:szCs w:val="24"/>
            <w:u w:val="single"/>
          </w:rPr>
          <w:t>53</w:t>
        </w:r>
      </w:hyperlink>
      <w:r w:rsidRPr="00685FA2">
        <w:rPr>
          <w:rFonts w:ascii="微软雅黑" w:eastAsia="微软雅黑" w:hAnsi="微软雅黑" w:cs="宋体"/>
          <w:kern w:val="0"/>
          <w:sz w:val="24"/>
          <w:szCs w:val="24"/>
        </w:rPr>
        <w:t> , </w:t>
      </w:r>
      <w:hyperlink r:id="rId209" w:anchor="B102-ijms-22-12292" w:history="1">
        <w:r w:rsidRPr="00685FA2">
          <w:rPr>
            <w:rFonts w:ascii="微软雅黑" w:eastAsia="微软雅黑" w:hAnsi="微软雅黑" w:cs="宋体"/>
            <w:kern w:val="0"/>
            <w:sz w:val="24"/>
            <w:szCs w:val="24"/>
            <w:u w:val="single"/>
          </w:rPr>
          <w:t>102</w:t>
        </w:r>
      </w:hyperlink>
      <w:r w:rsidRPr="00685FA2">
        <w:rPr>
          <w:rFonts w:ascii="微软雅黑" w:eastAsia="微软雅黑" w:hAnsi="微软雅黑" w:cs="宋体"/>
          <w:kern w:val="0"/>
          <w:sz w:val="24"/>
          <w:szCs w:val="24"/>
        </w:rPr>
        <w:t> ]。如前所述，</w:t>
      </w:r>
      <w:proofErr w:type="spellStart"/>
      <w:r w:rsidRPr="00685FA2">
        <w:rPr>
          <w:rFonts w:ascii="微软雅黑" w:eastAsia="微软雅黑" w:hAnsi="微软雅黑" w:cs="宋体"/>
          <w:kern w:val="0"/>
          <w:sz w:val="24"/>
          <w:szCs w:val="24"/>
        </w:rPr>
        <w:t>Malorni</w:t>
      </w:r>
      <w:proofErr w:type="spellEnd"/>
      <w:r w:rsidRPr="00685FA2">
        <w:rPr>
          <w:rFonts w:ascii="微软雅黑" w:eastAsia="微软雅黑" w:hAnsi="微软雅黑" w:cs="宋体"/>
          <w:kern w:val="0"/>
          <w:sz w:val="24"/>
          <w:szCs w:val="24"/>
        </w:rPr>
        <w:t xml:space="preserve"> 等人。 [ </w:t>
      </w:r>
      <w:hyperlink r:id="rId210" w:anchor="B48-ijms-22-12292" w:history="1">
        <w:r w:rsidRPr="00685FA2">
          <w:rPr>
            <w:rFonts w:ascii="微软雅黑" w:eastAsia="微软雅黑" w:hAnsi="微软雅黑" w:cs="宋体"/>
            <w:kern w:val="0"/>
            <w:sz w:val="24"/>
            <w:szCs w:val="24"/>
            <w:u w:val="single"/>
          </w:rPr>
          <w:t>48</w:t>
        </w:r>
      </w:hyperlink>
      <w:r w:rsidRPr="00685FA2">
        <w:rPr>
          <w:rFonts w:ascii="微软雅黑" w:eastAsia="微软雅黑" w:hAnsi="微软雅黑" w:cs="宋体"/>
          <w:kern w:val="0"/>
          <w:sz w:val="24"/>
          <w:szCs w:val="24"/>
        </w:rPr>
        <w:t> ] 利用癌症基因组图谱（TCGA）发现Rb失活与帕博西尼耐药之间存在相关性。他们开发的预测模型能够根据Rb状态识别帕博西尼的疗效。在ER阳性乳腺癌患者中应用该模型有助于识别哪些患者可能对CDK4/6抑制剂产生良好反应，以及哪些患者可能存在内在耐药性，因此应采取不同的治疗方案。</w:t>
      </w:r>
    </w:p>
    <w:p w14:paraId="78BE78A8"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对 CDK4/6 抑制剂耐药的乳腺癌细胞表现出</w:t>
      </w:r>
      <w:proofErr w:type="gramStart"/>
      <w:r w:rsidRPr="00685FA2">
        <w:rPr>
          <w:rFonts w:ascii="微软雅黑" w:eastAsia="微软雅黑" w:hAnsi="微软雅黑" w:cs="宋体"/>
          <w:kern w:val="0"/>
          <w:sz w:val="24"/>
          <w:szCs w:val="24"/>
        </w:rPr>
        <w:t>胱</w:t>
      </w:r>
      <w:proofErr w:type="gramEnd"/>
      <w:r w:rsidRPr="00685FA2">
        <w:rPr>
          <w:rFonts w:ascii="微软雅黑" w:eastAsia="微软雅黑" w:hAnsi="微软雅黑" w:cs="宋体"/>
          <w:kern w:val="0"/>
          <w:sz w:val="24"/>
          <w:szCs w:val="24"/>
        </w:rPr>
        <w:t>抑素 S 和 αB-晶状体蛋白的表达上调 [ </w:t>
      </w:r>
      <w:hyperlink r:id="rId211" w:anchor="B61-ijms-22-12292" w:history="1">
        <w:r w:rsidRPr="00685FA2">
          <w:rPr>
            <w:rFonts w:ascii="微软雅黑" w:eastAsia="微软雅黑" w:hAnsi="微软雅黑" w:cs="宋体"/>
            <w:kern w:val="0"/>
            <w:sz w:val="24"/>
            <w:szCs w:val="24"/>
            <w:u w:val="single"/>
          </w:rPr>
          <w:t>61</w:t>
        </w:r>
      </w:hyperlink>
      <w:r w:rsidRPr="00685FA2">
        <w:rPr>
          <w:rFonts w:ascii="微软雅黑" w:eastAsia="微软雅黑" w:hAnsi="微软雅黑" w:cs="宋体"/>
          <w:kern w:val="0"/>
          <w:sz w:val="24"/>
          <w:szCs w:val="24"/>
        </w:rPr>
        <w:t> ]。此外，这些蛋白在乳腺癌患者体内也呈上调表达，且与癌症进展相关。尽管它们在 CDK4/6 抑制剂耐药中的潜在作用尚未明确，但它们可能作为生物标志物，用于预测哪些患者可能对 CDK4/6 抑制剂无反应。</w:t>
      </w:r>
    </w:p>
    <w:p w14:paraId="3E27BC33"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KRAS是另一种可能作为生物标志物的基因。研究人员对106例接受帕博西尼和</w:t>
      </w:r>
      <w:proofErr w:type="gramStart"/>
      <w:r w:rsidRPr="00685FA2">
        <w:rPr>
          <w:rFonts w:ascii="微软雅黑" w:eastAsia="微软雅黑" w:hAnsi="微软雅黑" w:cs="宋体"/>
          <w:kern w:val="0"/>
          <w:sz w:val="24"/>
          <w:szCs w:val="24"/>
        </w:rPr>
        <w:t>氟维司群治疗</w:t>
      </w:r>
      <w:proofErr w:type="gramEnd"/>
      <w:r w:rsidRPr="00685FA2">
        <w:rPr>
          <w:rFonts w:ascii="微软雅黑" w:eastAsia="微软雅黑" w:hAnsi="微软雅黑" w:cs="宋体"/>
          <w:kern w:val="0"/>
          <w:sz w:val="24"/>
          <w:szCs w:val="24"/>
        </w:rPr>
        <w:t>的ER阳性乳腺癌患者进行了系列血浆游离DNA基因分型分析，结果显示，随着时间推移出现KRAS突变的患者对帕博西尼产生了耐药性[ </w:t>
      </w:r>
      <w:hyperlink r:id="rId212" w:anchor="B57-ijms-22-12292" w:history="1">
        <w:r w:rsidRPr="00685FA2">
          <w:rPr>
            <w:rFonts w:ascii="微软雅黑" w:eastAsia="微软雅黑" w:hAnsi="微软雅黑" w:cs="宋体"/>
            <w:kern w:val="0"/>
            <w:sz w:val="24"/>
            <w:szCs w:val="24"/>
            <w:u w:val="single"/>
          </w:rPr>
          <w:t>57</w:t>
        </w:r>
      </w:hyperlink>
      <w:r w:rsidRPr="00685FA2">
        <w:rPr>
          <w:rFonts w:ascii="微软雅黑" w:eastAsia="微软雅黑" w:hAnsi="微软雅黑" w:cs="宋体"/>
          <w:kern w:val="0"/>
          <w:sz w:val="24"/>
          <w:szCs w:val="24"/>
        </w:rPr>
        <w:t> ]。</w:t>
      </w:r>
      <w:r w:rsidRPr="00685FA2">
        <w:rPr>
          <w:rFonts w:ascii="微软雅黑" w:eastAsia="微软雅黑" w:hAnsi="微软雅黑" w:cs="宋体"/>
          <w:kern w:val="0"/>
          <w:sz w:val="24"/>
          <w:szCs w:val="24"/>
        </w:rPr>
        <w:lastRenderedPageBreak/>
        <w:t>因此，通过频繁的液体活检，检测循环肿瘤细胞中的突变型KRAS可以帮助临床医生确定哪些患者对帕博西尼无效，并且可能对其他两种CDK4/6抑制剂也无效。</w:t>
      </w:r>
    </w:p>
    <w:p w14:paraId="156BD229"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FAT1状态也被认为是CDK4/6抑制剂敏感性的标志物。此前Li等人[ </w:t>
      </w:r>
      <w:hyperlink r:id="rId213" w:anchor="B64-ijms-22-12292" w:history="1">
        <w:r w:rsidRPr="00685FA2">
          <w:rPr>
            <w:rFonts w:ascii="微软雅黑" w:eastAsia="微软雅黑" w:hAnsi="微软雅黑" w:cs="宋体"/>
            <w:kern w:val="0"/>
            <w:sz w:val="24"/>
            <w:szCs w:val="24"/>
            <w:u w:val="single"/>
          </w:rPr>
          <w:t>64</w:t>
        </w:r>
      </w:hyperlink>
      <w:r w:rsidRPr="00685FA2">
        <w:rPr>
          <w:rFonts w:ascii="微软雅黑" w:eastAsia="微软雅黑" w:hAnsi="微软雅黑" w:cs="宋体"/>
          <w:kern w:val="0"/>
          <w:sz w:val="24"/>
          <w:szCs w:val="24"/>
        </w:rPr>
        <w:t> ]的分析表明，FAT1突变与CDK4/6抑制剂疗效显著降低相关。因此，本研究的作者强烈支持将FAT1用作耐药性的生物标志物。</w:t>
      </w:r>
    </w:p>
    <w:p w14:paraId="646A3C5E"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CDK4 的磷酸化，特别是 Thr172 位点的磷酸化，是其激活所必需的。有假设认为，如果没有这种磷酸化，细胞将独立于 CDK4 完成细胞周期。因此，缺乏磷酸化 CDK4 的细胞预计对 CDK4/6 抑制剂不敏感。体外研究证实，对帕博西尼的敏感性依赖于磷酸化 CDK4 [ </w:t>
      </w:r>
      <w:hyperlink r:id="rId214" w:anchor="B103-ijms-22-12292" w:history="1">
        <w:r w:rsidRPr="00685FA2">
          <w:rPr>
            <w:rFonts w:ascii="微软雅黑" w:eastAsia="微软雅黑" w:hAnsi="微软雅黑" w:cs="宋体"/>
            <w:kern w:val="0"/>
            <w:sz w:val="24"/>
            <w:szCs w:val="24"/>
            <w:u w:val="single"/>
          </w:rPr>
          <w:t>103</w:t>
        </w:r>
      </w:hyperlink>
      <w:r w:rsidRPr="00685FA2">
        <w:rPr>
          <w:rFonts w:ascii="微软雅黑" w:eastAsia="微软雅黑" w:hAnsi="微软雅黑" w:cs="宋体"/>
          <w:kern w:val="0"/>
          <w:sz w:val="24"/>
          <w:szCs w:val="24"/>
        </w:rPr>
        <w:t> ]。令人振奋的是，目前已开发出一种预测 CDK4 状态的基因表达谱，用于准确判断哪些细胞会对帕博西尼产生反应。该 qPCR 检测将应用于未来临床试验的数据，以进一步研究该工具在人体中的应用潜力。</w:t>
      </w:r>
    </w:p>
    <w:p w14:paraId="5A9ADB4E" w14:textId="77777777" w:rsidR="00685FA2" w:rsidRPr="00685FA2" w:rsidRDefault="00685FA2" w:rsidP="00685FA2">
      <w:pPr>
        <w:widowControl/>
        <w:pBdr>
          <w:bottom w:val="single" w:sz="6" w:space="0" w:color="97B1C8"/>
        </w:pBdr>
        <w:spacing w:line="450" w:lineRule="atLeast"/>
        <w:outlineLvl w:val="1"/>
        <w:rPr>
          <w:rFonts w:ascii="微软雅黑" w:eastAsia="微软雅黑" w:hAnsi="微软雅黑" w:cs="宋体"/>
          <w:kern w:val="0"/>
          <w:sz w:val="34"/>
          <w:szCs w:val="34"/>
        </w:rPr>
      </w:pPr>
      <w:r w:rsidRPr="00685FA2">
        <w:rPr>
          <w:rFonts w:ascii="微软雅黑" w:eastAsia="微软雅黑" w:hAnsi="微软雅黑" w:cs="宋体"/>
          <w:kern w:val="0"/>
          <w:sz w:val="34"/>
          <w:szCs w:val="34"/>
        </w:rPr>
        <w:t>8. 结论与未来方向</w:t>
      </w:r>
    </w:p>
    <w:p w14:paraId="01DC3487"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CDK4/6抑制剂是一类相对较新的药物，在改善ER阳性乳腺癌患者的治疗反应方面非常有效。然而，为了充分发挥CDK4/6抑制剂在乳腺癌治疗中的潜力，仍有许多方面需要在临床上进行进一步评估。这些需要在临床试验中揭示的细节包括其对早期患者、HER2阳性患者以及三阴性乳腺癌患者的疗效。此外，确定哪些其他药物可以与CDK4/6抑制剂产生协同作用，将有助于患者获得最大程度</w:t>
      </w:r>
      <w:r w:rsidRPr="00685FA2">
        <w:rPr>
          <w:rFonts w:ascii="微软雅黑" w:eastAsia="微软雅黑" w:hAnsi="微软雅黑" w:cs="宋体"/>
          <w:kern w:val="0"/>
          <w:sz w:val="24"/>
          <w:szCs w:val="24"/>
        </w:rPr>
        <w:lastRenderedPageBreak/>
        <w:t>的获益。目前，针对所有这些方面的试验正在进行中，希望这些试验能够进一步阐明CDK4/6抑制剂在乳腺癌治疗中的真正价值。</w:t>
      </w:r>
    </w:p>
    <w:p w14:paraId="77D7D5D0" w14:textId="77777777" w:rsidR="00685FA2" w:rsidRPr="00685FA2" w:rsidRDefault="00685FA2" w:rsidP="00685FA2">
      <w:pPr>
        <w:widowControl/>
        <w:spacing w:before="450"/>
        <w:rPr>
          <w:rFonts w:ascii="微软雅黑" w:eastAsia="微软雅黑" w:hAnsi="微软雅黑" w:cs="宋体"/>
          <w:kern w:val="0"/>
          <w:sz w:val="24"/>
          <w:szCs w:val="24"/>
        </w:rPr>
      </w:pPr>
      <w:r w:rsidRPr="00685FA2">
        <w:rPr>
          <w:rFonts w:ascii="微软雅黑" w:eastAsia="微软雅黑" w:hAnsi="微软雅黑" w:cs="宋体"/>
          <w:kern w:val="0"/>
          <w:sz w:val="24"/>
          <w:szCs w:val="24"/>
        </w:rPr>
        <w:t>尽管扩大 CDK4/6 抑制剂的使用范围无疑将惠及患者，但当存在固有耐药性或最终发展为获得性耐药性时，也需要有相应的治疗方案。目前，人们已经了解乳腺癌细胞对 CDK4/6 抑制剂产生耐药性的多种机制，并且新的机制仍在不断被发现。因此，需要开发新的治疗方案，并在临床试验中测试其针对这些复杂机制的作用。理想情况下，能够与 CDK4/6 抑制剂联合使用以彻底预防耐药性的疗法将是最佳解决方案。在此之前，在治疗前使用成熟的生物标志物将有助于临床医生了解哪些患者对 CDK4/6 抑制剂反应良好，哪些患者可能已经存在或发展出耐药性，从而实现个性化、有效的治疗。总而言之，这项工作将有助于解决一个棘手的临床难题，并显著改善乳腺癌患者的预后。</w:t>
      </w:r>
    </w:p>
    <w:p w14:paraId="55B709EF" w14:textId="77777777" w:rsidR="00045AF1" w:rsidRPr="00685FA2" w:rsidRDefault="00045AF1" w:rsidP="00685FA2">
      <w:pPr>
        <w:rPr>
          <w:rFonts w:ascii="微软雅黑" w:eastAsia="微软雅黑" w:hAnsi="微软雅黑"/>
        </w:rPr>
      </w:pPr>
    </w:p>
    <w:sectPr w:rsidR="00045AF1" w:rsidRPr="00685FA2">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194E23"/>
    <w:multiLevelType w:val="multilevel"/>
    <w:tmpl w:val="A05A2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AF1"/>
    <w:rsid w:val="00045AF1"/>
    <w:rsid w:val="00685F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FEB14"/>
  <w15:chartTrackingRefBased/>
  <w15:docId w15:val="{A4A0CCAD-B41F-4C8B-BADA-AB89F4AFA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685FA2"/>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685FA2"/>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685FA2"/>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685FA2"/>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85FA2"/>
    <w:rPr>
      <w:rFonts w:ascii="宋体" w:eastAsia="宋体" w:hAnsi="宋体" w:cs="宋体"/>
      <w:b/>
      <w:bCs/>
      <w:kern w:val="36"/>
      <w:sz w:val="48"/>
      <w:szCs w:val="48"/>
    </w:rPr>
  </w:style>
  <w:style w:type="character" w:customStyle="1" w:styleId="20">
    <w:name w:val="标题 2 字符"/>
    <w:basedOn w:val="a0"/>
    <w:link w:val="2"/>
    <w:uiPriority w:val="9"/>
    <w:rsid w:val="00685FA2"/>
    <w:rPr>
      <w:rFonts w:ascii="宋体" w:eastAsia="宋体" w:hAnsi="宋体" w:cs="宋体"/>
      <w:b/>
      <w:bCs/>
      <w:kern w:val="0"/>
      <w:sz w:val="36"/>
      <w:szCs w:val="36"/>
    </w:rPr>
  </w:style>
  <w:style w:type="character" w:customStyle="1" w:styleId="30">
    <w:name w:val="标题 3 字符"/>
    <w:basedOn w:val="a0"/>
    <w:link w:val="3"/>
    <w:uiPriority w:val="9"/>
    <w:rsid w:val="00685FA2"/>
    <w:rPr>
      <w:rFonts w:ascii="宋体" w:eastAsia="宋体" w:hAnsi="宋体" w:cs="宋体"/>
      <w:b/>
      <w:bCs/>
      <w:kern w:val="0"/>
      <w:sz w:val="27"/>
      <w:szCs w:val="27"/>
    </w:rPr>
  </w:style>
  <w:style w:type="character" w:customStyle="1" w:styleId="40">
    <w:name w:val="标题 4 字符"/>
    <w:basedOn w:val="a0"/>
    <w:link w:val="4"/>
    <w:uiPriority w:val="9"/>
    <w:rsid w:val="00685FA2"/>
    <w:rPr>
      <w:rFonts w:ascii="宋体" w:eastAsia="宋体" w:hAnsi="宋体" w:cs="宋体"/>
      <w:b/>
      <w:bCs/>
      <w:kern w:val="0"/>
      <w:sz w:val="24"/>
      <w:szCs w:val="24"/>
    </w:rPr>
  </w:style>
  <w:style w:type="paragraph" w:customStyle="1" w:styleId="msonormal0">
    <w:name w:val="msonormal"/>
    <w:basedOn w:val="a"/>
    <w:rsid w:val="00685FA2"/>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685FA2"/>
    <w:rPr>
      <w:color w:val="0000FF"/>
      <w:u w:val="single"/>
    </w:rPr>
  </w:style>
  <w:style w:type="character" w:styleId="a4">
    <w:name w:val="FollowedHyperlink"/>
    <w:basedOn w:val="a0"/>
    <w:uiPriority w:val="99"/>
    <w:semiHidden/>
    <w:unhideWhenUsed/>
    <w:rsid w:val="00685FA2"/>
    <w:rPr>
      <w:color w:val="800080"/>
      <w:u w:val="single"/>
    </w:rPr>
  </w:style>
  <w:style w:type="character" w:customStyle="1" w:styleId="name">
    <w:name w:val="name"/>
    <w:basedOn w:val="a0"/>
    <w:rsid w:val="00685FA2"/>
  </w:style>
  <w:style w:type="paragraph" w:styleId="a5">
    <w:name w:val="Normal (Web)"/>
    <w:basedOn w:val="a"/>
    <w:uiPriority w:val="99"/>
    <w:semiHidden/>
    <w:unhideWhenUsed/>
    <w:rsid w:val="00685FA2"/>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685FA2"/>
    <w:rPr>
      <w:b/>
      <w:bCs/>
    </w:rPr>
  </w:style>
  <w:style w:type="paragraph" w:customStyle="1" w:styleId="img-box">
    <w:name w:val="img-box"/>
    <w:basedOn w:val="a"/>
    <w:rsid w:val="00685FA2"/>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688631">
      <w:bodyDiv w:val="1"/>
      <w:marLeft w:val="0"/>
      <w:marRight w:val="0"/>
      <w:marTop w:val="0"/>
      <w:marBottom w:val="0"/>
      <w:divBdr>
        <w:top w:val="none" w:sz="0" w:space="0" w:color="auto"/>
        <w:left w:val="none" w:sz="0" w:space="0" w:color="auto"/>
        <w:bottom w:val="none" w:sz="0" w:space="0" w:color="auto"/>
        <w:right w:val="none" w:sz="0" w:space="0" w:color="auto"/>
      </w:divBdr>
      <w:divsChild>
        <w:div w:id="2102295620">
          <w:marLeft w:val="0"/>
          <w:marRight w:val="0"/>
          <w:marTop w:val="0"/>
          <w:marBottom w:val="0"/>
          <w:divBdr>
            <w:top w:val="none" w:sz="0" w:space="0" w:color="auto"/>
            <w:left w:val="none" w:sz="0" w:space="0" w:color="auto"/>
            <w:bottom w:val="none" w:sz="0" w:space="0" w:color="auto"/>
            <w:right w:val="none" w:sz="0" w:space="0" w:color="auto"/>
          </w:divBdr>
          <w:divsChild>
            <w:div w:id="2123255859">
              <w:marLeft w:val="0"/>
              <w:marRight w:val="0"/>
              <w:marTop w:val="225"/>
              <w:marBottom w:val="0"/>
              <w:divBdr>
                <w:top w:val="none" w:sz="0" w:space="0" w:color="auto"/>
                <w:left w:val="none" w:sz="0" w:space="0" w:color="auto"/>
                <w:bottom w:val="none" w:sz="0" w:space="0" w:color="auto"/>
                <w:right w:val="none" w:sz="0" w:space="0" w:color="auto"/>
              </w:divBdr>
            </w:div>
            <w:div w:id="1276713022">
              <w:marLeft w:val="0"/>
              <w:marRight w:val="0"/>
              <w:marTop w:val="225"/>
              <w:marBottom w:val="0"/>
              <w:divBdr>
                <w:top w:val="none" w:sz="0" w:space="0" w:color="auto"/>
                <w:left w:val="none" w:sz="0" w:space="0" w:color="auto"/>
                <w:bottom w:val="none" w:sz="0" w:space="0" w:color="auto"/>
                <w:right w:val="none" w:sz="0" w:space="0" w:color="auto"/>
              </w:divBdr>
            </w:div>
            <w:div w:id="1700161029">
              <w:marLeft w:val="0"/>
              <w:marRight w:val="0"/>
              <w:marTop w:val="0"/>
              <w:marBottom w:val="0"/>
              <w:divBdr>
                <w:top w:val="none" w:sz="0" w:space="0" w:color="auto"/>
                <w:left w:val="none" w:sz="0" w:space="0" w:color="auto"/>
                <w:bottom w:val="none" w:sz="0" w:space="0" w:color="auto"/>
                <w:right w:val="none" w:sz="0" w:space="0" w:color="auto"/>
              </w:divBdr>
            </w:div>
          </w:divsChild>
        </w:div>
        <w:div w:id="1775662014">
          <w:marLeft w:val="0"/>
          <w:marRight w:val="0"/>
          <w:marTop w:val="450"/>
          <w:marBottom w:val="0"/>
          <w:divBdr>
            <w:top w:val="none" w:sz="0" w:space="0" w:color="auto"/>
            <w:left w:val="none" w:sz="0" w:space="0" w:color="auto"/>
            <w:bottom w:val="none" w:sz="0" w:space="0" w:color="auto"/>
            <w:right w:val="none" w:sz="0" w:space="0" w:color="auto"/>
          </w:divBdr>
        </w:div>
        <w:div w:id="1819690836">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mc.ncbi.nlm.nih.gov/articles/PMC8625090/" TargetMode="External"/><Relationship Id="rId21" Type="http://schemas.openxmlformats.org/officeDocument/2006/relationships/hyperlink" Target="https://pmc.ncbi.nlm.nih.gov/articles/PMC8625090/" TargetMode="External"/><Relationship Id="rId42" Type="http://schemas.openxmlformats.org/officeDocument/2006/relationships/hyperlink" Target="https://pmc.ncbi.nlm.nih.gov/articles/PMC8625090/" TargetMode="External"/><Relationship Id="rId63" Type="http://schemas.openxmlformats.org/officeDocument/2006/relationships/hyperlink" Target="https://pmc.ncbi.nlm.nih.gov/articles/PMC8625090/" TargetMode="External"/><Relationship Id="rId84" Type="http://schemas.openxmlformats.org/officeDocument/2006/relationships/hyperlink" Target="https://pmc.ncbi.nlm.nih.gov/articles/PMC8625090/" TargetMode="External"/><Relationship Id="rId138" Type="http://schemas.openxmlformats.org/officeDocument/2006/relationships/hyperlink" Target="https://pmc.ncbi.nlm.nih.gov/articles/PMC8625090/" TargetMode="External"/><Relationship Id="rId159" Type="http://schemas.openxmlformats.org/officeDocument/2006/relationships/hyperlink" Target="https://pmc.ncbi.nlm.nih.gov/articles/PMC8625090/" TargetMode="External"/><Relationship Id="rId170" Type="http://schemas.openxmlformats.org/officeDocument/2006/relationships/hyperlink" Target="https://clinicaltrials.gov/ct2/show/NCT03238196" TargetMode="External"/><Relationship Id="rId191" Type="http://schemas.openxmlformats.org/officeDocument/2006/relationships/hyperlink" Target="https://pmc.ncbi.nlm.nih.gov/articles/PMC8625090/" TargetMode="External"/><Relationship Id="rId205" Type="http://schemas.openxmlformats.org/officeDocument/2006/relationships/hyperlink" Target="https://pmc.ncbi.nlm.nih.gov/articles/PMC8625090/" TargetMode="External"/><Relationship Id="rId107" Type="http://schemas.openxmlformats.org/officeDocument/2006/relationships/hyperlink" Target="https://pmc.ncbi.nlm.nih.gov/articles/PMC8625090/" TargetMode="External"/><Relationship Id="rId11" Type="http://schemas.openxmlformats.org/officeDocument/2006/relationships/hyperlink" Target="https://pmc.ncbi.nlm.nih.gov/articles/PMC8625090/" TargetMode="External"/><Relationship Id="rId32" Type="http://schemas.openxmlformats.org/officeDocument/2006/relationships/hyperlink" Target="https://pmc.ncbi.nlm.nih.gov/articles/PMC8625090/" TargetMode="External"/><Relationship Id="rId53" Type="http://schemas.openxmlformats.org/officeDocument/2006/relationships/hyperlink" Target="https://pmc.ncbi.nlm.nih.gov/articles/PMC8625090/" TargetMode="External"/><Relationship Id="rId74" Type="http://schemas.openxmlformats.org/officeDocument/2006/relationships/hyperlink" Target="https://clinicaltrials.gov/ct2/show/NCT02246621" TargetMode="External"/><Relationship Id="rId128" Type="http://schemas.openxmlformats.org/officeDocument/2006/relationships/hyperlink" Target="https://pmc.ncbi.nlm.nih.gov/articles/PMC8625090/" TargetMode="External"/><Relationship Id="rId149" Type="http://schemas.openxmlformats.org/officeDocument/2006/relationships/hyperlink" Target="https://pmc.ncbi.nlm.nih.gov/articles/PMC8625090/" TargetMode="External"/><Relationship Id="rId5" Type="http://schemas.openxmlformats.org/officeDocument/2006/relationships/hyperlink" Target="https://pmc.ncbi.nlm.nih.gov/articles/PMC8625090/" TargetMode="External"/><Relationship Id="rId95" Type="http://schemas.openxmlformats.org/officeDocument/2006/relationships/hyperlink" Target="https://www.ncbi.nlm.nih.gov/core/lw/2.0/html/tileshop_pmc/tileshop_pmc_inline.html?title=Click%20on%20image%20to%20zoom&amp;p=PMC3&amp;id=8625090_ijms-22-12292-g001.jpg" TargetMode="External"/><Relationship Id="rId160" Type="http://schemas.openxmlformats.org/officeDocument/2006/relationships/hyperlink" Target="https://pmc.ncbi.nlm.nih.gov/articles/PMC8625090/" TargetMode="External"/><Relationship Id="rId181" Type="http://schemas.openxmlformats.org/officeDocument/2006/relationships/hyperlink" Target="https://pmc.ncbi.nlm.nih.gov/articles/PMC8625090/" TargetMode="External"/><Relationship Id="rId216" Type="http://schemas.openxmlformats.org/officeDocument/2006/relationships/theme" Target="theme/theme1.xml"/><Relationship Id="rId22" Type="http://schemas.openxmlformats.org/officeDocument/2006/relationships/hyperlink" Target="https://pmc.ncbi.nlm.nih.gov/articles/PMC8625090/" TargetMode="External"/><Relationship Id="rId43" Type="http://schemas.openxmlformats.org/officeDocument/2006/relationships/hyperlink" Target="https://clinicaltrials.gov/ct2/show/NCT00721409" TargetMode="External"/><Relationship Id="rId64" Type="http://schemas.openxmlformats.org/officeDocument/2006/relationships/hyperlink" Target="https://pmc.ncbi.nlm.nih.gov/articles/PMC8625090/" TargetMode="External"/><Relationship Id="rId118" Type="http://schemas.openxmlformats.org/officeDocument/2006/relationships/hyperlink" Target="https://pmc.ncbi.nlm.nih.gov/articles/PMC8625090/" TargetMode="External"/><Relationship Id="rId139" Type="http://schemas.openxmlformats.org/officeDocument/2006/relationships/hyperlink" Target="https://pmc.ncbi.nlm.nih.gov/articles/PMC8625090/" TargetMode="External"/><Relationship Id="rId85" Type="http://schemas.openxmlformats.org/officeDocument/2006/relationships/hyperlink" Target="https://pmc.ncbi.nlm.nih.gov/articles/PMC8625090/" TargetMode="External"/><Relationship Id="rId150" Type="http://schemas.openxmlformats.org/officeDocument/2006/relationships/hyperlink" Target="https://pmc.ncbi.nlm.nih.gov/articles/PMC8625090/" TargetMode="External"/><Relationship Id="rId171" Type="http://schemas.openxmlformats.org/officeDocument/2006/relationships/hyperlink" Target="https://pmc.ncbi.nlm.nih.gov/articles/PMC8625090/" TargetMode="External"/><Relationship Id="rId192" Type="http://schemas.openxmlformats.org/officeDocument/2006/relationships/hyperlink" Target="https://pmc.ncbi.nlm.nih.gov/articles/PMC8625090/" TargetMode="External"/><Relationship Id="rId206" Type="http://schemas.openxmlformats.org/officeDocument/2006/relationships/hyperlink" Target="https://pmc.ncbi.nlm.nih.gov/articles/PMC8625090/" TargetMode="External"/><Relationship Id="rId12" Type="http://schemas.openxmlformats.org/officeDocument/2006/relationships/hyperlink" Target="https://pmc.ncbi.nlm.nih.gov/articles/PMC8625090/" TargetMode="External"/><Relationship Id="rId33" Type="http://schemas.openxmlformats.org/officeDocument/2006/relationships/hyperlink" Target="https://pmc.ncbi.nlm.nih.gov/articles/PMC8625090/" TargetMode="External"/><Relationship Id="rId108" Type="http://schemas.openxmlformats.org/officeDocument/2006/relationships/hyperlink" Target="https://pmc.ncbi.nlm.nih.gov/articles/PMC8625090/" TargetMode="External"/><Relationship Id="rId129" Type="http://schemas.openxmlformats.org/officeDocument/2006/relationships/hyperlink" Target="https://pmc.ncbi.nlm.nih.gov/articles/PMC8625090/" TargetMode="External"/><Relationship Id="rId54" Type="http://schemas.openxmlformats.org/officeDocument/2006/relationships/hyperlink" Target="https://pmc.ncbi.nlm.nih.gov/articles/PMC8625090/" TargetMode="External"/><Relationship Id="rId75" Type="http://schemas.openxmlformats.org/officeDocument/2006/relationships/hyperlink" Target="https://pmc.ncbi.nlm.nih.gov/articles/PMC8625090/" TargetMode="External"/><Relationship Id="rId96" Type="http://schemas.openxmlformats.org/officeDocument/2006/relationships/image" Target="media/image1.jpeg"/><Relationship Id="rId140" Type="http://schemas.openxmlformats.org/officeDocument/2006/relationships/hyperlink" Target="https://pmc.ncbi.nlm.nih.gov/articles/PMC8625090/" TargetMode="External"/><Relationship Id="rId161" Type="http://schemas.openxmlformats.org/officeDocument/2006/relationships/hyperlink" Target="https://pmc.ncbi.nlm.nih.gov/articles/PMC8625090/" TargetMode="External"/><Relationship Id="rId182" Type="http://schemas.openxmlformats.org/officeDocument/2006/relationships/hyperlink" Target="https://pmc.ncbi.nlm.nih.gov/articles/PMC8625090/" TargetMode="External"/><Relationship Id="rId6" Type="http://schemas.openxmlformats.org/officeDocument/2006/relationships/hyperlink" Target="https://pmc.ncbi.nlm.nih.gov/articles/PMC8625090/" TargetMode="External"/><Relationship Id="rId23" Type="http://schemas.openxmlformats.org/officeDocument/2006/relationships/hyperlink" Target="https://pmc.ncbi.nlm.nih.gov/articles/PMC8625090/" TargetMode="External"/><Relationship Id="rId119" Type="http://schemas.openxmlformats.org/officeDocument/2006/relationships/hyperlink" Target="https://pmc.ncbi.nlm.nih.gov/articles/PMC8625090/" TargetMode="External"/><Relationship Id="rId44" Type="http://schemas.openxmlformats.org/officeDocument/2006/relationships/hyperlink" Target="https://pmc.ncbi.nlm.nih.gov/articles/PMC8625090/" TargetMode="External"/><Relationship Id="rId65" Type="http://schemas.openxmlformats.org/officeDocument/2006/relationships/hyperlink" Target="https://pmc.ncbi.nlm.nih.gov/articles/PMC8625090/" TargetMode="External"/><Relationship Id="rId86" Type="http://schemas.openxmlformats.org/officeDocument/2006/relationships/hyperlink" Target="https://pmc.ncbi.nlm.nih.gov/articles/PMC8625090/" TargetMode="External"/><Relationship Id="rId130" Type="http://schemas.openxmlformats.org/officeDocument/2006/relationships/hyperlink" Target="https://pmc.ncbi.nlm.nih.gov/articles/PMC8625090/" TargetMode="External"/><Relationship Id="rId151" Type="http://schemas.openxmlformats.org/officeDocument/2006/relationships/hyperlink" Target="https://pmc.ncbi.nlm.nih.gov/articles/PMC8625090/" TargetMode="External"/><Relationship Id="rId172" Type="http://schemas.openxmlformats.org/officeDocument/2006/relationships/hyperlink" Target="https://pmc.ncbi.nlm.nih.gov/articles/PMC8625090/" TargetMode="External"/><Relationship Id="rId193" Type="http://schemas.openxmlformats.org/officeDocument/2006/relationships/hyperlink" Target="https://pmc.ncbi.nlm.nih.gov/articles/PMC8625090/" TargetMode="External"/><Relationship Id="rId207" Type="http://schemas.openxmlformats.org/officeDocument/2006/relationships/hyperlink" Target="https://pmc.ncbi.nlm.nih.gov/articles/PMC8625090/" TargetMode="External"/><Relationship Id="rId13" Type="http://schemas.openxmlformats.org/officeDocument/2006/relationships/hyperlink" Target="https://pmc.ncbi.nlm.nih.gov/articles/PMC8625090/" TargetMode="External"/><Relationship Id="rId109" Type="http://schemas.openxmlformats.org/officeDocument/2006/relationships/hyperlink" Target="https://pmc.ncbi.nlm.nih.gov/articles/PMC8625090/" TargetMode="External"/><Relationship Id="rId34" Type="http://schemas.openxmlformats.org/officeDocument/2006/relationships/hyperlink" Target="https://pmc.ncbi.nlm.nih.gov/articles/PMC8625090/" TargetMode="External"/><Relationship Id="rId55" Type="http://schemas.openxmlformats.org/officeDocument/2006/relationships/hyperlink" Target="https://clinicaltrials.gov/ct2/show/NCT02774681" TargetMode="External"/><Relationship Id="rId76" Type="http://schemas.openxmlformats.org/officeDocument/2006/relationships/hyperlink" Target="https://pmc.ncbi.nlm.nih.gov/articles/PMC8625090/" TargetMode="External"/><Relationship Id="rId97" Type="http://schemas.openxmlformats.org/officeDocument/2006/relationships/hyperlink" Target="https://pmc.ncbi.nlm.nih.gov/articles/PMC8625090/" TargetMode="External"/><Relationship Id="rId120" Type="http://schemas.openxmlformats.org/officeDocument/2006/relationships/hyperlink" Target="https://pmc.ncbi.nlm.nih.gov/articles/PMC8625090/" TargetMode="External"/><Relationship Id="rId141" Type="http://schemas.openxmlformats.org/officeDocument/2006/relationships/hyperlink" Target="https://pmc.ncbi.nlm.nih.gov/articles/PMC8625090/" TargetMode="External"/><Relationship Id="rId7" Type="http://schemas.openxmlformats.org/officeDocument/2006/relationships/hyperlink" Target="https://pmc.ncbi.nlm.nih.gov/articles/PMC8625090/" TargetMode="External"/><Relationship Id="rId162" Type="http://schemas.openxmlformats.org/officeDocument/2006/relationships/hyperlink" Target="https://pmc.ncbi.nlm.nih.gov/articles/PMC8625090/" TargetMode="External"/><Relationship Id="rId183" Type="http://schemas.openxmlformats.org/officeDocument/2006/relationships/hyperlink" Target="https://pmc.ncbi.nlm.nih.gov/articles/PMC8625090/" TargetMode="External"/><Relationship Id="rId24" Type="http://schemas.openxmlformats.org/officeDocument/2006/relationships/hyperlink" Target="https://pmc.ncbi.nlm.nih.gov/articles/PMC8625090/" TargetMode="External"/><Relationship Id="rId45" Type="http://schemas.openxmlformats.org/officeDocument/2006/relationships/hyperlink" Target="https://pmc.ncbi.nlm.nih.gov/articles/PMC8625090/" TargetMode="External"/><Relationship Id="rId66" Type="http://schemas.openxmlformats.org/officeDocument/2006/relationships/hyperlink" Target="https://pmc.ncbi.nlm.nih.gov/articles/PMC8625090/" TargetMode="External"/><Relationship Id="rId87" Type="http://schemas.openxmlformats.org/officeDocument/2006/relationships/hyperlink" Target="https://pmc.ncbi.nlm.nih.gov/articles/PMC8625090/" TargetMode="External"/><Relationship Id="rId110" Type="http://schemas.openxmlformats.org/officeDocument/2006/relationships/hyperlink" Target="https://pmc.ncbi.nlm.nih.gov/articles/PMC8625090/" TargetMode="External"/><Relationship Id="rId131" Type="http://schemas.openxmlformats.org/officeDocument/2006/relationships/hyperlink" Target="https://pmc.ncbi.nlm.nih.gov/articles/PMC8625090/" TargetMode="External"/><Relationship Id="rId152" Type="http://schemas.openxmlformats.org/officeDocument/2006/relationships/hyperlink" Target="https://pmc.ncbi.nlm.nih.gov/articles/PMC8625090/" TargetMode="External"/><Relationship Id="rId173" Type="http://schemas.openxmlformats.org/officeDocument/2006/relationships/hyperlink" Target="https://pmc.ncbi.nlm.nih.gov/articles/PMC8625090/" TargetMode="External"/><Relationship Id="rId194" Type="http://schemas.openxmlformats.org/officeDocument/2006/relationships/hyperlink" Target="https://pmc.ncbi.nlm.nih.gov/articles/PMC8625090/" TargetMode="External"/><Relationship Id="rId208" Type="http://schemas.openxmlformats.org/officeDocument/2006/relationships/hyperlink" Target="https://pmc.ncbi.nlm.nih.gov/articles/PMC8625090/" TargetMode="External"/><Relationship Id="rId19" Type="http://schemas.openxmlformats.org/officeDocument/2006/relationships/hyperlink" Target="https://pmc.ncbi.nlm.nih.gov/articles/PMC8625090/" TargetMode="External"/><Relationship Id="rId14" Type="http://schemas.openxmlformats.org/officeDocument/2006/relationships/hyperlink" Target="https://pmc.ncbi.nlm.nih.gov/articles/PMC8625090/" TargetMode="External"/><Relationship Id="rId30" Type="http://schemas.openxmlformats.org/officeDocument/2006/relationships/hyperlink" Target="https://pmc.ncbi.nlm.nih.gov/articles/PMC8625090/" TargetMode="External"/><Relationship Id="rId35" Type="http://schemas.openxmlformats.org/officeDocument/2006/relationships/hyperlink" Target="https://pmc.ncbi.nlm.nih.gov/articles/PMC8625090/" TargetMode="External"/><Relationship Id="rId56" Type="http://schemas.openxmlformats.org/officeDocument/2006/relationships/hyperlink" Target="https://pmc.ncbi.nlm.nih.gov/articles/PMC8625090/" TargetMode="External"/><Relationship Id="rId77" Type="http://schemas.openxmlformats.org/officeDocument/2006/relationships/hyperlink" Target="https://pmc.ncbi.nlm.nih.gov/articles/PMC8625090/" TargetMode="External"/><Relationship Id="rId100" Type="http://schemas.openxmlformats.org/officeDocument/2006/relationships/hyperlink" Target="https://pmc.ncbi.nlm.nih.gov/articles/PMC8625090/" TargetMode="External"/><Relationship Id="rId105" Type="http://schemas.openxmlformats.org/officeDocument/2006/relationships/hyperlink" Target="https://pmc.ncbi.nlm.nih.gov/articles/PMC8625090/" TargetMode="External"/><Relationship Id="rId126" Type="http://schemas.openxmlformats.org/officeDocument/2006/relationships/hyperlink" Target="https://pmc.ncbi.nlm.nih.gov/articles/PMC8625090/" TargetMode="External"/><Relationship Id="rId147" Type="http://schemas.openxmlformats.org/officeDocument/2006/relationships/hyperlink" Target="https://pmc.ncbi.nlm.nih.gov/articles/PMC8625090/" TargetMode="External"/><Relationship Id="rId168" Type="http://schemas.openxmlformats.org/officeDocument/2006/relationships/hyperlink" Target="https://pmc.ncbi.nlm.nih.gov/articles/PMC8625090/" TargetMode="External"/><Relationship Id="rId8" Type="http://schemas.openxmlformats.org/officeDocument/2006/relationships/hyperlink" Target="https://pmc.ncbi.nlm.nih.gov/articles/PMC8625090/" TargetMode="External"/><Relationship Id="rId51" Type="http://schemas.openxmlformats.org/officeDocument/2006/relationships/hyperlink" Target="https://pmc.ncbi.nlm.nih.gov/articles/PMC8625090/" TargetMode="External"/><Relationship Id="rId72" Type="http://schemas.openxmlformats.org/officeDocument/2006/relationships/hyperlink" Target="https://clinicaltrials.gov/ct2/show/NCT02107703" TargetMode="External"/><Relationship Id="rId93" Type="http://schemas.openxmlformats.org/officeDocument/2006/relationships/hyperlink" Target="https://pmc.ncbi.nlm.nih.gov/articles/PMC8625090/" TargetMode="External"/><Relationship Id="rId98" Type="http://schemas.openxmlformats.org/officeDocument/2006/relationships/hyperlink" Target="https://pmc.ncbi.nlm.nih.gov/articles/PMC8625090/" TargetMode="External"/><Relationship Id="rId121" Type="http://schemas.openxmlformats.org/officeDocument/2006/relationships/hyperlink" Target="https://pmc.ncbi.nlm.nih.gov/articles/PMC8625090/" TargetMode="External"/><Relationship Id="rId142" Type="http://schemas.openxmlformats.org/officeDocument/2006/relationships/hyperlink" Target="https://www.ncbi.nlm.nih.gov/core/lw/2.0/html/tileshop_pmc/tileshop_pmc_inline.html?title=Click%20on%20image%20to%20zoom&amp;p=PMC3&amp;id=8625090_ijms-22-12292-g002.jpg" TargetMode="External"/><Relationship Id="rId163" Type="http://schemas.openxmlformats.org/officeDocument/2006/relationships/hyperlink" Target="https://pmc.ncbi.nlm.nih.gov/articles/PMC8625090/" TargetMode="External"/><Relationship Id="rId184" Type="http://schemas.openxmlformats.org/officeDocument/2006/relationships/hyperlink" Target="https://pmc.ncbi.nlm.nih.gov/articles/PMC8625090/" TargetMode="External"/><Relationship Id="rId189" Type="http://schemas.openxmlformats.org/officeDocument/2006/relationships/hyperlink" Target="https://pmc.ncbi.nlm.nih.gov/articles/PMC8625090/" TargetMode="External"/><Relationship Id="rId3" Type="http://schemas.openxmlformats.org/officeDocument/2006/relationships/settings" Target="settings.xml"/><Relationship Id="rId214" Type="http://schemas.openxmlformats.org/officeDocument/2006/relationships/hyperlink" Target="https://pmc.ncbi.nlm.nih.gov/articles/PMC8625090/" TargetMode="External"/><Relationship Id="rId25" Type="http://schemas.openxmlformats.org/officeDocument/2006/relationships/hyperlink" Target="https://pmc.ncbi.nlm.nih.gov/articles/PMC8625090/" TargetMode="External"/><Relationship Id="rId46" Type="http://schemas.openxmlformats.org/officeDocument/2006/relationships/hyperlink" Target="https://clinicaltrials.gov/ct2/show/NCT01942135" TargetMode="External"/><Relationship Id="rId67" Type="http://schemas.openxmlformats.org/officeDocument/2006/relationships/hyperlink" Target="https://pmc.ncbi.nlm.nih.gov/articles/PMC8625090/" TargetMode="External"/><Relationship Id="rId116" Type="http://schemas.openxmlformats.org/officeDocument/2006/relationships/hyperlink" Target="https://pmc.ncbi.nlm.nih.gov/articles/PMC8625090/" TargetMode="External"/><Relationship Id="rId137" Type="http://schemas.openxmlformats.org/officeDocument/2006/relationships/hyperlink" Target="https://pmc.ncbi.nlm.nih.gov/articles/PMC8625090/" TargetMode="External"/><Relationship Id="rId158" Type="http://schemas.openxmlformats.org/officeDocument/2006/relationships/hyperlink" Target="https://pmc.ncbi.nlm.nih.gov/articles/PMC8625090/" TargetMode="External"/><Relationship Id="rId20" Type="http://schemas.openxmlformats.org/officeDocument/2006/relationships/hyperlink" Target="https://pmc.ncbi.nlm.nih.gov/articles/PMC8625090/" TargetMode="External"/><Relationship Id="rId41" Type="http://schemas.openxmlformats.org/officeDocument/2006/relationships/hyperlink" Target="https://pmc.ncbi.nlm.nih.gov/articles/PMC8625090/" TargetMode="External"/><Relationship Id="rId62" Type="http://schemas.openxmlformats.org/officeDocument/2006/relationships/hyperlink" Target="https://pmc.ncbi.nlm.nih.gov/articles/PMC8625090/" TargetMode="External"/><Relationship Id="rId83" Type="http://schemas.openxmlformats.org/officeDocument/2006/relationships/hyperlink" Target="https://clinicaltrials.gov/ct2/show/NCT02308020" TargetMode="External"/><Relationship Id="rId88" Type="http://schemas.openxmlformats.org/officeDocument/2006/relationships/hyperlink" Target="https://pmc.ncbi.nlm.nih.gov/articles/PMC8625090/" TargetMode="External"/><Relationship Id="rId111" Type="http://schemas.openxmlformats.org/officeDocument/2006/relationships/hyperlink" Target="https://pmc.ncbi.nlm.nih.gov/articles/PMC8625090/" TargetMode="External"/><Relationship Id="rId132" Type="http://schemas.openxmlformats.org/officeDocument/2006/relationships/hyperlink" Target="https://pmc.ncbi.nlm.nih.gov/articles/PMC8625090/" TargetMode="External"/><Relationship Id="rId153" Type="http://schemas.openxmlformats.org/officeDocument/2006/relationships/hyperlink" Target="https://pmc.ncbi.nlm.nih.gov/articles/PMC8625090/" TargetMode="External"/><Relationship Id="rId174" Type="http://schemas.openxmlformats.org/officeDocument/2006/relationships/hyperlink" Target="https://pmc.ncbi.nlm.nih.gov/articles/PMC8625090/" TargetMode="External"/><Relationship Id="rId179" Type="http://schemas.openxmlformats.org/officeDocument/2006/relationships/hyperlink" Target="https://clinicaltrials.gov/ct2/show/NCT01320592" TargetMode="External"/><Relationship Id="rId195" Type="http://schemas.openxmlformats.org/officeDocument/2006/relationships/hyperlink" Target="https://clinicaltrials.gov/ct2/show/NCT03147287" TargetMode="External"/><Relationship Id="rId209" Type="http://schemas.openxmlformats.org/officeDocument/2006/relationships/hyperlink" Target="https://pmc.ncbi.nlm.nih.gov/articles/PMC8625090/" TargetMode="External"/><Relationship Id="rId190" Type="http://schemas.openxmlformats.org/officeDocument/2006/relationships/hyperlink" Target="https://pmc.ncbi.nlm.nih.gov/articles/PMC8625090/" TargetMode="External"/><Relationship Id="rId204" Type="http://schemas.openxmlformats.org/officeDocument/2006/relationships/hyperlink" Target="https://pmc.ncbi.nlm.nih.gov/articles/PMC8625090/" TargetMode="External"/><Relationship Id="rId15" Type="http://schemas.openxmlformats.org/officeDocument/2006/relationships/hyperlink" Target="https://pmc.ncbi.nlm.nih.gov/articles/PMC8625090/" TargetMode="External"/><Relationship Id="rId36" Type="http://schemas.openxmlformats.org/officeDocument/2006/relationships/hyperlink" Target="https://clinicaltrials.gov/ct2/show/NCT00141297" TargetMode="External"/><Relationship Id="rId57" Type="http://schemas.openxmlformats.org/officeDocument/2006/relationships/hyperlink" Target="https://pmc.ncbi.nlm.nih.gov/articles/PMC8625090/" TargetMode="External"/><Relationship Id="rId106" Type="http://schemas.openxmlformats.org/officeDocument/2006/relationships/hyperlink" Target="https://pmc.ncbi.nlm.nih.gov/articles/PMC8625090/" TargetMode="External"/><Relationship Id="rId127" Type="http://schemas.openxmlformats.org/officeDocument/2006/relationships/hyperlink" Target="https://pmc.ncbi.nlm.nih.gov/articles/PMC8625090/" TargetMode="External"/><Relationship Id="rId10" Type="http://schemas.openxmlformats.org/officeDocument/2006/relationships/hyperlink" Target="https://pmc.ncbi.nlm.nih.gov/articles/PMC8625090/" TargetMode="External"/><Relationship Id="rId31" Type="http://schemas.openxmlformats.org/officeDocument/2006/relationships/hyperlink" Target="https://pmc.ncbi.nlm.nih.gov/articles/PMC8625090/" TargetMode="External"/><Relationship Id="rId52" Type="http://schemas.openxmlformats.org/officeDocument/2006/relationships/hyperlink" Target="https://pmc.ncbi.nlm.nih.gov/articles/PMC8625090/" TargetMode="External"/><Relationship Id="rId73" Type="http://schemas.openxmlformats.org/officeDocument/2006/relationships/hyperlink" Target="https://pmc.ncbi.nlm.nih.gov/articles/PMC8625090/" TargetMode="External"/><Relationship Id="rId78" Type="http://schemas.openxmlformats.org/officeDocument/2006/relationships/hyperlink" Target="https://pmc.ncbi.nlm.nih.gov/articles/PMC8625090/" TargetMode="External"/><Relationship Id="rId94" Type="http://schemas.openxmlformats.org/officeDocument/2006/relationships/hyperlink" Target="https://pmc.ncbi.nlm.nih.gov/articles/PMC8625090/" TargetMode="External"/><Relationship Id="rId99" Type="http://schemas.openxmlformats.org/officeDocument/2006/relationships/hyperlink" Target="https://pmc.ncbi.nlm.nih.gov/articles/PMC8625090/" TargetMode="External"/><Relationship Id="rId101" Type="http://schemas.openxmlformats.org/officeDocument/2006/relationships/hyperlink" Target="https://pmc.ncbi.nlm.nih.gov/articles/PMC8625090/" TargetMode="External"/><Relationship Id="rId122" Type="http://schemas.openxmlformats.org/officeDocument/2006/relationships/hyperlink" Target="https://pmc.ncbi.nlm.nih.gov/articles/PMC8625090/" TargetMode="External"/><Relationship Id="rId143" Type="http://schemas.openxmlformats.org/officeDocument/2006/relationships/image" Target="media/image2.jpeg"/><Relationship Id="rId148" Type="http://schemas.openxmlformats.org/officeDocument/2006/relationships/hyperlink" Target="https://clinicaltrials.gov/ct2/show/NCT02549430" TargetMode="External"/><Relationship Id="rId164" Type="http://schemas.openxmlformats.org/officeDocument/2006/relationships/hyperlink" Target="https://pmc.ncbi.nlm.nih.gov/articles/PMC8625090/" TargetMode="External"/><Relationship Id="rId169" Type="http://schemas.openxmlformats.org/officeDocument/2006/relationships/hyperlink" Target="https://pmc.ncbi.nlm.nih.gov/articles/PMC8625090/" TargetMode="External"/><Relationship Id="rId185" Type="http://schemas.openxmlformats.org/officeDocument/2006/relationships/hyperlink" Target="https://clinicaltrials.gov/ct2/show/NCT04841148" TargetMode="External"/><Relationship Id="rId4" Type="http://schemas.openxmlformats.org/officeDocument/2006/relationships/webSettings" Target="webSettings.xml"/><Relationship Id="rId9" Type="http://schemas.openxmlformats.org/officeDocument/2006/relationships/hyperlink" Target="https://pmc.ncbi.nlm.nih.gov/articles/PMC8625090/" TargetMode="External"/><Relationship Id="rId180" Type="http://schemas.openxmlformats.org/officeDocument/2006/relationships/hyperlink" Target="https://pmc.ncbi.nlm.nih.gov/articles/PMC8625090/" TargetMode="External"/><Relationship Id="rId210" Type="http://schemas.openxmlformats.org/officeDocument/2006/relationships/hyperlink" Target="https://pmc.ncbi.nlm.nih.gov/articles/PMC8625090/" TargetMode="External"/><Relationship Id="rId215" Type="http://schemas.openxmlformats.org/officeDocument/2006/relationships/fontTable" Target="fontTable.xml"/><Relationship Id="rId26" Type="http://schemas.openxmlformats.org/officeDocument/2006/relationships/hyperlink" Target="https://pmc.ncbi.nlm.nih.gov/articles/PMC8625090/" TargetMode="External"/><Relationship Id="rId47" Type="http://schemas.openxmlformats.org/officeDocument/2006/relationships/hyperlink" Target="https://pmc.ncbi.nlm.nih.gov/articles/PMC8625090/" TargetMode="External"/><Relationship Id="rId68" Type="http://schemas.openxmlformats.org/officeDocument/2006/relationships/hyperlink" Target="https://clinicaltrials.gov/ct2/show/NCT02933736" TargetMode="External"/><Relationship Id="rId89" Type="http://schemas.openxmlformats.org/officeDocument/2006/relationships/hyperlink" Target="https://pmc.ncbi.nlm.nih.gov/articles/PMC8625090/" TargetMode="External"/><Relationship Id="rId112" Type="http://schemas.openxmlformats.org/officeDocument/2006/relationships/hyperlink" Target="https://pmc.ncbi.nlm.nih.gov/articles/PMC8625090/" TargetMode="External"/><Relationship Id="rId133" Type="http://schemas.openxmlformats.org/officeDocument/2006/relationships/hyperlink" Target="https://pmc.ncbi.nlm.nih.gov/articles/PMC8625090/" TargetMode="External"/><Relationship Id="rId154" Type="http://schemas.openxmlformats.org/officeDocument/2006/relationships/hyperlink" Target="https://pmc.ncbi.nlm.nih.gov/articles/PMC8625090/" TargetMode="External"/><Relationship Id="rId175" Type="http://schemas.openxmlformats.org/officeDocument/2006/relationships/hyperlink" Target="https://pmc.ncbi.nlm.nih.gov/articles/PMC8625090/" TargetMode="External"/><Relationship Id="rId196" Type="http://schemas.openxmlformats.org/officeDocument/2006/relationships/hyperlink" Target="https://pmc.ncbi.nlm.nih.gov/articles/PMC8625090/" TargetMode="External"/><Relationship Id="rId200" Type="http://schemas.openxmlformats.org/officeDocument/2006/relationships/hyperlink" Target="https://pmc.ncbi.nlm.nih.gov/articles/PMC8625090/" TargetMode="External"/><Relationship Id="rId16" Type="http://schemas.openxmlformats.org/officeDocument/2006/relationships/hyperlink" Target="https://pmc.ncbi.nlm.nih.gov/articles/PMC8625090/" TargetMode="External"/><Relationship Id="rId37" Type="http://schemas.openxmlformats.org/officeDocument/2006/relationships/hyperlink" Target="https://pmc.ncbi.nlm.nih.gov/articles/PMC8625090/" TargetMode="External"/><Relationship Id="rId58" Type="http://schemas.openxmlformats.org/officeDocument/2006/relationships/hyperlink" Target="https://pmc.ncbi.nlm.nih.gov/articles/PMC8625090/" TargetMode="External"/><Relationship Id="rId79" Type="http://schemas.openxmlformats.org/officeDocument/2006/relationships/hyperlink" Target="https://pmc.ncbi.nlm.nih.gov/articles/PMC8625090/" TargetMode="External"/><Relationship Id="rId102" Type="http://schemas.openxmlformats.org/officeDocument/2006/relationships/hyperlink" Target="https://pmc.ncbi.nlm.nih.gov/articles/PMC8625090/" TargetMode="External"/><Relationship Id="rId123" Type="http://schemas.openxmlformats.org/officeDocument/2006/relationships/hyperlink" Target="https://pmc.ncbi.nlm.nih.gov/articles/PMC8625090/" TargetMode="External"/><Relationship Id="rId144" Type="http://schemas.openxmlformats.org/officeDocument/2006/relationships/hyperlink" Target="https://pmc.ncbi.nlm.nih.gov/articles/PMC8625090/" TargetMode="External"/><Relationship Id="rId90" Type="http://schemas.openxmlformats.org/officeDocument/2006/relationships/hyperlink" Target="https://pmc.ncbi.nlm.nih.gov/articles/PMC8625090/" TargetMode="External"/><Relationship Id="rId165" Type="http://schemas.openxmlformats.org/officeDocument/2006/relationships/hyperlink" Target="https://pmc.ncbi.nlm.nih.gov/articles/PMC8625090/" TargetMode="External"/><Relationship Id="rId186" Type="http://schemas.openxmlformats.org/officeDocument/2006/relationships/hyperlink" Target="https://pmc.ncbi.nlm.nih.gov/articles/PMC8625090/" TargetMode="External"/><Relationship Id="rId211" Type="http://schemas.openxmlformats.org/officeDocument/2006/relationships/hyperlink" Target="https://pmc.ncbi.nlm.nih.gov/articles/PMC8625090/" TargetMode="External"/><Relationship Id="rId27" Type="http://schemas.openxmlformats.org/officeDocument/2006/relationships/hyperlink" Target="https://pmc.ncbi.nlm.nih.gov/articles/PMC8625090/" TargetMode="External"/><Relationship Id="rId48" Type="http://schemas.openxmlformats.org/officeDocument/2006/relationships/hyperlink" Target="https://pmc.ncbi.nlm.nih.gov/articles/PMC8625090/" TargetMode="External"/><Relationship Id="rId69" Type="http://schemas.openxmlformats.org/officeDocument/2006/relationships/hyperlink" Target="https://pmc.ncbi.nlm.nih.gov/articles/PMC8625090/" TargetMode="External"/><Relationship Id="rId113" Type="http://schemas.openxmlformats.org/officeDocument/2006/relationships/hyperlink" Target="https://pmc.ncbi.nlm.nih.gov/articles/PMC8625090/" TargetMode="External"/><Relationship Id="rId134" Type="http://schemas.openxmlformats.org/officeDocument/2006/relationships/hyperlink" Target="https://pmc.ncbi.nlm.nih.gov/articles/PMC8625090/" TargetMode="External"/><Relationship Id="rId80" Type="http://schemas.openxmlformats.org/officeDocument/2006/relationships/hyperlink" Target="https://pmc.ncbi.nlm.nih.gov/articles/PMC8625090/" TargetMode="External"/><Relationship Id="rId155" Type="http://schemas.openxmlformats.org/officeDocument/2006/relationships/hyperlink" Target="https://pmc.ncbi.nlm.nih.gov/articles/PMC8625090/" TargetMode="External"/><Relationship Id="rId176" Type="http://schemas.openxmlformats.org/officeDocument/2006/relationships/hyperlink" Target="https://pmc.ncbi.nlm.nih.gov/articles/PMC8625090/" TargetMode="External"/><Relationship Id="rId197" Type="http://schemas.openxmlformats.org/officeDocument/2006/relationships/hyperlink" Target="https://pmc.ncbi.nlm.nih.gov/articles/PMC8625090/" TargetMode="External"/><Relationship Id="rId201" Type="http://schemas.openxmlformats.org/officeDocument/2006/relationships/hyperlink" Target="https://pmc.ncbi.nlm.nih.gov/articles/PMC8625090/" TargetMode="External"/><Relationship Id="rId17" Type="http://schemas.openxmlformats.org/officeDocument/2006/relationships/hyperlink" Target="https://pmc.ncbi.nlm.nih.gov/articles/PMC8625090/" TargetMode="External"/><Relationship Id="rId38" Type="http://schemas.openxmlformats.org/officeDocument/2006/relationships/hyperlink" Target="https://pmc.ncbi.nlm.nih.gov/articles/PMC8625090/" TargetMode="External"/><Relationship Id="rId59" Type="http://schemas.openxmlformats.org/officeDocument/2006/relationships/hyperlink" Target="https://pmc.ncbi.nlm.nih.gov/articles/PMC8625090/" TargetMode="External"/><Relationship Id="rId103" Type="http://schemas.openxmlformats.org/officeDocument/2006/relationships/hyperlink" Target="https://pmc.ncbi.nlm.nih.gov/articles/PMC8625090/" TargetMode="External"/><Relationship Id="rId124" Type="http://schemas.openxmlformats.org/officeDocument/2006/relationships/hyperlink" Target="https://pmc.ncbi.nlm.nih.gov/articles/PMC8625090/" TargetMode="External"/><Relationship Id="rId70" Type="http://schemas.openxmlformats.org/officeDocument/2006/relationships/hyperlink" Target="https://clinicaltrials.gov/ct2/show/NCT02308020" TargetMode="External"/><Relationship Id="rId91" Type="http://schemas.openxmlformats.org/officeDocument/2006/relationships/hyperlink" Target="https://pmc.ncbi.nlm.nih.gov/articles/PMC8625090/" TargetMode="External"/><Relationship Id="rId145" Type="http://schemas.openxmlformats.org/officeDocument/2006/relationships/hyperlink" Target="https://pmc.ncbi.nlm.nih.gov/articles/PMC8625090/" TargetMode="External"/><Relationship Id="rId166" Type="http://schemas.openxmlformats.org/officeDocument/2006/relationships/hyperlink" Target="https://pmc.ncbi.nlm.nih.gov/articles/PMC8625090/" TargetMode="External"/><Relationship Id="rId187" Type="http://schemas.openxmlformats.org/officeDocument/2006/relationships/hyperlink" Target="https://pmc.ncbi.nlm.nih.gov/articles/PMC8625090/" TargetMode="External"/><Relationship Id="rId1" Type="http://schemas.openxmlformats.org/officeDocument/2006/relationships/numbering" Target="numbering.xml"/><Relationship Id="rId212" Type="http://schemas.openxmlformats.org/officeDocument/2006/relationships/hyperlink" Target="https://pmc.ncbi.nlm.nih.gov/articles/PMC8625090/" TargetMode="External"/><Relationship Id="rId28" Type="http://schemas.openxmlformats.org/officeDocument/2006/relationships/hyperlink" Target="https://pmc.ncbi.nlm.nih.gov/articles/PMC8625090/" TargetMode="External"/><Relationship Id="rId49" Type="http://schemas.openxmlformats.org/officeDocument/2006/relationships/hyperlink" Target="https://pmc.ncbi.nlm.nih.gov/articles/PMC8625090/" TargetMode="External"/><Relationship Id="rId114" Type="http://schemas.openxmlformats.org/officeDocument/2006/relationships/hyperlink" Target="https://pmc.ncbi.nlm.nih.gov/articles/PMC8625090/" TargetMode="External"/><Relationship Id="rId60" Type="http://schemas.openxmlformats.org/officeDocument/2006/relationships/hyperlink" Target="https://pmc.ncbi.nlm.nih.gov/articles/PMC8625090/" TargetMode="External"/><Relationship Id="rId81" Type="http://schemas.openxmlformats.org/officeDocument/2006/relationships/hyperlink" Target="https://pmc.ncbi.nlm.nih.gov/articles/PMC8625090/" TargetMode="External"/><Relationship Id="rId135" Type="http://schemas.openxmlformats.org/officeDocument/2006/relationships/hyperlink" Target="https://pmc.ncbi.nlm.nih.gov/articles/PMC8625090/" TargetMode="External"/><Relationship Id="rId156" Type="http://schemas.openxmlformats.org/officeDocument/2006/relationships/hyperlink" Target="https://pmc.ncbi.nlm.nih.gov/articles/PMC8625090/" TargetMode="External"/><Relationship Id="rId177" Type="http://schemas.openxmlformats.org/officeDocument/2006/relationships/hyperlink" Target="https://pmc.ncbi.nlm.nih.gov/articles/PMC8625090/" TargetMode="External"/><Relationship Id="rId198" Type="http://schemas.openxmlformats.org/officeDocument/2006/relationships/hyperlink" Target="https://pmc.ncbi.nlm.nih.gov/articles/PMC8625090/" TargetMode="External"/><Relationship Id="rId202" Type="http://schemas.openxmlformats.org/officeDocument/2006/relationships/hyperlink" Target="https://pmc.ncbi.nlm.nih.gov/articles/PMC8625090/" TargetMode="External"/><Relationship Id="rId18" Type="http://schemas.openxmlformats.org/officeDocument/2006/relationships/hyperlink" Target="https://pmc.ncbi.nlm.nih.gov/articles/PMC8625090/" TargetMode="External"/><Relationship Id="rId39" Type="http://schemas.openxmlformats.org/officeDocument/2006/relationships/hyperlink" Target="https://pmc.ncbi.nlm.nih.gov/articles/PMC8625090/" TargetMode="External"/><Relationship Id="rId50" Type="http://schemas.openxmlformats.org/officeDocument/2006/relationships/hyperlink" Target="https://pmc.ncbi.nlm.nih.gov/articles/PMC8625090/" TargetMode="External"/><Relationship Id="rId104" Type="http://schemas.openxmlformats.org/officeDocument/2006/relationships/hyperlink" Target="https://pmc.ncbi.nlm.nih.gov/articles/PMC8625090/" TargetMode="External"/><Relationship Id="rId125" Type="http://schemas.openxmlformats.org/officeDocument/2006/relationships/hyperlink" Target="https://pmc.ncbi.nlm.nih.gov/articles/PMC8625090/" TargetMode="External"/><Relationship Id="rId146" Type="http://schemas.openxmlformats.org/officeDocument/2006/relationships/hyperlink" Target="https://pmc.ncbi.nlm.nih.gov/articles/PMC8625090/" TargetMode="External"/><Relationship Id="rId167" Type="http://schemas.openxmlformats.org/officeDocument/2006/relationships/hyperlink" Target="https://pmc.ncbi.nlm.nih.gov/articles/PMC8625090/" TargetMode="External"/><Relationship Id="rId188" Type="http://schemas.openxmlformats.org/officeDocument/2006/relationships/hyperlink" Target="https://pmc.ncbi.nlm.nih.gov/articles/PMC8625090/" TargetMode="External"/><Relationship Id="rId71" Type="http://schemas.openxmlformats.org/officeDocument/2006/relationships/hyperlink" Target="https://pmc.ncbi.nlm.nih.gov/articles/PMC8625090/" TargetMode="External"/><Relationship Id="rId92" Type="http://schemas.openxmlformats.org/officeDocument/2006/relationships/hyperlink" Target="https://pmc.ncbi.nlm.nih.gov/articles/PMC8625090/" TargetMode="External"/><Relationship Id="rId213" Type="http://schemas.openxmlformats.org/officeDocument/2006/relationships/hyperlink" Target="https://pmc.ncbi.nlm.nih.gov/articles/PMC8625090/" TargetMode="External"/><Relationship Id="rId2" Type="http://schemas.openxmlformats.org/officeDocument/2006/relationships/styles" Target="styles.xml"/><Relationship Id="rId29" Type="http://schemas.openxmlformats.org/officeDocument/2006/relationships/hyperlink" Target="https://clinicaltrials.gov/ct2/show/NCT01723774" TargetMode="External"/><Relationship Id="rId40" Type="http://schemas.openxmlformats.org/officeDocument/2006/relationships/hyperlink" Target="https://pmc.ncbi.nlm.nih.gov/articles/PMC8625090/" TargetMode="External"/><Relationship Id="rId115" Type="http://schemas.openxmlformats.org/officeDocument/2006/relationships/hyperlink" Target="https://pmc.ncbi.nlm.nih.gov/articles/PMC8625090/" TargetMode="External"/><Relationship Id="rId136" Type="http://schemas.openxmlformats.org/officeDocument/2006/relationships/hyperlink" Target="https://pmc.ncbi.nlm.nih.gov/articles/PMC8625090/" TargetMode="External"/><Relationship Id="rId157" Type="http://schemas.openxmlformats.org/officeDocument/2006/relationships/hyperlink" Target="https://pmc.ncbi.nlm.nih.gov/articles/PMC8625090/" TargetMode="External"/><Relationship Id="rId178" Type="http://schemas.openxmlformats.org/officeDocument/2006/relationships/hyperlink" Target="https://pmc.ncbi.nlm.nih.gov/articles/PMC8625090/" TargetMode="External"/><Relationship Id="rId61" Type="http://schemas.openxmlformats.org/officeDocument/2006/relationships/hyperlink" Target="https://clinicaltrials.gov/ct2/show/NCT02278120" TargetMode="External"/><Relationship Id="rId82" Type="http://schemas.openxmlformats.org/officeDocument/2006/relationships/hyperlink" Target="https://pmc.ncbi.nlm.nih.gov/articles/PMC8625090/" TargetMode="External"/><Relationship Id="rId199" Type="http://schemas.openxmlformats.org/officeDocument/2006/relationships/hyperlink" Target="https://pmc.ncbi.nlm.nih.gov/articles/PMC8625090/" TargetMode="External"/><Relationship Id="rId203" Type="http://schemas.openxmlformats.org/officeDocument/2006/relationships/hyperlink" Target="https://pmc.ncbi.nlm.nih.gov/articles/PMC862509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46</Pages>
  <Words>7718</Words>
  <Characters>43997</Characters>
  <Application>Microsoft Office Word</Application>
  <DocSecurity>0</DocSecurity>
  <Lines>366</Lines>
  <Paragraphs>103</Paragraphs>
  <ScaleCrop>false</ScaleCrop>
  <Company/>
  <LinksUpToDate>false</LinksUpToDate>
  <CharactersWithSpaces>51612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2026-01-04T09:26:00Z</dcterms:created>
  <dcterms:modified xsi:type="dcterms:W3CDTF">2026-01-04T09:28:00Z</dcterms:modified>
</cp:coreProperties>
</file>