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78AD0F" w14:textId="77777777" w:rsidR="001063B2" w:rsidRPr="001063B2" w:rsidRDefault="001063B2" w:rsidP="001063B2">
      <w:pPr>
        <w:widowControl/>
        <w:spacing w:line="450" w:lineRule="atLeast"/>
        <w:outlineLvl w:val="0"/>
        <w:rPr>
          <w:rFonts w:ascii="微软雅黑" w:eastAsia="微软雅黑" w:hAnsi="微软雅黑" w:cs="宋体"/>
          <w:b/>
          <w:bCs/>
          <w:kern w:val="36"/>
          <w:sz w:val="36"/>
          <w:szCs w:val="36"/>
        </w:rPr>
      </w:pPr>
      <w:r w:rsidRPr="001063B2">
        <w:rPr>
          <w:rFonts w:ascii="微软雅黑" w:eastAsia="微软雅黑" w:hAnsi="微软雅黑" w:cs="宋体"/>
          <w:b/>
          <w:bCs/>
          <w:kern w:val="36"/>
          <w:sz w:val="36"/>
          <w:szCs w:val="36"/>
        </w:rPr>
        <w:t>靶向乳腺癌细胞周期：CDK4/6抑制剂</w:t>
      </w:r>
    </w:p>
    <w:p w14:paraId="43A61AD8" w14:textId="7E54C729" w:rsidR="001063B2" w:rsidRPr="001063B2" w:rsidRDefault="001063B2" w:rsidP="001063B2">
      <w:pPr>
        <w:widowControl/>
        <w:pBdr>
          <w:bottom w:val="single" w:sz="6" w:space="0" w:color="97B1C8"/>
        </w:pBdr>
        <w:spacing w:line="450" w:lineRule="atLeast"/>
        <w:outlineLvl w:val="1"/>
        <w:rPr>
          <w:rFonts w:ascii="微软雅黑" w:eastAsia="微软雅黑" w:hAnsi="微软雅黑" w:cs="宋体"/>
          <w:kern w:val="0"/>
          <w:sz w:val="34"/>
          <w:szCs w:val="34"/>
        </w:rPr>
      </w:pPr>
      <w:r w:rsidRPr="00CB7F59">
        <w:rPr>
          <w:rFonts w:ascii="微软雅黑" w:eastAsia="微软雅黑" w:hAnsi="微软雅黑" w:cs="宋体" w:hint="eastAsia"/>
          <w:kern w:val="0"/>
          <w:sz w:val="34"/>
          <w:szCs w:val="34"/>
        </w:rPr>
        <w:t>摘要</w:t>
      </w:r>
    </w:p>
    <w:p w14:paraId="56609673"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乳腺癌中经常观察到细胞周期失调，这种失调主要通过细胞周期蛋白D/CDK/</w:t>
      </w:r>
      <w:proofErr w:type="spellStart"/>
      <w:r w:rsidRPr="001063B2">
        <w:rPr>
          <w:rFonts w:ascii="微软雅黑" w:eastAsia="微软雅黑" w:hAnsi="微软雅黑" w:cs="宋体"/>
          <w:kern w:val="0"/>
          <w:sz w:val="24"/>
          <w:szCs w:val="24"/>
        </w:rPr>
        <w:t>pRb</w:t>
      </w:r>
      <w:proofErr w:type="spellEnd"/>
      <w:r w:rsidRPr="001063B2">
        <w:rPr>
          <w:rFonts w:ascii="微软雅黑" w:eastAsia="微软雅黑" w:hAnsi="微软雅黑" w:cs="宋体"/>
          <w:kern w:val="0"/>
          <w:sz w:val="24"/>
          <w:szCs w:val="24"/>
        </w:rPr>
        <w:t>通路</w:t>
      </w:r>
      <w:proofErr w:type="gramStart"/>
      <w:r w:rsidRPr="001063B2">
        <w:rPr>
          <w:rFonts w:ascii="微软雅黑" w:eastAsia="微软雅黑" w:hAnsi="微软雅黑" w:cs="宋体"/>
          <w:kern w:val="0"/>
          <w:sz w:val="24"/>
          <w:szCs w:val="24"/>
        </w:rPr>
        <w:t>介</w:t>
      </w:r>
      <w:proofErr w:type="gramEnd"/>
      <w:r w:rsidRPr="001063B2">
        <w:rPr>
          <w:rFonts w:ascii="微软雅黑" w:eastAsia="微软雅黑" w:hAnsi="微软雅黑" w:cs="宋体"/>
          <w:kern w:val="0"/>
          <w:sz w:val="24"/>
          <w:szCs w:val="24"/>
        </w:rPr>
        <w:t>导，这为开发靶向细胞周期调控机制的药物提供了支持，例如细胞周期依赖性激酶（CDK）4和6的抑制剂。迄今为止，已有三种CDK4/6抑制剂获得FDA批准，用于治疗激素受体阳性（HR+）、HER2阴性的转移性乳腺癌。这些药物在改善临床疗效方面取得了一定的效果，但内在耐药或获得性耐药的出现会限制这些治疗的疗效。目前，临床和转化研究的重点是探究CDK4/6抑制剂的敏感性/耐药机制以及旨在改善临床疗效的新型治疗策略。本文综述了关于CDK4/6抑制剂的现有知识、新疗效生物标志物的发现以及新型联合治疗策略的生物学原理。</w:t>
      </w:r>
    </w:p>
    <w:p w14:paraId="5278ACA4"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b/>
          <w:bCs/>
          <w:kern w:val="0"/>
          <w:sz w:val="24"/>
          <w:szCs w:val="24"/>
        </w:rPr>
        <w:t>关键词：</w:t>
      </w:r>
      <w:r w:rsidRPr="001063B2">
        <w:rPr>
          <w:rFonts w:ascii="微软雅黑" w:eastAsia="微软雅黑" w:hAnsi="微软雅黑" w:cs="宋体"/>
          <w:kern w:val="0"/>
          <w:sz w:val="24"/>
          <w:szCs w:val="24"/>
        </w:rPr>
        <w:t>细胞周期、细胞周期蛋白依赖性激酶、癌症、转移性乳腺癌、激素疗法、CDK4/6抑制剂、激素受体、疗法</w:t>
      </w:r>
    </w:p>
    <w:p w14:paraId="7A83FADF" w14:textId="77777777" w:rsidR="001063B2" w:rsidRPr="001063B2" w:rsidRDefault="001063B2" w:rsidP="001063B2">
      <w:pPr>
        <w:widowControl/>
        <w:pBdr>
          <w:bottom w:val="single" w:sz="6" w:space="0" w:color="97B1C8"/>
        </w:pBdr>
        <w:spacing w:line="450" w:lineRule="atLeast"/>
        <w:outlineLvl w:val="1"/>
        <w:rPr>
          <w:rFonts w:ascii="微软雅黑" w:eastAsia="微软雅黑" w:hAnsi="微软雅黑" w:cs="宋体"/>
          <w:kern w:val="0"/>
          <w:sz w:val="34"/>
          <w:szCs w:val="34"/>
        </w:rPr>
      </w:pPr>
      <w:r w:rsidRPr="001063B2">
        <w:rPr>
          <w:rFonts w:ascii="微软雅黑" w:eastAsia="微软雅黑" w:hAnsi="微软雅黑" w:cs="宋体"/>
          <w:kern w:val="0"/>
          <w:sz w:val="34"/>
          <w:szCs w:val="34"/>
        </w:rPr>
        <w:t>1. 引言</w:t>
      </w:r>
    </w:p>
    <w:p w14:paraId="343C4169"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激素受体（HR）阳性乳腺癌（BC）亚型（管腔A型和B型）约占所有乳腺癌的60%–75%，在辅助治疗和转移性疾病治疗中，对内分泌治疗（ET）的反应良好。然而，尽管部分患者表现出原发性耐药，但几乎所有其余患者都会对ET产生获得性耐药（继发性耐药），最终在尝试1–2次其他内分泌治疗方案（±靶向药物，如依维莫司）后，转而接受化疗方案[ </w:t>
      </w:r>
      <w:hyperlink r:id="rId5" w:anchor="B1-ijms-21-06479" w:history="1">
        <w:r w:rsidRPr="001063B2">
          <w:rPr>
            <w:rFonts w:ascii="微软雅黑" w:eastAsia="微软雅黑" w:hAnsi="微软雅黑" w:cs="宋体"/>
            <w:kern w:val="0"/>
            <w:sz w:val="24"/>
            <w:szCs w:val="24"/>
            <w:u w:val="single"/>
          </w:rPr>
          <w:t>1</w:t>
        </w:r>
      </w:hyperlink>
      <w:r w:rsidRPr="001063B2">
        <w:rPr>
          <w:rFonts w:ascii="微软雅黑" w:eastAsia="微软雅黑" w:hAnsi="微软雅黑" w:cs="宋体"/>
          <w:kern w:val="0"/>
          <w:sz w:val="24"/>
          <w:szCs w:val="24"/>
        </w:rPr>
        <w:t> ]。多种异常和信号通路与内分泌耐药有关，例如PI3K/Akt/mTOR通路、细胞周期蛋白D/CDK/</w:t>
      </w:r>
      <w:proofErr w:type="spellStart"/>
      <w:r w:rsidRPr="001063B2">
        <w:rPr>
          <w:rFonts w:ascii="微软雅黑" w:eastAsia="微软雅黑" w:hAnsi="微软雅黑" w:cs="宋体"/>
          <w:kern w:val="0"/>
          <w:sz w:val="24"/>
          <w:szCs w:val="24"/>
        </w:rPr>
        <w:t>pRb</w:t>
      </w:r>
      <w:proofErr w:type="spellEnd"/>
      <w:r w:rsidRPr="001063B2">
        <w:rPr>
          <w:rFonts w:ascii="微软雅黑" w:eastAsia="微软雅黑" w:hAnsi="微软雅黑" w:cs="宋体"/>
          <w:kern w:val="0"/>
          <w:sz w:val="24"/>
          <w:szCs w:val="24"/>
        </w:rPr>
        <w:t>通路、ESR1基因突变、雌激素受体（ER）和生长因子受体信号通路之间的串扰以及表观遗传改变</w:t>
      </w:r>
      <w:r w:rsidRPr="001063B2">
        <w:rPr>
          <w:rFonts w:ascii="微软雅黑" w:eastAsia="微软雅黑" w:hAnsi="微软雅黑" w:cs="宋体"/>
          <w:kern w:val="0"/>
          <w:sz w:val="24"/>
          <w:szCs w:val="24"/>
        </w:rPr>
        <w:lastRenderedPageBreak/>
        <w:t>[ </w:t>
      </w:r>
      <w:hyperlink r:id="rId6" w:anchor="B2-ijms-21-06479" w:history="1">
        <w:r w:rsidRPr="001063B2">
          <w:rPr>
            <w:rFonts w:ascii="微软雅黑" w:eastAsia="微软雅黑" w:hAnsi="微软雅黑" w:cs="宋体"/>
            <w:kern w:val="0"/>
            <w:sz w:val="24"/>
            <w:szCs w:val="24"/>
            <w:u w:val="single"/>
          </w:rPr>
          <w:t>2</w:t>
        </w:r>
      </w:hyperlink>
      <w:r w:rsidRPr="001063B2">
        <w:rPr>
          <w:rFonts w:ascii="微软雅黑" w:eastAsia="微软雅黑" w:hAnsi="微软雅黑" w:cs="宋体"/>
          <w:kern w:val="0"/>
          <w:sz w:val="24"/>
          <w:szCs w:val="24"/>
        </w:rPr>
        <w:t> , </w:t>
      </w:r>
      <w:hyperlink r:id="rId7" w:anchor="B3-ijms-21-06479" w:history="1">
        <w:r w:rsidRPr="001063B2">
          <w:rPr>
            <w:rFonts w:ascii="微软雅黑" w:eastAsia="微软雅黑" w:hAnsi="微软雅黑" w:cs="宋体"/>
            <w:kern w:val="0"/>
            <w:sz w:val="24"/>
            <w:szCs w:val="24"/>
            <w:u w:val="single"/>
          </w:rPr>
          <w:t>3</w:t>
        </w:r>
      </w:hyperlink>
      <w:r w:rsidRPr="001063B2">
        <w:rPr>
          <w:rFonts w:ascii="微软雅黑" w:eastAsia="微软雅黑" w:hAnsi="微软雅黑" w:cs="宋体"/>
          <w:kern w:val="0"/>
          <w:sz w:val="24"/>
          <w:szCs w:val="24"/>
        </w:rPr>
        <w:t> ]。众所周知，细胞周期蛋白D-CDK4/6-pRb通路失调是激素受体阳性乳腺癌（HR阳性乳腺癌）内分泌耐药的关键介质[ </w:t>
      </w:r>
      <w:hyperlink r:id="rId8" w:anchor="B4-ijms-21-06479" w:history="1">
        <w:r w:rsidRPr="001063B2">
          <w:rPr>
            <w:rFonts w:ascii="微软雅黑" w:eastAsia="微软雅黑" w:hAnsi="微软雅黑" w:cs="宋体"/>
            <w:kern w:val="0"/>
            <w:sz w:val="24"/>
            <w:szCs w:val="24"/>
            <w:u w:val="single"/>
          </w:rPr>
          <w:t>4</w:t>
        </w:r>
      </w:hyperlink>
      <w:r w:rsidRPr="001063B2">
        <w:rPr>
          <w:rFonts w:ascii="微软雅黑" w:eastAsia="微软雅黑" w:hAnsi="微软雅黑" w:cs="宋体"/>
          <w:kern w:val="0"/>
          <w:sz w:val="24"/>
          <w:szCs w:val="24"/>
        </w:rPr>
        <w:t> , </w:t>
      </w:r>
      <w:hyperlink r:id="rId9" w:anchor="B5-ijms-21-06479" w:history="1">
        <w:r w:rsidRPr="001063B2">
          <w:rPr>
            <w:rFonts w:ascii="微软雅黑" w:eastAsia="微软雅黑" w:hAnsi="微软雅黑" w:cs="宋体"/>
            <w:kern w:val="0"/>
            <w:sz w:val="24"/>
            <w:szCs w:val="24"/>
            <w:u w:val="single"/>
          </w:rPr>
          <w:t>5</w:t>
        </w:r>
      </w:hyperlink>
      <w:r w:rsidRPr="001063B2">
        <w:rPr>
          <w:rFonts w:ascii="微软雅黑" w:eastAsia="微软雅黑" w:hAnsi="微软雅黑" w:cs="宋体"/>
          <w:kern w:val="0"/>
          <w:sz w:val="24"/>
          <w:szCs w:val="24"/>
        </w:rPr>
        <w:t> ]。在HR阳性乳腺癌中，使用特异性抑制剂靶向CDK4/6已被证明在临床前和临床研究中均有效。近期，美国食品药品监督管理局（FDA）和欧洲药品管理局（EMA）批准了三种口服高选择性CDK4/6抑制剂用于治疗HR阳性晚期或转移性乳腺癌，分别是帕博西尼（PD0332991）、瑞博西尼（LEE011）和阿贝西利（LY2835219）。本综述旨在总结 CDK4/6 抑制剂 (CDK4/6i) 的药理学背景、其治疗乳腺癌疗效的最新证据、其与其</w:t>
      </w:r>
      <w:proofErr w:type="gramStart"/>
      <w:r w:rsidRPr="001063B2">
        <w:rPr>
          <w:rFonts w:ascii="微软雅黑" w:eastAsia="微软雅黑" w:hAnsi="微软雅黑" w:cs="宋体"/>
          <w:kern w:val="0"/>
          <w:sz w:val="24"/>
          <w:szCs w:val="24"/>
        </w:rPr>
        <w:t>他靶向</w:t>
      </w:r>
      <w:proofErr w:type="gramEnd"/>
      <w:r w:rsidRPr="001063B2">
        <w:rPr>
          <w:rFonts w:ascii="微软雅黑" w:eastAsia="微软雅黑" w:hAnsi="微软雅黑" w:cs="宋体"/>
          <w:kern w:val="0"/>
          <w:sz w:val="24"/>
          <w:szCs w:val="24"/>
        </w:rPr>
        <w:t>疗法联合应用的潜在用途以及预测性生物标志物的作用，重点关注这三种药物的亲和力和差异。</w:t>
      </w:r>
    </w:p>
    <w:p w14:paraId="06A6317D" w14:textId="77777777" w:rsidR="001063B2" w:rsidRPr="001063B2" w:rsidRDefault="001063B2" w:rsidP="001063B2">
      <w:pPr>
        <w:widowControl/>
        <w:pBdr>
          <w:bottom w:val="single" w:sz="6" w:space="0" w:color="97B1C8"/>
        </w:pBdr>
        <w:spacing w:line="450" w:lineRule="atLeast"/>
        <w:outlineLvl w:val="1"/>
        <w:rPr>
          <w:rFonts w:ascii="微软雅黑" w:eastAsia="微软雅黑" w:hAnsi="微软雅黑" w:cs="宋体"/>
          <w:kern w:val="0"/>
          <w:sz w:val="34"/>
          <w:szCs w:val="34"/>
        </w:rPr>
      </w:pPr>
      <w:r w:rsidRPr="001063B2">
        <w:rPr>
          <w:rFonts w:ascii="微软雅黑" w:eastAsia="微软雅黑" w:hAnsi="微软雅黑" w:cs="宋体"/>
          <w:kern w:val="0"/>
          <w:sz w:val="34"/>
          <w:szCs w:val="34"/>
        </w:rPr>
        <w:t>2. 细胞周期蛋白依赖性激酶4/6 (CDK4/6) 和细胞周期调控在乳腺癌中的作用</w:t>
      </w:r>
    </w:p>
    <w:p w14:paraId="30C541CE"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组织稳态的维持依赖于两个主要的生理过程：细胞分裂和细胞死亡。通过这两种机制，细胞能够响应组织损伤并根据组织需求增殖，从而避免过度增殖并限制癌症发生的可能性。成人组织中的大多数分化细胞处于休眠状态，即G0期，等待进入细胞周期。G0期可以是短暂的（静止期）或永久的（衰老期）；静止细胞在</w:t>
      </w:r>
      <w:proofErr w:type="gramStart"/>
      <w:r w:rsidRPr="001063B2">
        <w:rPr>
          <w:rFonts w:ascii="微软雅黑" w:eastAsia="微软雅黑" w:hAnsi="微软雅黑" w:cs="宋体"/>
          <w:kern w:val="0"/>
          <w:sz w:val="24"/>
          <w:szCs w:val="24"/>
        </w:rPr>
        <w:t>接收到促有丝分裂</w:t>
      </w:r>
      <w:proofErr w:type="gramEnd"/>
      <w:r w:rsidRPr="001063B2">
        <w:rPr>
          <w:rFonts w:ascii="微软雅黑" w:eastAsia="微软雅黑" w:hAnsi="微软雅黑" w:cs="宋体"/>
          <w:kern w:val="0"/>
          <w:sz w:val="24"/>
          <w:szCs w:val="24"/>
        </w:rPr>
        <w:t>刺激（例如生长因子或激素刺激）时可以重新进入细胞周期。细胞周期由四个高度保守且受严格调控的有序阶段组成，分别命名为G0/G1期（间期1）、S期（DNA合成期）、G2期（间期2）和M期（有丝分裂期）。间期（G1期和G2期）是关键的调控检查点，由多种细胞周期蛋白和CDK调控，决定细胞是否进入S期（G1期限制点）并进行有丝分裂。 G1期中期由CDK4和CDK6调控，这两种丝氨酸/苏氨酸激酶的催化活性受D型细胞周期蛋</w:t>
      </w:r>
      <w:r w:rsidRPr="001063B2">
        <w:rPr>
          <w:rFonts w:ascii="微软雅黑" w:eastAsia="微软雅黑" w:hAnsi="微软雅黑" w:cs="宋体"/>
          <w:kern w:val="0"/>
          <w:sz w:val="24"/>
          <w:szCs w:val="24"/>
        </w:rPr>
        <w:lastRenderedPageBreak/>
        <w:t>白（D1、D2和D3）的调节[ </w:t>
      </w:r>
      <w:hyperlink r:id="rId10" w:anchor="B1-ijms-21-06479" w:history="1">
        <w:r w:rsidRPr="001063B2">
          <w:rPr>
            <w:rFonts w:ascii="微软雅黑" w:eastAsia="微软雅黑" w:hAnsi="微软雅黑" w:cs="宋体"/>
            <w:kern w:val="0"/>
            <w:sz w:val="24"/>
            <w:szCs w:val="24"/>
            <w:u w:val="single"/>
          </w:rPr>
          <w:t>1</w:t>
        </w:r>
      </w:hyperlink>
      <w:r w:rsidRPr="001063B2">
        <w:rPr>
          <w:rFonts w:ascii="微软雅黑" w:eastAsia="微软雅黑" w:hAnsi="微软雅黑" w:cs="宋体"/>
          <w:kern w:val="0"/>
          <w:sz w:val="24"/>
          <w:szCs w:val="24"/>
        </w:rPr>
        <w:t> , </w:t>
      </w:r>
      <w:hyperlink r:id="rId11" w:anchor="B6-ijms-21-06479" w:history="1">
        <w:r w:rsidRPr="001063B2">
          <w:rPr>
            <w:rFonts w:ascii="微软雅黑" w:eastAsia="微软雅黑" w:hAnsi="微软雅黑" w:cs="宋体"/>
            <w:kern w:val="0"/>
            <w:sz w:val="24"/>
            <w:szCs w:val="24"/>
            <w:u w:val="single"/>
          </w:rPr>
          <w:t>6</w:t>
        </w:r>
      </w:hyperlink>
      <w:r w:rsidRPr="001063B2">
        <w:rPr>
          <w:rFonts w:ascii="微软雅黑" w:eastAsia="微软雅黑" w:hAnsi="微软雅黑" w:cs="宋体"/>
          <w:kern w:val="0"/>
          <w:sz w:val="24"/>
          <w:szCs w:val="24"/>
        </w:rPr>
        <w:t> ]。在G1期早期，响应促有丝分裂刺激，细胞周期蛋白D1、D2和D3结合并激活CDK4和CDK6，随后细胞周期蛋白D-CDK4/6复合物选择性地磷酸化并灭活视网膜母细胞瘤相关蛋白（</w:t>
      </w:r>
      <w:proofErr w:type="spellStart"/>
      <w:r w:rsidRPr="001063B2">
        <w:rPr>
          <w:rFonts w:ascii="微软雅黑" w:eastAsia="微软雅黑" w:hAnsi="微软雅黑" w:cs="宋体"/>
          <w:kern w:val="0"/>
          <w:sz w:val="24"/>
          <w:szCs w:val="24"/>
        </w:rPr>
        <w:t>pRb</w:t>
      </w:r>
      <w:proofErr w:type="spellEnd"/>
      <w:r w:rsidRPr="001063B2">
        <w:rPr>
          <w:rFonts w:ascii="微软雅黑" w:eastAsia="微软雅黑" w:hAnsi="微软雅黑" w:cs="宋体"/>
          <w:kern w:val="0"/>
          <w:sz w:val="24"/>
          <w:szCs w:val="24"/>
        </w:rPr>
        <w:t>）的成员，例如p110（由</w:t>
      </w:r>
      <w:r w:rsidRPr="001063B2">
        <w:rPr>
          <w:rFonts w:ascii="微软雅黑" w:eastAsia="微软雅黑" w:hAnsi="微软雅黑" w:cs="宋体"/>
          <w:i/>
          <w:iCs/>
          <w:kern w:val="0"/>
          <w:sz w:val="24"/>
          <w:szCs w:val="24"/>
        </w:rPr>
        <w:t>RB1</w:t>
      </w:r>
      <w:r w:rsidRPr="001063B2">
        <w:rPr>
          <w:rFonts w:ascii="微软雅黑" w:eastAsia="微软雅黑" w:hAnsi="微软雅黑" w:cs="宋体"/>
          <w:kern w:val="0"/>
          <w:sz w:val="24"/>
          <w:szCs w:val="24"/>
        </w:rPr>
        <w:t>编码）、相关的口袋蛋白p107（由</w:t>
      </w:r>
      <w:r w:rsidRPr="001063B2">
        <w:rPr>
          <w:rFonts w:ascii="微软雅黑" w:eastAsia="微软雅黑" w:hAnsi="微软雅黑" w:cs="宋体"/>
          <w:i/>
          <w:iCs/>
          <w:kern w:val="0"/>
          <w:sz w:val="24"/>
          <w:szCs w:val="24"/>
        </w:rPr>
        <w:t>RBL1编码）和p130（由RB2</w:t>
      </w:r>
      <w:r w:rsidRPr="001063B2">
        <w:rPr>
          <w:rFonts w:ascii="微软雅黑" w:eastAsia="微软雅黑" w:hAnsi="微软雅黑" w:cs="宋体"/>
          <w:kern w:val="0"/>
          <w:sz w:val="24"/>
          <w:szCs w:val="24"/>
        </w:rPr>
        <w:t>编码）[ </w:t>
      </w:r>
      <w:hyperlink r:id="rId12" w:anchor="B7-ijms-21-06479" w:history="1">
        <w:r w:rsidRPr="001063B2">
          <w:rPr>
            <w:rFonts w:ascii="微软雅黑" w:eastAsia="微软雅黑" w:hAnsi="微软雅黑" w:cs="宋体"/>
            <w:kern w:val="0"/>
            <w:sz w:val="24"/>
            <w:szCs w:val="24"/>
            <w:u w:val="single"/>
          </w:rPr>
          <w:t>7</w:t>
        </w:r>
      </w:hyperlink>
      <w:r w:rsidRPr="001063B2">
        <w:rPr>
          <w:rFonts w:ascii="微软雅黑" w:eastAsia="微软雅黑" w:hAnsi="微软雅黑" w:cs="宋体"/>
          <w:kern w:val="0"/>
          <w:sz w:val="24"/>
          <w:szCs w:val="24"/>
        </w:rPr>
        <w:t> , </w:t>
      </w:r>
      <w:hyperlink r:id="rId13" w:anchor="B8-ijms-21-06479" w:history="1">
        <w:r w:rsidRPr="001063B2">
          <w:rPr>
            <w:rFonts w:ascii="微软雅黑" w:eastAsia="微软雅黑" w:hAnsi="微软雅黑" w:cs="宋体"/>
            <w:kern w:val="0"/>
            <w:sz w:val="24"/>
            <w:szCs w:val="24"/>
            <w:u w:val="single"/>
          </w:rPr>
          <w:t>8</w:t>
        </w:r>
      </w:hyperlink>
      <w:r w:rsidRPr="001063B2">
        <w:rPr>
          <w:rFonts w:ascii="微软雅黑" w:eastAsia="微软雅黑" w:hAnsi="微软雅黑" w:cs="宋体"/>
          <w:kern w:val="0"/>
          <w:sz w:val="24"/>
          <w:szCs w:val="24"/>
        </w:rPr>
        <w:t> ]。 Rb蛋白是转录共抑制因子，限制许多参与细胞周期进程、DNA复制和有丝分裂进程的E2F靶基因的表达[ </w:t>
      </w:r>
      <w:hyperlink r:id="rId14" w:anchor="B9-ijms-21-06479" w:history="1">
        <w:r w:rsidRPr="001063B2">
          <w:rPr>
            <w:rFonts w:ascii="微软雅黑" w:eastAsia="微软雅黑" w:hAnsi="微软雅黑" w:cs="宋体"/>
            <w:kern w:val="0"/>
            <w:sz w:val="24"/>
            <w:szCs w:val="24"/>
            <w:u w:val="single"/>
          </w:rPr>
          <w:t>9</w:t>
        </w:r>
      </w:hyperlink>
      <w:r w:rsidRPr="001063B2">
        <w:rPr>
          <w:rFonts w:ascii="微软雅黑" w:eastAsia="微软雅黑" w:hAnsi="微软雅黑" w:cs="宋体"/>
          <w:kern w:val="0"/>
          <w:sz w:val="24"/>
          <w:szCs w:val="24"/>
        </w:rPr>
        <w:t> , </w:t>
      </w:r>
      <w:hyperlink r:id="rId15" w:anchor="B10-ijms-21-06479" w:history="1">
        <w:r w:rsidRPr="001063B2">
          <w:rPr>
            <w:rFonts w:ascii="微软雅黑" w:eastAsia="微软雅黑" w:hAnsi="微软雅黑" w:cs="宋体"/>
            <w:kern w:val="0"/>
            <w:sz w:val="24"/>
            <w:szCs w:val="24"/>
            <w:u w:val="single"/>
          </w:rPr>
          <w:t>10</w:t>
        </w:r>
      </w:hyperlink>
      <w:r w:rsidRPr="001063B2">
        <w:rPr>
          <w:rFonts w:ascii="微软雅黑" w:eastAsia="微软雅黑" w:hAnsi="微软雅黑" w:cs="宋体"/>
          <w:kern w:val="0"/>
          <w:sz w:val="24"/>
          <w:szCs w:val="24"/>
        </w:rPr>
        <w:t> ]。Rb蛋白的过度磷酸化会降低其与E2F的亲和力，从而限制这种转录抑制，导致E2F转录因子的释放，进而允许CDK2、E型细胞周期蛋白和其他蛋白质的转录。这些蛋白质构成一个复合物，能够进一步磷酸化Rb蛋白，促进细胞进入S期[ </w:t>
      </w:r>
      <w:hyperlink r:id="rId16" w:anchor="B11-ijms-21-06479" w:history="1">
        <w:r w:rsidRPr="001063B2">
          <w:rPr>
            <w:rFonts w:ascii="微软雅黑" w:eastAsia="微软雅黑" w:hAnsi="微软雅黑" w:cs="宋体"/>
            <w:kern w:val="0"/>
            <w:sz w:val="24"/>
            <w:szCs w:val="24"/>
            <w:u w:val="single"/>
          </w:rPr>
          <w:t>11</w:t>
        </w:r>
      </w:hyperlink>
      <w:r w:rsidRPr="001063B2">
        <w:rPr>
          <w:rFonts w:ascii="微软雅黑" w:eastAsia="微软雅黑" w:hAnsi="微软雅黑" w:cs="宋体"/>
          <w:kern w:val="0"/>
          <w:sz w:val="24"/>
          <w:szCs w:val="24"/>
        </w:rPr>
        <w:t> , </w:t>
      </w:r>
      <w:hyperlink r:id="rId17" w:anchor="B12-ijms-21-06479" w:history="1">
        <w:r w:rsidRPr="001063B2">
          <w:rPr>
            <w:rFonts w:ascii="微软雅黑" w:eastAsia="微软雅黑" w:hAnsi="微软雅黑" w:cs="宋体"/>
            <w:kern w:val="0"/>
            <w:sz w:val="24"/>
            <w:szCs w:val="24"/>
            <w:u w:val="single"/>
          </w:rPr>
          <w:t>12</w:t>
        </w:r>
      </w:hyperlink>
      <w:r w:rsidRPr="001063B2">
        <w:rPr>
          <w:rFonts w:ascii="微软雅黑" w:eastAsia="微软雅黑" w:hAnsi="微软雅黑" w:cs="宋体"/>
          <w:kern w:val="0"/>
          <w:sz w:val="24"/>
          <w:szCs w:val="24"/>
        </w:rPr>
        <w:t> , </w:t>
      </w:r>
      <w:hyperlink r:id="rId18" w:anchor="B13-ijms-21-06479" w:history="1">
        <w:r w:rsidRPr="001063B2">
          <w:rPr>
            <w:rFonts w:ascii="微软雅黑" w:eastAsia="微软雅黑" w:hAnsi="微软雅黑" w:cs="宋体"/>
            <w:kern w:val="0"/>
            <w:sz w:val="24"/>
            <w:szCs w:val="24"/>
            <w:u w:val="single"/>
          </w:rPr>
          <w:t>13</w:t>
        </w:r>
      </w:hyperlink>
      <w:r w:rsidRPr="001063B2">
        <w:rPr>
          <w:rFonts w:ascii="微软雅黑" w:eastAsia="微软雅黑" w:hAnsi="微软雅黑" w:cs="宋体"/>
          <w:kern w:val="0"/>
          <w:sz w:val="24"/>
          <w:szCs w:val="24"/>
        </w:rPr>
        <w:t> ]。CDK4/6的激酶活性受到两类CDK抑制剂（</w:t>
      </w:r>
      <w:proofErr w:type="spellStart"/>
      <w:r w:rsidRPr="001063B2">
        <w:rPr>
          <w:rFonts w:ascii="微软雅黑" w:eastAsia="微软雅黑" w:hAnsi="微软雅黑" w:cs="宋体"/>
          <w:kern w:val="0"/>
          <w:sz w:val="24"/>
          <w:szCs w:val="24"/>
        </w:rPr>
        <w:t>CDKi</w:t>
      </w:r>
      <w:proofErr w:type="spellEnd"/>
      <w:r w:rsidRPr="001063B2">
        <w:rPr>
          <w:rFonts w:ascii="微软雅黑" w:eastAsia="微软雅黑" w:hAnsi="微软雅黑" w:cs="宋体"/>
          <w:kern w:val="0"/>
          <w:sz w:val="24"/>
          <w:szCs w:val="24"/>
        </w:rPr>
        <w:t>）的负调控。这两类CDK抑制剂能够结合CDK的ATP结合口袋，抑制下游CDK4/6</w:t>
      </w:r>
      <w:proofErr w:type="gramStart"/>
      <w:r w:rsidRPr="001063B2">
        <w:rPr>
          <w:rFonts w:ascii="微软雅黑" w:eastAsia="微软雅黑" w:hAnsi="微软雅黑" w:cs="宋体"/>
          <w:kern w:val="0"/>
          <w:sz w:val="24"/>
          <w:szCs w:val="24"/>
        </w:rPr>
        <w:t>介</w:t>
      </w:r>
      <w:proofErr w:type="gramEnd"/>
      <w:r w:rsidRPr="001063B2">
        <w:rPr>
          <w:rFonts w:ascii="微软雅黑" w:eastAsia="微软雅黑" w:hAnsi="微软雅黑" w:cs="宋体"/>
          <w:kern w:val="0"/>
          <w:sz w:val="24"/>
          <w:szCs w:val="24"/>
        </w:rPr>
        <w:t>导的Rb蛋白磷酸化；这种内源性CDK4/6抑制能够有效阻滞细胞周期，但需要功能性Rb蛋白（</w:t>
      </w:r>
      <w:r w:rsidRPr="001063B2">
        <w:rPr>
          <w:rFonts w:ascii="微软雅黑" w:eastAsia="微软雅黑" w:hAnsi="微软雅黑" w:cs="宋体"/>
          <w:kern w:val="0"/>
          <w:sz w:val="24"/>
          <w:szCs w:val="24"/>
        </w:rPr>
        <w:fldChar w:fldCharType="begin"/>
      </w:r>
      <w:r w:rsidRPr="001063B2">
        <w:rPr>
          <w:rFonts w:ascii="微软雅黑" w:eastAsia="微软雅黑" w:hAnsi="微软雅黑" w:cs="宋体"/>
          <w:kern w:val="0"/>
          <w:sz w:val="24"/>
          <w:szCs w:val="24"/>
        </w:rPr>
        <w:instrText xml:space="preserve"> HYPERLINK "https://pmc.ncbi.nlm.nih.gov/articles/PMC7554788/" \l "ijms-21-06479-f001" </w:instrText>
      </w:r>
      <w:r w:rsidRPr="001063B2">
        <w:rPr>
          <w:rFonts w:ascii="微软雅黑" w:eastAsia="微软雅黑" w:hAnsi="微软雅黑" w:cs="宋体"/>
          <w:kern w:val="0"/>
          <w:sz w:val="24"/>
          <w:szCs w:val="24"/>
        </w:rPr>
        <w:fldChar w:fldCharType="separate"/>
      </w:r>
      <w:r w:rsidRPr="001063B2">
        <w:rPr>
          <w:rFonts w:ascii="微软雅黑" w:eastAsia="微软雅黑" w:hAnsi="微软雅黑" w:cs="宋体"/>
          <w:kern w:val="0"/>
          <w:sz w:val="24"/>
          <w:szCs w:val="24"/>
          <w:u w:val="single"/>
        </w:rPr>
        <w:t>图1</w:t>
      </w:r>
      <w:r w:rsidRPr="001063B2">
        <w:rPr>
          <w:rFonts w:ascii="微软雅黑" w:eastAsia="微软雅黑" w:hAnsi="微软雅黑" w:cs="宋体"/>
          <w:kern w:val="0"/>
          <w:sz w:val="24"/>
          <w:szCs w:val="24"/>
        </w:rPr>
        <w:fldChar w:fldCharType="end"/>
      </w:r>
      <w:r w:rsidRPr="001063B2">
        <w:rPr>
          <w:rFonts w:ascii="微软雅黑" w:eastAsia="微软雅黑" w:hAnsi="微软雅黑" w:cs="宋体"/>
          <w:kern w:val="0"/>
          <w:sz w:val="24"/>
          <w:szCs w:val="24"/>
        </w:rPr>
        <w:t>）[ </w:t>
      </w:r>
      <w:hyperlink r:id="rId19" w:anchor="B14-ijms-21-06479" w:history="1">
        <w:r w:rsidRPr="001063B2">
          <w:rPr>
            <w:rFonts w:ascii="微软雅黑" w:eastAsia="微软雅黑" w:hAnsi="微软雅黑" w:cs="宋体"/>
            <w:kern w:val="0"/>
            <w:sz w:val="24"/>
            <w:szCs w:val="24"/>
            <w:u w:val="single"/>
          </w:rPr>
          <w:t>14</w:t>
        </w:r>
      </w:hyperlink>
      <w:r w:rsidRPr="001063B2">
        <w:rPr>
          <w:rFonts w:ascii="微软雅黑" w:eastAsia="微软雅黑" w:hAnsi="微软雅黑" w:cs="宋体"/>
          <w:kern w:val="0"/>
          <w:sz w:val="24"/>
          <w:szCs w:val="24"/>
        </w:rPr>
        <w:t> , </w:t>
      </w:r>
      <w:hyperlink r:id="rId20" w:anchor="B15-ijms-21-06479" w:history="1">
        <w:r w:rsidRPr="001063B2">
          <w:rPr>
            <w:rFonts w:ascii="微软雅黑" w:eastAsia="微软雅黑" w:hAnsi="微软雅黑" w:cs="宋体"/>
            <w:kern w:val="0"/>
            <w:sz w:val="24"/>
            <w:szCs w:val="24"/>
            <w:u w:val="single"/>
          </w:rPr>
          <w:t>15</w:t>
        </w:r>
      </w:hyperlink>
      <w:r w:rsidRPr="001063B2">
        <w:rPr>
          <w:rFonts w:ascii="微软雅黑" w:eastAsia="微软雅黑" w:hAnsi="微软雅黑" w:cs="宋体"/>
          <w:kern w:val="0"/>
          <w:sz w:val="24"/>
          <w:szCs w:val="24"/>
        </w:rPr>
        <w:t xml:space="preserve"> ]。 </w:t>
      </w:r>
      <w:proofErr w:type="spellStart"/>
      <w:r w:rsidRPr="001063B2">
        <w:rPr>
          <w:rFonts w:ascii="微软雅黑" w:eastAsia="微软雅黑" w:hAnsi="微软雅黑" w:cs="宋体"/>
          <w:kern w:val="0"/>
          <w:sz w:val="24"/>
          <w:szCs w:val="24"/>
        </w:rPr>
        <w:t>CDKi</w:t>
      </w:r>
      <w:proofErr w:type="spellEnd"/>
      <w:r w:rsidRPr="001063B2">
        <w:rPr>
          <w:rFonts w:ascii="微软雅黑" w:eastAsia="微软雅黑" w:hAnsi="微软雅黑" w:cs="宋体"/>
          <w:kern w:val="0"/>
          <w:sz w:val="24"/>
          <w:szCs w:val="24"/>
        </w:rPr>
        <w:t xml:space="preserve"> 分为两大类，它们具有不同的结构和 CDK 特异性，分别是 CDK 相互作用蛋白/激酶抑制蛋白 (CIP/KIP) 家族，其中包括 p21 </w:t>
      </w:r>
      <w:r w:rsidRPr="001063B2">
        <w:rPr>
          <w:rFonts w:ascii="微软雅黑" w:eastAsia="微软雅黑" w:hAnsi="微软雅黑" w:cs="宋体"/>
          <w:kern w:val="0"/>
          <w:sz w:val="24"/>
          <w:szCs w:val="24"/>
          <w:vertAlign w:val="superscript"/>
        </w:rPr>
        <w:t>CIP1</w:t>
      </w:r>
      <w:r w:rsidRPr="001063B2">
        <w:rPr>
          <w:rFonts w:ascii="微软雅黑" w:eastAsia="微软雅黑" w:hAnsi="微软雅黑" w:cs="宋体"/>
          <w:kern w:val="0"/>
          <w:sz w:val="24"/>
          <w:szCs w:val="24"/>
        </w:rPr>
        <w:t> ( </w:t>
      </w:r>
      <w:r w:rsidRPr="001063B2">
        <w:rPr>
          <w:rFonts w:ascii="微软雅黑" w:eastAsia="微软雅黑" w:hAnsi="微软雅黑" w:cs="宋体"/>
          <w:i/>
          <w:iCs/>
          <w:kern w:val="0"/>
          <w:sz w:val="24"/>
          <w:szCs w:val="24"/>
        </w:rPr>
        <w:t>CDKN1A)。</w:t>
      </w:r>
      <w:r w:rsidRPr="001063B2">
        <w:rPr>
          <w:rFonts w:ascii="微软雅黑" w:eastAsia="微软雅黑" w:hAnsi="微软雅黑" w:cs="宋体"/>
          <w:kern w:val="0"/>
          <w:sz w:val="24"/>
          <w:szCs w:val="24"/>
        </w:rPr>
        <w:t>CDK4家族包含p27KIP1 </w:t>
      </w:r>
      <w:r w:rsidRPr="001063B2">
        <w:rPr>
          <w:rFonts w:ascii="微软雅黑" w:eastAsia="微软雅黑" w:hAnsi="微软雅黑" w:cs="宋体"/>
          <w:kern w:val="0"/>
          <w:sz w:val="24"/>
          <w:szCs w:val="24"/>
          <w:vertAlign w:val="superscript"/>
        </w:rPr>
        <w:t>（</w:t>
      </w:r>
      <w:r w:rsidRPr="001063B2">
        <w:rPr>
          <w:rFonts w:ascii="微软雅黑" w:eastAsia="微软雅黑" w:hAnsi="微软雅黑" w:cs="宋体"/>
          <w:kern w:val="0"/>
          <w:sz w:val="24"/>
          <w:szCs w:val="24"/>
        </w:rPr>
        <w:t> CDKN1B </w:t>
      </w:r>
      <w:r w:rsidRPr="001063B2">
        <w:rPr>
          <w:rFonts w:ascii="微软雅黑" w:eastAsia="微软雅黑" w:hAnsi="微软雅黑" w:cs="宋体"/>
          <w:i/>
          <w:iCs/>
          <w:kern w:val="0"/>
          <w:sz w:val="24"/>
          <w:szCs w:val="24"/>
        </w:rPr>
        <w:t>）</w:t>
      </w:r>
      <w:r w:rsidRPr="001063B2">
        <w:rPr>
          <w:rFonts w:ascii="微软雅黑" w:eastAsia="微软雅黑" w:hAnsi="微软雅黑" w:cs="宋体"/>
          <w:kern w:val="0"/>
          <w:sz w:val="24"/>
          <w:szCs w:val="24"/>
        </w:rPr>
        <w:t>和</w:t>
      </w:r>
      <w:r w:rsidRPr="001063B2">
        <w:rPr>
          <w:rFonts w:ascii="微软雅黑" w:eastAsia="微软雅黑" w:hAnsi="微软雅黑" w:cs="宋体"/>
          <w:kern w:val="0"/>
          <w:sz w:val="24"/>
          <w:szCs w:val="24"/>
          <w:vertAlign w:val="superscript"/>
        </w:rPr>
        <w:t>p57KIP2</w:t>
      </w:r>
      <w:r w:rsidRPr="001063B2">
        <w:rPr>
          <w:rFonts w:ascii="微软雅黑" w:eastAsia="微软雅黑" w:hAnsi="微软雅黑" w:cs="宋体"/>
          <w:kern w:val="0"/>
          <w:sz w:val="24"/>
          <w:szCs w:val="24"/>
        </w:rPr>
        <w:t>（</w:t>
      </w:r>
      <w:r w:rsidRPr="001063B2">
        <w:rPr>
          <w:rFonts w:ascii="微软雅黑" w:eastAsia="微软雅黑" w:hAnsi="微软雅黑" w:cs="宋体"/>
          <w:i/>
          <w:iCs/>
          <w:kern w:val="0"/>
          <w:sz w:val="24"/>
          <w:szCs w:val="24"/>
        </w:rPr>
        <w:t>CDKN2D</w:t>
      </w:r>
      <w:r w:rsidRPr="001063B2">
        <w:rPr>
          <w:rFonts w:ascii="微软雅黑" w:eastAsia="微软雅黑" w:hAnsi="微软雅黑" w:cs="宋体"/>
          <w:kern w:val="0"/>
          <w:sz w:val="24"/>
          <w:szCs w:val="24"/>
        </w:rPr>
        <w:t>）蛋白，以及CDK4抑制蛋白（INK4）家族，包括p16INK4A </w:t>
      </w:r>
      <w:r w:rsidRPr="001063B2">
        <w:rPr>
          <w:rFonts w:ascii="微软雅黑" w:eastAsia="微软雅黑" w:hAnsi="微软雅黑" w:cs="宋体"/>
          <w:kern w:val="0"/>
          <w:sz w:val="24"/>
          <w:szCs w:val="24"/>
          <w:vertAlign w:val="superscript"/>
        </w:rPr>
        <w:t>（</w:t>
      </w:r>
      <w:r w:rsidRPr="001063B2">
        <w:rPr>
          <w:rFonts w:ascii="微软雅黑" w:eastAsia="微软雅黑" w:hAnsi="微软雅黑" w:cs="宋体"/>
          <w:kern w:val="0"/>
          <w:sz w:val="24"/>
          <w:szCs w:val="24"/>
        </w:rPr>
        <w:t> CDKN2A </w:t>
      </w:r>
      <w:r w:rsidRPr="001063B2">
        <w:rPr>
          <w:rFonts w:ascii="微软雅黑" w:eastAsia="微软雅黑" w:hAnsi="微软雅黑" w:cs="宋体"/>
          <w:i/>
          <w:iCs/>
          <w:kern w:val="0"/>
          <w:sz w:val="24"/>
          <w:szCs w:val="24"/>
        </w:rPr>
        <w:t>）</w:t>
      </w:r>
      <w:r w:rsidRPr="001063B2">
        <w:rPr>
          <w:rFonts w:ascii="微软雅黑" w:eastAsia="微软雅黑" w:hAnsi="微软雅黑" w:cs="宋体"/>
          <w:kern w:val="0"/>
          <w:sz w:val="24"/>
          <w:szCs w:val="24"/>
        </w:rPr>
        <w:t>、</w:t>
      </w:r>
      <w:r w:rsidRPr="001063B2">
        <w:rPr>
          <w:rFonts w:ascii="微软雅黑" w:eastAsia="微软雅黑" w:hAnsi="微软雅黑" w:cs="宋体"/>
          <w:kern w:val="0"/>
          <w:sz w:val="24"/>
          <w:szCs w:val="24"/>
          <w:vertAlign w:val="superscript"/>
        </w:rPr>
        <w:t>p14ARF</w:t>
      </w:r>
      <w:r w:rsidRPr="001063B2">
        <w:rPr>
          <w:rFonts w:ascii="微软雅黑" w:eastAsia="微软雅黑" w:hAnsi="微软雅黑" w:cs="宋体"/>
          <w:kern w:val="0"/>
          <w:sz w:val="24"/>
          <w:szCs w:val="24"/>
        </w:rPr>
        <w:t>（CDKN2A）、p15INK4B </w:t>
      </w:r>
      <w:r w:rsidRPr="001063B2">
        <w:rPr>
          <w:rFonts w:ascii="微软雅黑" w:eastAsia="微软雅黑" w:hAnsi="微软雅黑" w:cs="宋体"/>
          <w:kern w:val="0"/>
          <w:sz w:val="24"/>
          <w:szCs w:val="24"/>
          <w:vertAlign w:val="superscript"/>
        </w:rPr>
        <w:t>（</w:t>
      </w:r>
      <w:r w:rsidRPr="001063B2">
        <w:rPr>
          <w:rFonts w:ascii="微软雅黑" w:eastAsia="微软雅黑" w:hAnsi="微软雅黑" w:cs="宋体"/>
          <w:kern w:val="0"/>
          <w:sz w:val="24"/>
          <w:szCs w:val="24"/>
        </w:rPr>
        <w:t> CDKN2B </w:t>
      </w:r>
      <w:r w:rsidRPr="001063B2">
        <w:rPr>
          <w:rFonts w:ascii="微软雅黑" w:eastAsia="微软雅黑" w:hAnsi="微软雅黑" w:cs="宋体"/>
          <w:i/>
          <w:iCs/>
          <w:kern w:val="0"/>
          <w:sz w:val="24"/>
          <w:szCs w:val="24"/>
        </w:rPr>
        <w:t>）</w:t>
      </w:r>
      <w:r w:rsidRPr="001063B2">
        <w:rPr>
          <w:rFonts w:ascii="微软雅黑" w:eastAsia="微软雅黑" w:hAnsi="微软雅黑" w:cs="宋体"/>
          <w:kern w:val="0"/>
          <w:sz w:val="24"/>
          <w:szCs w:val="24"/>
        </w:rPr>
        <w:t>、</w:t>
      </w:r>
      <w:r w:rsidRPr="001063B2">
        <w:rPr>
          <w:rFonts w:ascii="微软雅黑" w:eastAsia="微软雅黑" w:hAnsi="微软雅黑" w:cs="宋体"/>
          <w:kern w:val="0"/>
          <w:sz w:val="24"/>
          <w:szCs w:val="24"/>
          <w:vertAlign w:val="superscript"/>
        </w:rPr>
        <w:t>p18INK4C</w:t>
      </w:r>
      <w:r w:rsidRPr="001063B2">
        <w:rPr>
          <w:rFonts w:ascii="微软雅黑" w:eastAsia="微软雅黑" w:hAnsi="微软雅黑" w:cs="宋体"/>
          <w:kern w:val="0"/>
          <w:sz w:val="24"/>
          <w:szCs w:val="24"/>
        </w:rPr>
        <w:t>（</w:t>
      </w:r>
      <w:r w:rsidRPr="001063B2">
        <w:rPr>
          <w:rFonts w:ascii="微软雅黑" w:eastAsia="微软雅黑" w:hAnsi="微软雅黑" w:cs="宋体"/>
          <w:i/>
          <w:iCs/>
          <w:kern w:val="0"/>
          <w:sz w:val="24"/>
          <w:szCs w:val="24"/>
        </w:rPr>
        <w:t>CDKN2C</w:t>
      </w:r>
      <w:r w:rsidRPr="001063B2">
        <w:rPr>
          <w:rFonts w:ascii="微软雅黑" w:eastAsia="微软雅黑" w:hAnsi="微软雅黑" w:cs="宋体"/>
          <w:kern w:val="0"/>
          <w:sz w:val="24"/>
          <w:szCs w:val="24"/>
        </w:rPr>
        <w:t>）和</w:t>
      </w:r>
      <w:r w:rsidRPr="001063B2">
        <w:rPr>
          <w:rFonts w:ascii="微软雅黑" w:eastAsia="微软雅黑" w:hAnsi="微软雅黑" w:cs="宋体"/>
          <w:kern w:val="0"/>
          <w:sz w:val="24"/>
          <w:szCs w:val="24"/>
          <w:vertAlign w:val="superscript"/>
        </w:rPr>
        <w:t>p19INK4D</w:t>
      </w:r>
      <w:r w:rsidRPr="001063B2">
        <w:rPr>
          <w:rFonts w:ascii="微软雅黑" w:eastAsia="微软雅黑" w:hAnsi="微软雅黑" w:cs="宋体"/>
          <w:kern w:val="0"/>
          <w:sz w:val="24"/>
          <w:szCs w:val="24"/>
        </w:rPr>
        <w:t>（</w:t>
      </w:r>
      <w:r w:rsidRPr="001063B2">
        <w:rPr>
          <w:rFonts w:ascii="微软雅黑" w:eastAsia="微软雅黑" w:hAnsi="微软雅黑" w:cs="宋体"/>
          <w:i/>
          <w:iCs/>
          <w:kern w:val="0"/>
          <w:sz w:val="24"/>
          <w:szCs w:val="24"/>
        </w:rPr>
        <w:t>CDKN2D</w:t>
      </w:r>
      <w:r w:rsidRPr="001063B2">
        <w:rPr>
          <w:rFonts w:ascii="微软雅黑" w:eastAsia="微软雅黑" w:hAnsi="微软雅黑" w:cs="宋体"/>
          <w:kern w:val="0"/>
          <w:sz w:val="24"/>
          <w:szCs w:val="24"/>
        </w:rPr>
        <w:t>）蛋白。INK4家族蛋白特异性地与CDK4/6的催化结构域相互作用，抑制其与D型细胞周期蛋白的结合，从而抑制激酶活性；而CIP/KIP家族蛋白则具有抑制和激活的双重作用，干扰所有细胞周期蛋白-CDK复合物的活性[ </w:t>
      </w:r>
      <w:hyperlink r:id="rId21" w:anchor="B16-ijms-21-06479" w:history="1">
        <w:r w:rsidRPr="001063B2">
          <w:rPr>
            <w:rFonts w:ascii="微软雅黑" w:eastAsia="微软雅黑" w:hAnsi="微软雅黑" w:cs="宋体"/>
            <w:kern w:val="0"/>
            <w:sz w:val="24"/>
            <w:szCs w:val="24"/>
            <w:u w:val="single"/>
          </w:rPr>
          <w:t>16</w:t>
        </w:r>
      </w:hyperlink>
      <w:r w:rsidRPr="001063B2">
        <w:rPr>
          <w:rFonts w:ascii="微软雅黑" w:eastAsia="微软雅黑" w:hAnsi="微软雅黑" w:cs="宋体"/>
          <w:kern w:val="0"/>
          <w:sz w:val="24"/>
          <w:szCs w:val="24"/>
        </w:rPr>
        <w:t> , </w:t>
      </w:r>
      <w:hyperlink r:id="rId22" w:anchor="B17-ijms-21-06479" w:history="1">
        <w:r w:rsidRPr="001063B2">
          <w:rPr>
            <w:rFonts w:ascii="微软雅黑" w:eastAsia="微软雅黑" w:hAnsi="微软雅黑" w:cs="宋体"/>
            <w:kern w:val="0"/>
            <w:sz w:val="24"/>
            <w:szCs w:val="24"/>
            <w:u w:val="single"/>
          </w:rPr>
          <w:t>17</w:t>
        </w:r>
      </w:hyperlink>
      <w:r w:rsidRPr="001063B2">
        <w:rPr>
          <w:rFonts w:ascii="微软雅黑" w:eastAsia="微软雅黑" w:hAnsi="微软雅黑" w:cs="宋体"/>
          <w:kern w:val="0"/>
          <w:sz w:val="24"/>
          <w:szCs w:val="24"/>
        </w:rPr>
        <w:t> , </w:t>
      </w:r>
      <w:hyperlink r:id="rId23" w:anchor="B18-ijms-21-06479" w:history="1">
        <w:r w:rsidRPr="001063B2">
          <w:rPr>
            <w:rFonts w:ascii="微软雅黑" w:eastAsia="微软雅黑" w:hAnsi="微软雅黑" w:cs="宋体"/>
            <w:kern w:val="0"/>
            <w:sz w:val="24"/>
            <w:szCs w:val="24"/>
            <w:u w:val="single"/>
          </w:rPr>
          <w:t>18</w:t>
        </w:r>
      </w:hyperlink>
      <w:r w:rsidRPr="001063B2">
        <w:rPr>
          <w:rFonts w:ascii="微软雅黑" w:eastAsia="微软雅黑" w:hAnsi="微软雅黑" w:cs="宋体"/>
          <w:kern w:val="0"/>
          <w:sz w:val="24"/>
          <w:szCs w:val="24"/>
        </w:rPr>
        <w:t> ]。</w:t>
      </w:r>
    </w:p>
    <w:p w14:paraId="1A7A5AEC" w14:textId="77777777" w:rsidR="001063B2" w:rsidRPr="001063B2" w:rsidRDefault="001063B2" w:rsidP="001063B2">
      <w:pPr>
        <w:widowControl/>
        <w:spacing w:line="450" w:lineRule="atLeast"/>
        <w:outlineLvl w:val="2"/>
        <w:rPr>
          <w:rFonts w:ascii="微软雅黑" w:eastAsia="微软雅黑" w:hAnsi="微软雅黑" w:cs="宋体"/>
          <w:kern w:val="0"/>
          <w:sz w:val="30"/>
          <w:szCs w:val="30"/>
        </w:rPr>
      </w:pPr>
      <w:r w:rsidRPr="001063B2">
        <w:rPr>
          <w:rFonts w:ascii="微软雅黑" w:eastAsia="微软雅黑" w:hAnsi="微软雅黑" w:cs="宋体"/>
          <w:kern w:val="0"/>
          <w:sz w:val="30"/>
          <w:szCs w:val="30"/>
        </w:rPr>
        <w:t>图1。</w:t>
      </w:r>
    </w:p>
    <w:p w14:paraId="62FED677" w14:textId="1421DC0D" w:rsidR="001063B2" w:rsidRPr="001063B2" w:rsidRDefault="001063B2" w:rsidP="001063B2">
      <w:pPr>
        <w:widowControl/>
        <w:spacing w:before="450"/>
        <w:rPr>
          <w:rFonts w:ascii="微软雅黑" w:eastAsia="微软雅黑" w:hAnsi="微软雅黑" w:cs="宋体"/>
          <w:kern w:val="0"/>
          <w:sz w:val="24"/>
          <w:szCs w:val="24"/>
        </w:rPr>
      </w:pPr>
      <w:r w:rsidRPr="00CB7F59">
        <w:rPr>
          <w:rFonts w:ascii="微软雅黑" w:eastAsia="微软雅黑" w:hAnsi="微软雅黑" w:cs="宋体"/>
          <w:noProof/>
          <w:kern w:val="0"/>
          <w:sz w:val="24"/>
          <w:szCs w:val="24"/>
        </w:rPr>
        <w:lastRenderedPageBreak/>
        <w:drawing>
          <wp:inline distT="0" distB="0" distL="0" distR="0" wp14:anchorId="3F3AB684" wp14:editId="2BD1366E">
            <wp:extent cx="5274310" cy="5330825"/>
            <wp:effectExtent l="0" t="0" r="2540" b="3175"/>
            <wp:docPr id="1" name="图片 1" descr="图 1">
              <a:hlinkClick xmlns:a="http://schemas.openxmlformats.org/drawingml/2006/main" r:id="rId2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 1">
                      <a:hlinkClick r:id="rId24" tgtFrame="&quot;_blank&quo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5330825"/>
                    </a:xfrm>
                    <a:prstGeom prst="rect">
                      <a:avLst/>
                    </a:prstGeom>
                    <a:noFill/>
                    <a:ln>
                      <a:noFill/>
                    </a:ln>
                  </pic:spPr>
                </pic:pic>
              </a:graphicData>
            </a:graphic>
          </wp:inline>
        </w:drawing>
      </w:r>
    </w:p>
    <w:p w14:paraId="65767F0D" w14:textId="15696E00" w:rsidR="001063B2" w:rsidRPr="001063B2" w:rsidRDefault="001063B2" w:rsidP="001063B2">
      <w:pPr>
        <w:widowControl/>
        <w:rPr>
          <w:rFonts w:ascii="微软雅黑" w:eastAsia="微软雅黑" w:hAnsi="微软雅黑" w:cs="宋体"/>
          <w:kern w:val="0"/>
          <w:sz w:val="24"/>
          <w:szCs w:val="24"/>
        </w:rPr>
      </w:pPr>
    </w:p>
    <w:p w14:paraId="0DF4FE2D"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CDK4/6抑制剂的作用机制。上游信号通路（如MAPK、PI3K和ER）的激活，通过促进细胞周期蛋白D-CDK4/6复合物的形成来调控细胞周期进程。该复合物选择性地磷酸化并灭活</w:t>
      </w:r>
      <w:proofErr w:type="spellStart"/>
      <w:r w:rsidRPr="001063B2">
        <w:rPr>
          <w:rFonts w:ascii="微软雅黑" w:eastAsia="微软雅黑" w:hAnsi="微软雅黑" w:cs="宋体"/>
          <w:kern w:val="0"/>
          <w:sz w:val="24"/>
          <w:szCs w:val="24"/>
        </w:rPr>
        <w:t>pRb</w:t>
      </w:r>
      <w:proofErr w:type="spellEnd"/>
      <w:r w:rsidRPr="001063B2">
        <w:rPr>
          <w:rFonts w:ascii="微软雅黑" w:eastAsia="微软雅黑" w:hAnsi="微软雅黑" w:cs="宋体"/>
          <w:kern w:val="0"/>
          <w:sz w:val="24"/>
          <w:szCs w:val="24"/>
        </w:rPr>
        <w:t>蛋白。Rb蛋白限制许多E2F靶基因的表达，这些基因参与细胞周期进程、DNA复制和有丝分裂进程。CDK4/6抑制剂（帕博西尼、瑞博西尼和阿贝西利）选择性地抑制下游CDK4/6</w:t>
      </w:r>
      <w:proofErr w:type="gramStart"/>
      <w:r w:rsidRPr="001063B2">
        <w:rPr>
          <w:rFonts w:ascii="微软雅黑" w:eastAsia="微软雅黑" w:hAnsi="微软雅黑" w:cs="宋体"/>
          <w:kern w:val="0"/>
          <w:sz w:val="24"/>
          <w:szCs w:val="24"/>
        </w:rPr>
        <w:t>介</w:t>
      </w:r>
      <w:proofErr w:type="gramEnd"/>
      <w:r w:rsidRPr="001063B2">
        <w:rPr>
          <w:rFonts w:ascii="微软雅黑" w:eastAsia="微软雅黑" w:hAnsi="微软雅黑" w:cs="宋体"/>
          <w:kern w:val="0"/>
          <w:sz w:val="24"/>
          <w:szCs w:val="24"/>
        </w:rPr>
        <w:t>导的Rb蛋白磷酸化，导致细胞周期停滞于G0/G1期。联合治疗策略侧重于同时阻断CDK4/6和上游信号通路，这些上游信号通路主要由ER、MAPK通路和PI3K/AKT/mTOR通路</w:t>
      </w:r>
      <w:proofErr w:type="gramStart"/>
      <w:r w:rsidRPr="001063B2">
        <w:rPr>
          <w:rFonts w:ascii="微软雅黑" w:eastAsia="微软雅黑" w:hAnsi="微软雅黑" w:cs="宋体"/>
          <w:kern w:val="0"/>
          <w:sz w:val="24"/>
          <w:szCs w:val="24"/>
        </w:rPr>
        <w:t>介</w:t>
      </w:r>
      <w:proofErr w:type="gramEnd"/>
      <w:r w:rsidRPr="001063B2">
        <w:rPr>
          <w:rFonts w:ascii="微软雅黑" w:eastAsia="微软雅黑" w:hAnsi="微软雅黑" w:cs="宋体"/>
          <w:kern w:val="0"/>
          <w:sz w:val="24"/>
          <w:szCs w:val="24"/>
        </w:rPr>
        <w:t>导。</w:t>
      </w:r>
    </w:p>
    <w:p w14:paraId="0AC7BFC5"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lastRenderedPageBreak/>
        <w:t>D型细胞周期蛋白的转录与多种信号通路密切相关，CDK4/6活性也发挥着重要作用，它作为一种传感器，将多种信号通路与细胞周期的启动和进程联系起来[ </w:t>
      </w:r>
      <w:hyperlink r:id="rId26" w:anchor="B19-ijms-21-06479" w:history="1">
        <w:r w:rsidRPr="001063B2">
          <w:rPr>
            <w:rFonts w:ascii="微软雅黑" w:eastAsia="微软雅黑" w:hAnsi="微软雅黑" w:cs="宋体"/>
            <w:kern w:val="0"/>
            <w:sz w:val="24"/>
            <w:szCs w:val="24"/>
            <w:u w:val="single"/>
          </w:rPr>
          <w:t>19</w:t>
        </w:r>
      </w:hyperlink>
      <w:r w:rsidRPr="001063B2">
        <w:rPr>
          <w:rFonts w:ascii="微软雅黑" w:eastAsia="微软雅黑" w:hAnsi="微软雅黑" w:cs="宋体"/>
          <w:kern w:val="0"/>
          <w:sz w:val="24"/>
          <w:szCs w:val="24"/>
        </w:rPr>
        <w:t> , </w:t>
      </w:r>
      <w:hyperlink r:id="rId27" w:anchor="B20-ijms-21-06479" w:history="1">
        <w:r w:rsidRPr="001063B2">
          <w:rPr>
            <w:rFonts w:ascii="微软雅黑" w:eastAsia="微软雅黑" w:hAnsi="微软雅黑" w:cs="宋体"/>
            <w:kern w:val="0"/>
            <w:sz w:val="24"/>
            <w:szCs w:val="24"/>
            <w:u w:val="single"/>
          </w:rPr>
          <w:t>20</w:t>
        </w:r>
      </w:hyperlink>
      <w:r w:rsidRPr="001063B2">
        <w:rPr>
          <w:rFonts w:ascii="微软雅黑" w:eastAsia="微软雅黑" w:hAnsi="微软雅黑" w:cs="宋体"/>
          <w:kern w:val="0"/>
          <w:sz w:val="24"/>
          <w:szCs w:val="24"/>
        </w:rPr>
        <w:t> , </w:t>
      </w:r>
      <w:hyperlink r:id="rId28" w:anchor="B21-ijms-21-06479" w:history="1">
        <w:r w:rsidRPr="001063B2">
          <w:rPr>
            <w:rFonts w:ascii="微软雅黑" w:eastAsia="微软雅黑" w:hAnsi="微软雅黑" w:cs="宋体"/>
            <w:kern w:val="0"/>
            <w:sz w:val="24"/>
            <w:szCs w:val="24"/>
            <w:u w:val="single"/>
          </w:rPr>
          <w:t>21</w:t>
        </w:r>
      </w:hyperlink>
      <w:r w:rsidRPr="001063B2">
        <w:rPr>
          <w:rFonts w:ascii="微软雅黑" w:eastAsia="微软雅黑" w:hAnsi="微软雅黑" w:cs="宋体"/>
          <w:kern w:val="0"/>
          <w:sz w:val="24"/>
          <w:szCs w:val="24"/>
        </w:rPr>
        <w:t> ]。细胞周期蛋白/CDK/Rb通路失调在多种人类癌症中都很常见，包括乳腺癌（BC）。在乳腺癌中，CDK4/6已被确定为激素受体阳性乳腺癌增殖的关键驱动因素[ </w:t>
      </w:r>
      <w:hyperlink r:id="rId29" w:anchor="B18-ijms-21-06479" w:history="1">
        <w:r w:rsidRPr="001063B2">
          <w:rPr>
            <w:rFonts w:ascii="微软雅黑" w:eastAsia="微软雅黑" w:hAnsi="微软雅黑" w:cs="宋体"/>
            <w:kern w:val="0"/>
            <w:sz w:val="24"/>
            <w:szCs w:val="24"/>
            <w:u w:val="single"/>
          </w:rPr>
          <w:t>18</w:t>
        </w:r>
      </w:hyperlink>
      <w:r w:rsidRPr="001063B2">
        <w:rPr>
          <w:rFonts w:ascii="微软雅黑" w:eastAsia="微软雅黑" w:hAnsi="微软雅黑" w:cs="宋体"/>
          <w:kern w:val="0"/>
          <w:sz w:val="24"/>
          <w:szCs w:val="24"/>
        </w:rPr>
        <w:t> ]。编码细胞周期蛋白D1的</w:t>
      </w:r>
      <w:r w:rsidRPr="001063B2">
        <w:rPr>
          <w:rFonts w:ascii="微软雅黑" w:eastAsia="微软雅黑" w:hAnsi="微软雅黑" w:cs="宋体"/>
          <w:i/>
          <w:iCs/>
          <w:kern w:val="0"/>
          <w:sz w:val="24"/>
          <w:szCs w:val="24"/>
        </w:rPr>
        <w:t>CCND1</w:t>
      </w:r>
      <w:r w:rsidRPr="001063B2">
        <w:rPr>
          <w:rFonts w:ascii="微软雅黑" w:eastAsia="微软雅黑" w:hAnsi="微软雅黑" w:cs="宋体"/>
          <w:kern w:val="0"/>
          <w:sz w:val="24"/>
          <w:szCs w:val="24"/>
        </w:rPr>
        <w:t>癌基因的扩增和过表达在乳腺癌中很常见，尤其是在管腔A型（29%）、管腔B型（58%）和人表皮生长因子受体2（HER2）富集型（38%）亚型中，而</w:t>
      </w:r>
      <w:r w:rsidRPr="001063B2">
        <w:rPr>
          <w:rFonts w:ascii="微软雅黑" w:eastAsia="微软雅黑" w:hAnsi="微软雅黑" w:cs="宋体"/>
          <w:i/>
          <w:iCs/>
          <w:kern w:val="0"/>
          <w:sz w:val="24"/>
          <w:szCs w:val="24"/>
        </w:rPr>
        <w:t>CCND2</w:t>
      </w:r>
      <w:r w:rsidRPr="001063B2">
        <w:rPr>
          <w:rFonts w:ascii="微软雅黑" w:eastAsia="微软雅黑" w:hAnsi="微软雅黑" w:cs="宋体"/>
          <w:kern w:val="0"/>
          <w:sz w:val="24"/>
          <w:szCs w:val="24"/>
        </w:rPr>
        <w:t>或</w:t>
      </w:r>
      <w:r w:rsidRPr="001063B2">
        <w:rPr>
          <w:rFonts w:ascii="微软雅黑" w:eastAsia="微软雅黑" w:hAnsi="微软雅黑" w:cs="宋体"/>
          <w:i/>
          <w:iCs/>
          <w:kern w:val="0"/>
          <w:sz w:val="24"/>
          <w:szCs w:val="24"/>
        </w:rPr>
        <w:t>CCND3的</w:t>
      </w:r>
      <w:r w:rsidRPr="001063B2">
        <w:rPr>
          <w:rFonts w:ascii="微软雅黑" w:eastAsia="微软雅黑" w:hAnsi="微软雅黑" w:cs="宋体"/>
          <w:kern w:val="0"/>
          <w:sz w:val="24"/>
          <w:szCs w:val="24"/>
        </w:rPr>
        <w:t>扩增则较为罕见。同样，</w:t>
      </w:r>
      <w:r w:rsidRPr="001063B2">
        <w:rPr>
          <w:rFonts w:ascii="微软雅黑" w:eastAsia="微软雅黑" w:hAnsi="微软雅黑" w:cs="宋体"/>
          <w:i/>
          <w:iCs/>
          <w:kern w:val="0"/>
          <w:sz w:val="24"/>
          <w:szCs w:val="24"/>
        </w:rPr>
        <w:t>CDK4</w:t>
      </w:r>
      <w:r w:rsidRPr="001063B2">
        <w:rPr>
          <w:rFonts w:ascii="微软雅黑" w:eastAsia="微软雅黑" w:hAnsi="微软雅黑" w:cs="宋体"/>
          <w:kern w:val="0"/>
          <w:sz w:val="24"/>
          <w:szCs w:val="24"/>
        </w:rPr>
        <w:t>基因扩增在14%的管腔A型乳腺癌、25%的管腔B型乳腺癌和24%的HER2富集型乳腺癌中均有发现。主要抑癌基因</w:t>
      </w:r>
      <w:r w:rsidRPr="001063B2">
        <w:rPr>
          <w:rFonts w:ascii="微软雅黑" w:eastAsia="微软雅黑" w:hAnsi="微软雅黑" w:cs="宋体"/>
          <w:i/>
          <w:iCs/>
          <w:kern w:val="0"/>
          <w:sz w:val="24"/>
          <w:szCs w:val="24"/>
        </w:rPr>
        <w:t>RB1</w:t>
      </w:r>
      <w:r w:rsidRPr="001063B2">
        <w:rPr>
          <w:rFonts w:ascii="微软雅黑" w:eastAsia="微软雅黑" w:hAnsi="微软雅黑" w:cs="宋体"/>
          <w:kern w:val="0"/>
          <w:sz w:val="24"/>
          <w:szCs w:val="24"/>
        </w:rPr>
        <w:t>和</w:t>
      </w:r>
      <w:r w:rsidRPr="001063B2">
        <w:rPr>
          <w:rFonts w:ascii="微软雅黑" w:eastAsia="微软雅黑" w:hAnsi="微软雅黑" w:cs="宋体"/>
          <w:i/>
          <w:iCs/>
          <w:kern w:val="0"/>
          <w:sz w:val="24"/>
          <w:szCs w:val="24"/>
        </w:rPr>
        <w:t>TP53</w:t>
      </w:r>
      <w:r w:rsidRPr="001063B2">
        <w:rPr>
          <w:rFonts w:ascii="微软雅黑" w:eastAsia="微软雅黑" w:hAnsi="微软雅黑" w:cs="宋体"/>
          <w:kern w:val="0"/>
          <w:sz w:val="24"/>
          <w:szCs w:val="24"/>
        </w:rPr>
        <w:t>的活性在</w:t>
      </w:r>
      <w:proofErr w:type="gramStart"/>
      <w:r w:rsidRPr="001063B2">
        <w:rPr>
          <w:rFonts w:ascii="微软雅黑" w:eastAsia="微软雅黑" w:hAnsi="微软雅黑" w:cs="宋体"/>
          <w:kern w:val="0"/>
          <w:sz w:val="24"/>
          <w:szCs w:val="24"/>
        </w:rPr>
        <w:t>管腔型和</w:t>
      </w:r>
      <w:proofErr w:type="gramEnd"/>
      <w:r w:rsidRPr="001063B2">
        <w:rPr>
          <w:rFonts w:ascii="微软雅黑" w:eastAsia="微软雅黑" w:hAnsi="微软雅黑" w:cs="宋体"/>
          <w:kern w:val="0"/>
          <w:sz w:val="24"/>
          <w:szCs w:val="24"/>
        </w:rPr>
        <w:t>HER2富集型乳腺癌中通常保持稳定，而约20%的三阴性乳腺癌（TNBC）缺乏功能性Rb蛋白，这使得CDK4/6抑制剂的应用更具挑战性；然而，管腔雄激素受体（LAR）亚组（TNBC的一个亚型）可能对CDK4/6通路抑制敏感，这归因于雄激素受体（AR）表达与</w:t>
      </w:r>
      <w:r w:rsidRPr="001063B2">
        <w:rPr>
          <w:rFonts w:ascii="微软雅黑" w:eastAsia="微软雅黑" w:hAnsi="微软雅黑" w:cs="宋体"/>
          <w:i/>
          <w:iCs/>
          <w:kern w:val="0"/>
          <w:sz w:val="24"/>
          <w:szCs w:val="24"/>
        </w:rPr>
        <w:t>RB1</w:t>
      </w:r>
      <w:r w:rsidRPr="001063B2">
        <w:rPr>
          <w:rFonts w:ascii="微软雅黑" w:eastAsia="微软雅黑" w:hAnsi="微软雅黑" w:cs="宋体"/>
          <w:kern w:val="0"/>
          <w:sz w:val="24"/>
          <w:szCs w:val="24"/>
        </w:rPr>
        <w:t>表达的关联[ </w:t>
      </w:r>
      <w:hyperlink r:id="rId30" w:anchor="B4-ijms-21-06479" w:history="1">
        <w:r w:rsidRPr="001063B2">
          <w:rPr>
            <w:rFonts w:ascii="微软雅黑" w:eastAsia="微软雅黑" w:hAnsi="微软雅黑" w:cs="宋体"/>
            <w:kern w:val="0"/>
            <w:sz w:val="24"/>
            <w:szCs w:val="24"/>
            <w:u w:val="single"/>
          </w:rPr>
          <w:t>4</w:t>
        </w:r>
      </w:hyperlink>
      <w:r w:rsidRPr="001063B2">
        <w:rPr>
          <w:rFonts w:ascii="微软雅黑" w:eastAsia="微软雅黑" w:hAnsi="微软雅黑" w:cs="宋体"/>
          <w:kern w:val="0"/>
          <w:sz w:val="24"/>
          <w:szCs w:val="24"/>
        </w:rPr>
        <w:t> , </w:t>
      </w:r>
      <w:hyperlink r:id="rId31" w:anchor="B22-ijms-21-06479" w:history="1">
        <w:r w:rsidRPr="001063B2">
          <w:rPr>
            <w:rFonts w:ascii="微软雅黑" w:eastAsia="微软雅黑" w:hAnsi="微软雅黑" w:cs="宋体"/>
            <w:kern w:val="0"/>
            <w:sz w:val="24"/>
            <w:szCs w:val="24"/>
            <w:u w:val="single"/>
          </w:rPr>
          <w:t>22</w:t>
        </w:r>
      </w:hyperlink>
      <w:r w:rsidRPr="001063B2">
        <w:rPr>
          <w:rFonts w:ascii="微软雅黑" w:eastAsia="微软雅黑" w:hAnsi="微软雅黑" w:cs="宋体"/>
          <w:kern w:val="0"/>
          <w:sz w:val="24"/>
          <w:szCs w:val="24"/>
        </w:rPr>
        <w:t> ]。</w:t>
      </w:r>
    </w:p>
    <w:p w14:paraId="2C149D9E" w14:textId="77777777" w:rsidR="001063B2" w:rsidRPr="001063B2" w:rsidRDefault="001063B2" w:rsidP="001063B2">
      <w:pPr>
        <w:widowControl/>
        <w:spacing w:before="450"/>
        <w:rPr>
          <w:rFonts w:ascii="微软雅黑" w:eastAsia="微软雅黑" w:hAnsi="微软雅黑" w:cs="宋体"/>
          <w:kern w:val="0"/>
          <w:sz w:val="24"/>
          <w:szCs w:val="24"/>
        </w:rPr>
      </w:pPr>
      <w:proofErr w:type="gramStart"/>
      <w:r w:rsidRPr="001063B2">
        <w:rPr>
          <w:rFonts w:ascii="微软雅黑" w:eastAsia="微软雅黑" w:hAnsi="微软雅黑" w:cs="宋体"/>
          <w:kern w:val="0"/>
          <w:sz w:val="24"/>
          <w:szCs w:val="24"/>
        </w:rPr>
        <w:t>管腔型肿瘤</w:t>
      </w:r>
      <w:proofErr w:type="gramEnd"/>
      <w:r w:rsidRPr="001063B2">
        <w:rPr>
          <w:rFonts w:ascii="微软雅黑" w:eastAsia="微软雅黑" w:hAnsi="微软雅黑" w:cs="宋体"/>
          <w:kern w:val="0"/>
          <w:sz w:val="24"/>
          <w:szCs w:val="24"/>
        </w:rPr>
        <w:t>通常以细胞周期蛋白D表达增强为特征，这是由于雌激素受体激活后直接与</w:t>
      </w:r>
      <w:r w:rsidRPr="001063B2">
        <w:rPr>
          <w:rFonts w:ascii="微软雅黑" w:eastAsia="微软雅黑" w:hAnsi="微软雅黑" w:cs="宋体"/>
          <w:i/>
          <w:iCs/>
          <w:kern w:val="0"/>
          <w:sz w:val="24"/>
          <w:szCs w:val="24"/>
        </w:rPr>
        <w:t>CCND1</w:t>
      </w:r>
      <w:r w:rsidRPr="001063B2">
        <w:rPr>
          <w:rFonts w:ascii="微软雅黑" w:eastAsia="微软雅黑" w:hAnsi="微软雅黑" w:cs="宋体"/>
          <w:kern w:val="0"/>
          <w:sz w:val="24"/>
          <w:szCs w:val="24"/>
        </w:rPr>
        <w:t>启动子结合，增强细胞周期蛋白D1的表达并调节有丝分裂过程[ </w:t>
      </w:r>
      <w:hyperlink r:id="rId32" w:anchor="B23-ijms-21-06479" w:history="1">
        <w:r w:rsidRPr="001063B2">
          <w:rPr>
            <w:rFonts w:ascii="微软雅黑" w:eastAsia="微软雅黑" w:hAnsi="微软雅黑" w:cs="宋体"/>
            <w:kern w:val="0"/>
            <w:sz w:val="24"/>
            <w:szCs w:val="24"/>
            <w:u w:val="single"/>
          </w:rPr>
          <w:t>23</w:t>
        </w:r>
      </w:hyperlink>
      <w:r w:rsidRPr="001063B2">
        <w:rPr>
          <w:rFonts w:ascii="微软雅黑" w:eastAsia="微软雅黑" w:hAnsi="微软雅黑" w:cs="宋体"/>
          <w:kern w:val="0"/>
          <w:sz w:val="24"/>
          <w:szCs w:val="24"/>
        </w:rPr>
        <w:t> , </w:t>
      </w:r>
      <w:hyperlink r:id="rId33" w:anchor="B24-ijms-21-06479" w:history="1">
        <w:r w:rsidRPr="001063B2">
          <w:rPr>
            <w:rFonts w:ascii="微软雅黑" w:eastAsia="微软雅黑" w:hAnsi="微软雅黑" w:cs="宋体"/>
            <w:kern w:val="0"/>
            <w:sz w:val="24"/>
            <w:szCs w:val="24"/>
            <w:u w:val="single"/>
          </w:rPr>
          <w:t>24</w:t>
        </w:r>
      </w:hyperlink>
      <w:r w:rsidRPr="001063B2">
        <w:rPr>
          <w:rFonts w:ascii="微软雅黑" w:eastAsia="微软雅黑" w:hAnsi="微软雅黑" w:cs="宋体"/>
          <w:kern w:val="0"/>
          <w:sz w:val="24"/>
          <w:szCs w:val="24"/>
        </w:rPr>
        <w:t> ]。此外，RAS-RAF-MEK-ERK通路和HER2-PI3K-AKT轴在调节细胞周期蛋白D1表达中也发挥着重要作用[ </w:t>
      </w:r>
      <w:hyperlink r:id="rId34" w:anchor="B25-ijms-21-06479" w:history="1">
        <w:r w:rsidRPr="001063B2">
          <w:rPr>
            <w:rFonts w:ascii="微软雅黑" w:eastAsia="微软雅黑" w:hAnsi="微软雅黑" w:cs="宋体"/>
            <w:kern w:val="0"/>
            <w:sz w:val="24"/>
            <w:szCs w:val="24"/>
            <w:u w:val="single"/>
          </w:rPr>
          <w:t>25</w:t>
        </w:r>
      </w:hyperlink>
      <w:r w:rsidRPr="001063B2">
        <w:rPr>
          <w:rFonts w:ascii="微软雅黑" w:eastAsia="微软雅黑" w:hAnsi="微软雅黑" w:cs="宋体"/>
          <w:kern w:val="0"/>
          <w:sz w:val="24"/>
          <w:szCs w:val="24"/>
        </w:rPr>
        <w:t> , </w:t>
      </w:r>
      <w:hyperlink r:id="rId35" w:anchor="B26-ijms-21-06479" w:history="1">
        <w:r w:rsidRPr="001063B2">
          <w:rPr>
            <w:rFonts w:ascii="微软雅黑" w:eastAsia="微软雅黑" w:hAnsi="微软雅黑" w:cs="宋体"/>
            <w:kern w:val="0"/>
            <w:sz w:val="24"/>
            <w:szCs w:val="24"/>
            <w:u w:val="single"/>
          </w:rPr>
          <w:t>26</w:t>
        </w:r>
      </w:hyperlink>
      <w:r w:rsidRPr="001063B2">
        <w:rPr>
          <w:rFonts w:ascii="微软雅黑" w:eastAsia="微软雅黑" w:hAnsi="微软雅黑" w:cs="宋体"/>
          <w:kern w:val="0"/>
          <w:sz w:val="24"/>
          <w:szCs w:val="24"/>
        </w:rPr>
        <w:t> ]。</w:t>
      </w:r>
    </w:p>
    <w:p w14:paraId="2DEF80F4"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由于细胞周期蛋白D和CDK4/6在细胞周期调控中发挥协同作用，该通路成为开发治疗策略的理想靶点。在此背景下，CDK4/6抑制剂的研发成为最引人瞩目的发现，因为它能够在保持可耐受毒性的同时，有效对抗癌细胞的脆弱性。</w:t>
      </w:r>
    </w:p>
    <w:p w14:paraId="5832E037" w14:textId="77777777" w:rsidR="001063B2" w:rsidRPr="001063B2" w:rsidRDefault="001063B2" w:rsidP="001063B2">
      <w:pPr>
        <w:widowControl/>
        <w:pBdr>
          <w:bottom w:val="single" w:sz="6" w:space="0" w:color="97B1C8"/>
        </w:pBdr>
        <w:spacing w:line="450" w:lineRule="atLeast"/>
        <w:outlineLvl w:val="1"/>
        <w:rPr>
          <w:rFonts w:ascii="微软雅黑" w:eastAsia="微软雅黑" w:hAnsi="微软雅黑" w:cs="宋体"/>
          <w:kern w:val="0"/>
          <w:sz w:val="34"/>
          <w:szCs w:val="34"/>
        </w:rPr>
      </w:pPr>
      <w:r w:rsidRPr="001063B2">
        <w:rPr>
          <w:rFonts w:ascii="微软雅黑" w:eastAsia="微软雅黑" w:hAnsi="微软雅黑" w:cs="宋体"/>
          <w:kern w:val="0"/>
          <w:sz w:val="34"/>
          <w:szCs w:val="34"/>
        </w:rPr>
        <w:lastRenderedPageBreak/>
        <w:t>3. CDK4/6抑制剂的药理活性</w:t>
      </w:r>
    </w:p>
    <w:p w14:paraId="32D07413"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近年来，已研发出多代 CDK 抑制剂药物。第一代 CDK 靶向药物（</w:t>
      </w:r>
      <w:proofErr w:type="spellStart"/>
      <w:r w:rsidRPr="001063B2">
        <w:rPr>
          <w:rFonts w:ascii="微软雅黑" w:eastAsia="微软雅黑" w:hAnsi="微软雅黑" w:cs="宋体"/>
          <w:kern w:val="0"/>
          <w:sz w:val="24"/>
          <w:szCs w:val="24"/>
        </w:rPr>
        <w:t>flavopiridol</w:t>
      </w:r>
      <w:proofErr w:type="spellEnd"/>
      <w:r w:rsidRPr="001063B2">
        <w:rPr>
          <w:rFonts w:ascii="微软雅黑" w:eastAsia="微软雅黑" w:hAnsi="微软雅黑" w:cs="宋体"/>
          <w:kern w:val="0"/>
          <w:sz w:val="24"/>
          <w:szCs w:val="24"/>
        </w:rPr>
        <w:t>、</w:t>
      </w:r>
      <w:proofErr w:type="spellStart"/>
      <w:r w:rsidRPr="001063B2">
        <w:rPr>
          <w:rFonts w:ascii="微软雅黑" w:eastAsia="微软雅黑" w:hAnsi="微软雅黑" w:cs="宋体"/>
          <w:kern w:val="0"/>
          <w:sz w:val="24"/>
          <w:szCs w:val="24"/>
        </w:rPr>
        <w:t>roscovitine</w:t>
      </w:r>
      <w:proofErr w:type="spellEnd"/>
      <w:r w:rsidRPr="001063B2">
        <w:rPr>
          <w:rFonts w:ascii="微软雅黑" w:eastAsia="微软雅黑" w:hAnsi="微软雅黑" w:cs="宋体"/>
          <w:kern w:val="0"/>
          <w:sz w:val="24"/>
          <w:szCs w:val="24"/>
        </w:rPr>
        <w:t>、</w:t>
      </w:r>
      <w:proofErr w:type="spellStart"/>
      <w:r w:rsidRPr="001063B2">
        <w:rPr>
          <w:rFonts w:ascii="微软雅黑" w:eastAsia="微软雅黑" w:hAnsi="微软雅黑" w:cs="宋体"/>
          <w:kern w:val="0"/>
          <w:sz w:val="24"/>
          <w:szCs w:val="24"/>
        </w:rPr>
        <w:t>olomucine</w:t>
      </w:r>
      <w:proofErr w:type="spellEnd"/>
      <w:r w:rsidRPr="001063B2">
        <w:rPr>
          <w:rFonts w:ascii="微软雅黑" w:eastAsia="微软雅黑" w:hAnsi="微软雅黑" w:cs="宋体"/>
          <w:kern w:val="0"/>
          <w:sz w:val="24"/>
          <w:szCs w:val="24"/>
        </w:rPr>
        <w:t>）为非选择性泛抑制剂，临床试验结果不佳。第二代 CDK 靶向药物（dinaciclib、AT7519、R547、SNS-032、BMS-387032、AZD5438、AG-024322）在 I/II 期临床试验中显示出较高的毒性，这主要是由于其作用机制不明确、特异性低以及 CDK 家族选择性不佳所致[ </w:t>
      </w:r>
      <w:hyperlink r:id="rId36" w:anchor="B27-ijms-21-06479" w:history="1">
        <w:r w:rsidRPr="001063B2">
          <w:rPr>
            <w:rFonts w:ascii="微软雅黑" w:eastAsia="微软雅黑" w:hAnsi="微软雅黑" w:cs="宋体"/>
            <w:kern w:val="0"/>
            <w:sz w:val="24"/>
            <w:szCs w:val="24"/>
            <w:u w:val="single"/>
          </w:rPr>
          <w:t>27</w:t>
        </w:r>
      </w:hyperlink>
      <w:r w:rsidRPr="001063B2">
        <w:rPr>
          <w:rFonts w:ascii="微软雅黑" w:eastAsia="微软雅黑" w:hAnsi="微软雅黑" w:cs="宋体"/>
          <w:kern w:val="0"/>
          <w:sz w:val="24"/>
          <w:szCs w:val="24"/>
        </w:rPr>
        <w:t> ]。</w:t>
      </w:r>
    </w:p>
    <w:p w14:paraId="0201CB6E"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第三代 CDK 靶</w:t>
      </w:r>
      <w:proofErr w:type="gramStart"/>
      <w:r w:rsidRPr="001063B2">
        <w:rPr>
          <w:rFonts w:ascii="微软雅黑" w:eastAsia="微软雅黑" w:hAnsi="微软雅黑" w:cs="宋体"/>
          <w:kern w:val="0"/>
          <w:sz w:val="24"/>
          <w:szCs w:val="24"/>
        </w:rPr>
        <w:t>向药物</w:t>
      </w:r>
      <w:proofErr w:type="gramEnd"/>
      <w:r w:rsidRPr="001063B2">
        <w:rPr>
          <w:rFonts w:ascii="微软雅黑" w:eastAsia="微软雅黑" w:hAnsi="微软雅黑" w:cs="宋体"/>
          <w:kern w:val="0"/>
          <w:sz w:val="24"/>
          <w:szCs w:val="24"/>
        </w:rPr>
        <w:t>的研发旨在选择性抑制 CDK4/6 激酶。特别是，三种 CDK4/6 抑制剂，即帕博西尼 (</w:t>
      </w:r>
      <w:proofErr w:type="spellStart"/>
      <w:r w:rsidRPr="001063B2">
        <w:rPr>
          <w:rFonts w:ascii="微软雅黑" w:eastAsia="微软雅黑" w:hAnsi="微软雅黑" w:cs="宋体"/>
          <w:kern w:val="0"/>
          <w:sz w:val="24"/>
          <w:szCs w:val="24"/>
        </w:rPr>
        <w:t>palbociclib</w:t>
      </w:r>
      <w:proofErr w:type="spellEnd"/>
      <w:r w:rsidRPr="001063B2">
        <w:rPr>
          <w:rFonts w:ascii="微软雅黑" w:eastAsia="微软雅黑" w:hAnsi="微软雅黑" w:cs="宋体"/>
          <w:kern w:val="0"/>
          <w:sz w:val="24"/>
          <w:szCs w:val="24"/>
        </w:rPr>
        <w:t>)、瑞博西尼 (</w:t>
      </w:r>
      <w:proofErr w:type="spellStart"/>
      <w:r w:rsidRPr="001063B2">
        <w:rPr>
          <w:rFonts w:ascii="微软雅黑" w:eastAsia="微软雅黑" w:hAnsi="微软雅黑" w:cs="宋体"/>
          <w:kern w:val="0"/>
          <w:sz w:val="24"/>
          <w:szCs w:val="24"/>
        </w:rPr>
        <w:t>ribociclib</w:t>
      </w:r>
      <w:proofErr w:type="spellEnd"/>
      <w:r w:rsidRPr="001063B2">
        <w:rPr>
          <w:rFonts w:ascii="微软雅黑" w:eastAsia="微软雅黑" w:hAnsi="微软雅黑" w:cs="宋体"/>
          <w:kern w:val="0"/>
          <w:sz w:val="24"/>
          <w:szCs w:val="24"/>
        </w:rPr>
        <w:t>) 和阿贝西利 (</w:t>
      </w:r>
      <w:proofErr w:type="spellStart"/>
      <w:r w:rsidRPr="001063B2">
        <w:rPr>
          <w:rFonts w:ascii="微软雅黑" w:eastAsia="微软雅黑" w:hAnsi="微软雅黑" w:cs="宋体"/>
          <w:kern w:val="0"/>
          <w:sz w:val="24"/>
          <w:szCs w:val="24"/>
        </w:rPr>
        <w:t>abemaciclib</w:t>
      </w:r>
      <w:proofErr w:type="spellEnd"/>
      <w:r w:rsidRPr="001063B2">
        <w:rPr>
          <w:rFonts w:ascii="微软雅黑" w:eastAsia="微软雅黑" w:hAnsi="微软雅黑" w:cs="宋体"/>
          <w:kern w:val="0"/>
          <w:sz w:val="24"/>
          <w:szCs w:val="24"/>
        </w:rPr>
        <w:t>)，已在临床试验中证实对乳腺癌患者有效且毒性可耐受 [ </w:t>
      </w:r>
      <w:hyperlink r:id="rId37" w:anchor="B28-ijms-21-06479" w:history="1">
        <w:r w:rsidRPr="001063B2">
          <w:rPr>
            <w:rFonts w:ascii="微软雅黑" w:eastAsia="微软雅黑" w:hAnsi="微软雅黑" w:cs="宋体"/>
            <w:kern w:val="0"/>
            <w:sz w:val="24"/>
            <w:szCs w:val="24"/>
            <w:u w:val="single"/>
          </w:rPr>
          <w:t>28</w:t>
        </w:r>
      </w:hyperlink>
      <w:r w:rsidRPr="001063B2">
        <w:rPr>
          <w:rFonts w:ascii="微软雅黑" w:eastAsia="微软雅黑" w:hAnsi="微软雅黑" w:cs="宋体"/>
          <w:kern w:val="0"/>
          <w:sz w:val="24"/>
          <w:szCs w:val="24"/>
        </w:rPr>
        <w:t xml:space="preserve"> ]。帕博西尼、瑞博西尼和阿贝西利是口服生物利用度高、选择性强的 CDK4/6 小分子抑制剂。帕博西尼对 CDK4/细胞周期蛋白 D1 激酶具有选择性活性，IC50 值为 0.011 </w:t>
      </w:r>
      <w:proofErr w:type="spellStart"/>
      <w:r w:rsidRPr="001063B2">
        <w:rPr>
          <w:rFonts w:ascii="微软雅黑" w:eastAsia="微软雅黑" w:hAnsi="微软雅黑" w:cs="宋体"/>
          <w:kern w:val="0"/>
          <w:sz w:val="24"/>
          <w:szCs w:val="24"/>
        </w:rPr>
        <w:t>μmol</w:t>
      </w:r>
      <w:proofErr w:type="spellEnd"/>
      <w:r w:rsidRPr="001063B2">
        <w:rPr>
          <w:rFonts w:ascii="微软雅黑" w:eastAsia="微软雅黑" w:hAnsi="微软雅黑" w:cs="宋体"/>
          <w:kern w:val="0"/>
          <w:sz w:val="24"/>
          <w:szCs w:val="24"/>
        </w:rPr>
        <w:t xml:space="preserve">/L，对包括其他 CDK 和多种酪氨酸激酶和丝氨酸/苏氨酸激酶在内的 274 </w:t>
      </w:r>
      <w:proofErr w:type="gramStart"/>
      <w:r w:rsidRPr="001063B2">
        <w:rPr>
          <w:rFonts w:ascii="微软雅黑" w:eastAsia="微软雅黑" w:hAnsi="微软雅黑" w:cs="宋体"/>
          <w:kern w:val="0"/>
          <w:sz w:val="24"/>
          <w:szCs w:val="24"/>
        </w:rPr>
        <w:t>种其他</w:t>
      </w:r>
      <w:proofErr w:type="gramEnd"/>
      <w:r w:rsidRPr="001063B2">
        <w:rPr>
          <w:rFonts w:ascii="微软雅黑" w:eastAsia="微软雅黑" w:hAnsi="微软雅黑" w:cs="宋体"/>
          <w:kern w:val="0"/>
          <w:sz w:val="24"/>
          <w:szCs w:val="24"/>
        </w:rPr>
        <w:t>蛋白激酶几乎没有活性 [ </w:t>
      </w:r>
      <w:hyperlink r:id="rId38" w:anchor="B29-ijms-21-06479" w:history="1">
        <w:r w:rsidRPr="001063B2">
          <w:rPr>
            <w:rFonts w:ascii="微软雅黑" w:eastAsia="微软雅黑" w:hAnsi="微软雅黑" w:cs="宋体"/>
            <w:kern w:val="0"/>
            <w:sz w:val="24"/>
            <w:szCs w:val="24"/>
            <w:u w:val="single"/>
          </w:rPr>
          <w:t>29</w:t>
        </w:r>
      </w:hyperlink>
      <w:r w:rsidRPr="001063B2">
        <w:rPr>
          <w:rFonts w:ascii="微软雅黑" w:eastAsia="微软雅黑" w:hAnsi="微软雅黑" w:cs="宋体"/>
          <w:kern w:val="0"/>
          <w:sz w:val="24"/>
          <w:szCs w:val="24"/>
        </w:rPr>
        <w:t> ]。瑞博西尼（</w:t>
      </w:r>
      <w:proofErr w:type="spellStart"/>
      <w:r w:rsidRPr="001063B2">
        <w:rPr>
          <w:rFonts w:ascii="微软雅黑" w:eastAsia="微软雅黑" w:hAnsi="微软雅黑" w:cs="宋体"/>
          <w:kern w:val="0"/>
          <w:sz w:val="24"/>
          <w:szCs w:val="24"/>
        </w:rPr>
        <w:t>Ribociclib</w:t>
      </w:r>
      <w:proofErr w:type="spellEnd"/>
      <w:r w:rsidRPr="001063B2">
        <w:rPr>
          <w:rFonts w:ascii="微软雅黑" w:eastAsia="微软雅黑" w:hAnsi="微软雅黑" w:cs="宋体"/>
          <w:kern w:val="0"/>
          <w:sz w:val="24"/>
          <w:szCs w:val="24"/>
        </w:rPr>
        <w:t xml:space="preserve">）在生化实验中分别以0.01 </w:t>
      </w:r>
      <w:proofErr w:type="spellStart"/>
      <w:r w:rsidRPr="001063B2">
        <w:rPr>
          <w:rFonts w:ascii="微软雅黑" w:eastAsia="微软雅黑" w:hAnsi="微软雅黑" w:cs="宋体"/>
          <w:kern w:val="0"/>
          <w:sz w:val="24"/>
          <w:szCs w:val="24"/>
        </w:rPr>
        <w:t>μM</w:t>
      </w:r>
      <w:proofErr w:type="spellEnd"/>
      <w:r w:rsidRPr="001063B2">
        <w:rPr>
          <w:rFonts w:ascii="微软雅黑" w:eastAsia="微软雅黑" w:hAnsi="微软雅黑" w:cs="宋体"/>
          <w:kern w:val="0"/>
          <w:sz w:val="24"/>
          <w:szCs w:val="24"/>
        </w:rPr>
        <w:t xml:space="preserve">和0.039 </w:t>
      </w:r>
      <w:proofErr w:type="spellStart"/>
      <w:r w:rsidRPr="001063B2">
        <w:rPr>
          <w:rFonts w:ascii="微软雅黑" w:eastAsia="微软雅黑" w:hAnsi="微软雅黑" w:cs="宋体"/>
          <w:kern w:val="0"/>
          <w:sz w:val="24"/>
          <w:szCs w:val="24"/>
        </w:rPr>
        <w:t>μM</w:t>
      </w:r>
      <w:proofErr w:type="spellEnd"/>
      <w:r w:rsidRPr="001063B2">
        <w:rPr>
          <w:rFonts w:ascii="微软雅黑" w:eastAsia="微软雅黑" w:hAnsi="微软雅黑" w:cs="宋体"/>
          <w:kern w:val="0"/>
          <w:sz w:val="24"/>
          <w:szCs w:val="24"/>
        </w:rPr>
        <w:t>的IC50值抑制CDK4/cyclin D1和CDK6/cyclin D3酶复合物，同时对CDK4/6相对于其他细胞周期蛋白依赖性激酶表现出高度选择性。阿贝西利甲磺酸盐（LSN2813542）对CDK4、CDK6和</w:t>
      </w:r>
      <w:proofErr w:type="spellStart"/>
      <w:r w:rsidRPr="001063B2">
        <w:rPr>
          <w:rFonts w:ascii="微软雅黑" w:eastAsia="微软雅黑" w:hAnsi="微软雅黑" w:cs="宋体"/>
          <w:kern w:val="0"/>
          <w:sz w:val="24"/>
          <w:szCs w:val="24"/>
        </w:rPr>
        <w:t>pRb</w:t>
      </w:r>
      <w:proofErr w:type="spellEnd"/>
      <w:r w:rsidRPr="001063B2">
        <w:rPr>
          <w:rFonts w:ascii="微软雅黑" w:eastAsia="微软雅黑" w:hAnsi="微软雅黑" w:cs="宋体"/>
          <w:kern w:val="0"/>
          <w:sz w:val="24"/>
          <w:szCs w:val="24"/>
        </w:rPr>
        <w:t xml:space="preserve">磷酸化的抑制IC50值分别为1.6 </w:t>
      </w:r>
      <w:proofErr w:type="spellStart"/>
      <w:r w:rsidRPr="001063B2">
        <w:rPr>
          <w:rFonts w:ascii="微软雅黑" w:eastAsia="微软雅黑" w:hAnsi="微软雅黑" w:cs="宋体"/>
          <w:kern w:val="0"/>
          <w:sz w:val="24"/>
          <w:szCs w:val="24"/>
        </w:rPr>
        <w:t>nM</w:t>
      </w:r>
      <w:proofErr w:type="spellEnd"/>
      <w:r w:rsidRPr="001063B2">
        <w:rPr>
          <w:rFonts w:ascii="微软雅黑" w:eastAsia="微软雅黑" w:hAnsi="微软雅黑" w:cs="宋体"/>
          <w:kern w:val="0"/>
          <w:sz w:val="24"/>
          <w:szCs w:val="24"/>
        </w:rPr>
        <w:t xml:space="preserve">、2.0 </w:t>
      </w:r>
      <w:proofErr w:type="spellStart"/>
      <w:r w:rsidRPr="001063B2">
        <w:rPr>
          <w:rFonts w:ascii="微软雅黑" w:eastAsia="微软雅黑" w:hAnsi="微软雅黑" w:cs="宋体"/>
          <w:kern w:val="0"/>
          <w:sz w:val="24"/>
          <w:szCs w:val="24"/>
        </w:rPr>
        <w:t>nM</w:t>
      </w:r>
      <w:proofErr w:type="spellEnd"/>
      <w:r w:rsidRPr="001063B2">
        <w:rPr>
          <w:rFonts w:ascii="微软雅黑" w:eastAsia="微软雅黑" w:hAnsi="微软雅黑" w:cs="宋体"/>
          <w:kern w:val="0"/>
          <w:sz w:val="24"/>
          <w:szCs w:val="24"/>
        </w:rPr>
        <w:t xml:space="preserve">和180 </w:t>
      </w:r>
      <w:proofErr w:type="spellStart"/>
      <w:r w:rsidRPr="001063B2">
        <w:rPr>
          <w:rFonts w:ascii="微软雅黑" w:eastAsia="微软雅黑" w:hAnsi="微软雅黑" w:cs="宋体"/>
          <w:kern w:val="0"/>
          <w:sz w:val="24"/>
          <w:szCs w:val="24"/>
        </w:rPr>
        <w:t>nM</w:t>
      </w:r>
      <w:proofErr w:type="spellEnd"/>
      <w:r w:rsidRPr="001063B2">
        <w:rPr>
          <w:rFonts w:ascii="微软雅黑" w:eastAsia="微软雅黑" w:hAnsi="微软雅黑" w:cs="宋体"/>
          <w:kern w:val="0"/>
          <w:sz w:val="24"/>
          <w:szCs w:val="24"/>
        </w:rPr>
        <w:t xml:space="preserve"> [ </w:t>
      </w:r>
      <w:hyperlink r:id="rId39" w:anchor="B30-ijms-21-06479" w:history="1">
        <w:r w:rsidRPr="001063B2">
          <w:rPr>
            <w:rFonts w:ascii="微软雅黑" w:eastAsia="微软雅黑" w:hAnsi="微软雅黑" w:cs="宋体"/>
            <w:kern w:val="0"/>
            <w:sz w:val="24"/>
            <w:szCs w:val="24"/>
            <w:u w:val="single"/>
          </w:rPr>
          <w:t>30</w:t>
        </w:r>
      </w:hyperlink>
      <w:r w:rsidRPr="001063B2">
        <w:rPr>
          <w:rFonts w:ascii="微软雅黑" w:eastAsia="微软雅黑" w:hAnsi="微软雅黑" w:cs="宋体"/>
          <w:kern w:val="0"/>
          <w:sz w:val="24"/>
          <w:szCs w:val="24"/>
        </w:rPr>
        <w:t> ]。帕博西尼（Palbociclib）和瑞博西尼具有相似的结构，均经过优化以实现对CDK4/6的高选择性，而阿贝西利具有不同的化学结构，使其能够抑制其他激酶，特别是CDK9，尽管这在细胞模型中并未转化为对CDK9的抑制[ </w:t>
      </w:r>
      <w:hyperlink r:id="rId40" w:anchor="B28-ijms-21-06479" w:history="1">
        <w:r w:rsidRPr="001063B2">
          <w:rPr>
            <w:rFonts w:ascii="微软雅黑" w:eastAsia="微软雅黑" w:hAnsi="微软雅黑" w:cs="宋体"/>
            <w:kern w:val="0"/>
            <w:sz w:val="24"/>
            <w:szCs w:val="24"/>
            <w:u w:val="single"/>
          </w:rPr>
          <w:t>28</w:t>
        </w:r>
      </w:hyperlink>
      <w:r w:rsidRPr="001063B2">
        <w:rPr>
          <w:rFonts w:ascii="微软雅黑" w:eastAsia="微软雅黑" w:hAnsi="微软雅黑" w:cs="宋体"/>
          <w:kern w:val="0"/>
          <w:sz w:val="24"/>
          <w:szCs w:val="24"/>
        </w:rPr>
        <w:t> , </w:t>
      </w:r>
      <w:hyperlink r:id="rId41" w:anchor="B31-ijms-21-06479" w:history="1">
        <w:r w:rsidRPr="001063B2">
          <w:rPr>
            <w:rFonts w:ascii="微软雅黑" w:eastAsia="微软雅黑" w:hAnsi="微软雅黑" w:cs="宋体"/>
            <w:kern w:val="0"/>
            <w:sz w:val="24"/>
            <w:szCs w:val="24"/>
            <w:u w:val="single"/>
          </w:rPr>
          <w:t>31</w:t>
        </w:r>
      </w:hyperlink>
      <w:r w:rsidRPr="001063B2">
        <w:rPr>
          <w:rFonts w:ascii="微软雅黑" w:eastAsia="微软雅黑" w:hAnsi="微软雅黑" w:cs="宋体"/>
          <w:kern w:val="0"/>
          <w:sz w:val="24"/>
          <w:szCs w:val="24"/>
        </w:rPr>
        <w:t> ]。 Chen等人报道，这三种抑制剂对具有</w:t>
      </w:r>
      <w:proofErr w:type="spellStart"/>
      <w:r w:rsidRPr="001063B2">
        <w:rPr>
          <w:rFonts w:ascii="微软雅黑" w:eastAsia="微软雅黑" w:hAnsi="微软雅黑" w:cs="宋体"/>
          <w:kern w:val="0"/>
          <w:sz w:val="24"/>
          <w:szCs w:val="24"/>
        </w:rPr>
        <w:t>pRb</w:t>
      </w:r>
      <w:proofErr w:type="spellEnd"/>
      <w:r w:rsidRPr="001063B2">
        <w:rPr>
          <w:rFonts w:ascii="微软雅黑" w:eastAsia="微软雅黑" w:hAnsi="微软雅黑" w:cs="宋体"/>
          <w:kern w:val="0"/>
          <w:sz w:val="24"/>
          <w:szCs w:val="24"/>
        </w:rPr>
        <w:t>表达能力的细胞增殖抑制作用强度各不相同。</w:t>
      </w:r>
      <w:r w:rsidRPr="001063B2">
        <w:rPr>
          <w:rFonts w:ascii="微软雅黑" w:eastAsia="微软雅黑" w:hAnsi="微软雅黑" w:cs="宋体"/>
          <w:kern w:val="0"/>
          <w:sz w:val="24"/>
          <w:szCs w:val="24"/>
        </w:rPr>
        <w:lastRenderedPageBreak/>
        <w:t>在不同的乳腺癌细胞系中，与</w:t>
      </w:r>
      <w:proofErr w:type="spellStart"/>
      <w:r w:rsidRPr="001063B2">
        <w:rPr>
          <w:rFonts w:ascii="微软雅黑" w:eastAsia="微软雅黑" w:hAnsi="微软雅黑" w:cs="宋体"/>
          <w:kern w:val="0"/>
          <w:sz w:val="24"/>
          <w:szCs w:val="24"/>
        </w:rPr>
        <w:t>Ribociclib</w:t>
      </w:r>
      <w:proofErr w:type="spellEnd"/>
      <w:r w:rsidRPr="001063B2">
        <w:rPr>
          <w:rFonts w:ascii="微软雅黑" w:eastAsia="微软雅黑" w:hAnsi="微软雅黑" w:cs="宋体"/>
          <w:kern w:val="0"/>
          <w:sz w:val="24"/>
          <w:szCs w:val="24"/>
        </w:rPr>
        <w:t>相比，Palbociclib和</w:t>
      </w:r>
      <w:proofErr w:type="spellStart"/>
      <w:r w:rsidRPr="001063B2">
        <w:rPr>
          <w:rFonts w:ascii="微软雅黑" w:eastAsia="微软雅黑" w:hAnsi="微软雅黑" w:cs="宋体"/>
          <w:kern w:val="0"/>
          <w:sz w:val="24"/>
          <w:szCs w:val="24"/>
        </w:rPr>
        <w:t>abemaciclib</w:t>
      </w:r>
      <w:proofErr w:type="spellEnd"/>
      <w:r w:rsidRPr="001063B2">
        <w:rPr>
          <w:rFonts w:ascii="微软雅黑" w:eastAsia="微软雅黑" w:hAnsi="微软雅黑" w:cs="宋体"/>
          <w:kern w:val="0"/>
          <w:sz w:val="24"/>
          <w:szCs w:val="24"/>
        </w:rPr>
        <w:t>对RB蛋白丝氨酸807和丝氨酸780位点的磷酸化抑制作用更强。Palbociclib和</w:t>
      </w:r>
      <w:proofErr w:type="spellStart"/>
      <w:r w:rsidRPr="001063B2">
        <w:rPr>
          <w:rFonts w:ascii="微软雅黑" w:eastAsia="微软雅黑" w:hAnsi="微软雅黑" w:cs="宋体"/>
          <w:kern w:val="0"/>
          <w:sz w:val="24"/>
          <w:szCs w:val="24"/>
        </w:rPr>
        <w:t>Ribociclib</w:t>
      </w:r>
      <w:proofErr w:type="spellEnd"/>
      <w:r w:rsidRPr="001063B2">
        <w:rPr>
          <w:rFonts w:ascii="微软雅黑" w:eastAsia="微软雅黑" w:hAnsi="微软雅黑" w:cs="宋体"/>
          <w:kern w:val="0"/>
          <w:sz w:val="24"/>
          <w:szCs w:val="24"/>
        </w:rPr>
        <w:t>与雌激素受体拮抗</w:t>
      </w:r>
      <w:proofErr w:type="gramStart"/>
      <w:r w:rsidRPr="001063B2">
        <w:rPr>
          <w:rFonts w:ascii="微软雅黑" w:eastAsia="微软雅黑" w:hAnsi="微软雅黑" w:cs="宋体"/>
          <w:kern w:val="0"/>
          <w:sz w:val="24"/>
          <w:szCs w:val="24"/>
        </w:rPr>
        <w:t>剂联合</w:t>
      </w:r>
      <w:proofErr w:type="gramEnd"/>
      <w:r w:rsidRPr="001063B2">
        <w:rPr>
          <w:rFonts w:ascii="微软雅黑" w:eastAsia="微软雅黑" w:hAnsi="微软雅黑" w:cs="宋体"/>
          <w:kern w:val="0"/>
          <w:sz w:val="24"/>
          <w:szCs w:val="24"/>
        </w:rPr>
        <w:t>使用效果尤佳，而</w:t>
      </w:r>
      <w:proofErr w:type="spellStart"/>
      <w:r w:rsidRPr="001063B2">
        <w:rPr>
          <w:rFonts w:ascii="微软雅黑" w:eastAsia="微软雅黑" w:hAnsi="微软雅黑" w:cs="宋体"/>
          <w:kern w:val="0"/>
          <w:sz w:val="24"/>
          <w:szCs w:val="24"/>
        </w:rPr>
        <w:t>abemaciclib</w:t>
      </w:r>
      <w:proofErr w:type="spellEnd"/>
      <w:r w:rsidRPr="001063B2">
        <w:rPr>
          <w:rFonts w:ascii="微软雅黑" w:eastAsia="微软雅黑" w:hAnsi="微软雅黑" w:cs="宋体"/>
          <w:kern w:val="0"/>
          <w:sz w:val="24"/>
          <w:szCs w:val="24"/>
        </w:rPr>
        <w:t>单药治疗也具有显著的活性[ </w:t>
      </w:r>
      <w:hyperlink r:id="rId42" w:anchor="B32-ijms-21-06479" w:history="1">
        <w:r w:rsidRPr="001063B2">
          <w:rPr>
            <w:rFonts w:ascii="微软雅黑" w:eastAsia="微软雅黑" w:hAnsi="微软雅黑" w:cs="宋体"/>
            <w:kern w:val="0"/>
            <w:sz w:val="24"/>
            <w:szCs w:val="24"/>
            <w:u w:val="single"/>
          </w:rPr>
          <w:t>32</w:t>
        </w:r>
      </w:hyperlink>
      <w:r w:rsidRPr="001063B2">
        <w:rPr>
          <w:rFonts w:ascii="微软雅黑" w:eastAsia="微软雅黑" w:hAnsi="微软雅黑" w:cs="宋体"/>
          <w:kern w:val="0"/>
          <w:sz w:val="24"/>
          <w:szCs w:val="24"/>
        </w:rPr>
        <w:t> ]。</w:t>
      </w:r>
    </w:p>
    <w:p w14:paraId="19E5FC3A"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进一步的体外实验证据表明，帕博西尼的抗肿瘤活性对Rb阳性肿瘤具有选择性，因为Rb阴性细胞系，例如MDA-MB-468乳腺癌和DU-145前列腺肿瘤模型，对该化合物无反应[ </w:t>
      </w:r>
      <w:hyperlink r:id="rId43" w:anchor="B33-ijms-21-06479" w:history="1">
        <w:r w:rsidRPr="001063B2">
          <w:rPr>
            <w:rFonts w:ascii="微软雅黑" w:eastAsia="微软雅黑" w:hAnsi="微软雅黑" w:cs="宋体"/>
            <w:kern w:val="0"/>
            <w:sz w:val="24"/>
            <w:szCs w:val="24"/>
            <w:u w:val="single"/>
          </w:rPr>
          <w:t>33</w:t>
        </w:r>
      </w:hyperlink>
      <w:r w:rsidRPr="001063B2">
        <w:rPr>
          <w:rFonts w:ascii="微软雅黑" w:eastAsia="微软雅黑" w:hAnsi="微软雅黑" w:cs="宋体"/>
          <w:kern w:val="0"/>
          <w:sz w:val="24"/>
          <w:szCs w:val="24"/>
        </w:rPr>
        <w:t> , </w:t>
      </w:r>
      <w:hyperlink r:id="rId44" w:anchor="B34-ijms-21-06479" w:history="1">
        <w:r w:rsidRPr="001063B2">
          <w:rPr>
            <w:rFonts w:ascii="微软雅黑" w:eastAsia="微软雅黑" w:hAnsi="微软雅黑" w:cs="宋体"/>
            <w:kern w:val="0"/>
            <w:sz w:val="24"/>
            <w:szCs w:val="24"/>
            <w:u w:val="single"/>
          </w:rPr>
          <w:t>34</w:t>
        </w:r>
      </w:hyperlink>
      <w:r w:rsidRPr="001063B2">
        <w:rPr>
          <w:rFonts w:ascii="微软雅黑" w:eastAsia="微软雅黑" w:hAnsi="微软雅黑" w:cs="宋体"/>
          <w:kern w:val="0"/>
          <w:sz w:val="24"/>
          <w:szCs w:val="24"/>
        </w:rPr>
        <w:t> ]。帕博西尼在体内也表现出强大的抗肿瘤活性，可显著抑制不同类型肿瘤（包括乳腺癌）异种移植瘤的生长[ </w:t>
      </w:r>
      <w:hyperlink r:id="rId45" w:anchor="B28-ijms-21-06479" w:history="1">
        <w:r w:rsidRPr="001063B2">
          <w:rPr>
            <w:rFonts w:ascii="微软雅黑" w:eastAsia="微软雅黑" w:hAnsi="微软雅黑" w:cs="宋体"/>
            <w:kern w:val="0"/>
            <w:sz w:val="24"/>
            <w:szCs w:val="24"/>
            <w:u w:val="single"/>
          </w:rPr>
          <w:t>28</w:t>
        </w:r>
      </w:hyperlink>
      <w:r w:rsidRPr="001063B2">
        <w:rPr>
          <w:rFonts w:ascii="微软雅黑" w:eastAsia="微软雅黑" w:hAnsi="微软雅黑" w:cs="宋体"/>
          <w:kern w:val="0"/>
          <w:sz w:val="24"/>
          <w:szCs w:val="24"/>
        </w:rPr>
        <w:t> , </w:t>
      </w:r>
      <w:hyperlink r:id="rId46" w:anchor="B29-ijms-21-06479" w:history="1">
        <w:r w:rsidRPr="001063B2">
          <w:rPr>
            <w:rFonts w:ascii="微软雅黑" w:eastAsia="微软雅黑" w:hAnsi="微软雅黑" w:cs="宋体"/>
            <w:kern w:val="0"/>
            <w:sz w:val="24"/>
            <w:szCs w:val="24"/>
            <w:u w:val="single"/>
          </w:rPr>
          <w:t>29</w:t>
        </w:r>
      </w:hyperlink>
      <w:r w:rsidRPr="001063B2">
        <w:rPr>
          <w:rFonts w:ascii="微软雅黑" w:eastAsia="微软雅黑" w:hAnsi="微软雅黑" w:cs="宋体"/>
          <w:kern w:val="0"/>
          <w:sz w:val="24"/>
          <w:szCs w:val="24"/>
        </w:rPr>
        <w:t> ]。瑞博西尼已在多种肿瘤异种移植瘤模型中显示出体内抗肿瘤活性，包括乳腺癌、黑色素瘤、神经母细胞瘤、恶性横纹肌样瘤、肺癌、胰腺癌和血液系统恶性肿瘤[ </w:t>
      </w:r>
      <w:hyperlink r:id="rId47" w:anchor="B35-ijms-21-06479" w:history="1">
        <w:r w:rsidRPr="001063B2">
          <w:rPr>
            <w:rFonts w:ascii="微软雅黑" w:eastAsia="微软雅黑" w:hAnsi="微软雅黑" w:cs="宋体"/>
            <w:kern w:val="0"/>
            <w:sz w:val="24"/>
            <w:szCs w:val="24"/>
            <w:u w:val="single"/>
          </w:rPr>
          <w:t>35</w:t>
        </w:r>
      </w:hyperlink>
      <w:r w:rsidRPr="001063B2">
        <w:rPr>
          <w:rFonts w:ascii="微软雅黑" w:eastAsia="微软雅黑" w:hAnsi="微软雅黑" w:cs="宋体"/>
          <w:kern w:val="0"/>
          <w:sz w:val="24"/>
          <w:szCs w:val="24"/>
        </w:rPr>
        <w:t> , </w:t>
      </w:r>
      <w:hyperlink r:id="rId48" w:anchor="B36-ijms-21-06479" w:history="1">
        <w:r w:rsidRPr="001063B2">
          <w:rPr>
            <w:rFonts w:ascii="微软雅黑" w:eastAsia="微软雅黑" w:hAnsi="微软雅黑" w:cs="宋体"/>
            <w:kern w:val="0"/>
            <w:sz w:val="24"/>
            <w:szCs w:val="24"/>
            <w:u w:val="single"/>
          </w:rPr>
          <w:t>36</w:t>
        </w:r>
      </w:hyperlink>
      <w:r w:rsidRPr="001063B2">
        <w:rPr>
          <w:rFonts w:ascii="微软雅黑" w:eastAsia="微软雅黑" w:hAnsi="微软雅黑" w:cs="宋体"/>
          <w:kern w:val="0"/>
          <w:sz w:val="24"/>
          <w:szCs w:val="24"/>
        </w:rPr>
        <w:t> , </w:t>
      </w:r>
      <w:hyperlink r:id="rId49" w:anchor="B37-ijms-21-06479" w:history="1">
        <w:r w:rsidRPr="001063B2">
          <w:rPr>
            <w:rFonts w:ascii="微软雅黑" w:eastAsia="微软雅黑" w:hAnsi="微软雅黑" w:cs="宋体"/>
            <w:kern w:val="0"/>
            <w:sz w:val="24"/>
            <w:szCs w:val="24"/>
            <w:u w:val="single"/>
          </w:rPr>
          <w:t>37</w:t>
        </w:r>
      </w:hyperlink>
      <w:r w:rsidRPr="001063B2">
        <w:rPr>
          <w:rFonts w:ascii="微软雅黑" w:eastAsia="微软雅黑" w:hAnsi="微软雅黑" w:cs="宋体"/>
          <w:kern w:val="0"/>
          <w:sz w:val="24"/>
          <w:szCs w:val="24"/>
        </w:rPr>
        <w:t> , </w:t>
      </w:r>
      <w:hyperlink r:id="rId50" w:anchor="B38-ijms-21-06479" w:history="1">
        <w:r w:rsidRPr="001063B2">
          <w:rPr>
            <w:rFonts w:ascii="微软雅黑" w:eastAsia="微软雅黑" w:hAnsi="微软雅黑" w:cs="宋体"/>
            <w:kern w:val="0"/>
            <w:sz w:val="24"/>
            <w:szCs w:val="24"/>
            <w:u w:val="single"/>
          </w:rPr>
          <w:t>38</w:t>
        </w:r>
      </w:hyperlink>
      <w:r w:rsidRPr="001063B2">
        <w:rPr>
          <w:rFonts w:ascii="微软雅黑" w:eastAsia="微软雅黑" w:hAnsi="微软雅黑" w:cs="宋体"/>
          <w:kern w:val="0"/>
          <w:sz w:val="24"/>
          <w:szCs w:val="24"/>
        </w:rPr>
        <w:t> ]。此外，瑞博西尼与靶</w:t>
      </w:r>
      <w:proofErr w:type="gramStart"/>
      <w:r w:rsidRPr="001063B2">
        <w:rPr>
          <w:rFonts w:ascii="微软雅黑" w:eastAsia="微软雅黑" w:hAnsi="微软雅黑" w:cs="宋体"/>
          <w:kern w:val="0"/>
          <w:sz w:val="24"/>
          <w:szCs w:val="24"/>
        </w:rPr>
        <w:t>向药物</w:t>
      </w:r>
      <w:proofErr w:type="gramEnd"/>
      <w:r w:rsidRPr="001063B2">
        <w:rPr>
          <w:rFonts w:ascii="微软雅黑" w:eastAsia="微软雅黑" w:hAnsi="微软雅黑" w:cs="宋体"/>
          <w:kern w:val="0"/>
          <w:sz w:val="24"/>
          <w:szCs w:val="24"/>
        </w:rPr>
        <w:t>联合使用时，已显示出抗肿瘤活性，这些靶</w:t>
      </w:r>
      <w:proofErr w:type="gramStart"/>
      <w:r w:rsidRPr="001063B2">
        <w:rPr>
          <w:rFonts w:ascii="微软雅黑" w:eastAsia="微软雅黑" w:hAnsi="微软雅黑" w:cs="宋体"/>
          <w:kern w:val="0"/>
          <w:sz w:val="24"/>
          <w:szCs w:val="24"/>
        </w:rPr>
        <w:t>向药物</w:t>
      </w:r>
      <w:proofErr w:type="gramEnd"/>
      <w:r w:rsidRPr="001063B2">
        <w:rPr>
          <w:rFonts w:ascii="微软雅黑" w:eastAsia="微软雅黑" w:hAnsi="微软雅黑" w:cs="宋体"/>
          <w:kern w:val="0"/>
          <w:sz w:val="24"/>
          <w:szCs w:val="24"/>
        </w:rPr>
        <w:t>可抑制已知调节D-细胞周期蛋白水平的信号通路，包括RAF、丝裂原活化蛋白激酶激酶 (MEK)、磷脂酰肌醇3-激酶 (PIK3) 和</w:t>
      </w:r>
      <w:proofErr w:type="gramStart"/>
      <w:r w:rsidRPr="001063B2">
        <w:rPr>
          <w:rFonts w:ascii="微软雅黑" w:eastAsia="微软雅黑" w:hAnsi="微软雅黑" w:cs="宋体"/>
          <w:kern w:val="0"/>
          <w:sz w:val="24"/>
          <w:szCs w:val="24"/>
        </w:rPr>
        <w:t>哺乳动物雷帕霉素</w:t>
      </w:r>
      <w:proofErr w:type="gramEnd"/>
      <w:r w:rsidRPr="001063B2">
        <w:rPr>
          <w:rFonts w:ascii="微软雅黑" w:eastAsia="微软雅黑" w:hAnsi="微软雅黑" w:cs="宋体"/>
          <w:kern w:val="0"/>
          <w:sz w:val="24"/>
          <w:szCs w:val="24"/>
        </w:rPr>
        <w:t>靶蛋白 (mTOR) 通路的抑制剂[ </w:t>
      </w:r>
      <w:hyperlink r:id="rId51" w:anchor="B35-ijms-21-06479" w:history="1">
        <w:r w:rsidRPr="001063B2">
          <w:rPr>
            <w:rFonts w:ascii="微软雅黑" w:eastAsia="微软雅黑" w:hAnsi="微软雅黑" w:cs="宋体"/>
            <w:kern w:val="0"/>
            <w:sz w:val="24"/>
            <w:szCs w:val="24"/>
            <w:u w:val="single"/>
          </w:rPr>
          <w:t>35</w:t>
        </w:r>
      </w:hyperlink>
      <w:r w:rsidRPr="001063B2">
        <w:rPr>
          <w:rFonts w:ascii="微软雅黑" w:eastAsia="微软雅黑" w:hAnsi="微软雅黑" w:cs="宋体"/>
          <w:kern w:val="0"/>
          <w:sz w:val="24"/>
          <w:szCs w:val="24"/>
        </w:rPr>
        <w:t> , </w:t>
      </w:r>
      <w:hyperlink r:id="rId52" w:anchor="B39-ijms-21-06479" w:history="1">
        <w:r w:rsidRPr="001063B2">
          <w:rPr>
            <w:rFonts w:ascii="微软雅黑" w:eastAsia="微软雅黑" w:hAnsi="微软雅黑" w:cs="宋体"/>
            <w:kern w:val="0"/>
            <w:sz w:val="24"/>
            <w:szCs w:val="24"/>
            <w:u w:val="single"/>
          </w:rPr>
          <w:t>39</w:t>
        </w:r>
      </w:hyperlink>
      <w:r w:rsidRPr="001063B2">
        <w:rPr>
          <w:rFonts w:ascii="微软雅黑" w:eastAsia="微软雅黑" w:hAnsi="微软雅黑" w:cs="宋体"/>
          <w:kern w:val="0"/>
          <w:sz w:val="24"/>
          <w:szCs w:val="24"/>
        </w:rPr>
        <w:t> , </w:t>
      </w:r>
      <w:hyperlink r:id="rId53" w:anchor="B40-ijms-21-06479" w:history="1">
        <w:r w:rsidRPr="001063B2">
          <w:rPr>
            <w:rFonts w:ascii="微软雅黑" w:eastAsia="微软雅黑" w:hAnsi="微软雅黑" w:cs="宋体"/>
            <w:kern w:val="0"/>
            <w:sz w:val="24"/>
            <w:szCs w:val="24"/>
            <w:u w:val="single"/>
          </w:rPr>
          <w:t>40</w:t>
        </w:r>
      </w:hyperlink>
      <w:r w:rsidRPr="001063B2">
        <w:rPr>
          <w:rFonts w:ascii="微软雅黑" w:eastAsia="微软雅黑" w:hAnsi="微软雅黑" w:cs="宋体"/>
          <w:kern w:val="0"/>
          <w:sz w:val="24"/>
          <w:szCs w:val="24"/>
        </w:rPr>
        <w:t> ]。在雌激素受体阳性 (ER+) 乳腺癌异种移植模型中，瑞博西尼与内分泌治疗（如来曲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t>和三苯氧胺）联合使用，与单独使用内分泌治疗或瑞博西尼相比，显示出具有统计学意义的显著、强效且持久的抗肿瘤活性[ </w:t>
      </w:r>
      <w:hyperlink r:id="rId54" w:anchor="B41-ijms-21-06479" w:history="1">
        <w:r w:rsidRPr="001063B2">
          <w:rPr>
            <w:rFonts w:ascii="微软雅黑" w:eastAsia="微软雅黑" w:hAnsi="微软雅黑" w:cs="宋体"/>
            <w:kern w:val="0"/>
            <w:sz w:val="24"/>
            <w:szCs w:val="24"/>
            <w:u w:val="single"/>
          </w:rPr>
          <w:t>41</w:t>
        </w:r>
      </w:hyperlink>
      <w:r w:rsidRPr="001063B2">
        <w:rPr>
          <w:rFonts w:ascii="微软雅黑" w:eastAsia="微软雅黑" w:hAnsi="微软雅黑" w:cs="宋体"/>
          <w:kern w:val="0"/>
          <w:sz w:val="24"/>
          <w:szCs w:val="24"/>
        </w:rPr>
        <w:t> ]。阿贝西利甲磺酸盐在多种人类癌症小鼠异种移植模型中均显示出显著的肿瘤生长抑制作用，例如Colo-205（结直肠癌）、NCI-H460（非小细胞肺癌）、U87 MG（胶质母细胞瘤）和JeKo-1（套细胞淋巴瘤），这些模型均以功能性Rb肿瘤抑制蛋白为特征。生长抑制作用呈</w:t>
      </w:r>
      <w:r w:rsidRPr="001063B2">
        <w:rPr>
          <w:rFonts w:ascii="微软雅黑" w:eastAsia="微软雅黑" w:hAnsi="微软雅黑" w:cs="宋体"/>
          <w:kern w:val="0"/>
          <w:sz w:val="24"/>
          <w:szCs w:val="24"/>
        </w:rPr>
        <w:lastRenderedPageBreak/>
        <w:t>剂量依赖性（每日口服给药21天，剂量范围为15至100 mg/kg），并与</w:t>
      </w:r>
      <w:proofErr w:type="spellStart"/>
      <w:r w:rsidRPr="001063B2">
        <w:rPr>
          <w:rFonts w:ascii="微软雅黑" w:eastAsia="微软雅黑" w:hAnsi="微软雅黑" w:cs="宋体"/>
          <w:kern w:val="0"/>
          <w:sz w:val="24"/>
          <w:szCs w:val="24"/>
        </w:rPr>
        <w:t>pRb</w:t>
      </w:r>
      <w:proofErr w:type="spellEnd"/>
      <w:r w:rsidRPr="001063B2">
        <w:rPr>
          <w:rFonts w:ascii="微软雅黑" w:eastAsia="微软雅黑" w:hAnsi="微软雅黑" w:cs="宋体"/>
          <w:kern w:val="0"/>
          <w:sz w:val="24"/>
          <w:szCs w:val="24"/>
        </w:rPr>
        <w:t>、</w:t>
      </w:r>
      <w:proofErr w:type="spellStart"/>
      <w:r w:rsidRPr="001063B2">
        <w:rPr>
          <w:rFonts w:ascii="微软雅黑" w:eastAsia="微软雅黑" w:hAnsi="微软雅黑" w:cs="宋体"/>
          <w:kern w:val="0"/>
          <w:sz w:val="24"/>
          <w:szCs w:val="24"/>
        </w:rPr>
        <w:t>TopoII</w:t>
      </w:r>
      <w:proofErr w:type="spellEnd"/>
      <w:r w:rsidRPr="001063B2">
        <w:rPr>
          <w:rFonts w:ascii="微软雅黑" w:eastAsia="微软雅黑" w:hAnsi="微软雅黑" w:cs="宋体"/>
          <w:kern w:val="0"/>
          <w:sz w:val="24"/>
          <w:szCs w:val="24"/>
        </w:rPr>
        <w:t>α和pHH3的持续抑制相关[ </w:t>
      </w:r>
      <w:hyperlink r:id="rId55" w:anchor="B31-ijms-21-06479" w:history="1">
        <w:r w:rsidRPr="001063B2">
          <w:rPr>
            <w:rFonts w:ascii="微软雅黑" w:eastAsia="微软雅黑" w:hAnsi="微软雅黑" w:cs="宋体"/>
            <w:kern w:val="0"/>
            <w:sz w:val="24"/>
            <w:szCs w:val="24"/>
            <w:u w:val="single"/>
          </w:rPr>
          <w:t>31</w:t>
        </w:r>
      </w:hyperlink>
      <w:r w:rsidRPr="001063B2">
        <w:rPr>
          <w:rFonts w:ascii="微软雅黑" w:eastAsia="微软雅黑" w:hAnsi="微软雅黑" w:cs="宋体"/>
          <w:kern w:val="0"/>
          <w:sz w:val="24"/>
          <w:szCs w:val="24"/>
        </w:rPr>
        <w:t> , </w:t>
      </w:r>
      <w:hyperlink r:id="rId56" w:anchor="B42-ijms-21-06479" w:history="1">
        <w:r w:rsidRPr="001063B2">
          <w:rPr>
            <w:rFonts w:ascii="微软雅黑" w:eastAsia="微软雅黑" w:hAnsi="微软雅黑" w:cs="宋体"/>
            <w:kern w:val="0"/>
            <w:sz w:val="24"/>
            <w:szCs w:val="24"/>
            <w:u w:val="single"/>
          </w:rPr>
          <w:t>42</w:t>
        </w:r>
      </w:hyperlink>
      <w:r w:rsidRPr="001063B2">
        <w:rPr>
          <w:rFonts w:ascii="微软雅黑" w:eastAsia="微软雅黑" w:hAnsi="微软雅黑" w:cs="宋体"/>
          <w:kern w:val="0"/>
          <w:sz w:val="24"/>
          <w:szCs w:val="24"/>
        </w:rPr>
        <w:t> , </w:t>
      </w:r>
      <w:hyperlink r:id="rId57" w:anchor="B43-ijms-21-06479" w:history="1">
        <w:r w:rsidRPr="001063B2">
          <w:rPr>
            <w:rFonts w:ascii="微软雅黑" w:eastAsia="微软雅黑" w:hAnsi="微软雅黑" w:cs="宋体"/>
            <w:kern w:val="0"/>
            <w:sz w:val="24"/>
            <w:szCs w:val="24"/>
            <w:u w:val="single"/>
          </w:rPr>
          <w:t>43</w:t>
        </w:r>
      </w:hyperlink>
      <w:r w:rsidRPr="001063B2">
        <w:rPr>
          <w:rFonts w:ascii="微软雅黑" w:eastAsia="微软雅黑" w:hAnsi="微软雅黑" w:cs="宋体"/>
          <w:kern w:val="0"/>
          <w:sz w:val="24"/>
          <w:szCs w:val="24"/>
        </w:rPr>
        <w:t> ]。</w:t>
      </w:r>
    </w:p>
    <w:p w14:paraId="2709F891" w14:textId="77777777" w:rsidR="001063B2" w:rsidRPr="001063B2" w:rsidRDefault="001063B2" w:rsidP="001063B2">
      <w:pPr>
        <w:widowControl/>
        <w:pBdr>
          <w:bottom w:val="single" w:sz="6" w:space="0" w:color="97B1C8"/>
        </w:pBdr>
        <w:spacing w:line="450" w:lineRule="atLeast"/>
        <w:outlineLvl w:val="1"/>
        <w:rPr>
          <w:rFonts w:ascii="微软雅黑" w:eastAsia="微软雅黑" w:hAnsi="微软雅黑" w:cs="宋体"/>
          <w:kern w:val="0"/>
          <w:sz w:val="34"/>
          <w:szCs w:val="34"/>
        </w:rPr>
      </w:pPr>
      <w:r w:rsidRPr="001063B2">
        <w:rPr>
          <w:rFonts w:ascii="微软雅黑" w:eastAsia="微软雅黑" w:hAnsi="微软雅黑" w:cs="宋体"/>
          <w:kern w:val="0"/>
          <w:sz w:val="34"/>
          <w:szCs w:val="34"/>
        </w:rPr>
        <w:t>4. CDK4/6抑制剂在HR阳性、HER2阴性转移性乳腺癌中的疗效和安全性</w:t>
      </w:r>
    </w:p>
    <w:p w14:paraId="4491A5B2"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国际治疗指南将 CDK4/6 抑制剂与内分泌治疗联合纳入治疗方案，无论是作为初始治疗还是在内分泌治疗后疾病进展后的治疗，都是过去十年中 HR 阳性、HER2 阴性晚期或转移性乳腺癌治疗领域最重要的进展 [ </w:t>
      </w:r>
      <w:hyperlink r:id="rId58" w:anchor="B44-ijms-21-06479" w:history="1">
        <w:r w:rsidRPr="001063B2">
          <w:rPr>
            <w:rFonts w:ascii="微软雅黑" w:eastAsia="微软雅黑" w:hAnsi="微软雅黑" w:cs="宋体"/>
            <w:kern w:val="0"/>
            <w:sz w:val="24"/>
            <w:szCs w:val="24"/>
            <w:u w:val="single"/>
          </w:rPr>
          <w:t>44</w:t>
        </w:r>
      </w:hyperlink>
      <w:r w:rsidRPr="001063B2">
        <w:rPr>
          <w:rFonts w:ascii="微软雅黑" w:eastAsia="微软雅黑" w:hAnsi="微软雅黑" w:cs="宋体"/>
          <w:kern w:val="0"/>
          <w:sz w:val="24"/>
          <w:szCs w:val="24"/>
        </w:rPr>
        <w:t> , </w:t>
      </w:r>
      <w:hyperlink r:id="rId59" w:anchor="B45-ijms-21-06479" w:history="1">
        <w:r w:rsidRPr="001063B2">
          <w:rPr>
            <w:rFonts w:ascii="微软雅黑" w:eastAsia="微软雅黑" w:hAnsi="微软雅黑" w:cs="宋体"/>
            <w:kern w:val="0"/>
            <w:sz w:val="24"/>
            <w:szCs w:val="24"/>
            <w:u w:val="single"/>
          </w:rPr>
          <w:t>45</w:t>
        </w:r>
      </w:hyperlink>
      <w:r w:rsidRPr="001063B2">
        <w:rPr>
          <w:rFonts w:ascii="微软雅黑" w:eastAsia="微软雅黑" w:hAnsi="微软雅黑" w:cs="宋体"/>
          <w:kern w:val="0"/>
          <w:sz w:val="24"/>
          <w:szCs w:val="24"/>
        </w:rPr>
        <w:t> , </w:t>
      </w:r>
      <w:hyperlink r:id="rId60" w:anchor="B46-ijms-21-06479" w:history="1">
        <w:r w:rsidRPr="001063B2">
          <w:rPr>
            <w:rFonts w:ascii="微软雅黑" w:eastAsia="微软雅黑" w:hAnsi="微软雅黑" w:cs="宋体"/>
            <w:kern w:val="0"/>
            <w:sz w:val="24"/>
            <w:szCs w:val="24"/>
            <w:u w:val="single"/>
          </w:rPr>
          <w:t>46</w:t>
        </w:r>
      </w:hyperlink>
      <w:r w:rsidRPr="001063B2">
        <w:rPr>
          <w:rFonts w:ascii="微软雅黑" w:eastAsia="微软雅黑" w:hAnsi="微软雅黑" w:cs="宋体"/>
          <w:kern w:val="0"/>
          <w:sz w:val="24"/>
          <w:szCs w:val="24"/>
        </w:rPr>
        <w:t> ]。目前，已有三种选择性 CDK4/6 抑制剂（帕博西尼 (PD0332991)、瑞博西尼 (LEE011) 和阿贝西利 (LY2835219)）获得 FDA 和 EMA 批准用于治疗 HR 阳性、HER2 阴性转移性乳腺癌。</w:t>
      </w:r>
    </w:p>
    <w:p w14:paraId="228E8165"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Palbociclib（</w:t>
      </w:r>
      <w:proofErr w:type="spellStart"/>
      <w:r w:rsidRPr="001063B2">
        <w:rPr>
          <w:rFonts w:ascii="微软雅黑" w:eastAsia="微软雅黑" w:hAnsi="微软雅黑" w:cs="宋体"/>
          <w:kern w:val="0"/>
          <w:sz w:val="24"/>
          <w:szCs w:val="24"/>
        </w:rPr>
        <w:t>Ibrance</w:t>
      </w:r>
      <w:proofErr w:type="spellEnd"/>
      <w:r w:rsidRPr="001063B2">
        <w:rPr>
          <w:rFonts w:ascii="微软雅黑" w:eastAsia="微软雅黑" w:hAnsi="微软雅黑" w:cs="宋体"/>
          <w:kern w:val="0"/>
          <w:sz w:val="24"/>
          <w:szCs w:val="24"/>
        </w:rPr>
        <w:t>，辉瑞公司，纽约州纽约市，美国）是首个获得FDA加速批准的CDK4/6抑制剂，于2015年2月获得FDA加速批准，与来曲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联合用于绝经后HR阳性、HER2阴性晚期或转移性乳腺癌女性的一线治疗。该批准基于II</w:t>
      </w:r>
      <w:proofErr w:type="gramStart"/>
      <w:r w:rsidRPr="001063B2">
        <w:rPr>
          <w:rFonts w:ascii="微软雅黑" w:eastAsia="微软雅黑" w:hAnsi="微软雅黑" w:cs="宋体"/>
          <w:kern w:val="0"/>
          <w:sz w:val="24"/>
          <w:szCs w:val="24"/>
        </w:rPr>
        <w:t>期试验</w:t>
      </w:r>
      <w:proofErr w:type="gramEnd"/>
      <w:r w:rsidRPr="001063B2">
        <w:rPr>
          <w:rFonts w:ascii="微软雅黑" w:eastAsia="微软雅黑" w:hAnsi="微软雅黑" w:cs="宋体"/>
          <w:kern w:val="0"/>
          <w:sz w:val="24"/>
          <w:szCs w:val="24"/>
        </w:rPr>
        <w:t>PALOMA-1/TRIO-18的结果，该试验显示，与单独使用来曲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相比，</w:t>
      </w:r>
      <w:proofErr w:type="spellStart"/>
      <w:r w:rsidRPr="001063B2">
        <w:rPr>
          <w:rFonts w:ascii="微软雅黑" w:eastAsia="微软雅黑" w:hAnsi="微软雅黑" w:cs="宋体"/>
          <w:kern w:val="0"/>
          <w:sz w:val="24"/>
          <w:szCs w:val="24"/>
        </w:rPr>
        <w:t>palbociclib</w:t>
      </w:r>
      <w:proofErr w:type="spellEnd"/>
      <w:r w:rsidRPr="001063B2">
        <w:rPr>
          <w:rFonts w:ascii="微软雅黑" w:eastAsia="微软雅黑" w:hAnsi="微软雅黑" w:cs="宋体"/>
          <w:kern w:val="0"/>
          <w:sz w:val="24"/>
          <w:szCs w:val="24"/>
        </w:rPr>
        <w:t>联合来曲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治疗在无进展生存期（PFS）方面具有显著优势（中位PFS为20.2个月，而单药治疗为10.2个月，风险比（HR）为0.49，</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 0.0004）[ </w:t>
      </w:r>
      <w:hyperlink r:id="rId61" w:anchor="B47-ijms-21-06479" w:history="1">
        <w:r w:rsidRPr="001063B2">
          <w:rPr>
            <w:rFonts w:ascii="微软雅黑" w:eastAsia="微软雅黑" w:hAnsi="微软雅黑" w:cs="宋体"/>
            <w:kern w:val="0"/>
            <w:sz w:val="24"/>
            <w:szCs w:val="24"/>
            <w:u w:val="single"/>
          </w:rPr>
          <w:t>47</w:t>
        </w:r>
      </w:hyperlink>
      <w:r w:rsidRPr="001063B2">
        <w:rPr>
          <w:rFonts w:ascii="微软雅黑" w:eastAsia="微软雅黑" w:hAnsi="微软雅黑" w:cs="宋体"/>
          <w:kern w:val="0"/>
          <w:sz w:val="24"/>
          <w:szCs w:val="24"/>
        </w:rPr>
        <w:t> ]。然而，该试验未能显示出类似的具有统计学意义的总生存期（OS）延长，帕博西尼联合来曲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组的中位OS为37.5个月，而安慰剂联合来曲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组为34.5个月（HR 0.897，</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 0.281）[ </w:t>
      </w:r>
      <w:hyperlink r:id="rId62" w:anchor="B48-ijms-21-06479" w:history="1">
        <w:r w:rsidRPr="001063B2">
          <w:rPr>
            <w:rFonts w:ascii="微软雅黑" w:eastAsia="微软雅黑" w:hAnsi="微软雅黑" w:cs="宋体"/>
            <w:kern w:val="0"/>
            <w:sz w:val="24"/>
            <w:szCs w:val="24"/>
            <w:u w:val="single"/>
          </w:rPr>
          <w:t>48</w:t>
        </w:r>
      </w:hyperlink>
      <w:r w:rsidRPr="001063B2">
        <w:rPr>
          <w:rFonts w:ascii="微软雅黑" w:eastAsia="微软雅黑" w:hAnsi="微软雅黑" w:cs="宋体"/>
          <w:kern w:val="0"/>
          <w:sz w:val="24"/>
          <w:szCs w:val="24"/>
        </w:rPr>
        <w:t> ]。这些结果在III期PALOMA-2试验中得到了验证，该试验显示帕博西尼联合来曲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组的最终无进展生存期（PFS）为27.6个月，而来曲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组为14.5个月（HR 0.563，</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&lt; 0.001），临床获益率</w:t>
      </w:r>
      <w:r w:rsidRPr="001063B2">
        <w:rPr>
          <w:rFonts w:ascii="微软雅黑" w:eastAsia="微软雅黑" w:hAnsi="微软雅黑" w:cs="宋体"/>
          <w:kern w:val="0"/>
          <w:sz w:val="24"/>
          <w:szCs w:val="24"/>
        </w:rPr>
        <w:lastRenderedPageBreak/>
        <w:t>（CBR）也从70.3%提高到84.9%（</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&lt; 0.001），帕博西尼组更优[ </w:t>
      </w:r>
      <w:hyperlink r:id="rId63" w:anchor="B49-ijms-21-06479" w:history="1">
        <w:r w:rsidRPr="001063B2">
          <w:rPr>
            <w:rFonts w:ascii="微软雅黑" w:eastAsia="微软雅黑" w:hAnsi="微软雅黑" w:cs="宋体"/>
            <w:kern w:val="0"/>
            <w:sz w:val="24"/>
            <w:szCs w:val="24"/>
            <w:u w:val="single"/>
          </w:rPr>
          <w:t>49</w:t>
        </w:r>
      </w:hyperlink>
      <w:r w:rsidRPr="001063B2">
        <w:rPr>
          <w:rFonts w:ascii="微软雅黑" w:eastAsia="微软雅黑" w:hAnsi="微软雅黑" w:cs="宋体"/>
          <w:kern w:val="0"/>
          <w:sz w:val="24"/>
          <w:szCs w:val="24"/>
        </w:rPr>
        <w:t> , </w:t>
      </w:r>
      <w:hyperlink r:id="rId64" w:anchor="B50-ijms-21-06479" w:history="1">
        <w:r w:rsidRPr="001063B2">
          <w:rPr>
            <w:rFonts w:ascii="微软雅黑" w:eastAsia="微软雅黑" w:hAnsi="微软雅黑" w:cs="宋体"/>
            <w:kern w:val="0"/>
            <w:sz w:val="24"/>
            <w:szCs w:val="24"/>
            <w:u w:val="single"/>
          </w:rPr>
          <w:t>50</w:t>
        </w:r>
      </w:hyperlink>
      <w:r w:rsidRPr="001063B2">
        <w:rPr>
          <w:rFonts w:ascii="微软雅黑" w:eastAsia="微软雅黑" w:hAnsi="微软雅黑" w:cs="宋体"/>
          <w:kern w:val="0"/>
          <w:sz w:val="24"/>
          <w:szCs w:val="24"/>
        </w:rPr>
        <w:t> ]。 PALOMA-3试验的数据随后促使帕博西尼联合</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t>的适应症扩展至治疗绝经后和围绝经期前接受内分泌治疗后疾病进展的女性患者。帕博西尼联合</w:t>
      </w:r>
      <w:proofErr w:type="gramStart"/>
      <w:r w:rsidRPr="001063B2">
        <w:rPr>
          <w:rFonts w:ascii="微软雅黑" w:eastAsia="微软雅黑" w:hAnsi="微软雅黑" w:cs="宋体"/>
          <w:kern w:val="0"/>
          <w:sz w:val="24"/>
          <w:szCs w:val="24"/>
        </w:rPr>
        <w:t>氟维司群显著</w:t>
      </w:r>
      <w:proofErr w:type="gramEnd"/>
      <w:r w:rsidRPr="001063B2">
        <w:rPr>
          <w:rFonts w:ascii="微软雅黑" w:eastAsia="微软雅黑" w:hAnsi="微软雅黑" w:cs="宋体"/>
          <w:kern w:val="0"/>
          <w:sz w:val="24"/>
          <w:szCs w:val="24"/>
        </w:rPr>
        <w:t>延长了无进展生存期（PFS），从4.6个月延长至9.5个月（HR 0.46，</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&lt; 0.001），但总生存期（OS）未见统计学意义上的显著延长（HR 0.81，</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 0.09）[ </w:t>
      </w:r>
      <w:hyperlink r:id="rId65" w:anchor="B51-ijms-21-06479" w:history="1">
        <w:r w:rsidRPr="001063B2">
          <w:rPr>
            <w:rFonts w:ascii="微软雅黑" w:eastAsia="微软雅黑" w:hAnsi="微软雅黑" w:cs="宋体"/>
            <w:kern w:val="0"/>
            <w:sz w:val="24"/>
            <w:szCs w:val="24"/>
            <w:u w:val="single"/>
          </w:rPr>
          <w:t>51</w:t>
        </w:r>
      </w:hyperlink>
      <w:r w:rsidRPr="001063B2">
        <w:rPr>
          <w:rFonts w:ascii="微软雅黑" w:eastAsia="微软雅黑" w:hAnsi="微软雅黑" w:cs="宋体"/>
          <w:kern w:val="0"/>
          <w:sz w:val="24"/>
          <w:szCs w:val="24"/>
        </w:rPr>
        <w:t> , </w:t>
      </w:r>
      <w:hyperlink r:id="rId66" w:anchor="B52-ijms-21-06479" w:history="1">
        <w:r w:rsidRPr="001063B2">
          <w:rPr>
            <w:rFonts w:ascii="微软雅黑" w:eastAsia="微软雅黑" w:hAnsi="微软雅黑" w:cs="宋体"/>
            <w:kern w:val="0"/>
            <w:sz w:val="24"/>
            <w:szCs w:val="24"/>
            <w:u w:val="single"/>
          </w:rPr>
          <w:t>52</w:t>
        </w:r>
      </w:hyperlink>
      <w:r w:rsidRPr="001063B2">
        <w:rPr>
          <w:rFonts w:ascii="微软雅黑" w:eastAsia="微软雅黑" w:hAnsi="微软雅黑" w:cs="宋体"/>
          <w:kern w:val="0"/>
          <w:sz w:val="24"/>
          <w:szCs w:val="24"/>
        </w:rPr>
        <w:t> , </w:t>
      </w:r>
      <w:hyperlink r:id="rId67" w:anchor="B53-ijms-21-06479" w:history="1">
        <w:r w:rsidRPr="001063B2">
          <w:rPr>
            <w:rFonts w:ascii="微软雅黑" w:eastAsia="微软雅黑" w:hAnsi="微软雅黑" w:cs="宋体"/>
            <w:kern w:val="0"/>
            <w:sz w:val="24"/>
            <w:szCs w:val="24"/>
            <w:u w:val="single"/>
          </w:rPr>
          <w:t>53</w:t>
        </w:r>
      </w:hyperlink>
      <w:r w:rsidRPr="001063B2">
        <w:rPr>
          <w:rFonts w:ascii="微软雅黑" w:eastAsia="微软雅黑" w:hAnsi="微软雅黑" w:cs="宋体"/>
          <w:kern w:val="0"/>
          <w:sz w:val="24"/>
          <w:szCs w:val="24"/>
        </w:rPr>
        <w:t> , </w:t>
      </w:r>
      <w:hyperlink r:id="rId68" w:anchor="B54-ijms-21-06479" w:history="1">
        <w:r w:rsidRPr="001063B2">
          <w:rPr>
            <w:rFonts w:ascii="微软雅黑" w:eastAsia="微软雅黑" w:hAnsi="微软雅黑" w:cs="宋体"/>
            <w:kern w:val="0"/>
            <w:sz w:val="24"/>
            <w:szCs w:val="24"/>
            <w:u w:val="single"/>
          </w:rPr>
          <w:t>54</w:t>
        </w:r>
      </w:hyperlink>
      <w:r w:rsidRPr="001063B2">
        <w:rPr>
          <w:rFonts w:ascii="微软雅黑" w:eastAsia="微软雅黑" w:hAnsi="微软雅黑" w:cs="宋体"/>
          <w:kern w:val="0"/>
          <w:sz w:val="24"/>
          <w:szCs w:val="24"/>
        </w:rPr>
        <w:t> ]。2019年4月，基于真实世界研究的证据，帕博西尼的适应症进一步扩展至男性患者[ </w:t>
      </w:r>
      <w:hyperlink r:id="rId69" w:anchor="B55-ijms-21-06479" w:history="1">
        <w:r w:rsidRPr="001063B2">
          <w:rPr>
            <w:rFonts w:ascii="微软雅黑" w:eastAsia="微软雅黑" w:hAnsi="微软雅黑" w:cs="宋体"/>
            <w:kern w:val="0"/>
            <w:sz w:val="24"/>
            <w:szCs w:val="24"/>
            <w:u w:val="single"/>
          </w:rPr>
          <w:t>55</w:t>
        </w:r>
      </w:hyperlink>
      <w:r w:rsidRPr="001063B2">
        <w:rPr>
          <w:rFonts w:ascii="微软雅黑" w:eastAsia="微软雅黑" w:hAnsi="微软雅黑" w:cs="宋体"/>
          <w:kern w:val="0"/>
          <w:sz w:val="24"/>
          <w:szCs w:val="24"/>
        </w:rPr>
        <w:t> ]。最后，基于FALCON试验的结果（该试验表明在与PALOMA-1和PALOMA-2试验相同的患者人群中，</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t>优于阿那曲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），II期PARSIFAL研究（</w:t>
      </w:r>
      <w:r w:rsidRPr="001063B2">
        <w:rPr>
          <w:rFonts w:ascii="微软雅黑" w:eastAsia="微软雅黑" w:hAnsi="微软雅黑" w:cs="宋体"/>
          <w:kern w:val="0"/>
          <w:sz w:val="24"/>
          <w:szCs w:val="24"/>
        </w:rPr>
        <w:fldChar w:fldCharType="begin"/>
      </w:r>
      <w:r w:rsidRPr="001063B2">
        <w:rPr>
          <w:rFonts w:ascii="微软雅黑" w:eastAsia="微软雅黑" w:hAnsi="微软雅黑" w:cs="宋体"/>
          <w:kern w:val="0"/>
          <w:sz w:val="24"/>
          <w:szCs w:val="24"/>
        </w:rPr>
        <w:instrText xml:space="preserve"> HYPERLINK "https://clinicaltrials.gov/ct2/show/NCT02491983" \t "_blank" </w:instrText>
      </w:r>
      <w:r w:rsidRPr="001063B2">
        <w:rPr>
          <w:rFonts w:ascii="微软雅黑" w:eastAsia="微软雅黑" w:hAnsi="微软雅黑" w:cs="宋体"/>
          <w:kern w:val="0"/>
          <w:sz w:val="24"/>
          <w:szCs w:val="24"/>
        </w:rPr>
        <w:fldChar w:fldCharType="separate"/>
      </w:r>
      <w:r w:rsidRPr="001063B2">
        <w:rPr>
          <w:rFonts w:ascii="微软雅黑" w:eastAsia="微软雅黑" w:hAnsi="微软雅黑" w:cs="宋体"/>
          <w:kern w:val="0"/>
          <w:sz w:val="24"/>
          <w:szCs w:val="24"/>
          <w:u w:val="single"/>
        </w:rPr>
        <w:t>NCT02491983</w:t>
      </w:r>
      <w:r w:rsidRPr="001063B2">
        <w:rPr>
          <w:rFonts w:ascii="微软雅黑" w:eastAsia="微软雅黑" w:hAnsi="微软雅黑" w:cs="宋体"/>
          <w:kern w:val="0"/>
          <w:sz w:val="24"/>
          <w:szCs w:val="24"/>
        </w:rPr>
        <w:fldChar w:fldCharType="end"/>
      </w:r>
      <w:r w:rsidRPr="001063B2">
        <w:rPr>
          <w:rFonts w:ascii="微软雅黑" w:eastAsia="微软雅黑" w:hAnsi="微软雅黑" w:cs="宋体"/>
          <w:kern w:val="0"/>
          <w:sz w:val="24"/>
          <w:szCs w:val="24"/>
        </w:rPr>
        <w:t>）旨在探讨一线治疗中与帕博西尼联合使用的最佳内分泌药物选择；研究结果已在美国临床肿瘤学会（ASCO）年会上公布，结果显示两组之间无统计学差异（帕博西尼联合</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t>组的中位无进展生存期为27.9个月，帕博西尼联合来曲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组为32.8个月，HR 1.1，</w:t>
      </w:r>
      <w:r w:rsidRPr="001063B2">
        <w:rPr>
          <w:rFonts w:ascii="微软雅黑" w:eastAsia="微软雅黑" w:hAnsi="微软雅黑" w:cs="宋体"/>
          <w:i/>
          <w:iCs/>
          <w:kern w:val="0"/>
          <w:sz w:val="24"/>
          <w:szCs w:val="24"/>
        </w:rPr>
        <w:t>p值未提供）。</w:t>
      </w:r>
      <w:r w:rsidRPr="001063B2">
        <w:rPr>
          <w:rFonts w:ascii="微软雅黑" w:eastAsia="微软雅黑" w:hAnsi="微软雅黑" w:cs="宋体"/>
          <w:kern w:val="0"/>
          <w:sz w:val="24"/>
          <w:szCs w:val="24"/>
        </w:rPr>
        <w:t>= 0.321），表明</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t>可以作为来曲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 xml:space="preserve">与帕博西尼联合治疗内分泌敏感转移性乳腺癌（辅助内分泌治疗结束后 12 </w:t>
      </w:r>
      <w:proofErr w:type="gramStart"/>
      <w:r w:rsidRPr="001063B2">
        <w:rPr>
          <w:rFonts w:ascii="微软雅黑" w:eastAsia="微软雅黑" w:hAnsi="微软雅黑" w:cs="宋体"/>
          <w:kern w:val="0"/>
          <w:sz w:val="24"/>
          <w:szCs w:val="24"/>
        </w:rPr>
        <w:t>个月以上</w:t>
      </w:r>
      <w:proofErr w:type="gramEnd"/>
      <w:r w:rsidRPr="001063B2">
        <w:rPr>
          <w:rFonts w:ascii="微软雅黑" w:eastAsia="微软雅黑" w:hAnsi="微软雅黑" w:cs="宋体"/>
          <w:kern w:val="0"/>
          <w:sz w:val="24"/>
          <w:szCs w:val="24"/>
        </w:rPr>
        <w:t>复发或诊断为“新发”转移性疾病）的一线治疗的合理替代方案[ </w:t>
      </w:r>
      <w:hyperlink r:id="rId70" w:anchor="B56-ijms-21-06479" w:history="1">
        <w:r w:rsidRPr="001063B2">
          <w:rPr>
            <w:rFonts w:ascii="微软雅黑" w:eastAsia="微软雅黑" w:hAnsi="微软雅黑" w:cs="宋体"/>
            <w:kern w:val="0"/>
            <w:sz w:val="24"/>
            <w:szCs w:val="24"/>
            <w:u w:val="single"/>
          </w:rPr>
          <w:t>56</w:t>
        </w:r>
      </w:hyperlink>
      <w:r w:rsidRPr="001063B2">
        <w:rPr>
          <w:rFonts w:ascii="微软雅黑" w:eastAsia="微软雅黑" w:hAnsi="微软雅黑" w:cs="宋体"/>
          <w:kern w:val="0"/>
          <w:sz w:val="24"/>
          <w:szCs w:val="24"/>
        </w:rPr>
        <w:t> ]。</w:t>
      </w:r>
    </w:p>
    <w:p w14:paraId="5006D077"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瑞博西尼（</w:t>
      </w:r>
      <w:proofErr w:type="spellStart"/>
      <w:r w:rsidRPr="001063B2">
        <w:rPr>
          <w:rFonts w:ascii="微软雅黑" w:eastAsia="微软雅黑" w:hAnsi="微软雅黑" w:cs="宋体"/>
          <w:kern w:val="0"/>
          <w:sz w:val="24"/>
          <w:szCs w:val="24"/>
        </w:rPr>
        <w:t>Kisqali</w:t>
      </w:r>
      <w:proofErr w:type="spellEnd"/>
      <w:r w:rsidRPr="001063B2">
        <w:rPr>
          <w:rFonts w:ascii="微软雅黑" w:eastAsia="微软雅黑" w:hAnsi="微软雅黑" w:cs="宋体"/>
          <w:kern w:val="0"/>
          <w:sz w:val="24"/>
          <w:szCs w:val="24"/>
        </w:rPr>
        <w:t>，诺华公司，瑞士巴塞尔）是第二个获得FDA批准的CDK4/6抑制剂，于2017年3月获批，作为绝经后HR阳性、HER2阴性晚期或转移性乳腺癌患者的一线治疗方案，需与芳香化酶抑制剂（AI）联合使用。其首次获批基于III期MONALESA-2试验的结果，该试验显示，联合用药组（瑞博西尼联合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）的无进展生存期（PFS）显著延长了25.3个月，而单用来曲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组的PFS延长了16.0个月（HR 0.568，</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&lt; 0.001）[ </w:t>
      </w:r>
      <w:hyperlink r:id="rId71" w:anchor="B57-ijms-21-06479" w:history="1">
        <w:r w:rsidRPr="001063B2">
          <w:rPr>
            <w:rFonts w:ascii="微软雅黑" w:eastAsia="微软雅黑" w:hAnsi="微软雅黑" w:cs="宋体"/>
            <w:kern w:val="0"/>
            <w:sz w:val="24"/>
            <w:szCs w:val="24"/>
            <w:u w:val="single"/>
          </w:rPr>
          <w:t>57</w:t>
        </w:r>
      </w:hyperlink>
      <w:r w:rsidRPr="001063B2">
        <w:rPr>
          <w:rFonts w:ascii="微软雅黑" w:eastAsia="微软雅黑" w:hAnsi="微软雅黑" w:cs="宋体"/>
          <w:kern w:val="0"/>
          <w:sz w:val="24"/>
          <w:szCs w:val="24"/>
        </w:rPr>
        <w:t> , </w:t>
      </w:r>
      <w:hyperlink r:id="rId72" w:anchor="B58-ijms-21-06479" w:history="1">
        <w:r w:rsidRPr="001063B2">
          <w:rPr>
            <w:rFonts w:ascii="微软雅黑" w:eastAsia="微软雅黑" w:hAnsi="微软雅黑" w:cs="宋体"/>
            <w:kern w:val="0"/>
            <w:sz w:val="24"/>
            <w:szCs w:val="24"/>
            <w:u w:val="single"/>
          </w:rPr>
          <w:t>58</w:t>
        </w:r>
      </w:hyperlink>
      <w:r w:rsidRPr="001063B2">
        <w:rPr>
          <w:rFonts w:ascii="微软雅黑" w:eastAsia="微软雅黑" w:hAnsi="微软雅黑" w:cs="宋体"/>
          <w:kern w:val="0"/>
          <w:sz w:val="24"/>
          <w:szCs w:val="24"/>
        </w:rPr>
        <w:t> ]。在III期MONALEESA-</w:t>
      </w:r>
      <w:r w:rsidRPr="001063B2">
        <w:rPr>
          <w:rFonts w:ascii="微软雅黑" w:eastAsia="微软雅黑" w:hAnsi="微软雅黑" w:cs="宋体"/>
          <w:kern w:val="0"/>
          <w:sz w:val="24"/>
          <w:szCs w:val="24"/>
        </w:rPr>
        <w:lastRenderedPageBreak/>
        <w:t>3试验中，瑞博西尼还与</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t xml:space="preserve">联合用于绝经后HR阳性、HER2阴性转移性乳腺癌患者的一线或二线治疗。与 PALOMA-3 研究相比，MONALEESA-3 研究纳入了未接受过 ET 治疗的患者（约占入组患者的 50%）或晚期复发患者（辅助 ET 治疗结束后 12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 xml:space="preserve">月以上），结果显示 PFS 改善为 20.5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 xml:space="preserve">月，而安慰剂组为 12.8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月，利博西尼组优于安慰剂组（HR 0.593，</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&lt; 0.001），利博西尼-</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t>组的中位 OS 尚未达到，而安慰剂-</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t xml:space="preserve">组的中位 OS 为 40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月（HR 0.724，</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 0.004）[ </w:t>
      </w:r>
      <w:hyperlink r:id="rId73" w:anchor="B53-ijms-21-06479" w:history="1">
        <w:r w:rsidRPr="001063B2">
          <w:rPr>
            <w:rFonts w:ascii="微软雅黑" w:eastAsia="微软雅黑" w:hAnsi="微软雅黑" w:cs="宋体"/>
            <w:kern w:val="0"/>
            <w:sz w:val="24"/>
            <w:szCs w:val="24"/>
            <w:u w:val="single"/>
          </w:rPr>
          <w:t>53</w:t>
        </w:r>
      </w:hyperlink>
      <w:r w:rsidRPr="001063B2">
        <w:rPr>
          <w:rFonts w:ascii="微软雅黑" w:eastAsia="微软雅黑" w:hAnsi="微软雅黑" w:cs="宋体"/>
          <w:kern w:val="0"/>
          <w:sz w:val="24"/>
          <w:szCs w:val="24"/>
        </w:rPr>
        <w:t> , </w:t>
      </w:r>
      <w:hyperlink r:id="rId74" w:anchor="B59-ijms-21-06479" w:history="1">
        <w:r w:rsidRPr="001063B2">
          <w:rPr>
            <w:rFonts w:ascii="微软雅黑" w:eastAsia="微软雅黑" w:hAnsi="微软雅黑" w:cs="宋体"/>
            <w:kern w:val="0"/>
            <w:sz w:val="24"/>
            <w:szCs w:val="24"/>
            <w:u w:val="single"/>
          </w:rPr>
          <w:t>59</w:t>
        </w:r>
      </w:hyperlink>
      <w:r w:rsidRPr="001063B2">
        <w:rPr>
          <w:rFonts w:ascii="微软雅黑" w:eastAsia="微软雅黑" w:hAnsi="微软雅黑" w:cs="宋体"/>
          <w:kern w:val="0"/>
          <w:sz w:val="24"/>
          <w:szCs w:val="24"/>
        </w:rPr>
        <w:t> , </w:t>
      </w:r>
      <w:hyperlink r:id="rId75" w:anchor="B60-ijms-21-06479" w:history="1">
        <w:r w:rsidRPr="001063B2">
          <w:rPr>
            <w:rFonts w:ascii="微软雅黑" w:eastAsia="微软雅黑" w:hAnsi="微软雅黑" w:cs="宋体"/>
            <w:kern w:val="0"/>
            <w:sz w:val="24"/>
            <w:szCs w:val="24"/>
            <w:u w:val="single"/>
          </w:rPr>
          <w:t>60</w:t>
        </w:r>
      </w:hyperlink>
      <w:r w:rsidRPr="001063B2">
        <w:rPr>
          <w:rFonts w:ascii="微软雅黑" w:eastAsia="微软雅黑" w:hAnsi="微软雅黑" w:cs="宋体"/>
          <w:kern w:val="0"/>
          <w:sz w:val="24"/>
          <w:szCs w:val="24"/>
        </w:rPr>
        <w:t> , </w:t>
      </w:r>
      <w:hyperlink r:id="rId76" w:anchor="B61-ijms-21-06479" w:history="1">
        <w:r w:rsidRPr="001063B2">
          <w:rPr>
            <w:rFonts w:ascii="微软雅黑" w:eastAsia="微软雅黑" w:hAnsi="微软雅黑" w:cs="宋体"/>
            <w:kern w:val="0"/>
            <w:sz w:val="24"/>
            <w:szCs w:val="24"/>
            <w:u w:val="single"/>
          </w:rPr>
          <w:t>61</w:t>
        </w:r>
      </w:hyperlink>
      <w:r w:rsidRPr="001063B2">
        <w:rPr>
          <w:rFonts w:ascii="微软雅黑" w:eastAsia="微软雅黑" w:hAnsi="微软雅黑" w:cs="宋体"/>
          <w:kern w:val="0"/>
          <w:sz w:val="24"/>
          <w:szCs w:val="24"/>
        </w:rPr>
        <w:t xml:space="preserve"> ]。此外，研究人员还研究了 </w:t>
      </w:r>
      <w:proofErr w:type="spellStart"/>
      <w:r w:rsidRPr="001063B2">
        <w:rPr>
          <w:rFonts w:ascii="微软雅黑" w:eastAsia="微软雅黑" w:hAnsi="微软雅黑" w:cs="宋体"/>
          <w:kern w:val="0"/>
          <w:sz w:val="24"/>
          <w:szCs w:val="24"/>
        </w:rPr>
        <w:t>ribociclib</w:t>
      </w:r>
      <w:proofErr w:type="spellEnd"/>
      <w:r w:rsidRPr="001063B2">
        <w:rPr>
          <w:rFonts w:ascii="微软雅黑" w:eastAsia="微软雅黑" w:hAnsi="微软雅黑" w:cs="宋体"/>
          <w:kern w:val="0"/>
          <w:sz w:val="24"/>
          <w:szCs w:val="24"/>
        </w:rPr>
        <w:t xml:space="preserve"> 与 ET 加戈舍瑞林联合用于治疗接受过一线化疗</w:t>
      </w:r>
      <w:proofErr w:type="gramStart"/>
      <w:r w:rsidRPr="001063B2">
        <w:rPr>
          <w:rFonts w:ascii="微软雅黑" w:eastAsia="微软雅黑" w:hAnsi="微软雅黑" w:cs="宋体"/>
          <w:kern w:val="0"/>
          <w:sz w:val="24"/>
          <w:szCs w:val="24"/>
        </w:rPr>
        <w:t>且之前</w:t>
      </w:r>
      <w:proofErr w:type="gramEnd"/>
      <w:r w:rsidRPr="001063B2">
        <w:rPr>
          <w:rFonts w:ascii="微软雅黑" w:eastAsia="微软雅黑" w:hAnsi="微软雅黑" w:cs="宋体"/>
          <w:kern w:val="0"/>
          <w:sz w:val="24"/>
          <w:szCs w:val="24"/>
        </w:rPr>
        <w:t xml:space="preserve">未接受过 ET 治疗的围绝经期/绝经前晚期/转移性疾病女性（III </w:t>
      </w:r>
      <w:proofErr w:type="gramStart"/>
      <w:r w:rsidRPr="001063B2">
        <w:rPr>
          <w:rFonts w:ascii="微软雅黑" w:eastAsia="微软雅黑" w:hAnsi="微软雅黑" w:cs="宋体"/>
          <w:kern w:val="0"/>
          <w:sz w:val="24"/>
          <w:szCs w:val="24"/>
        </w:rPr>
        <w:t>期试验</w:t>
      </w:r>
      <w:proofErr w:type="gramEnd"/>
      <w:r w:rsidRPr="001063B2">
        <w:rPr>
          <w:rFonts w:ascii="微软雅黑" w:eastAsia="微软雅黑" w:hAnsi="微软雅黑" w:cs="宋体"/>
          <w:kern w:val="0"/>
          <w:sz w:val="24"/>
          <w:szCs w:val="24"/>
        </w:rPr>
        <w:t xml:space="preserve"> MONALEESA-7），结果显示 PFS 显著延长（23.8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 xml:space="preserve">月 vs. 13.0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月，HR 0.55，</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&lt; 0.0001），OS 也显著延长（</w:t>
      </w:r>
      <w:proofErr w:type="spellStart"/>
      <w:r w:rsidRPr="001063B2">
        <w:rPr>
          <w:rFonts w:ascii="微软雅黑" w:eastAsia="微软雅黑" w:hAnsi="微软雅黑" w:cs="宋体"/>
          <w:kern w:val="0"/>
          <w:sz w:val="24"/>
          <w:szCs w:val="24"/>
        </w:rPr>
        <w:t>ribociclib</w:t>
      </w:r>
      <w:proofErr w:type="spellEnd"/>
      <w:r w:rsidRPr="001063B2">
        <w:rPr>
          <w:rFonts w:ascii="微软雅黑" w:eastAsia="微软雅黑" w:hAnsi="微软雅黑" w:cs="宋体"/>
          <w:kern w:val="0"/>
          <w:sz w:val="24"/>
          <w:szCs w:val="24"/>
        </w:rPr>
        <w:t xml:space="preserve"> 组未达到，安慰剂组为 40.9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月，死亡 HR 0.71，</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 0.009）[ </w:t>
      </w:r>
      <w:hyperlink r:id="rId77" w:anchor="B62-ijms-21-06479" w:history="1">
        <w:r w:rsidRPr="001063B2">
          <w:rPr>
            <w:rFonts w:ascii="微软雅黑" w:eastAsia="微软雅黑" w:hAnsi="微软雅黑" w:cs="宋体"/>
            <w:kern w:val="0"/>
            <w:sz w:val="24"/>
            <w:szCs w:val="24"/>
            <w:u w:val="single"/>
          </w:rPr>
          <w:t>62</w:t>
        </w:r>
      </w:hyperlink>
      <w:r w:rsidRPr="001063B2">
        <w:rPr>
          <w:rFonts w:ascii="微软雅黑" w:eastAsia="微软雅黑" w:hAnsi="微软雅黑" w:cs="宋体"/>
          <w:kern w:val="0"/>
          <w:sz w:val="24"/>
          <w:szCs w:val="24"/>
        </w:rPr>
        <w:t> , </w:t>
      </w:r>
      <w:hyperlink r:id="rId78" w:anchor="B63-ijms-21-06479" w:history="1">
        <w:r w:rsidRPr="001063B2">
          <w:rPr>
            <w:rFonts w:ascii="微软雅黑" w:eastAsia="微软雅黑" w:hAnsi="微软雅黑" w:cs="宋体"/>
            <w:kern w:val="0"/>
            <w:sz w:val="24"/>
            <w:szCs w:val="24"/>
            <w:u w:val="single"/>
          </w:rPr>
          <w:t>63</w:t>
        </w:r>
      </w:hyperlink>
      <w:r w:rsidRPr="001063B2">
        <w:rPr>
          <w:rFonts w:ascii="微软雅黑" w:eastAsia="微软雅黑" w:hAnsi="微软雅黑" w:cs="宋体"/>
          <w:kern w:val="0"/>
          <w:sz w:val="24"/>
          <w:szCs w:val="24"/>
        </w:rPr>
        <w:t> ]。</w:t>
      </w:r>
    </w:p>
    <w:p w14:paraId="307837BA"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阿贝西利（</w:t>
      </w:r>
      <w:proofErr w:type="spellStart"/>
      <w:r w:rsidRPr="001063B2">
        <w:rPr>
          <w:rFonts w:ascii="微软雅黑" w:eastAsia="微软雅黑" w:hAnsi="微软雅黑" w:cs="宋体"/>
          <w:kern w:val="0"/>
          <w:sz w:val="24"/>
          <w:szCs w:val="24"/>
        </w:rPr>
        <w:t>Verzenio</w:t>
      </w:r>
      <w:proofErr w:type="spellEnd"/>
      <w:r w:rsidRPr="001063B2">
        <w:rPr>
          <w:rFonts w:ascii="微软雅黑" w:eastAsia="微软雅黑" w:hAnsi="微软雅黑" w:cs="宋体"/>
          <w:kern w:val="0"/>
          <w:sz w:val="24"/>
          <w:szCs w:val="24"/>
        </w:rPr>
        <w:t>，礼来公司，美国印第安纳州印第安纳波利斯）是第三种获得FDA快速批准的CDK4/6抑制剂，于2017年9月获得批准。该批准基于III期MONARCH-2试验的结果，旨在研究阿贝西利联合</w:t>
      </w:r>
      <w:proofErr w:type="gramStart"/>
      <w:r w:rsidRPr="001063B2">
        <w:rPr>
          <w:rFonts w:ascii="微软雅黑" w:eastAsia="微软雅黑" w:hAnsi="微软雅黑" w:cs="宋体"/>
          <w:kern w:val="0"/>
          <w:sz w:val="24"/>
          <w:szCs w:val="24"/>
        </w:rPr>
        <w:t>氟维司群治疗</w:t>
      </w:r>
      <w:proofErr w:type="gramEnd"/>
      <w:r w:rsidRPr="001063B2">
        <w:rPr>
          <w:rFonts w:ascii="微软雅黑" w:eastAsia="微软雅黑" w:hAnsi="微软雅黑" w:cs="宋体"/>
          <w:kern w:val="0"/>
          <w:sz w:val="24"/>
          <w:szCs w:val="24"/>
        </w:rPr>
        <w:t>激素受体阳性/HER2阴性晚期乳腺癌女性患者的疗效，这些患者在内分泌治疗后病情进展。与单用</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t>组相比，阿贝西利联合</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t>组的无进展生存期（PFS）显著延长（中位PFS分别为16.4个月和9.3个月，HR 0.553，</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&lt; 0.001），总生存期（OS）也同样延长，联合治疗组为46.7个月，而单用</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t>组为37.3个月（HR 0.757，</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 0.01）[ </w:t>
      </w:r>
      <w:hyperlink r:id="rId79" w:anchor="B64-ijms-21-06479" w:history="1">
        <w:r w:rsidRPr="001063B2">
          <w:rPr>
            <w:rFonts w:ascii="微软雅黑" w:eastAsia="微软雅黑" w:hAnsi="微软雅黑" w:cs="宋体"/>
            <w:kern w:val="0"/>
            <w:sz w:val="24"/>
            <w:szCs w:val="24"/>
            <w:u w:val="single"/>
          </w:rPr>
          <w:t>64</w:t>
        </w:r>
      </w:hyperlink>
      <w:r w:rsidRPr="001063B2">
        <w:rPr>
          <w:rFonts w:ascii="微软雅黑" w:eastAsia="微软雅黑" w:hAnsi="微软雅黑" w:cs="宋体"/>
          <w:kern w:val="0"/>
          <w:sz w:val="24"/>
          <w:szCs w:val="24"/>
        </w:rPr>
        <w:t> , </w:t>
      </w:r>
      <w:hyperlink r:id="rId80" w:anchor="B65-ijms-21-06479" w:history="1">
        <w:r w:rsidRPr="001063B2">
          <w:rPr>
            <w:rFonts w:ascii="微软雅黑" w:eastAsia="微软雅黑" w:hAnsi="微软雅黑" w:cs="宋体"/>
            <w:kern w:val="0"/>
            <w:sz w:val="24"/>
            <w:szCs w:val="24"/>
            <w:u w:val="single"/>
          </w:rPr>
          <w:t>65</w:t>
        </w:r>
      </w:hyperlink>
      <w:r w:rsidRPr="001063B2">
        <w:rPr>
          <w:rFonts w:ascii="微软雅黑" w:eastAsia="微软雅黑" w:hAnsi="微软雅黑" w:cs="宋体"/>
          <w:kern w:val="0"/>
          <w:sz w:val="24"/>
          <w:szCs w:val="24"/>
        </w:rPr>
        <w:t> ]。此外，III期MONARCH-3试验证实，对于</w:t>
      </w:r>
      <w:proofErr w:type="gramStart"/>
      <w:r w:rsidRPr="001063B2">
        <w:rPr>
          <w:rFonts w:ascii="微软雅黑" w:eastAsia="微软雅黑" w:hAnsi="微软雅黑" w:cs="宋体"/>
          <w:kern w:val="0"/>
          <w:sz w:val="24"/>
          <w:szCs w:val="24"/>
        </w:rPr>
        <w:t>既往未</w:t>
      </w:r>
      <w:proofErr w:type="gramEnd"/>
      <w:r w:rsidRPr="001063B2">
        <w:rPr>
          <w:rFonts w:ascii="微软雅黑" w:eastAsia="微软雅黑" w:hAnsi="微软雅黑" w:cs="宋体"/>
          <w:kern w:val="0"/>
          <w:sz w:val="24"/>
          <w:szCs w:val="24"/>
        </w:rPr>
        <w:t>接受过晚期/转移性乳腺癌系统治疗的女性患者，阿贝西利联合非</w:t>
      </w:r>
      <w:proofErr w:type="gramStart"/>
      <w:r w:rsidRPr="001063B2">
        <w:rPr>
          <w:rFonts w:ascii="微软雅黑" w:eastAsia="微软雅黑" w:hAnsi="微软雅黑" w:cs="宋体"/>
          <w:kern w:val="0"/>
          <w:sz w:val="24"/>
          <w:szCs w:val="24"/>
        </w:rPr>
        <w:t>甾</w:t>
      </w:r>
      <w:proofErr w:type="gramEnd"/>
      <w:r w:rsidRPr="001063B2">
        <w:rPr>
          <w:rFonts w:ascii="微软雅黑" w:eastAsia="微软雅黑" w:hAnsi="微软雅黑" w:cs="宋体"/>
          <w:kern w:val="0"/>
          <w:sz w:val="24"/>
          <w:szCs w:val="24"/>
        </w:rPr>
        <w:lastRenderedPageBreak/>
        <w:t>体类芳香化酶抑制剂（NSAI）的疗效显著（中位无进展生存期分别为28.2个月和14.8个月，风险比0.54，</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&lt; 0.001）[ </w:t>
      </w:r>
      <w:hyperlink r:id="rId81" w:anchor="B66-ijms-21-06479" w:history="1">
        <w:r w:rsidRPr="001063B2">
          <w:rPr>
            <w:rFonts w:ascii="微软雅黑" w:eastAsia="微软雅黑" w:hAnsi="微软雅黑" w:cs="宋体"/>
            <w:kern w:val="0"/>
            <w:sz w:val="24"/>
            <w:szCs w:val="24"/>
            <w:u w:val="single"/>
          </w:rPr>
          <w:t>66</w:t>
        </w:r>
      </w:hyperlink>
      <w:r w:rsidRPr="001063B2">
        <w:rPr>
          <w:rFonts w:ascii="微软雅黑" w:eastAsia="微软雅黑" w:hAnsi="微软雅黑" w:cs="宋体"/>
          <w:kern w:val="0"/>
          <w:sz w:val="24"/>
          <w:szCs w:val="24"/>
        </w:rPr>
        <w:t> , </w:t>
      </w:r>
      <w:hyperlink r:id="rId82" w:anchor="B67-ijms-21-06479" w:history="1">
        <w:r w:rsidRPr="001063B2">
          <w:rPr>
            <w:rFonts w:ascii="微软雅黑" w:eastAsia="微软雅黑" w:hAnsi="微软雅黑" w:cs="宋体"/>
            <w:kern w:val="0"/>
            <w:sz w:val="24"/>
            <w:szCs w:val="24"/>
            <w:u w:val="single"/>
          </w:rPr>
          <w:t>67</w:t>
        </w:r>
      </w:hyperlink>
      <w:r w:rsidRPr="001063B2">
        <w:rPr>
          <w:rFonts w:ascii="微软雅黑" w:eastAsia="微软雅黑" w:hAnsi="微软雅黑" w:cs="宋体"/>
          <w:kern w:val="0"/>
          <w:sz w:val="24"/>
          <w:szCs w:val="24"/>
        </w:rPr>
        <w:t> ]。基于单臂II期MONARCH-1试验的结果，阿贝西利也被批准作为单药疗法用于既往接受过内分泌治疗和化疗的HR阳性/HER2阴性转移性乳腺癌患者[ </w:t>
      </w:r>
      <w:hyperlink r:id="rId83" w:anchor="B68-ijms-21-06479" w:history="1">
        <w:r w:rsidRPr="001063B2">
          <w:rPr>
            <w:rFonts w:ascii="微软雅黑" w:eastAsia="微软雅黑" w:hAnsi="微软雅黑" w:cs="宋体"/>
            <w:kern w:val="0"/>
            <w:sz w:val="24"/>
            <w:szCs w:val="24"/>
            <w:u w:val="single"/>
          </w:rPr>
          <w:t>68</w:t>
        </w:r>
      </w:hyperlink>
      <w:r w:rsidRPr="001063B2">
        <w:rPr>
          <w:rFonts w:ascii="微软雅黑" w:eastAsia="微软雅黑" w:hAnsi="微软雅黑" w:cs="宋体"/>
          <w:kern w:val="0"/>
          <w:sz w:val="24"/>
          <w:szCs w:val="24"/>
        </w:rPr>
        <w:t> ]。</w:t>
      </w:r>
    </w:p>
    <w:p w14:paraId="0EFEB3E3"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总之，帕博西尼和瑞博西尼的疗效和适应症相似：可与芳香化酶抑制剂（AI）联合作为一线治疗，也可与</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t>联合作为后续治疗，用于治疗绝经前和绝经后激素受体阳性、HER2阴性的晚期/转移性乳腺癌患者。相比之下，阿贝西利的适应症则截然不同，它可与</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t>联合用于治疗既往接受内分泌治疗（ET）后进展的激素受体阳性、HER2阴性的晚期/转移性乳腺癌患者，也可作为单药治疗用于既往接受过内分泌治疗和化疗的转移性乳腺癌患者（表</w:t>
      </w:r>
      <w:r w:rsidRPr="001063B2">
        <w:rPr>
          <w:rFonts w:ascii="微软雅黑" w:eastAsia="微软雅黑" w:hAnsi="微软雅黑" w:cs="宋体"/>
          <w:kern w:val="0"/>
          <w:sz w:val="24"/>
          <w:szCs w:val="24"/>
        </w:rPr>
        <w:fldChar w:fldCharType="begin"/>
      </w:r>
      <w:r w:rsidRPr="001063B2">
        <w:rPr>
          <w:rFonts w:ascii="微软雅黑" w:eastAsia="微软雅黑" w:hAnsi="微软雅黑" w:cs="宋体"/>
          <w:kern w:val="0"/>
          <w:sz w:val="24"/>
          <w:szCs w:val="24"/>
        </w:rPr>
        <w:instrText xml:space="preserve"> HYPERLINK "https://pmc.ncbi.nlm.nih.gov/articles/PMC7554788/" \l "ijms-21-06479-t001" </w:instrText>
      </w:r>
      <w:r w:rsidRPr="001063B2">
        <w:rPr>
          <w:rFonts w:ascii="微软雅黑" w:eastAsia="微软雅黑" w:hAnsi="微软雅黑" w:cs="宋体"/>
          <w:kern w:val="0"/>
          <w:sz w:val="24"/>
          <w:szCs w:val="24"/>
        </w:rPr>
        <w:fldChar w:fldCharType="separate"/>
      </w:r>
      <w:r w:rsidRPr="001063B2">
        <w:rPr>
          <w:rFonts w:ascii="微软雅黑" w:eastAsia="微软雅黑" w:hAnsi="微软雅黑" w:cs="宋体"/>
          <w:kern w:val="0"/>
          <w:sz w:val="24"/>
          <w:szCs w:val="24"/>
          <w:u w:val="single"/>
        </w:rPr>
        <w:t>1</w:t>
      </w:r>
      <w:r w:rsidRPr="001063B2">
        <w:rPr>
          <w:rFonts w:ascii="微软雅黑" w:eastAsia="微软雅黑" w:hAnsi="微软雅黑" w:cs="宋体"/>
          <w:kern w:val="0"/>
          <w:sz w:val="24"/>
          <w:szCs w:val="24"/>
        </w:rPr>
        <w:fldChar w:fldCharType="end"/>
      </w:r>
      <w:r w:rsidRPr="001063B2">
        <w:rPr>
          <w:rFonts w:ascii="微软雅黑" w:eastAsia="微软雅黑" w:hAnsi="微软雅黑" w:cs="宋体"/>
          <w:kern w:val="0"/>
          <w:sz w:val="24"/>
          <w:szCs w:val="24"/>
        </w:rPr>
        <w:t>）[ </w:t>
      </w:r>
      <w:hyperlink r:id="rId84" w:anchor="B55-ijms-21-06479" w:history="1">
        <w:r w:rsidRPr="001063B2">
          <w:rPr>
            <w:rFonts w:ascii="微软雅黑" w:eastAsia="微软雅黑" w:hAnsi="微软雅黑" w:cs="宋体"/>
            <w:kern w:val="0"/>
            <w:sz w:val="24"/>
            <w:szCs w:val="24"/>
            <w:u w:val="single"/>
          </w:rPr>
          <w:t>55</w:t>
        </w:r>
      </w:hyperlink>
      <w:r w:rsidRPr="001063B2">
        <w:rPr>
          <w:rFonts w:ascii="微软雅黑" w:eastAsia="微软雅黑" w:hAnsi="微软雅黑" w:cs="宋体"/>
          <w:kern w:val="0"/>
          <w:sz w:val="24"/>
          <w:szCs w:val="24"/>
        </w:rPr>
        <w:t> , </w:t>
      </w:r>
      <w:hyperlink r:id="rId85" w:anchor="B69-ijms-21-06479" w:history="1">
        <w:r w:rsidRPr="001063B2">
          <w:rPr>
            <w:rFonts w:ascii="微软雅黑" w:eastAsia="微软雅黑" w:hAnsi="微软雅黑" w:cs="宋体"/>
            <w:kern w:val="0"/>
            <w:sz w:val="24"/>
            <w:szCs w:val="24"/>
            <w:u w:val="single"/>
          </w:rPr>
          <w:t>69</w:t>
        </w:r>
      </w:hyperlink>
      <w:r w:rsidRPr="001063B2">
        <w:rPr>
          <w:rFonts w:ascii="微软雅黑" w:eastAsia="微软雅黑" w:hAnsi="微软雅黑" w:cs="宋体"/>
          <w:kern w:val="0"/>
          <w:sz w:val="24"/>
          <w:szCs w:val="24"/>
        </w:rPr>
        <w:t> , </w:t>
      </w:r>
      <w:hyperlink r:id="rId86" w:anchor="B70-ijms-21-06479" w:history="1">
        <w:r w:rsidRPr="001063B2">
          <w:rPr>
            <w:rFonts w:ascii="微软雅黑" w:eastAsia="微软雅黑" w:hAnsi="微软雅黑" w:cs="宋体"/>
            <w:kern w:val="0"/>
            <w:sz w:val="24"/>
            <w:szCs w:val="24"/>
            <w:u w:val="single"/>
          </w:rPr>
          <w:t>70 , </w:t>
        </w:r>
      </w:hyperlink>
      <w:hyperlink r:id="rId87" w:anchor="B71-ijms-21-06479" w:history="1">
        <w:r w:rsidRPr="001063B2">
          <w:rPr>
            <w:rFonts w:ascii="微软雅黑" w:eastAsia="微软雅黑" w:hAnsi="微软雅黑" w:cs="宋体"/>
            <w:kern w:val="0"/>
            <w:sz w:val="24"/>
            <w:szCs w:val="24"/>
            <w:u w:val="single"/>
          </w:rPr>
          <w:t>71</w:t>
        </w:r>
      </w:hyperlink>
      <w:r w:rsidRPr="001063B2">
        <w:rPr>
          <w:rFonts w:ascii="微软雅黑" w:eastAsia="微软雅黑" w:hAnsi="微软雅黑" w:cs="宋体"/>
          <w:kern w:val="0"/>
          <w:sz w:val="24"/>
          <w:szCs w:val="24"/>
        </w:rPr>
        <w:t> , </w:t>
      </w:r>
      <w:hyperlink r:id="rId88" w:anchor="B72-ijms-21-06479" w:history="1">
        <w:r w:rsidRPr="001063B2">
          <w:rPr>
            <w:rFonts w:ascii="微软雅黑" w:eastAsia="微软雅黑" w:hAnsi="微软雅黑" w:cs="宋体"/>
            <w:kern w:val="0"/>
            <w:sz w:val="24"/>
            <w:szCs w:val="24"/>
            <w:u w:val="single"/>
          </w:rPr>
          <w:t>72</w:t>
        </w:r>
      </w:hyperlink>
      <w:r w:rsidRPr="001063B2">
        <w:rPr>
          <w:rFonts w:ascii="微软雅黑" w:eastAsia="微软雅黑" w:hAnsi="微软雅黑" w:cs="宋体"/>
          <w:kern w:val="0"/>
          <w:sz w:val="24"/>
          <w:szCs w:val="24"/>
        </w:rPr>
        <w:t> , </w:t>
      </w:r>
      <w:hyperlink r:id="rId89" w:anchor="B73-ijms-21-06479" w:history="1">
        <w:r w:rsidRPr="001063B2">
          <w:rPr>
            <w:rFonts w:ascii="微软雅黑" w:eastAsia="微软雅黑" w:hAnsi="微软雅黑" w:cs="宋体"/>
            <w:kern w:val="0"/>
            <w:sz w:val="24"/>
            <w:szCs w:val="24"/>
            <w:u w:val="single"/>
          </w:rPr>
          <w:t>73</w:t>
        </w:r>
      </w:hyperlink>
      <w:r w:rsidRPr="001063B2">
        <w:rPr>
          <w:rFonts w:ascii="微软雅黑" w:eastAsia="微软雅黑" w:hAnsi="微软雅黑" w:cs="宋体"/>
          <w:kern w:val="0"/>
          <w:sz w:val="24"/>
          <w:szCs w:val="24"/>
        </w:rPr>
        <w:t> ]。</w:t>
      </w:r>
    </w:p>
    <w:p w14:paraId="5C47D2B8" w14:textId="77777777" w:rsidR="001063B2" w:rsidRPr="001063B2" w:rsidRDefault="001063B2" w:rsidP="001063B2">
      <w:pPr>
        <w:widowControl/>
        <w:spacing w:line="450" w:lineRule="atLeast"/>
        <w:outlineLvl w:val="2"/>
        <w:rPr>
          <w:rFonts w:ascii="微软雅黑" w:eastAsia="微软雅黑" w:hAnsi="微软雅黑" w:cs="宋体"/>
          <w:kern w:val="0"/>
          <w:sz w:val="30"/>
          <w:szCs w:val="30"/>
        </w:rPr>
      </w:pPr>
      <w:r w:rsidRPr="001063B2">
        <w:rPr>
          <w:rFonts w:ascii="微软雅黑" w:eastAsia="微软雅黑" w:hAnsi="微软雅黑" w:cs="宋体"/>
          <w:kern w:val="0"/>
          <w:sz w:val="30"/>
          <w:szCs w:val="30"/>
        </w:rPr>
        <w:t>表1。</w:t>
      </w:r>
    </w:p>
    <w:p w14:paraId="4A6BD315"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评估 CDK4/6 抑制剂在乳腺癌治疗中的随机 II/III 期临床试验总结。</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840"/>
        <w:gridCol w:w="402"/>
        <w:gridCol w:w="402"/>
        <w:gridCol w:w="2325"/>
        <w:gridCol w:w="1564"/>
        <w:gridCol w:w="725"/>
        <w:gridCol w:w="1038"/>
      </w:tblGrid>
      <w:tr w:rsidR="00CB7F59" w:rsidRPr="00CB7F59" w14:paraId="634B85DC" w14:textId="77777777" w:rsidTr="001063B2">
        <w:trPr>
          <w:tblHeader/>
          <w:tblCellSpacing w:w="15" w:type="dxa"/>
        </w:trPr>
        <w:tc>
          <w:tcPr>
            <w:tcW w:w="861" w:type="pct"/>
            <w:tcMar>
              <w:top w:w="56" w:type="dxa"/>
              <w:left w:w="56" w:type="dxa"/>
              <w:bottom w:w="56" w:type="dxa"/>
              <w:right w:w="56" w:type="dxa"/>
            </w:tcMar>
            <w:hideMark/>
          </w:tcPr>
          <w:p w14:paraId="258D983C" w14:textId="77777777" w:rsidR="001063B2" w:rsidRPr="001063B2" w:rsidRDefault="001063B2" w:rsidP="001063B2">
            <w:pPr>
              <w:widowControl/>
              <w:rPr>
                <w:rFonts w:ascii="微软雅黑" w:eastAsia="微软雅黑" w:hAnsi="微软雅黑" w:cs="宋体"/>
                <w:b/>
                <w:bCs/>
                <w:kern w:val="0"/>
                <w:sz w:val="24"/>
                <w:szCs w:val="24"/>
              </w:rPr>
            </w:pPr>
            <w:r w:rsidRPr="001063B2">
              <w:rPr>
                <w:rFonts w:ascii="微软雅黑" w:eastAsia="微软雅黑" w:hAnsi="微软雅黑" w:cs="宋体"/>
                <w:b/>
                <w:bCs/>
                <w:kern w:val="0"/>
                <w:sz w:val="24"/>
                <w:szCs w:val="24"/>
              </w:rPr>
              <w:lastRenderedPageBreak/>
              <w:t>试验名称</w:t>
            </w:r>
          </w:p>
        </w:tc>
        <w:tc>
          <w:tcPr>
            <w:tcW w:w="176" w:type="pct"/>
            <w:tcMar>
              <w:top w:w="56" w:type="dxa"/>
              <w:left w:w="56" w:type="dxa"/>
              <w:bottom w:w="56" w:type="dxa"/>
              <w:right w:w="56" w:type="dxa"/>
            </w:tcMar>
            <w:hideMark/>
          </w:tcPr>
          <w:p w14:paraId="4415F3D6" w14:textId="77777777" w:rsidR="001063B2" w:rsidRPr="001063B2" w:rsidRDefault="001063B2" w:rsidP="001063B2">
            <w:pPr>
              <w:widowControl/>
              <w:rPr>
                <w:rFonts w:ascii="微软雅黑" w:eastAsia="微软雅黑" w:hAnsi="微软雅黑" w:cs="宋体"/>
                <w:b/>
                <w:bCs/>
                <w:kern w:val="0"/>
                <w:sz w:val="24"/>
                <w:szCs w:val="24"/>
              </w:rPr>
            </w:pPr>
            <w:r w:rsidRPr="001063B2">
              <w:rPr>
                <w:rFonts w:ascii="微软雅黑" w:eastAsia="微软雅黑" w:hAnsi="微软雅黑" w:cs="宋体"/>
                <w:b/>
                <w:bCs/>
                <w:kern w:val="0"/>
                <w:sz w:val="24"/>
                <w:szCs w:val="24"/>
              </w:rPr>
              <w:t>阶段</w:t>
            </w:r>
          </w:p>
        </w:tc>
        <w:tc>
          <w:tcPr>
            <w:tcW w:w="244" w:type="pct"/>
            <w:tcMar>
              <w:top w:w="56" w:type="dxa"/>
              <w:left w:w="56" w:type="dxa"/>
              <w:bottom w:w="56" w:type="dxa"/>
              <w:right w:w="56" w:type="dxa"/>
            </w:tcMar>
            <w:hideMark/>
          </w:tcPr>
          <w:p w14:paraId="193841DF" w14:textId="77777777" w:rsidR="001063B2" w:rsidRPr="001063B2" w:rsidRDefault="001063B2" w:rsidP="001063B2">
            <w:pPr>
              <w:widowControl/>
              <w:rPr>
                <w:rFonts w:ascii="微软雅黑" w:eastAsia="微软雅黑" w:hAnsi="微软雅黑" w:cs="宋体"/>
                <w:b/>
                <w:bCs/>
                <w:kern w:val="0"/>
                <w:sz w:val="24"/>
                <w:szCs w:val="24"/>
              </w:rPr>
            </w:pPr>
            <w:r w:rsidRPr="001063B2">
              <w:rPr>
                <w:rFonts w:ascii="微软雅黑" w:eastAsia="微软雅黑" w:hAnsi="微软雅黑" w:cs="宋体"/>
                <w:b/>
                <w:bCs/>
                <w:kern w:val="0"/>
                <w:sz w:val="24"/>
                <w:szCs w:val="24"/>
              </w:rPr>
              <w:t>环境</w:t>
            </w:r>
          </w:p>
        </w:tc>
        <w:tc>
          <w:tcPr>
            <w:tcW w:w="1670" w:type="pct"/>
            <w:tcMar>
              <w:top w:w="56" w:type="dxa"/>
              <w:left w:w="56" w:type="dxa"/>
              <w:bottom w:w="56" w:type="dxa"/>
              <w:right w:w="56" w:type="dxa"/>
            </w:tcMar>
            <w:hideMark/>
          </w:tcPr>
          <w:p w14:paraId="1E43B56C" w14:textId="77777777" w:rsidR="001063B2" w:rsidRPr="001063B2" w:rsidRDefault="001063B2" w:rsidP="001063B2">
            <w:pPr>
              <w:widowControl/>
              <w:rPr>
                <w:rFonts w:ascii="微软雅黑" w:eastAsia="微软雅黑" w:hAnsi="微软雅黑" w:cs="宋体"/>
                <w:b/>
                <w:bCs/>
                <w:kern w:val="0"/>
                <w:sz w:val="24"/>
                <w:szCs w:val="24"/>
              </w:rPr>
            </w:pPr>
            <w:r w:rsidRPr="001063B2">
              <w:rPr>
                <w:rFonts w:ascii="微软雅黑" w:eastAsia="微软雅黑" w:hAnsi="微软雅黑" w:cs="宋体"/>
                <w:b/>
                <w:bCs/>
                <w:kern w:val="0"/>
                <w:sz w:val="24"/>
                <w:szCs w:val="24"/>
              </w:rPr>
              <w:t>人口</w:t>
            </w:r>
          </w:p>
        </w:tc>
        <w:tc>
          <w:tcPr>
            <w:tcW w:w="857" w:type="pct"/>
            <w:tcMar>
              <w:top w:w="56" w:type="dxa"/>
              <w:left w:w="56" w:type="dxa"/>
              <w:bottom w:w="56" w:type="dxa"/>
              <w:right w:w="56" w:type="dxa"/>
            </w:tcMar>
            <w:hideMark/>
          </w:tcPr>
          <w:p w14:paraId="2693A68F" w14:textId="77777777" w:rsidR="001063B2" w:rsidRPr="001063B2" w:rsidRDefault="001063B2" w:rsidP="001063B2">
            <w:pPr>
              <w:widowControl/>
              <w:rPr>
                <w:rFonts w:ascii="微软雅黑" w:eastAsia="微软雅黑" w:hAnsi="微软雅黑" w:cs="宋体"/>
                <w:b/>
                <w:bCs/>
                <w:kern w:val="0"/>
                <w:sz w:val="24"/>
                <w:szCs w:val="24"/>
              </w:rPr>
            </w:pPr>
            <w:r w:rsidRPr="001063B2">
              <w:rPr>
                <w:rFonts w:ascii="微软雅黑" w:eastAsia="微软雅黑" w:hAnsi="微软雅黑" w:cs="宋体"/>
                <w:b/>
                <w:bCs/>
                <w:kern w:val="0"/>
                <w:sz w:val="24"/>
                <w:szCs w:val="24"/>
              </w:rPr>
              <w:t>治疗组</w:t>
            </w:r>
          </w:p>
        </w:tc>
        <w:tc>
          <w:tcPr>
            <w:tcW w:w="374" w:type="pct"/>
            <w:tcMar>
              <w:top w:w="56" w:type="dxa"/>
              <w:left w:w="56" w:type="dxa"/>
              <w:bottom w:w="56" w:type="dxa"/>
              <w:right w:w="56" w:type="dxa"/>
            </w:tcMar>
            <w:hideMark/>
          </w:tcPr>
          <w:p w14:paraId="096989E1" w14:textId="77777777" w:rsidR="001063B2" w:rsidRPr="001063B2" w:rsidRDefault="001063B2" w:rsidP="001063B2">
            <w:pPr>
              <w:widowControl/>
              <w:rPr>
                <w:rFonts w:ascii="微软雅黑" w:eastAsia="微软雅黑" w:hAnsi="微软雅黑" w:cs="宋体"/>
                <w:b/>
                <w:bCs/>
                <w:kern w:val="0"/>
                <w:sz w:val="24"/>
                <w:szCs w:val="24"/>
              </w:rPr>
            </w:pPr>
            <w:r w:rsidRPr="001063B2">
              <w:rPr>
                <w:rFonts w:ascii="微软雅黑" w:eastAsia="微软雅黑" w:hAnsi="微软雅黑" w:cs="宋体"/>
                <w:b/>
                <w:bCs/>
                <w:kern w:val="0"/>
                <w:sz w:val="24"/>
                <w:szCs w:val="24"/>
              </w:rPr>
              <w:t>样本量</w:t>
            </w:r>
          </w:p>
        </w:tc>
        <w:tc>
          <w:tcPr>
            <w:tcW w:w="709" w:type="pct"/>
            <w:tcMar>
              <w:top w:w="56" w:type="dxa"/>
              <w:left w:w="56" w:type="dxa"/>
              <w:bottom w:w="56" w:type="dxa"/>
              <w:right w:w="56" w:type="dxa"/>
            </w:tcMar>
            <w:hideMark/>
          </w:tcPr>
          <w:p w14:paraId="30DB2C9E" w14:textId="77777777" w:rsidR="001063B2" w:rsidRPr="001063B2" w:rsidRDefault="001063B2" w:rsidP="001063B2">
            <w:pPr>
              <w:widowControl/>
              <w:rPr>
                <w:rFonts w:ascii="微软雅黑" w:eastAsia="微软雅黑" w:hAnsi="微软雅黑" w:cs="宋体"/>
                <w:b/>
                <w:bCs/>
                <w:kern w:val="0"/>
                <w:sz w:val="24"/>
                <w:szCs w:val="24"/>
              </w:rPr>
            </w:pPr>
            <w:r w:rsidRPr="001063B2">
              <w:rPr>
                <w:rFonts w:ascii="微软雅黑" w:eastAsia="微软雅黑" w:hAnsi="微软雅黑" w:cs="宋体"/>
                <w:b/>
                <w:bCs/>
                <w:kern w:val="0"/>
                <w:sz w:val="24"/>
                <w:szCs w:val="24"/>
              </w:rPr>
              <w:t>主要结局</w:t>
            </w:r>
            <w:r w:rsidRPr="001063B2">
              <w:rPr>
                <w:rFonts w:ascii="微软雅黑" w:eastAsia="微软雅黑" w:hAnsi="微软雅黑" w:cs="宋体"/>
                <w:b/>
                <w:bCs/>
                <w:kern w:val="0"/>
                <w:sz w:val="24"/>
                <w:szCs w:val="24"/>
              </w:rPr>
              <w:br/>
              <w:t>（实验组 vs. 对照组）</w:t>
            </w:r>
            <w:r w:rsidRPr="001063B2">
              <w:rPr>
                <w:rFonts w:ascii="微软雅黑" w:eastAsia="微软雅黑" w:hAnsi="微软雅黑" w:cs="宋体"/>
                <w:b/>
                <w:bCs/>
                <w:kern w:val="0"/>
                <w:sz w:val="24"/>
                <w:szCs w:val="24"/>
              </w:rPr>
              <w:br/>
              <w:t>HR（95% CI）</w:t>
            </w:r>
          </w:p>
        </w:tc>
      </w:tr>
      <w:tr w:rsidR="00CB7F59" w:rsidRPr="00CB7F59" w14:paraId="6F2C30B6" w14:textId="77777777" w:rsidTr="001063B2">
        <w:trPr>
          <w:tblCellSpacing w:w="15" w:type="dxa"/>
        </w:trPr>
        <w:tc>
          <w:tcPr>
            <w:tcW w:w="861" w:type="pct"/>
            <w:tcMar>
              <w:top w:w="56" w:type="dxa"/>
              <w:left w:w="56" w:type="dxa"/>
              <w:bottom w:w="56" w:type="dxa"/>
              <w:right w:w="56" w:type="dxa"/>
            </w:tcMar>
            <w:hideMark/>
          </w:tcPr>
          <w:p w14:paraId="635B284E"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b/>
                <w:bCs/>
                <w:kern w:val="0"/>
                <w:sz w:val="24"/>
                <w:szCs w:val="24"/>
              </w:rPr>
              <w:t>MONALEESA-2</w:t>
            </w:r>
          </w:p>
        </w:tc>
        <w:tc>
          <w:tcPr>
            <w:tcW w:w="176" w:type="pct"/>
            <w:tcMar>
              <w:top w:w="56" w:type="dxa"/>
              <w:left w:w="56" w:type="dxa"/>
              <w:bottom w:w="56" w:type="dxa"/>
              <w:right w:w="56" w:type="dxa"/>
            </w:tcMar>
            <w:hideMark/>
          </w:tcPr>
          <w:p w14:paraId="3B261AF1"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三</w:t>
            </w:r>
          </w:p>
        </w:tc>
        <w:tc>
          <w:tcPr>
            <w:tcW w:w="244" w:type="pct"/>
            <w:tcMar>
              <w:top w:w="56" w:type="dxa"/>
              <w:left w:w="56" w:type="dxa"/>
              <w:bottom w:w="56" w:type="dxa"/>
              <w:right w:w="56" w:type="dxa"/>
            </w:tcMar>
            <w:hideMark/>
          </w:tcPr>
          <w:p w14:paraId="3FE46AE4"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晚期或转移性</w:t>
            </w:r>
          </w:p>
        </w:tc>
        <w:tc>
          <w:tcPr>
            <w:tcW w:w="1670" w:type="pct"/>
            <w:tcMar>
              <w:top w:w="56" w:type="dxa"/>
              <w:left w:w="56" w:type="dxa"/>
              <w:bottom w:w="56" w:type="dxa"/>
              <w:right w:w="56" w:type="dxa"/>
            </w:tcMar>
            <w:hideMark/>
          </w:tcPr>
          <w:p w14:paraId="38E5706A"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对AI敏感的绝经后HR阳性/HER2阴性晚期或转移性乳腺癌女性；</w:t>
            </w:r>
            <w:proofErr w:type="gramStart"/>
            <w:r w:rsidRPr="001063B2">
              <w:rPr>
                <w:rFonts w:ascii="微软雅黑" w:eastAsia="微软雅黑" w:hAnsi="微软雅黑" w:cs="宋体"/>
                <w:kern w:val="0"/>
                <w:sz w:val="24"/>
                <w:szCs w:val="24"/>
              </w:rPr>
              <w:t>既往未</w:t>
            </w:r>
            <w:proofErr w:type="gramEnd"/>
            <w:r w:rsidRPr="001063B2">
              <w:rPr>
                <w:rFonts w:ascii="微软雅黑" w:eastAsia="微软雅黑" w:hAnsi="微软雅黑" w:cs="宋体"/>
                <w:kern w:val="0"/>
                <w:sz w:val="24"/>
                <w:szCs w:val="24"/>
              </w:rPr>
              <w:t>接受过ABC全身治疗</w:t>
            </w:r>
          </w:p>
        </w:tc>
        <w:tc>
          <w:tcPr>
            <w:tcW w:w="857" w:type="pct"/>
            <w:tcMar>
              <w:top w:w="56" w:type="dxa"/>
              <w:left w:w="56" w:type="dxa"/>
              <w:bottom w:w="56" w:type="dxa"/>
              <w:right w:w="56" w:type="dxa"/>
            </w:tcMar>
            <w:hideMark/>
          </w:tcPr>
          <w:p w14:paraId="55166634"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瑞博西尼+来曲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br/>
              <w:t>对比来</w:t>
            </w:r>
            <w:r w:rsidRPr="001063B2">
              <w:rPr>
                <w:rFonts w:ascii="微软雅黑" w:eastAsia="微软雅黑" w:hAnsi="微软雅黑" w:cs="宋体"/>
                <w:kern w:val="0"/>
                <w:sz w:val="24"/>
                <w:szCs w:val="24"/>
              </w:rPr>
              <w:br/>
              <w:t>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+安慰剂</w:t>
            </w:r>
          </w:p>
        </w:tc>
        <w:tc>
          <w:tcPr>
            <w:tcW w:w="374" w:type="pct"/>
            <w:tcMar>
              <w:top w:w="56" w:type="dxa"/>
              <w:left w:w="56" w:type="dxa"/>
              <w:bottom w:w="56" w:type="dxa"/>
              <w:right w:w="56" w:type="dxa"/>
            </w:tcMar>
            <w:hideMark/>
          </w:tcPr>
          <w:p w14:paraId="575BAE9C"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668</w:t>
            </w:r>
          </w:p>
        </w:tc>
        <w:tc>
          <w:tcPr>
            <w:tcW w:w="709" w:type="pct"/>
            <w:tcMar>
              <w:top w:w="56" w:type="dxa"/>
              <w:left w:w="56" w:type="dxa"/>
              <w:bottom w:w="56" w:type="dxa"/>
              <w:right w:w="56" w:type="dxa"/>
            </w:tcMar>
            <w:hideMark/>
          </w:tcPr>
          <w:p w14:paraId="734668B7"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 xml:space="preserve">PFS 25.3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 xml:space="preserve">月 vs. 16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月</w:t>
            </w:r>
            <w:r w:rsidRPr="001063B2">
              <w:rPr>
                <w:rFonts w:ascii="微软雅黑" w:eastAsia="微软雅黑" w:hAnsi="微软雅黑" w:cs="宋体"/>
                <w:kern w:val="0"/>
                <w:sz w:val="24"/>
                <w:szCs w:val="24"/>
              </w:rPr>
              <w:br/>
              <w:t>（HR 0.568；95% CI 0.457–0.704）</w:t>
            </w:r>
          </w:p>
        </w:tc>
      </w:tr>
      <w:tr w:rsidR="00CB7F59" w:rsidRPr="00CB7F59" w14:paraId="2D1B1533" w14:textId="77777777" w:rsidTr="001063B2">
        <w:trPr>
          <w:tblCellSpacing w:w="15" w:type="dxa"/>
        </w:trPr>
        <w:tc>
          <w:tcPr>
            <w:tcW w:w="861" w:type="pct"/>
            <w:tcMar>
              <w:top w:w="56" w:type="dxa"/>
              <w:left w:w="56" w:type="dxa"/>
              <w:bottom w:w="56" w:type="dxa"/>
              <w:right w:w="56" w:type="dxa"/>
            </w:tcMar>
            <w:hideMark/>
          </w:tcPr>
          <w:p w14:paraId="0D559641"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b/>
                <w:bCs/>
                <w:kern w:val="0"/>
                <w:sz w:val="24"/>
                <w:szCs w:val="24"/>
              </w:rPr>
              <w:t>MONALEESA-3</w:t>
            </w:r>
          </w:p>
        </w:tc>
        <w:tc>
          <w:tcPr>
            <w:tcW w:w="176" w:type="pct"/>
            <w:tcMar>
              <w:top w:w="56" w:type="dxa"/>
              <w:left w:w="56" w:type="dxa"/>
              <w:bottom w:w="56" w:type="dxa"/>
              <w:right w:w="56" w:type="dxa"/>
            </w:tcMar>
            <w:hideMark/>
          </w:tcPr>
          <w:p w14:paraId="2771F0E4"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三</w:t>
            </w:r>
          </w:p>
        </w:tc>
        <w:tc>
          <w:tcPr>
            <w:tcW w:w="244" w:type="pct"/>
            <w:tcMar>
              <w:top w:w="56" w:type="dxa"/>
              <w:left w:w="56" w:type="dxa"/>
              <w:bottom w:w="56" w:type="dxa"/>
              <w:right w:w="56" w:type="dxa"/>
            </w:tcMar>
            <w:hideMark/>
          </w:tcPr>
          <w:p w14:paraId="593313EC"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晚期或</w:t>
            </w:r>
            <w:r w:rsidRPr="001063B2">
              <w:rPr>
                <w:rFonts w:ascii="微软雅黑" w:eastAsia="微软雅黑" w:hAnsi="微软雅黑" w:cs="宋体"/>
                <w:kern w:val="0"/>
                <w:sz w:val="24"/>
                <w:szCs w:val="24"/>
              </w:rPr>
              <w:lastRenderedPageBreak/>
              <w:t>转移性</w:t>
            </w:r>
          </w:p>
        </w:tc>
        <w:tc>
          <w:tcPr>
            <w:tcW w:w="1670" w:type="pct"/>
            <w:tcMar>
              <w:top w:w="56" w:type="dxa"/>
              <w:left w:w="56" w:type="dxa"/>
              <w:bottom w:w="56" w:type="dxa"/>
              <w:right w:w="56" w:type="dxa"/>
            </w:tcMar>
            <w:hideMark/>
          </w:tcPr>
          <w:p w14:paraId="17902E50"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lastRenderedPageBreak/>
              <w:t>对AI敏感/耐药的绝经后HR阳性/HER2阴性晚期或转移性乳</w:t>
            </w:r>
            <w:r w:rsidRPr="001063B2">
              <w:rPr>
                <w:rFonts w:ascii="微软雅黑" w:eastAsia="微软雅黑" w:hAnsi="微软雅黑" w:cs="宋体"/>
                <w:kern w:val="0"/>
                <w:sz w:val="24"/>
                <w:szCs w:val="24"/>
              </w:rPr>
              <w:lastRenderedPageBreak/>
              <w:t>腺癌患者；接受过0-1线内分泌治疗的ABC患者。</w:t>
            </w:r>
          </w:p>
        </w:tc>
        <w:tc>
          <w:tcPr>
            <w:tcW w:w="857" w:type="pct"/>
            <w:tcMar>
              <w:top w:w="56" w:type="dxa"/>
              <w:left w:w="56" w:type="dxa"/>
              <w:bottom w:w="56" w:type="dxa"/>
              <w:right w:w="56" w:type="dxa"/>
            </w:tcMar>
            <w:hideMark/>
          </w:tcPr>
          <w:p w14:paraId="114D63EB"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lastRenderedPageBreak/>
              <w:t>瑞博西尼+</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br/>
              <w:t>对比</w:t>
            </w:r>
            <w:r w:rsidRPr="001063B2">
              <w:rPr>
                <w:rFonts w:ascii="微软雅黑" w:eastAsia="微软雅黑" w:hAnsi="微软雅黑" w:cs="宋体"/>
                <w:kern w:val="0"/>
                <w:sz w:val="24"/>
                <w:szCs w:val="24"/>
              </w:rPr>
              <w:br/>
            </w:r>
            <w:proofErr w:type="gramStart"/>
            <w:r w:rsidRPr="001063B2">
              <w:rPr>
                <w:rFonts w:ascii="微软雅黑" w:eastAsia="微软雅黑" w:hAnsi="微软雅黑" w:cs="宋体"/>
                <w:kern w:val="0"/>
                <w:sz w:val="24"/>
                <w:szCs w:val="24"/>
              </w:rPr>
              <w:lastRenderedPageBreak/>
              <w:t>氟维司群</w:t>
            </w:r>
            <w:proofErr w:type="gramEnd"/>
            <w:r w:rsidRPr="001063B2">
              <w:rPr>
                <w:rFonts w:ascii="微软雅黑" w:eastAsia="微软雅黑" w:hAnsi="微软雅黑" w:cs="宋体"/>
                <w:kern w:val="0"/>
                <w:sz w:val="24"/>
                <w:szCs w:val="24"/>
              </w:rPr>
              <w:t>+安慰剂</w:t>
            </w:r>
          </w:p>
        </w:tc>
        <w:tc>
          <w:tcPr>
            <w:tcW w:w="374" w:type="pct"/>
            <w:tcMar>
              <w:top w:w="56" w:type="dxa"/>
              <w:left w:w="56" w:type="dxa"/>
              <w:bottom w:w="56" w:type="dxa"/>
              <w:right w:w="56" w:type="dxa"/>
            </w:tcMar>
            <w:hideMark/>
          </w:tcPr>
          <w:p w14:paraId="60FEF254"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lastRenderedPageBreak/>
              <w:t>726</w:t>
            </w:r>
          </w:p>
        </w:tc>
        <w:tc>
          <w:tcPr>
            <w:tcW w:w="709" w:type="pct"/>
            <w:tcMar>
              <w:top w:w="56" w:type="dxa"/>
              <w:left w:w="56" w:type="dxa"/>
              <w:bottom w:w="56" w:type="dxa"/>
              <w:right w:w="56" w:type="dxa"/>
            </w:tcMar>
            <w:hideMark/>
          </w:tcPr>
          <w:p w14:paraId="2FA3770E"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 xml:space="preserve">PFS 20.5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 xml:space="preserve">月 vs. </w:t>
            </w:r>
            <w:r w:rsidRPr="001063B2">
              <w:rPr>
                <w:rFonts w:ascii="微软雅黑" w:eastAsia="微软雅黑" w:hAnsi="微软雅黑" w:cs="宋体"/>
                <w:kern w:val="0"/>
                <w:sz w:val="24"/>
                <w:szCs w:val="24"/>
              </w:rPr>
              <w:lastRenderedPageBreak/>
              <w:t xml:space="preserve">12.8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月</w:t>
            </w:r>
            <w:r w:rsidRPr="001063B2">
              <w:rPr>
                <w:rFonts w:ascii="微软雅黑" w:eastAsia="微软雅黑" w:hAnsi="微软雅黑" w:cs="宋体"/>
                <w:kern w:val="0"/>
                <w:sz w:val="24"/>
                <w:szCs w:val="24"/>
              </w:rPr>
              <w:br/>
              <w:t>（HR 0.593；95% CI 0.480–0.732）</w:t>
            </w:r>
          </w:p>
        </w:tc>
      </w:tr>
      <w:tr w:rsidR="00CB7F59" w:rsidRPr="00CB7F59" w14:paraId="7069AB8C" w14:textId="77777777" w:rsidTr="001063B2">
        <w:trPr>
          <w:tblCellSpacing w:w="15" w:type="dxa"/>
        </w:trPr>
        <w:tc>
          <w:tcPr>
            <w:tcW w:w="861" w:type="pct"/>
            <w:tcMar>
              <w:top w:w="56" w:type="dxa"/>
              <w:left w:w="56" w:type="dxa"/>
              <w:bottom w:w="56" w:type="dxa"/>
              <w:right w:w="56" w:type="dxa"/>
            </w:tcMar>
            <w:hideMark/>
          </w:tcPr>
          <w:p w14:paraId="03091973"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b/>
                <w:bCs/>
                <w:kern w:val="0"/>
                <w:sz w:val="24"/>
                <w:szCs w:val="24"/>
              </w:rPr>
              <w:lastRenderedPageBreak/>
              <w:t>MONALEESA-7</w:t>
            </w:r>
          </w:p>
        </w:tc>
        <w:tc>
          <w:tcPr>
            <w:tcW w:w="176" w:type="pct"/>
            <w:tcMar>
              <w:top w:w="56" w:type="dxa"/>
              <w:left w:w="56" w:type="dxa"/>
              <w:bottom w:w="56" w:type="dxa"/>
              <w:right w:w="56" w:type="dxa"/>
            </w:tcMar>
            <w:hideMark/>
          </w:tcPr>
          <w:p w14:paraId="0F22150A"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三</w:t>
            </w:r>
          </w:p>
        </w:tc>
        <w:tc>
          <w:tcPr>
            <w:tcW w:w="244" w:type="pct"/>
            <w:tcMar>
              <w:top w:w="56" w:type="dxa"/>
              <w:left w:w="56" w:type="dxa"/>
              <w:bottom w:w="56" w:type="dxa"/>
              <w:right w:w="56" w:type="dxa"/>
            </w:tcMar>
            <w:hideMark/>
          </w:tcPr>
          <w:p w14:paraId="298DE652"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晚期或转移性</w:t>
            </w:r>
          </w:p>
        </w:tc>
        <w:tc>
          <w:tcPr>
            <w:tcW w:w="1670" w:type="pct"/>
            <w:tcMar>
              <w:top w:w="56" w:type="dxa"/>
              <w:left w:w="56" w:type="dxa"/>
              <w:bottom w:w="56" w:type="dxa"/>
              <w:right w:w="56" w:type="dxa"/>
            </w:tcMar>
            <w:hideMark/>
          </w:tcPr>
          <w:p w14:paraId="43C99F6C"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对AI敏感的围绝经期/绝经前女性，HR阳性/HER2阴性，晚期或转移性乳腺癌；</w:t>
            </w:r>
            <w:proofErr w:type="gramStart"/>
            <w:r w:rsidRPr="001063B2">
              <w:rPr>
                <w:rFonts w:ascii="微软雅黑" w:eastAsia="微软雅黑" w:hAnsi="微软雅黑" w:cs="宋体"/>
                <w:kern w:val="0"/>
                <w:sz w:val="24"/>
                <w:szCs w:val="24"/>
              </w:rPr>
              <w:t>既往未</w:t>
            </w:r>
            <w:proofErr w:type="gramEnd"/>
            <w:r w:rsidRPr="001063B2">
              <w:rPr>
                <w:rFonts w:ascii="微软雅黑" w:eastAsia="微软雅黑" w:hAnsi="微软雅黑" w:cs="宋体"/>
                <w:kern w:val="0"/>
                <w:sz w:val="24"/>
                <w:szCs w:val="24"/>
              </w:rPr>
              <w:t>接受过内分泌</w:t>
            </w:r>
            <w:r w:rsidRPr="001063B2">
              <w:rPr>
                <w:rFonts w:ascii="微软雅黑" w:eastAsia="微软雅黑" w:hAnsi="微软雅黑" w:cs="宋体"/>
                <w:kern w:val="0"/>
                <w:sz w:val="24"/>
                <w:szCs w:val="24"/>
              </w:rPr>
              <w:lastRenderedPageBreak/>
              <w:t>治疗，且接受过至多1线化疗治疗ABC。</w:t>
            </w:r>
          </w:p>
        </w:tc>
        <w:tc>
          <w:tcPr>
            <w:tcW w:w="857" w:type="pct"/>
            <w:tcMar>
              <w:top w:w="56" w:type="dxa"/>
              <w:left w:w="56" w:type="dxa"/>
              <w:bottom w:w="56" w:type="dxa"/>
              <w:right w:w="56" w:type="dxa"/>
            </w:tcMar>
            <w:hideMark/>
          </w:tcPr>
          <w:p w14:paraId="28F5BE97"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lastRenderedPageBreak/>
              <w:t>瑞博西尼+他</w:t>
            </w:r>
            <w:proofErr w:type="gramStart"/>
            <w:r w:rsidRPr="001063B2">
              <w:rPr>
                <w:rFonts w:ascii="微软雅黑" w:eastAsia="微软雅黑" w:hAnsi="微软雅黑" w:cs="宋体"/>
                <w:kern w:val="0"/>
                <w:sz w:val="24"/>
                <w:szCs w:val="24"/>
              </w:rPr>
              <w:t>莫昔芬</w:t>
            </w:r>
            <w:proofErr w:type="gramEnd"/>
            <w:r w:rsidRPr="001063B2">
              <w:rPr>
                <w:rFonts w:ascii="微软雅黑" w:eastAsia="微软雅黑" w:hAnsi="微软雅黑" w:cs="宋体"/>
                <w:kern w:val="0"/>
                <w:sz w:val="24"/>
                <w:szCs w:val="24"/>
              </w:rPr>
              <w:t>/非</w:t>
            </w:r>
            <w:proofErr w:type="gramStart"/>
            <w:r w:rsidRPr="001063B2">
              <w:rPr>
                <w:rFonts w:ascii="微软雅黑" w:eastAsia="微软雅黑" w:hAnsi="微软雅黑" w:cs="宋体"/>
                <w:kern w:val="0"/>
                <w:sz w:val="24"/>
                <w:szCs w:val="24"/>
              </w:rPr>
              <w:t>甾</w:t>
            </w:r>
            <w:proofErr w:type="gramEnd"/>
            <w:r w:rsidRPr="001063B2">
              <w:rPr>
                <w:rFonts w:ascii="微软雅黑" w:eastAsia="微软雅黑" w:hAnsi="微软雅黑" w:cs="宋体"/>
                <w:kern w:val="0"/>
                <w:sz w:val="24"/>
                <w:szCs w:val="24"/>
              </w:rPr>
              <w:t>体抗炎药</w:t>
            </w:r>
            <w:r w:rsidRPr="001063B2">
              <w:rPr>
                <w:rFonts w:ascii="微软雅黑" w:eastAsia="微软雅黑" w:hAnsi="微软雅黑" w:cs="宋体"/>
                <w:kern w:val="0"/>
                <w:sz w:val="24"/>
                <w:szCs w:val="24"/>
              </w:rPr>
              <w:br/>
              <w:t>对比</w:t>
            </w:r>
            <w:r w:rsidRPr="001063B2">
              <w:rPr>
                <w:rFonts w:ascii="微软雅黑" w:eastAsia="微软雅黑" w:hAnsi="微软雅黑" w:cs="宋体"/>
                <w:kern w:val="0"/>
                <w:sz w:val="24"/>
                <w:szCs w:val="24"/>
              </w:rPr>
              <w:br/>
              <w:t>他</w:t>
            </w:r>
            <w:proofErr w:type="gramStart"/>
            <w:r w:rsidRPr="001063B2">
              <w:rPr>
                <w:rFonts w:ascii="微软雅黑" w:eastAsia="微软雅黑" w:hAnsi="微软雅黑" w:cs="宋体"/>
                <w:kern w:val="0"/>
                <w:sz w:val="24"/>
                <w:szCs w:val="24"/>
              </w:rPr>
              <w:t>莫昔芬或</w:t>
            </w:r>
            <w:r w:rsidRPr="001063B2">
              <w:rPr>
                <w:rFonts w:ascii="微软雅黑" w:eastAsia="微软雅黑" w:hAnsi="微软雅黑" w:cs="宋体"/>
                <w:kern w:val="0"/>
                <w:sz w:val="24"/>
                <w:szCs w:val="24"/>
              </w:rPr>
              <w:lastRenderedPageBreak/>
              <w:t>非甾</w:t>
            </w:r>
            <w:proofErr w:type="gramEnd"/>
            <w:r w:rsidRPr="001063B2">
              <w:rPr>
                <w:rFonts w:ascii="微软雅黑" w:eastAsia="微软雅黑" w:hAnsi="微软雅黑" w:cs="宋体"/>
                <w:kern w:val="0"/>
                <w:sz w:val="24"/>
                <w:szCs w:val="24"/>
              </w:rPr>
              <w:t>体抗炎药+安慰剂</w:t>
            </w:r>
          </w:p>
        </w:tc>
        <w:tc>
          <w:tcPr>
            <w:tcW w:w="374" w:type="pct"/>
            <w:tcMar>
              <w:top w:w="56" w:type="dxa"/>
              <w:left w:w="56" w:type="dxa"/>
              <w:bottom w:w="56" w:type="dxa"/>
              <w:right w:w="56" w:type="dxa"/>
            </w:tcMar>
            <w:hideMark/>
          </w:tcPr>
          <w:p w14:paraId="769D5DDA"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lastRenderedPageBreak/>
              <w:t>672</w:t>
            </w:r>
          </w:p>
        </w:tc>
        <w:tc>
          <w:tcPr>
            <w:tcW w:w="709" w:type="pct"/>
            <w:tcMar>
              <w:top w:w="56" w:type="dxa"/>
              <w:left w:w="56" w:type="dxa"/>
              <w:bottom w:w="56" w:type="dxa"/>
              <w:right w:w="56" w:type="dxa"/>
            </w:tcMar>
            <w:hideMark/>
          </w:tcPr>
          <w:p w14:paraId="0E265A7A"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 xml:space="preserve">PFS 23.8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 xml:space="preserve">月 vs. 13.3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月</w:t>
            </w:r>
            <w:r w:rsidRPr="001063B2">
              <w:rPr>
                <w:rFonts w:ascii="微软雅黑" w:eastAsia="微软雅黑" w:hAnsi="微软雅黑" w:cs="宋体"/>
                <w:kern w:val="0"/>
                <w:sz w:val="24"/>
                <w:szCs w:val="24"/>
              </w:rPr>
              <w:br/>
              <w:t xml:space="preserve">（HR </w:t>
            </w:r>
            <w:r w:rsidRPr="001063B2">
              <w:rPr>
                <w:rFonts w:ascii="微软雅黑" w:eastAsia="微软雅黑" w:hAnsi="微软雅黑" w:cs="宋体"/>
                <w:kern w:val="0"/>
                <w:sz w:val="24"/>
                <w:szCs w:val="24"/>
              </w:rPr>
              <w:lastRenderedPageBreak/>
              <w:t>0.553：95% CI 0.441–0.694）</w:t>
            </w:r>
          </w:p>
        </w:tc>
      </w:tr>
      <w:tr w:rsidR="00CB7F59" w:rsidRPr="00CB7F59" w14:paraId="103123BC" w14:textId="77777777" w:rsidTr="001063B2">
        <w:trPr>
          <w:tblCellSpacing w:w="15" w:type="dxa"/>
        </w:trPr>
        <w:tc>
          <w:tcPr>
            <w:tcW w:w="861" w:type="pct"/>
            <w:tcMar>
              <w:top w:w="56" w:type="dxa"/>
              <w:left w:w="56" w:type="dxa"/>
              <w:bottom w:w="56" w:type="dxa"/>
              <w:right w:w="56" w:type="dxa"/>
            </w:tcMar>
            <w:hideMark/>
          </w:tcPr>
          <w:p w14:paraId="20E700AA"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b/>
                <w:bCs/>
                <w:kern w:val="0"/>
                <w:sz w:val="24"/>
                <w:szCs w:val="24"/>
              </w:rPr>
              <w:lastRenderedPageBreak/>
              <w:t>君主-2</w:t>
            </w:r>
          </w:p>
        </w:tc>
        <w:tc>
          <w:tcPr>
            <w:tcW w:w="176" w:type="pct"/>
            <w:tcMar>
              <w:top w:w="56" w:type="dxa"/>
              <w:left w:w="56" w:type="dxa"/>
              <w:bottom w:w="56" w:type="dxa"/>
              <w:right w:w="56" w:type="dxa"/>
            </w:tcMar>
            <w:hideMark/>
          </w:tcPr>
          <w:p w14:paraId="59113553"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三</w:t>
            </w:r>
          </w:p>
        </w:tc>
        <w:tc>
          <w:tcPr>
            <w:tcW w:w="244" w:type="pct"/>
            <w:tcMar>
              <w:top w:w="56" w:type="dxa"/>
              <w:left w:w="56" w:type="dxa"/>
              <w:bottom w:w="56" w:type="dxa"/>
              <w:right w:w="56" w:type="dxa"/>
            </w:tcMar>
            <w:hideMark/>
          </w:tcPr>
          <w:p w14:paraId="04379A81"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晚期或转移性</w:t>
            </w:r>
          </w:p>
        </w:tc>
        <w:tc>
          <w:tcPr>
            <w:tcW w:w="1670" w:type="pct"/>
            <w:tcMar>
              <w:top w:w="56" w:type="dxa"/>
              <w:left w:w="56" w:type="dxa"/>
              <w:bottom w:w="56" w:type="dxa"/>
              <w:right w:w="56" w:type="dxa"/>
            </w:tcMar>
            <w:hideMark/>
          </w:tcPr>
          <w:p w14:paraId="642F092C"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对芳香化酶抑制剂（AI）耐药的绝经前/后女性，HR阳性/HER2阴性晚期乳腺癌，经内分泌治疗（ET）后病情进展；</w:t>
            </w:r>
            <w:proofErr w:type="gramStart"/>
            <w:r w:rsidRPr="001063B2">
              <w:rPr>
                <w:rFonts w:ascii="微软雅黑" w:eastAsia="微软雅黑" w:hAnsi="微软雅黑" w:cs="宋体"/>
                <w:kern w:val="0"/>
                <w:sz w:val="24"/>
                <w:szCs w:val="24"/>
              </w:rPr>
              <w:t>既往未</w:t>
            </w:r>
            <w:proofErr w:type="gramEnd"/>
            <w:r w:rsidRPr="001063B2">
              <w:rPr>
                <w:rFonts w:ascii="微软雅黑" w:eastAsia="微软雅黑" w:hAnsi="微软雅黑" w:cs="宋体"/>
                <w:kern w:val="0"/>
                <w:sz w:val="24"/>
                <w:szCs w:val="24"/>
              </w:rPr>
              <w:t>接受过ABC相关化疗。</w:t>
            </w:r>
          </w:p>
        </w:tc>
        <w:tc>
          <w:tcPr>
            <w:tcW w:w="857" w:type="pct"/>
            <w:tcMar>
              <w:top w:w="56" w:type="dxa"/>
              <w:left w:w="56" w:type="dxa"/>
              <w:bottom w:w="56" w:type="dxa"/>
              <w:right w:w="56" w:type="dxa"/>
            </w:tcMar>
            <w:hideMark/>
          </w:tcPr>
          <w:p w14:paraId="7B7FD3AB"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阿贝西利+</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br/>
              <w:t>对比</w:t>
            </w:r>
            <w:r w:rsidRPr="001063B2">
              <w:rPr>
                <w:rFonts w:ascii="微软雅黑" w:eastAsia="微软雅黑" w:hAnsi="微软雅黑" w:cs="宋体"/>
                <w:kern w:val="0"/>
                <w:sz w:val="24"/>
                <w:szCs w:val="24"/>
              </w:rPr>
              <w:br/>
              <w:t>安慰剂+</w:t>
            </w:r>
            <w:proofErr w:type="gramStart"/>
            <w:r w:rsidRPr="001063B2">
              <w:rPr>
                <w:rFonts w:ascii="微软雅黑" w:eastAsia="微软雅黑" w:hAnsi="微软雅黑" w:cs="宋体"/>
                <w:kern w:val="0"/>
                <w:sz w:val="24"/>
                <w:szCs w:val="24"/>
              </w:rPr>
              <w:t>氟维司群</w:t>
            </w:r>
            <w:proofErr w:type="gramEnd"/>
          </w:p>
        </w:tc>
        <w:tc>
          <w:tcPr>
            <w:tcW w:w="374" w:type="pct"/>
            <w:tcMar>
              <w:top w:w="56" w:type="dxa"/>
              <w:left w:w="56" w:type="dxa"/>
              <w:bottom w:w="56" w:type="dxa"/>
              <w:right w:w="56" w:type="dxa"/>
            </w:tcMar>
            <w:hideMark/>
          </w:tcPr>
          <w:p w14:paraId="71E83C88"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669</w:t>
            </w:r>
          </w:p>
        </w:tc>
        <w:tc>
          <w:tcPr>
            <w:tcW w:w="709" w:type="pct"/>
            <w:tcMar>
              <w:top w:w="56" w:type="dxa"/>
              <w:left w:w="56" w:type="dxa"/>
              <w:bottom w:w="56" w:type="dxa"/>
              <w:right w:w="56" w:type="dxa"/>
            </w:tcMar>
            <w:hideMark/>
          </w:tcPr>
          <w:p w14:paraId="75671F85"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 xml:space="preserve">PFS 16.4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 xml:space="preserve">月 vs. 9.3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月</w:t>
            </w:r>
            <w:r w:rsidRPr="001063B2">
              <w:rPr>
                <w:rFonts w:ascii="微软雅黑" w:eastAsia="微软雅黑" w:hAnsi="微软雅黑" w:cs="宋体"/>
                <w:kern w:val="0"/>
                <w:sz w:val="24"/>
                <w:szCs w:val="24"/>
              </w:rPr>
              <w:br/>
              <w:t xml:space="preserve">（HR 0.553；95% CI </w:t>
            </w:r>
            <w:r w:rsidRPr="001063B2">
              <w:rPr>
                <w:rFonts w:ascii="微软雅黑" w:eastAsia="微软雅黑" w:hAnsi="微软雅黑" w:cs="宋体"/>
                <w:kern w:val="0"/>
                <w:sz w:val="24"/>
                <w:szCs w:val="24"/>
              </w:rPr>
              <w:lastRenderedPageBreak/>
              <w:t>0.449–0.681）</w:t>
            </w:r>
          </w:p>
        </w:tc>
      </w:tr>
      <w:tr w:rsidR="00CB7F59" w:rsidRPr="00CB7F59" w14:paraId="394AA331" w14:textId="77777777" w:rsidTr="001063B2">
        <w:trPr>
          <w:tblCellSpacing w:w="15" w:type="dxa"/>
        </w:trPr>
        <w:tc>
          <w:tcPr>
            <w:tcW w:w="861" w:type="pct"/>
            <w:tcMar>
              <w:top w:w="56" w:type="dxa"/>
              <w:left w:w="56" w:type="dxa"/>
              <w:bottom w:w="56" w:type="dxa"/>
              <w:right w:w="56" w:type="dxa"/>
            </w:tcMar>
            <w:hideMark/>
          </w:tcPr>
          <w:p w14:paraId="4834A4DC"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b/>
                <w:bCs/>
                <w:kern w:val="0"/>
                <w:sz w:val="24"/>
                <w:szCs w:val="24"/>
              </w:rPr>
              <w:lastRenderedPageBreak/>
              <w:t>君主-3</w:t>
            </w:r>
          </w:p>
        </w:tc>
        <w:tc>
          <w:tcPr>
            <w:tcW w:w="176" w:type="pct"/>
            <w:tcMar>
              <w:top w:w="56" w:type="dxa"/>
              <w:left w:w="56" w:type="dxa"/>
              <w:bottom w:w="56" w:type="dxa"/>
              <w:right w:w="56" w:type="dxa"/>
            </w:tcMar>
            <w:hideMark/>
          </w:tcPr>
          <w:p w14:paraId="26A5634A"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三</w:t>
            </w:r>
          </w:p>
        </w:tc>
        <w:tc>
          <w:tcPr>
            <w:tcW w:w="244" w:type="pct"/>
            <w:tcMar>
              <w:top w:w="56" w:type="dxa"/>
              <w:left w:w="56" w:type="dxa"/>
              <w:bottom w:w="56" w:type="dxa"/>
              <w:right w:w="56" w:type="dxa"/>
            </w:tcMar>
            <w:hideMark/>
          </w:tcPr>
          <w:p w14:paraId="31DEDFC8"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晚期或转移性</w:t>
            </w:r>
          </w:p>
        </w:tc>
        <w:tc>
          <w:tcPr>
            <w:tcW w:w="1670" w:type="pct"/>
            <w:tcMar>
              <w:top w:w="56" w:type="dxa"/>
              <w:left w:w="56" w:type="dxa"/>
              <w:bottom w:w="56" w:type="dxa"/>
              <w:right w:w="56" w:type="dxa"/>
            </w:tcMar>
            <w:hideMark/>
          </w:tcPr>
          <w:p w14:paraId="4E3BC396"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对AI敏感的绝经后HR阳性/HER2阴性晚期或转移性乳腺癌女性；</w:t>
            </w:r>
            <w:proofErr w:type="gramStart"/>
            <w:r w:rsidRPr="001063B2">
              <w:rPr>
                <w:rFonts w:ascii="微软雅黑" w:eastAsia="微软雅黑" w:hAnsi="微软雅黑" w:cs="宋体"/>
                <w:kern w:val="0"/>
                <w:sz w:val="24"/>
                <w:szCs w:val="24"/>
              </w:rPr>
              <w:t>既往未</w:t>
            </w:r>
            <w:proofErr w:type="gramEnd"/>
            <w:r w:rsidRPr="001063B2">
              <w:rPr>
                <w:rFonts w:ascii="微软雅黑" w:eastAsia="微软雅黑" w:hAnsi="微软雅黑" w:cs="宋体"/>
                <w:kern w:val="0"/>
                <w:sz w:val="24"/>
                <w:szCs w:val="24"/>
              </w:rPr>
              <w:t>接受过ABC全身治疗</w:t>
            </w:r>
          </w:p>
        </w:tc>
        <w:tc>
          <w:tcPr>
            <w:tcW w:w="857" w:type="pct"/>
            <w:tcMar>
              <w:top w:w="56" w:type="dxa"/>
              <w:left w:w="56" w:type="dxa"/>
              <w:bottom w:w="56" w:type="dxa"/>
              <w:right w:w="56" w:type="dxa"/>
            </w:tcMar>
            <w:hideMark/>
          </w:tcPr>
          <w:p w14:paraId="65CB39B7" w14:textId="77777777" w:rsidR="001063B2" w:rsidRPr="001063B2" w:rsidRDefault="001063B2" w:rsidP="001063B2">
            <w:pPr>
              <w:widowControl/>
              <w:rPr>
                <w:rFonts w:ascii="微软雅黑" w:eastAsia="微软雅黑" w:hAnsi="微软雅黑" w:cs="宋体"/>
                <w:kern w:val="0"/>
                <w:sz w:val="24"/>
                <w:szCs w:val="24"/>
              </w:rPr>
            </w:pPr>
            <w:proofErr w:type="spellStart"/>
            <w:r w:rsidRPr="001063B2">
              <w:rPr>
                <w:rFonts w:ascii="微软雅黑" w:eastAsia="微软雅黑" w:hAnsi="微软雅黑" w:cs="宋体"/>
                <w:kern w:val="0"/>
                <w:sz w:val="24"/>
                <w:szCs w:val="24"/>
              </w:rPr>
              <w:t>Abemaciclib</w:t>
            </w:r>
            <w:proofErr w:type="spellEnd"/>
            <w:r w:rsidRPr="001063B2">
              <w:rPr>
                <w:rFonts w:ascii="微软雅黑" w:eastAsia="微软雅黑" w:hAnsi="微软雅黑" w:cs="宋体"/>
                <w:kern w:val="0"/>
                <w:sz w:val="24"/>
                <w:szCs w:val="24"/>
              </w:rPr>
              <w:t xml:space="preserve"> + NSAI</w:t>
            </w:r>
            <w:r w:rsidRPr="001063B2">
              <w:rPr>
                <w:rFonts w:ascii="微软雅黑" w:eastAsia="微软雅黑" w:hAnsi="微软雅黑" w:cs="宋体"/>
                <w:kern w:val="0"/>
                <w:sz w:val="24"/>
                <w:szCs w:val="24"/>
              </w:rPr>
              <w:br/>
              <w:t>与</w:t>
            </w:r>
            <w:r w:rsidRPr="001063B2">
              <w:rPr>
                <w:rFonts w:ascii="微软雅黑" w:eastAsia="微软雅黑" w:hAnsi="微软雅黑" w:cs="宋体"/>
                <w:kern w:val="0"/>
                <w:sz w:val="24"/>
                <w:szCs w:val="24"/>
              </w:rPr>
              <w:br/>
              <w:t>安慰剂 + NSAI</w:t>
            </w:r>
          </w:p>
        </w:tc>
        <w:tc>
          <w:tcPr>
            <w:tcW w:w="374" w:type="pct"/>
            <w:tcMar>
              <w:top w:w="56" w:type="dxa"/>
              <w:left w:w="56" w:type="dxa"/>
              <w:bottom w:w="56" w:type="dxa"/>
              <w:right w:w="56" w:type="dxa"/>
            </w:tcMar>
            <w:hideMark/>
          </w:tcPr>
          <w:p w14:paraId="407214B8"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493</w:t>
            </w:r>
          </w:p>
        </w:tc>
        <w:tc>
          <w:tcPr>
            <w:tcW w:w="709" w:type="pct"/>
            <w:tcMar>
              <w:top w:w="56" w:type="dxa"/>
              <w:left w:w="56" w:type="dxa"/>
              <w:bottom w:w="56" w:type="dxa"/>
              <w:right w:w="56" w:type="dxa"/>
            </w:tcMar>
            <w:hideMark/>
          </w:tcPr>
          <w:p w14:paraId="7391BE9E"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 xml:space="preserve">PFS 28.1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 xml:space="preserve">月 vs. 14.7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月</w:t>
            </w:r>
            <w:r w:rsidRPr="001063B2">
              <w:rPr>
                <w:rFonts w:ascii="微软雅黑" w:eastAsia="微软雅黑" w:hAnsi="微软雅黑" w:cs="宋体"/>
                <w:kern w:val="0"/>
                <w:sz w:val="24"/>
                <w:szCs w:val="24"/>
              </w:rPr>
              <w:br/>
              <w:t>（HR 0.540；CI 0.418–0.698）</w:t>
            </w:r>
          </w:p>
        </w:tc>
      </w:tr>
      <w:tr w:rsidR="00CB7F59" w:rsidRPr="00CB7F59" w14:paraId="3BB40241" w14:textId="77777777" w:rsidTr="001063B2">
        <w:trPr>
          <w:tblCellSpacing w:w="15" w:type="dxa"/>
        </w:trPr>
        <w:tc>
          <w:tcPr>
            <w:tcW w:w="861" w:type="pct"/>
            <w:tcMar>
              <w:top w:w="56" w:type="dxa"/>
              <w:left w:w="56" w:type="dxa"/>
              <w:bottom w:w="56" w:type="dxa"/>
              <w:right w:w="56" w:type="dxa"/>
            </w:tcMar>
            <w:hideMark/>
          </w:tcPr>
          <w:p w14:paraId="7F6368F0"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b/>
                <w:bCs/>
                <w:kern w:val="0"/>
                <w:sz w:val="24"/>
                <w:szCs w:val="24"/>
              </w:rPr>
              <w:lastRenderedPageBreak/>
              <w:t>君主雌性</w:t>
            </w:r>
          </w:p>
        </w:tc>
        <w:tc>
          <w:tcPr>
            <w:tcW w:w="176" w:type="pct"/>
            <w:tcMar>
              <w:top w:w="56" w:type="dxa"/>
              <w:left w:w="56" w:type="dxa"/>
              <w:bottom w:w="56" w:type="dxa"/>
              <w:right w:w="56" w:type="dxa"/>
            </w:tcMar>
            <w:hideMark/>
          </w:tcPr>
          <w:p w14:paraId="23BDACBC"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三</w:t>
            </w:r>
          </w:p>
        </w:tc>
        <w:tc>
          <w:tcPr>
            <w:tcW w:w="244" w:type="pct"/>
            <w:tcMar>
              <w:top w:w="56" w:type="dxa"/>
              <w:left w:w="56" w:type="dxa"/>
              <w:bottom w:w="56" w:type="dxa"/>
              <w:right w:w="56" w:type="dxa"/>
            </w:tcMar>
            <w:hideMark/>
          </w:tcPr>
          <w:p w14:paraId="3E98715A"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晚期或转移性</w:t>
            </w:r>
          </w:p>
        </w:tc>
        <w:tc>
          <w:tcPr>
            <w:tcW w:w="1670" w:type="pct"/>
            <w:tcMar>
              <w:top w:w="56" w:type="dxa"/>
              <w:left w:w="56" w:type="dxa"/>
              <w:bottom w:w="56" w:type="dxa"/>
              <w:right w:w="56" w:type="dxa"/>
            </w:tcMar>
            <w:hideMark/>
          </w:tcPr>
          <w:p w14:paraId="7941675A"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绝经后患有HR阳性/HER2阳性局部晚期或转移性乳腺癌且既往接受过至少2种HER2靶</w:t>
            </w:r>
            <w:proofErr w:type="gramStart"/>
            <w:r w:rsidRPr="001063B2">
              <w:rPr>
                <w:rFonts w:ascii="微软雅黑" w:eastAsia="微软雅黑" w:hAnsi="微软雅黑" w:cs="宋体"/>
                <w:kern w:val="0"/>
                <w:sz w:val="24"/>
                <w:szCs w:val="24"/>
              </w:rPr>
              <w:t>向治疗</w:t>
            </w:r>
            <w:proofErr w:type="gramEnd"/>
            <w:r w:rsidRPr="001063B2">
              <w:rPr>
                <w:rFonts w:ascii="微软雅黑" w:eastAsia="微软雅黑" w:hAnsi="微软雅黑" w:cs="宋体"/>
                <w:kern w:val="0"/>
                <w:sz w:val="24"/>
                <w:szCs w:val="24"/>
              </w:rPr>
              <w:t>的晚期疾病患者</w:t>
            </w:r>
          </w:p>
        </w:tc>
        <w:tc>
          <w:tcPr>
            <w:tcW w:w="857" w:type="pct"/>
            <w:tcMar>
              <w:top w:w="56" w:type="dxa"/>
              <w:left w:w="56" w:type="dxa"/>
              <w:bottom w:w="56" w:type="dxa"/>
              <w:right w:w="56" w:type="dxa"/>
            </w:tcMar>
            <w:hideMark/>
          </w:tcPr>
          <w:p w14:paraId="5D26E9D8"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A. 阿贝西利+曲妥珠单抗+氟维司群</w:t>
            </w:r>
            <w:r w:rsidRPr="001063B2">
              <w:rPr>
                <w:rFonts w:ascii="微软雅黑" w:eastAsia="微软雅黑" w:hAnsi="微软雅黑" w:cs="宋体"/>
                <w:kern w:val="0"/>
                <w:sz w:val="24"/>
                <w:szCs w:val="24"/>
              </w:rPr>
              <w:br/>
              <w:t>B. 阿贝西利+曲妥珠单抗</w:t>
            </w:r>
            <w:r w:rsidRPr="001063B2">
              <w:rPr>
                <w:rFonts w:ascii="微软雅黑" w:eastAsia="微软雅黑" w:hAnsi="微软雅黑" w:cs="宋体"/>
                <w:kern w:val="0"/>
                <w:sz w:val="24"/>
                <w:szCs w:val="24"/>
              </w:rPr>
              <w:br/>
              <w:t>C. 曲妥珠单抗+标准化疗</w:t>
            </w:r>
          </w:p>
        </w:tc>
        <w:tc>
          <w:tcPr>
            <w:tcW w:w="374" w:type="pct"/>
            <w:tcMar>
              <w:top w:w="56" w:type="dxa"/>
              <w:left w:w="56" w:type="dxa"/>
              <w:bottom w:w="56" w:type="dxa"/>
              <w:right w:w="56" w:type="dxa"/>
            </w:tcMar>
            <w:hideMark/>
          </w:tcPr>
          <w:p w14:paraId="38E5F0F1"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237</w:t>
            </w:r>
          </w:p>
        </w:tc>
        <w:tc>
          <w:tcPr>
            <w:tcW w:w="709" w:type="pct"/>
            <w:tcMar>
              <w:top w:w="56" w:type="dxa"/>
              <w:left w:w="56" w:type="dxa"/>
              <w:bottom w:w="56" w:type="dxa"/>
              <w:right w:w="56" w:type="dxa"/>
            </w:tcMar>
            <w:hideMark/>
          </w:tcPr>
          <w:p w14:paraId="68590F7C"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PFS 8.3 vs. 5.7（A 组 vs. C 组）</w:t>
            </w:r>
            <w:r w:rsidRPr="001063B2">
              <w:rPr>
                <w:rFonts w:ascii="微软雅黑" w:eastAsia="微软雅黑" w:hAnsi="微软雅黑" w:cs="宋体"/>
                <w:kern w:val="0"/>
                <w:sz w:val="24"/>
                <w:szCs w:val="24"/>
              </w:rPr>
              <w:br/>
              <w:t>（HR 0.673；</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 0.05）</w:t>
            </w:r>
          </w:p>
        </w:tc>
      </w:tr>
      <w:tr w:rsidR="00CB7F59" w:rsidRPr="00CB7F59" w14:paraId="65BE750C" w14:textId="77777777" w:rsidTr="001063B2">
        <w:trPr>
          <w:tblCellSpacing w:w="15" w:type="dxa"/>
        </w:trPr>
        <w:tc>
          <w:tcPr>
            <w:tcW w:w="861" w:type="pct"/>
            <w:tcMar>
              <w:top w:w="56" w:type="dxa"/>
              <w:left w:w="56" w:type="dxa"/>
              <w:bottom w:w="56" w:type="dxa"/>
              <w:right w:w="56" w:type="dxa"/>
            </w:tcMar>
            <w:hideMark/>
          </w:tcPr>
          <w:p w14:paraId="03C75B46"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b/>
                <w:bCs/>
                <w:kern w:val="0"/>
                <w:sz w:val="24"/>
                <w:szCs w:val="24"/>
              </w:rPr>
              <w:t>PALOMA-1/TRIO-18</w:t>
            </w:r>
          </w:p>
        </w:tc>
        <w:tc>
          <w:tcPr>
            <w:tcW w:w="176" w:type="pct"/>
            <w:tcMar>
              <w:top w:w="56" w:type="dxa"/>
              <w:left w:w="56" w:type="dxa"/>
              <w:bottom w:w="56" w:type="dxa"/>
              <w:right w:w="56" w:type="dxa"/>
            </w:tcMar>
            <w:hideMark/>
          </w:tcPr>
          <w:p w14:paraId="12052FE0"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二</w:t>
            </w:r>
          </w:p>
        </w:tc>
        <w:tc>
          <w:tcPr>
            <w:tcW w:w="244" w:type="pct"/>
            <w:tcMar>
              <w:top w:w="56" w:type="dxa"/>
              <w:left w:w="56" w:type="dxa"/>
              <w:bottom w:w="56" w:type="dxa"/>
              <w:right w:w="56" w:type="dxa"/>
            </w:tcMar>
            <w:hideMark/>
          </w:tcPr>
          <w:p w14:paraId="6C0A54A0"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晚期或转</w:t>
            </w:r>
            <w:r w:rsidRPr="001063B2">
              <w:rPr>
                <w:rFonts w:ascii="微软雅黑" w:eastAsia="微软雅黑" w:hAnsi="微软雅黑" w:cs="宋体"/>
                <w:kern w:val="0"/>
                <w:sz w:val="24"/>
                <w:szCs w:val="24"/>
              </w:rPr>
              <w:lastRenderedPageBreak/>
              <w:t>移性</w:t>
            </w:r>
          </w:p>
        </w:tc>
        <w:tc>
          <w:tcPr>
            <w:tcW w:w="1670" w:type="pct"/>
            <w:tcMar>
              <w:top w:w="56" w:type="dxa"/>
              <w:left w:w="56" w:type="dxa"/>
              <w:bottom w:w="56" w:type="dxa"/>
              <w:right w:w="56" w:type="dxa"/>
            </w:tcMar>
            <w:hideMark/>
          </w:tcPr>
          <w:p w14:paraId="635D7D6D"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lastRenderedPageBreak/>
              <w:t>对AI敏感的绝经后HR阳性/HER2阴性晚期或转移性乳腺癌</w:t>
            </w:r>
            <w:r w:rsidRPr="001063B2">
              <w:rPr>
                <w:rFonts w:ascii="微软雅黑" w:eastAsia="微软雅黑" w:hAnsi="微软雅黑" w:cs="宋体"/>
                <w:kern w:val="0"/>
                <w:sz w:val="24"/>
                <w:szCs w:val="24"/>
              </w:rPr>
              <w:lastRenderedPageBreak/>
              <w:t>女性；</w:t>
            </w:r>
            <w:proofErr w:type="gramStart"/>
            <w:r w:rsidRPr="001063B2">
              <w:rPr>
                <w:rFonts w:ascii="微软雅黑" w:eastAsia="微软雅黑" w:hAnsi="微软雅黑" w:cs="宋体"/>
                <w:kern w:val="0"/>
                <w:sz w:val="24"/>
                <w:szCs w:val="24"/>
              </w:rPr>
              <w:t>既往未</w:t>
            </w:r>
            <w:proofErr w:type="gramEnd"/>
            <w:r w:rsidRPr="001063B2">
              <w:rPr>
                <w:rFonts w:ascii="微软雅黑" w:eastAsia="微软雅黑" w:hAnsi="微软雅黑" w:cs="宋体"/>
                <w:kern w:val="0"/>
                <w:sz w:val="24"/>
                <w:szCs w:val="24"/>
              </w:rPr>
              <w:t>接受过ABC全身治疗</w:t>
            </w:r>
          </w:p>
        </w:tc>
        <w:tc>
          <w:tcPr>
            <w:tcW w:w="857" w:type="pct"/>
            <w:tcMar>
              <w:top w:w="56" w:type="dxa"/>
              <w:left w:w="56" w:type="dxa"/>
              <w:bottom w:w="56" w:type="dxa"/>
              <w:right w:w="56" w:type="dxa"/>
            </w:tcMar>
            <w:hideMark/>
          </w:tcPr>
          <w:p w14:paraId="14A1AFD1"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lastRenderedPageBreak/>
              <w:t>帕博西尼+来曲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br/>
              <w:t>对比来</w:t>
            </w:r>
            <w:r w:rsidRPr="001063B2">
              <w:rPr>
                <w:rFonts w:ascii="微软雅黑" w:eastAsia="微软雅黑" w:hAnsi="微软雅黑" w:cs="宋体"/>
                <w:kern w:val="0"/>
                <w:sz w:val="24"/>
                <w:szCs w:val="24"/>
              </w:rPr>
              <w:br/>
              <w:t>曲</w:t>
            </w:r>
            <w:proofErr w:type="gramStart"/>
            <w:r w:rsidRPr="001063B2">
              <w:rPr>
                <w:rFonts w:ascii="微软雅黑" w:eastAsia="微软雅黑" w:hAnsi="微软雅黑" w:cs="宋体"/>
                <w:kern w:val="0"/>
                <w:sz w:val="24"/>
                <w:szCs w:val="24"/>
              </w:rPr>
              <w:t>唑</w:t>
            </w:r>
            <w:proofErr w:type="gramEnd"/>
          </w:p>
        </w:tc>
        <w:tc>
          <w:tcPr>
            <w:tcW w:w="374" w:type="pct"/>
            <w:tcMar>
              <w:top w:w="56" w:type="dxa"/>
              <w:left w:w="56" w:type="dxa"/>
              <w:bottom w:w="56" w:type="dxa"/>
              <w:right w:w="56" w:type="dxa"/>
            </w:tcMar>
            <w:hideMark/>
          </w:tcPr>
          <w:p w14:paraId="19E2AA03"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165</w:t>
            </w:r>
          </w:p>
        </w:tc>
        <w:tc>
          <w:tcPr>
            <w:tcW w:w="709" w:type="pct"/>
            <w:tcMar>
              <w:top w:w="56" w:type="dxa"/>
              <w:left w:w="56" w:type="dxa"/>
              <w:bottom w:w="56" w:type="dxa"/>
              <w:right w:w="56" w:type="dxa"/>
            </w:tcMar>
            <w:hideMark/>
          </w:tcPr>
          <w:p w14:paraId="27A0FAB3"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 xml:space="preserve">PFS 20.2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 xml:space="preserve">月 vs. 10.2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lastRenderedPageBreak/>
              <w:t>月</w:t>
            </w:r>
            <w:r w:rsidRPr="001063B2">
              <w:rPr>
                <w:rFonts w:ascii="微软雅黑" w:eastAsia="微软雅黑" w:hAnsi="微软雅黑" w:cs="宋体"/>
                <w:kern w:val="0"/>
                <w:sz w:val="24"/>
                <w:szCs w:val="24"/>
              </w:rPr>
              <w:br/>
              <w:t>（HR 0.488；95% CI 0.319–0.748）</w:t>
            </w:r>
          </w:p>
        </w:tc>
      </w:tr>
      <w:tr w:rsidR="00CB7F59" w:rsidRPr="00CB7F59" w14:paraId="3575799A" w14:textId="77777777" w:rsidTr="001063B2">
        <w:trPr>
          <w:tblCellSpacing w:w="15" w:type="dxa"/>
        </w:trPr>
        <w:tc>
          <w:tcPr>
            <w:tcW w:w="861" w:type="pct"/>
            <w:tcMar>
              <w:top w:w="56" w:type="dxa"/>
              <w:left w:w="56" w:type="dxa"/>
              <w:bottom w:w="56" w:type="dxa"/>
              <w:right w:w="56" w:type="dxa"/>
            </w:tcMar>
            <w:hideMark/>
          </w:tcPr>
          <w:p w14:paraId="569D4D43"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b/>
                <w:bCs/>
                <w:kern w:val="0"/>
                <w:sz w:val="24"/>
                <w:szCs w:val="24"/>
              </w:rPr>
              <w:lastRenderedPageBreak/>
              <w:t>PALOMA-2</w:t>
            </w:r>
          </w:p>
        </w:tc>
        <w:tc>
          <w:tcPr>
            <w:tcW w:w="176" w:type="pct"/>
            <w:tcMar>
              <w:top w:w="56" w:type="dxa"/>
              <w:left w:w="56" w:type="dxa"/>
              <w:bottom w:w="56" w:type="dxa"/>
              <w:right w:w="56" w:type="dxa"/>
            </w:tcMar>
            <w:hideMark/>
          </w:tcPr>
          <w:p w14:paraId="6BA9DF80"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三</w:t>
            </w:r>
          </w:p>
        </w:tc>
        <w:tc>
          <w:tcPr>
            <w:tcW w:w="244" w:type="pct"/>
            <w:tcMar>
              <w:top w:w="56" w:type="dxa"/>
              <w:left w:w="56" w:type="dxa"/>
              <w:bottom w:w="56" w:type="dxa"/>
              <w:right w:w="56" w:type="dxa"/>
            </w:tcMar>
            <w:hideMark/>
          </w:tcPr>
          <w:p w14:paraId="6EF01B5F"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晚期或转移性</w:t>
            </w:r>
          </w:p>
        </w:tc>
        <w:tc>
          <w:tcPr>
            <w:tcW w:w="1670" w:type="pct"/>
            <w:tcMar>
              <w:top w:w="56" w:type="dxa"/>
              <w:left w:w="56" w:type="dxa"/>
              <w:bottom w:w="56" w:type="dxa"/>
              <w:right w:w="56" w:type="dxa"/>
            </w:tcMar>
            <w:hideMark/>
          </w:tcPr>
          <w:p w14:paraId="0C56FEAE"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对AI敏感的绝经后HR阳性/HER2阴性晚期或转移性乳腺癌女性；</w:t>
            </w:r>
            <w:proofErr w:type="gramStart"/>
            <w:r w:rsidRPr="001063B2">
              <w:rPr>
                <w:rFonts w:ascii="微软雅黑" w:eastAsia="微软雅黑" w:hAnsi="微软雅黑" w:cs="宋体"/>
                <w:kern w:val="0"/>
                <w:sz w:val="24"/>
                <w:szCs w:val="24"/>
              </w:rPr>
              <w:t>既往未</w:t>
            </w:r>
            <w:proofErr w:type="gramEnd"/>
            <w:r w:rsidRPr="001063B2">
              <w:rPr>
                <w:rFonts w:ascii="微软雅黑" w:eastAsia="微软雅黑" w:hAnsi="微软雅黑" w:cs="宋体"/>
                <w:kern w:val="0"/>
                <w:sz w:val="24"/>
                <w:szCs w:val="24"/>
              </w:rPr>
              <w:t>接受过ABC全身治疗</w:t>
            </w:r>
          </w:p>
        </w:tc>
        <w:tc>
          <w:tcPr>
            <w:tcW w:w="857" w:type="pct"/>
            <w:tcMar>
              <w:top w:w="56" w:type="dxa"/>
              <w:left w:w="56" w:type="dxa"/>
              <w:bottom w:w="56" w:type="dxa"/>
              <w:right w:w="56" w:type="dxa"/>
            </w:tcMar>
            <w:hideMark/>
          </w:tcPr>
          <w:p w14:paraId="007513BC"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帕博西尼+来曲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br/>
              <w:t>对比来</w:t>
            </w:r>
            <w:r w:rsidRPr="001063B2">
              <w:rPr>
                <w:rFonts w:ascii="微软雅黑" w:eastAsia="微软雅黑" w:hAnsi="微软雅黑" w:cs="宋体"/>
                <w:kern w:val="0"/>
                <w:sz w:val="24"/>
                <w:szCs w:val="24"/>
              </w:rPr>
              <w:br/>
              <w:t>曲</w:t>
            </w:r>
            <w:proofErr w:type="gramStart"/>
            <w:r w:rsidRPr="001063B2">
              <w:rPr>
                <w:rFonts w:ascii="微软雅黑" w:eastAsia="微软雅黑" w:hAnsi="微软雅黑" w:cs="宋体"/>
                <w:kern w:val="0"/>
                <w:sz w:val="24"/>
                <w:szCs w:val="24"/>
              </w:rPr>
              <w:t>唑</w:t>
            </w:r>
            <w:proofErr w:type="gramEnd"/>
          </w:p>
        </w:tc>
        <w:tc>
          <w:tcPr>
            <w:tcW w:w="374" w:type="pct"/>
            <w:tcMar>
              <w:top w:w="56" w:type="dxa"/>
              <w:left w:w="56" w:type="dxa"/>
              <w:bottom w:w="56" w:type="dxa"/>
              <w:right w:w="56" w:type="dxa"/>
            </w:tcMar>
            <w:hideMark/>
          </w:tcPr>
          <w:p w14:paraId="2682C174"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666</w:t>
            </w:r>
          </w:p>
        </w:tc>
        <w:tc>
          <w:tcPr>
            <w:tcW w:w="709" w:type="pct"/>
            <w:tcMar>
              <w:top w:w="56" w:type="dxa"/>
              <w:left w:w="56" w:type="dxa"/>
              <w:bottom w:w="56" w:type="dxa"/>
              <w:right w:w="56" w:type="dxa"/>
            </w:tcMar>
            <w:hideMark/>
          </w:tcPr>
          <w:p w14:paraId="014454CA"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 xml:space="preserve">PFS 27.6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 xml:space="preserve">月 vs. 14.5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月</w:t>
            </w:r>
            <w:r w:rsidRPr="001063B2">
              <w:rPr>
                <w:rFonts w:ascii="微软雅黑" w:eastAsia="微软雅黑" w:hAnsi="微软雅黑" w:cs="宋体"/>
                <w:kern w:val="0"/>
                <w:sz w:val="24"/>
                <w:szCs w:val="24"/>
              </w:rPr>
              <w:br/>
              <w:t>（HR 0.563；</w:t>
            </w:r>
            <w:r w:rsidRPr="001063B2">
              <w:rPr>
                <w:rFonts w:ascii="微软雅黑" w:eastAsia="微软雅黑" w:hAnsi="微软雅黑" w:cs="宋体"/>
                <w:kern w:val="0"/>
                <w:sz w:val="24"/>
                <w:szCs w:val="24"/>
              </w:rPr>
              <w:lastRenderedPageBreak/>
              <w:t>95% CI 0.461–0.687）</w:t>
            </w:r>
          </w:p>
        </w:tc>
      </w:tr>
      <w:tr w:rsidR="00CB7F59" w:rsidRPr="00CB7F59" w14:paraId="2C525932" w14:textId="77777777" w:rsidTr="001063B2">
        <w:trPr>
          <w:tblCellSpacing w:w="15" w:type="dxa"/>
        </w:trPr>
        <w:tc>
          <w:tcPr>
            <w:tcW w:w="861" w:type="pct"/>
            <w:tcMar>
              <w:top w:w="56" w:type="dxa"/>
              <w:left w:w="56" w:type="dxa"/>
              <w:bottom w:w="56" w:type="dxa"/>
              <w:right w:w="56" w:type="dxa"/>
            </w:tcMar>
            <w:hideMark/>
          </w:tcPr>
          <w:p w14:paraId="76C6CB38"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b/>
                <w:bCs/>
                <w:kern w:val="0"/>
                <w:sz w:val="24"/>
                <w:szCs w:val="24"/>
              </w:rPr>
              <w:lastRenderedPageBreak/>
              <w:t>PALOMA-3</w:t>
            </w:r>
          </w:p>
        </w:tc>
        <w:tc>
          <w:tcPr>
            <w:tcW w:w="176" w:type="pct"/>
            <w:tcMar>
              <w:top w:w="56" w:type="dxa"/>
              <w:left w:w="56" w:type="dxa"/>
              <w:bottom w:w="56" w:type="dxa"/>
              <w:right w:w="56" w:type="dxa"/>
            </w:tcMar>
            <w:hideMark/>
          </w:tcPr>
          <w:p w14:paraId="436F0EDE"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三</w:t>
            </w:r>
          </w:p>
        </w:tc>
        <w:tc>
          <w:tcPr>
            <w:tcW w:w="244" w:type="pct"/>
            <w:tcMar>
              <w:top w:w="56" w:type="dxa"/>
              <w:left w:w="56" w:type="dxa"/>
              <w:bottom w:w="56" w:type="dxa"/>
              <w:right w:w="56" w:type="dxa"/>
            </w:tcMar>
            <w:hideMark/>
          </w:tcPr>
          <w:p w14:paraId="169A274E"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晚期或转移性</w:t>
            </w:r>
          </w:p>
        </w:tc>
        <w:tc>
          <w:tcPr>
            <w:tcW w:w="1670" w:type="pct"/>
            <w:tcMar>
              <w:top w:w="56" w:type="dxa"/>
              <w:left w:w="56" w:type="dxa"/>
              <w:bottom w:w="56" w:type="dxa"/>
              <w:right w:w="56" w:type="dxa"/>
            </w:tcMar>
            <w:hideMark/>
          </w:tcPr>
          <w:p w14:paraId="32E287D8"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对芳香化酶抑制剂（AI）耐药的绝经前/绝经后女性，其激素受体阳性/HER2阴性晚期或转移性乳腺癌在内分泌治疗后进展。</w:t>
            </w:r>
          </w:p>
        </w:tc>
        <w:tc>
          <w:tcPr>
            <w:tcW w:w="857" w:type="pct"/>
            <w:tcMar>
              <w:top w:w="56" w:type="dxa"/>
              <w:left w:w="56" w:type="dxa"/>
              <w:bottom w:w="56" w:type="dxa"/>
              <w:right w:w="56" w:type="dxa"/>
            </w:tcMar>
            <w:hideMark/>
          </w:tcPr>
          <w:p w14:paraId="37823F43"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帕博西尼+</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br/>
              <w:t>对比</w:t>
            </w:r>
            <w:r w:rsidRPr="001063B2">
              <w:rPr>
                <w:rFonts w:ascii="微软雅黑" w:eastAsia="微软雅黑" w:hAnsi="微软雅黑" w:cs="宋体"/>
                <w:kern w:val="0"/>
                <w:sz w:val="24"/>
                <w:szCs w:val="24"/>
              </w:rPr>
              <w:br/>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t>+安慰剂</w:t>
            </w:r>
          </w:p>
        </w:tc>
        <w:tc>
          <w:tcPr>
            <w:tcW w:w="374" w:type="pct"/>
            <w:tcMar>
              <w:top w:w="56" w:type="dxa"/>
              <w:left w:w="56" w:type="dxa"/>
              <w:bottom w:w="56" w:type="dxa"/>
              <w:right w:w="56" w:type="dxa"/>
            </w:tcMar>
            <w:hideMark/>
          </w:tcPr>
          <w:p w14:paraId="1AC1C65B"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521</w:t>
            </w:r>
          </w:p>
        </w:tc>
        <w:tc>
          <w:tcPr>
            <w:tcW w:w="709" w:type="pct"/>
            <w:tcMar>
              <w:top w:w="56" w:type="dxa"/>
              <w:left w:w="56" w:type="dxa"/>
              <w:bottom w:w="56" w:type="dxa"/>
              <w:right w:w="56" w:type="dxa"/>
            </w:tcMar>
            <w:hideMark/>
          </w:tcPr>
          <w:p w14:paraId="16E362CF"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 xml:space="preserve">PFS 9.5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 xml:space="preserve">月 vs. 4.6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月</w:t>
            </w:r>
            <w:r w:rsidRPr="001063B2">
              <w:rPr>
                <w:rFonts w:ascii="微软雅黑" w:eastAsia="微软雅黑" w:hAnsi="微软雅黑" w:cs="宋体"/>
                <w:kern w:val="0"/>
                <w:sz w:val="24"/>
                <w:szCs w:val="24"/>
              </w:rPr>
              <w:br/>
              <w:t>（HR 0.46；95% CI 0.36–0.59）</w:t>
            </w:r>
          </w:p>
        </w:tc>
      </w:tr>
      <w:tr w:rsidR="00CB7F59" w:rsidRPr="00CB7F59" w14:paraId="42EAAB01" w14:textId="77777777" w:rsidTr="001063B2">
        <w:trPr>
          <w:tblCellSpacing w:w="15" w:type="dxa"/>
        </w:trPr>
        <w:tc>
          <w:tcPr>
            <w:tcW w:w="861" w:type="pct"/>
            <w:tcMar>
              <w:top w:w="56" w:type="dxa"/>
              <w:left w:w="56" w:type="dxa"/>
              <w:bottom w:w="56" w:type="dxa"/>
              <w:right w:w="56" w:type="dxa"/>
            </w:tcMar>
            <w:hideMark/>
          </w:tcPr>
          <w:p w14:paraId="6E349D44"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b/>
                <w:bCs/>
                <w:kern w:val="0"/>
                <w:sz w:val="24"/>
                <w:szCs w:val="24"/>
              </w:rPr>
              <w:lastRenderedPageBreak/>
              <w:t>珍珠</w:t>
            </w:r>
          </w:p>
        </w:tc>
        <w:tc>
          <w:tcPr>
            <w:tcW w:w="176" w:type="pct"/>
            <w:tcMar>
              <w:top w:w="56" w:type="dxa"/>
              <w:left w:w="56" w:type="dxa"/>
              <w:bottom w:w="56" w:type="dxa"/>
              <w:right w:w="56" w:type="dxa"/>
            </w:tcMar>
            <w:hideMark/>
          </w:tcPr>
          <w:p w14:paraId="73822C31"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三</w:t>
            </w:r>
          </w:p>
        </w:tc>
        <w:tc>
          <w:tcPr>
            <w:tcW w:w="244" w:type="pct"/>
            <w:tcMar>
              <w:top w:w="56" w:type="dxa"/>
              <w:left w:w="56" w:type="dxa"/>
              <w:bottom w:w="56" w:type="dxa"/>
              <w:right w:w="56" w:type="dxa"/>
            </w:tcMar>
            <w:hideMark/>
          </w:tcPr>
          <w:p w14:paraId="63E6429E"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晚期或转移性</w:t>
            </w:r>
          </w:p>
        </w:tc>
        <w:tc>
          <w:tcPr>
            <w:tcW w:w="1670" w:type="pct"/>
            <w:tcMar>
              <w:top w:w="56" w:type="dxa"/>
              <w:left w:w="56" w:type="dxa"/>
              <w:bottom w:w="56" w:type="dxa"/>
              <w:right w:w="56" w:type="dxa"/>
            </w:tcMar>
            <w:hideMark/>
          </w:tcPr>
          <w:p w14:paraId="13969A1E"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对AI治疗无效的绝经后HR阳性、HER2阴性转移性乳腺癌女性</w:t>
            </w:r>
          </w:p>
        </w:tc>
        <w:tc>
          <w:tcPr>
            <w:tcW w:w="857" w:type="pct"/>
            <w:tcMar>
              <w:top w:w="56" w:type="dxa"/>
              <w:left w:w="56" w:type="dxa"/>
              <w:bottom w:w="56" w:type="dxa"/>
              <w:right w:w="56" w:type="dxa"/>
            </w:tcMar>
            <w:hideMark/>
          </w:tcPr>
          <w:p w14:paraId="13A327E6"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Palbociclib + ET</w:t>
            </w:r>
            <w:r w:rsidRPr="001063B2">
              <w:rPr>
                <w:rFonts w:ascii="微软雅黑" w:eastAsia="微软雅黑" w:hAnsi="微软雅黑" w:cs="宋体"/>
                <w:kern w:val="0"/>
                <w:sz w:val="24"/>
                <w:szCs w:val="24"/>
              </w:rPr>
              <w:br/>
              <w:t>与</w:t>
            </w:r>
            <w:r w:rsidRPr="001063B2">
              <w:rPr>
                <w:rFonts w:ascii="微软雅黑" w:eastAsia="微软雅黑" w:hAnsi="微软雅黑" w:cs="宋体"/>
                <w:kern w:val="0"/>
                <w:sz w:val="24"/>
                <w:szCs w:val="24"/>
              </w:rPr>
              <w:br/>
            </w:r>
            <w:proofErr w:type="gramStart"/>
            <w:r w:rsidRPr="001063B2">
              <w:rPr>
                <w:rFonts w:ascii="微软雅黑" w:eastAsia="微软雅黑" w:hAnsi="微软雅黑" w:cs="宋体"/>
                <w:kern w:val="0"/>
                <w:sz w:val="24"/>
                <w:szCs w:val="24"/>
              </w:rPr>
              <w:t>卡培他滨</w:t>
            </w:r>
            <w:proofErr w:type="gramEnd"/>
          </w:p>
        </w:tc>
        <w:tc>
          <w:tcPr>
            <w:tcW w:w="374" w:type="pct"/>
            <w:tcMar>
              <w:top w:w="56" w:type="dxa"/>
              <w:left w:w="56" w:type="dxa"/>
              <w:bottom w:w="56" w:type="dxa"/>
              <w:right w:w="56" w:type="dxa"/>
            </w:tcMar>
            <w:hideMark/>
          </w:tcPr>
          <w:p w14:paraId="753E6277"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601</w:t>
            </w:r>
          </w:p>
        </w:tc>
        <w:tc>
          <w:tcPr>
            <w:tcW w:w="709" w:type="pct"/>
            <w:tcMar>
              <w:top w:w="56" w:type="dxa"/>
              <w:left w:w="56" w:type="dxa"/>
              <w:bottom w:w="56" w:type="dxa"/>
              <w:right w:w="56" w:type="dxa"/>
            </w:tcMar>
            <w:hideMark/>
          </w:tcPr>
          <w:p w14:paraId="75546D1B"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 xml:space="preserve">PFS 7.5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 xml:space="preserve">月对比 10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月</w:t>
            </w:r>
            <w:r w:rsidRPr="001063B2">
              <w:rPr>
                <w:rFonts w:ascii="微软雅黑" w:eastAsia="微软雅黑" w:hAnsi="微软雅黑" w:cs="宋体"/>
                <w:kern w:val="0"/>
                <w:sz w:val="24"/>
                <w:szCs w:val="24"/>
              </w:rPr>
              <w:br/>
              <w:t>（HR 1.09；95% CI 0.83, 1.44）</w:t>
            </w:r>
          </w:p>
        </w:tc>
      </w:tr>
      <w:tr w:rsidR="00CB7F59" w:rsidRPr="00CB7F59" w14:paraId="21F99010" w14:textId="77777777" w:rsidTr="001063B2">
        <w:trPr>
          <w:tblCellSpacing w:w="15" w:type="dxa"/>
        </w:trPr>
        <w:tc>
          <w:tcPr>
            <w:tcW w:w="861" w:type="pct"/>
            <w:tcMar>
              <w:top w:w="56" w:type="dxa"/>
              <w:left w:w="56" w:type="dxa"/>
              <w:bottom w:w="56" w:type="dxa"/>
              <w:right w:w="56" w:type="dxa"/>
            </w:tcMar>
            <w:hideMark/>
          </w:tcPr>
          <w:p w14:paraId="3FAF2B7E"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b/>
                <w:bCs/>
                <w:kern w:val="0"/>
                <w:sz w:val="24"/>
                <w:szCs w:val="24"/>
              </w:rPr>
              <w:t>猫科动物</w:t>
            </w:r>
          </w:p>
        </w:tc>
        <w:tc>
          <w:tcPr>
            <w:tcW w:w="176" w:type="pct"/>
            <w:tcMar>
              <w:top w:w="56" w:type="dxa"/>
              <w:left w:w="56" w:type="dxa"/>
              <w:bottom w:w="56" w:type="dxa"/>
              <w:right w:w="56" w:type="dxa"/>
            </w:tcMar>
            <w:hideMark/>
          </w:tcPr>
          <w:p w14:paraId="3E244A5A"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二</w:t>
            </w:r>
          </w:p>
        </w:tc>
        <w:tc>
          <w:tcPr>
            <w:tcW w:w="244" w:type="pct"/>
            <w:tcMar>
              <w:top w:w="56" w:type="dxa"/>
              <w:left w:w="56" w:type="dxa"/>
              <w:bottom w:w="56" w:type="dxa"/>
              <w:right w:w="56" w:type="dxa"/>
            </w:tcMar>
            <w:hideMark/>
          </w:tcPr>
          <w:p w14:paraId="114546C6"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新辅助</w:t>
            </w:r>
            <w:r w:rsidRPr="001063B2">
              <w:rPr>
                <w:rFonts w:ascii="微软雅黑" w:eastAsia="微软雅黑" w:hAnsi="微软雅黑" w:cs="宋体"/>
                <w:kern w:val="0"/>
                <w:sz w:val="24"/>
                <w:szCs w:val="24"/>
              </w:rPr>
              <w:lastRenderedPageBreak/>
              <w:t>治疗</w:t>
            </w:r>
          </w:p>
        </w:tc>
        <w:tc>
          <w:tcPr>
            <w:tcW w:w="1670" w:type="pct"/>
            <w:tcMar>
              <w:top w:w="56" w:type="dxa"/>
              <w:left w:w="56" w:type="dxa"/>
              <w:bottom w:w="56" w:type="dxa"/>
              <w:right w:w="56" w:type="dxa"/>
            </w:tcMar>
            <w:hideMark/>
          </w:tcPr>
          <w:p w14:paraId="29B8D8DF"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lastRenderedPageBreak/>
              <w:t>绝经后HR阳性/HER2阴性早期乳腺癌女性</w:t>
            </w:r>
          </w:p>
        </w:tc>
        <w:tc>
          <w:tcPr>
            <w:tcW w:w="857" w:type="pct"/>
            <w:tcMar>
              <w:top w:w="56" w:type="dxa"/>
              <w:left w:w="56" w:type="dxa"/>
              <w:bottom w:w="56" w:type="dxa"/>
              <w:right w:w="56" w:type="dxa"/>
            </w:tcMar>
            <w:hideMark/>
          </w:tcPr>
          <w:p w14:paraId="3364ACAB"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利博西尼 600 毫克 + 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br/>
              <w:t>vs.</w:t>
            </w:r>
            <w:r w:rsidRPr="001063B2">
              <w:rPr>
                <w:rFonts w:ascii="微软雅黑" w:eastAsia="微软雅黑" w:hAnsi="微软雅黑" w:cs="宋体"/>
                <w:kern w:val="0"/>
                <w:sz w:val="24"/>
                <w:szCs w:val="24"/>
              </w:rPr>
              <w:br/>
            </w:r>
            <w:r w:rsidRPr="001063B2">
              <w:rPr>
                <w:rFonts w:ascii="微软雅黑" w:eastAsia="微软雅黑" w:hAnsi="微软雅黑" w:cs="宋体"/>
                <w:kern w:val="0"/>
                <w:sz w:val="24"/>
                <w:szCs w:val="24"/>
              </w:rPr>
              <w:lastRenderedPageBreak/>
              <w:t>利博西尼 400 毫克 + 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br/>
              <w:t>vs.</w:t>
            </w:r>
            <w:r w:rsidRPr="001063B2">
              <w:rPr>
                <w:rFonts w:ascii="微软雅黑" w:eastAsia="微软雅黑" w:hAnsi="微软雅黑" w:cs="宋体"/>
                <w:kern w:val="0"/>
                <w:sz w:val="24"/>
                <w:szCs w:val="24"/>
              </w:rPr>
              <w:br/>
              <w:t>利博西尼 + 安慰剂</w:t>
            </w:r>
          </w:p>
        </w:tc>
        <w:tc>
          <w:tcPr>
            <w:tcW w:w="374" w:type="pct"/>
            <w:tcMar>
              <w:top w:w="56" w:type="dxa"/>
              <w:left w:w="56" w:type="dxa"/>
              <w:bottom w:w="56" w:type="dxa"/>
              <w:right w:w="56" w:type="dxa"/>
            </w:tcMar>
            <w:hideMark/>
          </w:tcPr>
          <w:p w14:paraId="3840E4CD"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lastRenderedPageBreak/>
              <w:t>121</w:t>
            </w:r>
          </w:p>
        </w:tc>
        <w:tc>
          <w:tcPr>
            <w:tcW w:w="709" w:type="pct"/>
            <w:tcMar>
              <w:top w:w="56" w:type="dxa"/>
              <w:left w:w="56" w:type="dxa"/>
              <w:bottom w:w="56" w:type="dxa"/>
              <w:right w:w="56" w:type="dxa"/>
            </w:tcMar>
            <w:hideMark/>
          </w:tcPr>
          <w:p w14:paraId="2C966DA8"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手术时 PEPI 评分 0 分的比例</w:t>
            </w:r>
            <w:r w:rsidRPr="001063B2">
              <w:rPr>
                <w:rFonts w:ascii="微软雅黑" w:eastAsia="微软雅黑" w:hAnsi="微软雅黑" w:cs="宋体"/>
                <w:kern w:val="0"/>
                <w:sz w:val="24"/>
                <w:szCs w:val="24"/>
              </w:rPr>
              <w:br/>
            </w:r>
            <w:r w:rsidRPr="001063B2">
              <w:rPr>
                <w:rFonts w:ascii="微软雅黑" w:eastAsia="微软雅黑" w:hAnsi="微软雅黑" w:cs="宋体"/>
                <w:kern w:val="0"/>
                <w:sz w:val="24"/>
                <w:szCs w:val="24"/>
              </w:rPr>
              <w:lastRenderedPageBreak/>
              <w:t>为 25.8% 对 25.4%</w:t>
            </w:r>
            <w:r w:rsidRPr="001063B2">
              <w:rPr>
                <w:rFonts w:ascii="微软雅黑" w:eastAsia="微软雅黑" w:hAnsi="微软雅黑" w:cs="宋体"/>
                <w:kern w:val="0"/>
                <w:sz w:val="24"/>
                <w:szCs w:val="24"/>
              </w:rPr>
              <w:br/>
              <w:t>( </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 0.96)</w:t>
            </w:r>
          </w:p>
        </w:tc>
      </w:tr>
      <w:tr w:rsidR="00CB7F59" w:rsidRPr="00CB7F59" w14:paraId="7CAE9623" w14:textId="77777777" w:rsidTr="001063B2">
        <w:trPr>
          <w:tblCellSpacing w:w="15" w:type="dxa"/>
        </w:trPr>
        <w:tc>
          <w:tcPr>
            <w:tcW w:w="861" w:type="pct"/>
            <w:tcMar>
              <w:top w:w="56" w:type="dxa"/>
              <w:left w:w="56" w:type="dxa"/>
              <w:bottom w:w="56" w:type="dxa"/>
              <w:right w:w="56" w:type="dxa"/>
            </w:tcMar>
            <w:hideMark/>
          </w:tcPr>
          <w:p w14:paraId="7E187AF8"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b/>
                <w:bCs/>
                <w:kern w:val="0"/>
                <w:sz w:val="24"/>
                <w:szCs w:val="24"/>
              </w:rPr>
              <w:lastRenderedPageBreak/>
              <w:t>新君主</w:t>
            </w:r>
          </w:p>
        </w:tc>
        <w:tc>
          <w:tcPr>
            <w:tcW w:w="176" w:type="pct"/>
            <w:tcMar>
              <w:top w:w="56" w:type="dxa"/>
              <w:left w:w="56" w:type="dxa"/>
              <w:bottom w:w="56" w:type="dxa"/>
              <w:right w:w="56" w:type="dxa"/>
            </w:tcMar>
            <w:hideMark/>
          </w:tcPr>
          <w:p w14:paraId="0C326F0A"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二</w:t>
            </w:r>
          </w:p>
        </w:tc>
        <w:tc>
          <w:tcPr>
            <w:tcW w:w="244" w:type="pct"/>
            <w:tcMar>
              <w:top w:w="56" w:type="dxa"/>
              <w:left w:w="56" w:type="dxa"/>
              <w:bottom w:w="56" w:type="dxa"/>
              <w:right w:w="56" w:type="dxa"/>
            </w:tcMar>
            <w:hideMark/>
          </w:tcPr>
          <w:p w14:paraId="05DA7853"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新辅助治疗</w:t>
            </w:r>
          </w:p>
        </w:tc>
        <w:tc>
          <w:tcPr>
            <w:tcW w:w="1670" w:type="pct"/>
            <w:tcMar>
              <w:top w:w="56" w:type="dxa"/>
              <w:left w:w="56" w:type="dxa"/>
              <w:bottom w:w="56" w:type="dxa"/>
              <w:right w:w="56" w:type="dxa"/>
            </w:tcMar>
            <w:hideMark/>
          </w:tcPr>
          <w:p w14:paraId="2946C9A4"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绝经后I/IIIB期HR阳性/HER2阴性早期乳腺癌女性</w:t>
            </w:r>
          </w:p>
        </w:tc>
        <w:tc>
          <w:tcPr>
            <w:tcW w:w="857" w:type="pct"/>
            <w:tcMar>
              <w:top w:w="56" w:type="dxa"/>
              <w:left w:w="56" w:type="dxa"/>
              <w:bottom w:w="56" w:type="dxa"/>
              <w:right w:w="56" w:type="dxa"/>
            </w:tcMar>
            <w:hideMark/>
          </w:tcPr>
          <w:p w14:paraId="1BB268FB"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 xml:space="preserve">A. </w:t>
            </w:r>
            <w:proofErr w:type="spellStart"/>
            <w:r w:rsidRPr="001063B2">
              <w:rPr>
                <w:rFonts w:ascii="微软雅黑" w:eastAsia="微软雅黑" w:hAnsi="微软雅黑" w:cs="宋体"/>
                <w:kern w:val="0"/>
                <w:sz w:val="24"/>
                <w:szCs w:val="24"/>
              </w:rPr>
              <w:t>Abemaciclib</w:t>
            </w:r>
            <w:proofErr w:type="spellEnd"/>
            <w:r w:rsidRPr="001063B2">
              <w:rPr>
                <w:rFonts w:ascii="微软雅黑" w:eastAsia="微软雅黑" w:hAnsi="微软雅黑" w:cs="宋体"/>
                <w:kern w:val="0"/>
                <w:sz w:val="24"/>
                <w:szCs w:val="24"/>
              </w:rPr>
              <w:t xml:space="preserve"> + 阿那曲唑</w:t>
            </w:r>
            <w:r w:rsidRPr="001063B2">
              <w:rPr>
                <w:rFonts w:ascii="微软雅黑" w:eastAsia="微软雅黑" w:hAnsi="微软雅黑" w:cs="宋体"/>
                <w:kern w:val="0"/>
                <w:sz w:val="24"/>
                <w:szCs w:val="24"/>
              </w:rPr>
              <w:br/>
              <w:t xml:space="preserve">B. 单独 </w:t>
            </w:r>
            <w:proofErr w:type="spellStart"/>
            <w:r w:rsidRPr="001063B2">
              <w:rPr>
                <w:rFonts w:ascii="微软雅黑" w:eastAsia="微软雅黑" w:hAnsi="微软雅黑" w:cs="宋体"/>
                <w:kern w:val="0"/>
                <w:sz w:val="24"/>
                <w:szCs w:val="24"/>
              </w:rPr>
              <w:t>Abemaciclib</w:t>
            </w:r>
            <w:proofErr w:type="spellEnd"/>
            <w:r w:rsidRPr="001063B2">
              <w:rPr>
                <w:rFonts w:ascii="微软雅黑" w:eastAsia="微软雅黑" w:hAnsi="微软雅黑" w:cs="宋体"/>
                <w:kern w:val="0"/>
                <w:sz w:val="24"/>
                <w:szCs w:val="24"/>
              </w:rPr>
              <w:br/>
              <w:t>C. 阿那曲唑</w:t>
            </w:r>
          </w:p>
        </w:tc>
        <w:tc>
          <w:tcPr>
            <w:tcW w:w="374" w:type="pct"/>
            <w:tcMar>
              <w:top w:w="56" w:type="dxa"/>
              <w:left w:w="56" w:type="dxa"/>
              <w:bottom w:w="56" w:type="dxa"/>
              <w:right w:w="56" w:type="dxa"/>
            </w:tcMar>
            <w:hideMark/>
          </w:tcPr>
          <w:p w14:paraId="267214D7"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224</w:t>
            </w:r>
          </w:p>
        </w:tc>
        <w:tc>
          <w:tcPr>
            <w:tcW w:w="709" w:type="pct"/>
            <w:tcMar>
              <w:top w:w="56" w:type="dxa"/>
              <w:left w:w="56" w:type="dxa"/>
              <w:bottom w:w="56" w:type="dxa"/>
              <w:right w:w="56" w:type="dxa"/>
            </w:tcMar>
            <w:hideMark/>
          </w:tcPr>
          <w:p w14:paraId="019643AB"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Ki67 变化</w:t>
            </w:r>
            <w:r w:rsidRPr="001063B2">
              <w:rPr>
                <w:rFonts w:ascii="微软雅黑" w:eastAsia="微软雅黑" w:hAnsi="微软雅黑" w:cs="宋体"/>
                <w:kern w:val="0"/>
                <w:sz w:val="24"/>
                <w:szCs w:val="24"/>
              </w:rPr>
              <w:br/>
              <w:t xml:space="preserve">58–68% (AB) vs. 14% (C) </w:t>
            </w:r>
            <w:proofErr w:type="gramStart"/>
            <w:r w:rsidRPr="001063B2">
              <w:rPr>
                <w:rFonts w:ascii="微软雅黑" w:eastAsia="微软雅黑" w:hAnsi="微软雅黑" w:cs="宋体"/>
                <w:kern w:val="0"/>
                <w:sz w:val="24"/>
                <w:szCs w:val="24"/>
              </w:rPr>
              <w:lastRenderedPageBreak/>
              <w:t>( </w:t>
            </w:r>
            <w:r w:rsidRPr="001063B2">
              <w:rPr>
                <w:rFonts w:ascii="微软雅黑" w:eastAsia="微软雅黑" w:hAnsi="微软雅黑" w:cs="宋体"/>
                <w:i/>
                <w:iCs/>
                <w:kern w:val="0"/>
                <w:sz w:val="24"/>
                <w:szCs w:val="24"/>
              </w:rPr>
              <w:t>p</w:t>
            </w:r>
            <w:proofErr w:type="gramEnd"/>
            <w:r w:rsidRPr="001063B2">
              <w:rPr>
                <w:rFonts w:ascii="微软雅黑" w:eastAsia="微软雅黑" w:hAnsi="微软雅黑" w:cs="宋体"/>
                <w:kern w:val="0"/>
                <w:sz w:val="24"/>
                <w:szCs w:val="24"/>
              </w:rPr>
              <w:t> &lt; 0.001)</w:t>
            </w:r>
          </w:p>
        </w:tc>
      </w:tr>
      <w:tr w:rsidR="00CB7F59" w:rsidRPr="00CB7F59" w14:paraId="4D54DACA" w14:textId="77777777" w:rsidTr="001063B2">
        <w:trPr>
          <w:tblCellSpacing w:w="15" w:type="dxa"/>
        </w:trPr>
        <w:tc>
          <w:tcPr>
            <w:tcW w:w="861" w:type="pct"/>
            <w:tcMar>
              <w:top w:w="56" w:type="dxa"/>
              <w:left w:w="56" w:type="dxa"/>
              <w:bottom w:w="56" w:type="dxa"/>
              <w:right w:w="56" w:type="dxa"/>
            </w:tcMar>
            <w:hideMark/>
          </w:tcPr>
          <w:p w14:paraId="50C2C48F"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b/>
                <w:bCs/>
                <w:kern w:val="0"/>
                <w:sz w:val="24"/>
                <w:szCs w:val="24"/>
              </w:rPr>
              <w:lastRenderedPageBreak/>
              <w:t>调色板</w:t>
            </w:r>
          </w:p>
        </w:tc>
        <w:tc>
          <w:tcPr>
            <w:tcW w:w="176" w:type="pct"/>
            <w:tcMar>
              <w:top w:w="56" w:type="dxa"/>
              <w:left w:w="56" w:type="dxa"/>
              <w:bottom w:w="56" w:type="dxa"/>
              <w:right w:w="56" w:type="dxa"/>
            </w:tcMar>
            <w:hideMark/>
          </w:tcPr>
          <w:p w14:paraId="5AFB9377"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二</w:t>
            </w:r>
          </w:p>
        </w:tc>
        <w:tc>
          <w:tcPr>
            <w:tcW w:w="244" w:type="pct"/>
            <w:tcMar>
              <w:top w:w="56" w:type="dxa"/>
              <w:left w:w="56" w:type="dxa"/>
              <w:bottom w:w="56" w:type="dxa"/>
              <w:right w:w="56" w:type="dxa"/>
            </w:tcMar>
            <w:hideMark/>
          </w:tcPr>
          <w:p w14:paraId="00551D31"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新辅助治疗</w:t>
            </w:r>
          </w:p>
        </w:tc>
        <w:tc>
          <w:tcPr>
            <w:tcW w:w="1670" w:type="pct"/>
            <w:tcMar>
              <w:top w:w="56" w:type="dxa"/>
              <w:left w:w="56" w:type="dxa"/>
              <w:bottom w:w="56" w:type="dxa"/>
              <w:right w:w="56" w:type="dxa"/>
            </w:tcMar>
            <w:hideMark/>
          </w:tcPr>
          <w:p w14:paraId="5C4D95EC"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绝经后HR阳性/HER2阴性早期乳腺癌女性</w:t>
            </w:r>
          </w:p>
        </w:tc>
        <w:tc>
          <w:tcPr>
            <w:tcW w:w="857" w:type="pct"/>
            <w:tcMar>
              <w:top w:w="56" w:type="dxa"/>
              <w:left w:w="56" w:type="dxa"/>
              <w:bottom w:w="56" w:type="dxa"/>
              <w:right w:w="56" w:type="dxa"/>
            </w:tcMar>
            <w:hideMark/>
          </w:tcPr>
          <w:p w14:paraId="277D769F"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A. L</w:t>
            </w:r>
            <w:r w:rsidRPr="001063B2">
              <w:rPr>
                <w:rFonts w:ascii="微软雅黑" w:eastAsia="微软雅黑" w:hAnsi="微软雅黑" w:cs="宋体"/>
                <w:kern w:val="0"/>
                <w:sz w:val="24"/>
                <w:szCs w:val="24"/>
              </w:rPr>
              <w:br/>
              <w:t>B. L 然后 L + P</w:t>
            </w:r>
            <w:r w:rsidRPr="001063B2">
              <w:rPr>
                <w:rFonts w:ascii="微软雅黑" w:eastAsia="微软雅黑" w:hAnsi="微软雅黑" w:cs="宋体"/>
                <w:kern w:val="0"/>
                <w:sz w:val="24"/>
                <w:szCs w:val="24"/>
              </w:rPr>
              <w:br/>
              <w:t>C. P 然后 L + P</w:t>
            </w:r>
            <w:r w:rsidRPr="001063B2">
              <w:rPr>
                <w:rFonts w:ascii="微软雅黑" w:eastAsia="微软雅黑" w:hAnsi="微软雅黑" w:cs="宋体"/>
                <w:kern w:val="0"/>
                <w:sz w:val="24"/>
                <w:szCs w:val="24"/>
              </w:rPr>
              <w:br/>
              <w:t>D. L + P</w:t>
            </w:r>
          </w:p>
        </w:tc>
        <w:tc>
          <w:tcPr>
            <w:tcW w:w="374" w:type="pct"/>
            <w:tcMar>
              <w:top w:w="56" w:type="dxa"/>
              <w:left w:w="56" w:type="dxa"/>
              <w:bottom w:w="56" w:type="dxa"/>
              <w:right w:w="56" w:type="dxa"/>
            </w:tcMar>
            <w:hideMark/>
          </w:tcPr>
          <w:p w14:paraId="133C8B9B"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306</w:t>
            </w:r>
          </w:p>
        </w:tc>
        <w:tc>
          <w:tcPr>
            <w:tcW w:w="709" w:type="pct"/>
            <w:tcMar>
              <w:top w:w="56" w:type="dxa"/>
              <w:left w:w="56" w:type="dxa"/>
              <w:bottom w:w="56" w:type="dxa"/>
              <w:right w:w="56" w:type="dxa"/>
            </w:tcMar>
            <w:hideMark/>
          </w:tcPr>
          <w:p w14:paraId="14C4649F"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CRR 54.3% vs. 49.5%</w:t>
            </w:r>
            <w:r w:rsidRPr="001063B2">
              <w:rPr>
                <w:rFonts w:ascii="微软雅黑" w:eastAsia="微软雅黑" w:hAnsi="微软雅黑" w:cs="宋体"/>
                <w:kern w:val="0"/>
                <w:sz w:val="24"/>
                <w:szCs w:val="24"/>
              </w:rPr>
              <w:br/>
              <w:t>( </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 0.20)</w:t>
            </w:r>
          </w:p>
        </w:tc>
      </w:tr>
      <w:tr w:rsidR="00CB7F59" w:rsidRPr="00CB7F59" w14:paraId="326BBB00" w14:textId="77777777" w:rsidTr="001063B2">
        <w:trPr>
          <w:tblCellSpacing w:w="15" w:type="dxa"/>
        </w:trPr>
        <w:tc>
          <w:tcPr>
            <w:tcW w:w="861" w:type="pct"/>
            <w:tcMar>
              <w:top w:w="56" w:type="dxa"/>
              <w:left w:w="56" w:type="dxa"/>
              <w:bottom w:w="56" w:type="dxa"/>
              <w:right w:w="56" w:type="dxa"/>
            </w:tcMar>
            <w:hideMark/>
          </w:tcPr>
          <w:p w14:paraId="4B5A459C" w14:textId="77777777" w:rsidR="001063B2" w:rsidRPr="001063B2" w:rsidRDefault="001063B2" w:rsidP="001063B2">
            <w:pPr>
              <w:widowControl/>
              <w:rPr>
                <w:rFonts w:ascii="微软雅黑" w:eastAsia="微软雅黑" w:hAnsi="微软雅黑" w:cs="宋体"/>
                <w:kern w:val="0"/>
                <w:sz w:val="24"/>
                <w:szCs w:val="24"/>
              </w:rPr>
            </w:pPr>
            <w:proofErr w:type="gramStart"/>
            <w:r w:rsidRPr="001063B2">
              <w:rPr>
                <w:rFonts w:ascii="微软雅黑" w:eastAsia="微软雅黑" w:hAnsi="微软雅黑" w:cs="宋体"/>
                <w:b/>
                <w:bCs/>
                <w:kern w:val="0"/>
                <w:sz w:val="24"/>
                <w:szCs w:val="24"/>
              </w:rPr>
              <w:t>科拉琳</w:t>
            </w:r>
            <w:proofErr w:type="gramEnd"/>
          </w:p>
        </w:tc>
        <w:tc>
          <w:tcPr>
            <w:tcW w:w="176" w:type="pct"/>
            <w:tcMar>
              <w:top w:w="56" w:type="dxa"/>
              <w:left w:w="56" w:type="dxa"/>
              <w:bottom w:w="56" w:type="dxa"/>
              <w:right w:w="56" w:type="dxa"/>
            </w:tcMar>
            <w:hideMark/>
          </w:tcPr>
          <w:p w14:paraId="612D3D6C"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二</w:t>
            </w:r>
          </w:p>
        </w:tc>
        <w:tc>
          <w:tcPr>
            <w:tcW w:w="244" w:type="pct"/>
            <w:tcMar>
              <w:top w:w="56" w:type="dxa"/>
              <w:left w:w="56" w:type="dxa"/>
              <w:bottom w:w="56" w:type="dxa"/>
              <w:right w:w="56" w:type="dxa"/>
            </w:tcMar>
            <w:hideMark/>
          </w:tcPr>
          <w:p w14:paraId="1F9A4A94"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新辅助治疗</w:t>
            </w:r>
          </w:p>
        </w:tc>
        <w:tc>
          <w:tcPr>
            <w:tcW w:w="1670" w:type="pct"/>
            <w:tcMar>
              <w:top w:w="56" w:type="dxa"/>
              <w:left w:w="56" w:type="dxa"/>
              <w:bottom w:w="56" w:type="dxa"/>
              <w:right w:w="56" w:type="dxa"/>
            </w:tcMar>
            <w:hideMark/>
          </w:tcPr>
          <w:p w14:paraId="7D2BCA48"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绝经后女性，I-IIIA期HR阳性、HER2阴性、管腔B型早期乳腺癌</w:t>
            </w:r>
          </w:p>
        </w:tc>
        <w:tc>
          <w:tcPr>
            <w:tcW w:w="857" w:type="pct"/>
            <w:tcMar>
              <w:top w:w="56" w:type="dxa"/>
              <w:left w:w="56" w:type="dxa"/>
              <w:bottom w:w="56" w:type="dxa"/>
              <w:right w:w="56" w:type="dxa"/>
            </w:tcMar>
            <w:hideMark/>
          </w:tcPr>
          <w:p w14:paraId="13FC270B"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瑞博西尼+来曲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br/>
              <w:t>对比</w:t>
            </w:r>
            <w:r w:rsidRPr="001063B2">
              <w:rPr>
                <w:rFonts w:ascii="微软雅黑" w:eastAsia="微软雅黑" w:hAnsi="微软雅黑" w:cs="宋体"/>
                <w:kern w:val="0"/>
                <w:sz w:val="24"/>
                <w:szCs w:val="24"/>
              </w:rPr>
              <w:br/>
              <w:t>化疗</w:t>
            </w:r>
          </w:p>
        </w:tc>
        <w:tc>
          <w:tcPr>
            <w:tcW w:w="374" w:type="pct"/>
            <w:tcMar>
              <w:top w:w="56" w:type="dxa"/>
              <w:left w:w="56" w:type="dxa"/>
              <w:bottom w:w="56" w:type="dxa"/>
              <w:right w:w="56" w:type="dxa"/>
            </w:tcMar>
            <w:hideMark/>
          </w:tcPr>
          <w:p w14:paraId="4B728047"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106</w:t>
            </w:r>
          </w:p>
        </w:tc>
        <w:tc>
          <w:tcPr>
            <w:tcW w:w="709" w:type="pct"/>
            <w:tcMar>
              <w:top w:w="56" w:type="dxa"/>
              <w:left w:w="56" w:type="dxa"/>
              <w:bottom w:w="56" w:type="dxa"/>
              <w:right w:w="56" w:type="dxa"/>
            </w:tcMar>
            <w:hideMark/>
          </w:tcPr>
          <w:p w14:paraId="02AFEEE0"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 xml:space="preserve">PAM 50 手术时 ROR 低 </w:t>
            </w:r>
            <w:r w:rsidRPr="001063B2">
              <w:rPr>
                <w:rFonts w:ascii="微软雅黑" w:eastAsia="微软雅黑" w:hAnsi="微软雅黑" w:cs="宋体"/>
                <w:kern w:val="0"/>
                <w:sz w:val="24"/>
                <w:szCs w:val="24"/>
              </w:rPr>
              <w:lastRenderedPageBreak/>
              <w:t>46.9% vs. 46.1%</w:t>
            </w:r>
            <w:r w:rsidRPr="001063B2">
              <w:rPr>
                <w:rFonts w:ascii="微软雅黑" w:eastAsia="微软雅黑" w:hAnsi="微软雅黑" w:cs="宋体"/>
                <w:kern w:val="0"/>
                <w:sz w:val="24"/>
                <w:szCs w:val="24"/>
              </w:rPr>
              <w:br/>
              <w:t>(95% CI 32.5–61.7 vs. 32.9–61.5)</w:t>
            </w:r>
          </w:p>
        </w:tc>
      </w:tr>
      <w:tr w:rsidR="00CB7F59" w:rsidRPr="00CB7F59" w14:paraId="367A49E9" w14:textId="77777777" w:rsidTr="001063B2">
        <w:trPr>
          <w:tblCellSpacing w:w="15" w:type="dxa"/>
        </w:trPr>
        <w:tc>
          <w:tcPr>
            <w:tcW w:w="861" w:type="pct"/>
            <w:tcMar>
              <w:top w:w="56" w:type="dxa"/>
              <w:left w:w="56" w:type="dxa"/>
              <w:bottom w:w="56" w:type="dxa"/>
              <w:right w:w="56" w:type="dxa"/>
            </w:tcMar>
            <w:hideMark/>
          </w:tcPr>
          <w:p w14:paraId="69F1CE9C" w14:textId="77777777" w:rsidR="001063B2" w:rsidRPr="001063B2" w:rsidRDefault="001063B2" w:rsidP="001063B2">
            <w:pPr>
              <w:widowControl/>
              <w:rPr>
                <w:rFonts w:ascii="微软雅黑" w:eastAsia="微软雅黑" w:hAnsi="微软雅黑" w:cs="宋体"/>
                <w:kern w:val="0"/>
                <w:sz w:val="24"/>
                <w:szCs w:val="24"/>
              </w:rPr>
            </w:pPr>
            <w:proofErr w:type="spellStart"/>
            <w:r w:rsidRPr="001063B2">
              <w:rPr>
                <w:rFonts w:ascii="微软雅黑" w:eastAsia="微软雅黑" w:hAnsi="微软雅黑" w:cs="宋体"/>
                <w:b/>
                <w:bCs/>
                <w:kern w:val="0"/>
                <w:sz w:val="24"/>
                <w:szCs w:val="24"/>
              </w:rPr>
              <w:lastRenderedPageBreak/>
              <w:t>NeoPal</w:t>
            </w:r>
            <w:proofErr w:type="spellEnd"/>
          </w:p>
        </w:tc>
        <w:tc>
          <w:tcPr>
            <w:tcW w:w="176" w:type="pct"/>
            <w:tcMar>
              <w:top w:w="56" w:type="dxa"/>
              <w:left w:w="56" w:type="dxa"/>
              <w:bottom w:w="56" w:type="dxa"/>
              <w:right w:w="56" w:type="dxa"/>
            </w:tcMar>
            <w:hideMark/>
          </w:tcPr>
          <w:p w14:paraId="7C901ED2"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三</w:t>
            </w:r>
          </w:p>
        </w:tc>
        <w:tc>
          <w:tcPr>
            <w:tcW w:w="244" w:type="pct"/>
            <w:tcMar>
              <w:top w:w="56" w:type="dxa"/>
              <w:left w:w="56" w:type="dxa"/>
              <w:bottom w:w="56" w:type="dxa"/>
              <w:right w:w="56" w:type="dxa"/>
            </w:tcMar>
            <w:hideMark/>
          </w:tcPr>
          <w:p w14:paraId="3FFB4A90"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新辅助治疗</w:t>
            </w:r>
          </w:p>
        </w:tc>
        <w:tc>
          <w:tcPr>
            <w:tcW w:w="1670" w:type="pct"/>
            <w:tcMar>
              <w:top w:w="56" w:type="dxa"/>
              <w:left w:w="56" w:type="dxa"/>
              <w:bottom w:w="56" w:type="dxa"/>
              <w:right w:w="56" w:type="dxa"/>
            </w:tcMar>
            <w:hideMark/>
          </w:tcPr>
          <w:p w14:paraId="26683BEC"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绝经后女性，PAM 50 ROR 定义</w:t>
            </w:r>
            <w:proofErr w:type="gramStart"/>
            <w:r w:rsidRPr="001063B2">
              <w:rPr>
                <w:rFonts w:ascii="微软雅黑" w:eastAsia="微软雅黑" w:hAnsi="微软雅黑" w:cs="宋体"/>
                <w:kern w:val="0"/>
                <w:sz w:val="24"/>
                <w:szCs w:val="24"/>
              </w:rPr>
              <w:t>的低危或</w:t>
            </w:r>
            <w:proofErr w:type="gramEnd"/>
            <w:r w:rsidRPr="001063B2">
              <w:rPr>
                <w:rFonts w:ascii="微软雅黑" w:eastAsia="微软雅黑" w:hAnsi="微软雅黑" w:cs="宋体"/>
                <w:kern w:val="0"/>
                <w:sz w:val="24"/>
                <w:szCs w:val="24"/>
              </w:rPr>
              <w:t>中危、HR 阳性、HER2 阴性早期乳腺癌</w:t>
            </w:r>
          </w:p>
        </w:tc>
        <w:tc>
          <w:tcPr>
            <w:tcW w:w="857" w:type="pct"/>
            <w:tcMar>
              <w:top w:w="56" w:type="dxa"/>
              <w:left w:w="56" w:type="dxa"/>
              <w:bottom w:w="56" w:type="dxa"/>
              <w:right w:w="56" w:type="dxa"/>
            </w:tcMar>
            <w:hideMark/>
          </w:tcPr>
          <w:p w14:paraId="07CF9CC3"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帕博西尼+来曲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br/>
              <w:t>对比</w:t>
            </w:r>
            <w:r w:rsidRPr="001063B2">
              <w:rPr>
                <w:rFonts w:ascii="微软雅黑" w:eastAsia="微软雅黑" w:hAnsi="微软雅黑" w:cs="宋体"/>
                <w:kern w:val="0"/>
                <w:sz w:val="24"/>
                <w:szCs w:val="24"/>
              </w:rPr>
              <w:br/>
              <w:t>化疗</w:t>
            </w:r>
          </w:p>
        </w:tc>
        <w:tc>
          <w:tcPr>
            <w:tcW w:w="374" w:type="pct"/>
            <w:tcMar>
              <w:top w:w="56" w:type="dxa"/>
              <w:left w:w="56" w:type="dxa"/>
              <w:bottom w:w="56" w:type="dxa"/>
              <w:right w:w="56" w:type="dxa"/>
            </w:tcMar>
            <w:hideMark/>
          </w:tcPr>
          <w:p w14:paraId="42BD9804"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106</w:t>
            </w:r>
          </w:p>
        </w:tc>
        <w:tc>
          <w:tcPr>
            <w:tcW w:w="709" w:type="pct"/>
            <w:tcMar>
              <w:top w:w="56" w:type="dxa"/>
              <w:left w:w="56" w:type="dxa"/>
              <w:bottom w:w="56" w:type="dxa"/>
              <w:right w:w="56" w:type="dxa"/>
            </w:tcMar>
            <w:hideMark/>
          </w:tcPr>
          <w:p w14:paraId="7E7DAD9D"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红细胞0-1级：7.7% vs. 15.7%</w:t>
            </w:r>
            <w:r w:rsidRPr="001063B2">
              <w:rPr>
                <w:rFonts w:ascii="微软雅黑" w:eastAsia="微软雅黑" w:hAnsi="微软雅黑" w:cs="宋体"/>
                <w:kern w:val="0"/>
                <w:sz w:val="24"/>
                <w:szCs w:val="24"/>
              </w:rPr>
              <w:br/>
            </w:r>
            <w:r w:rsidRPr="001063B2">
              <w:rPr>
                <w:rFonts w:ascii="微软雅黑" w:eastAsia="微软雅黑" w:hAnsi="微软雅黑" w:cs="宋体"/>
                <w:kern w:val="0"/>
                <w:sz w:val="24"/>
                <w:szCs w:val="24"/>
              </w:rPr>
              <w:lastRenderedPageBreak/>
              <w:t>（95% CI 0.4-14.9 vs. 5.7-25.7）</w:t>
            </w:r>
          </w:p>
        </w:tc>
      </w:tr>
      <w:tr w:rsidR="00CB7F59" w:rsidRPr="00CB7F59" w14:paraId="3B0DBC2C" w14:textId="77777777" w:rsidTr="001063B2">
        <w:trPr>
          <w:tblCellSpacing w:w="15" w:type="dxa"/>
        </w:trPr>
        <w:tc>
          <w:tcPr>
            <w:tcW w:w="861" w:type="pct"/>
            <w:tcMar>
              <w:top w:w="56" w:type="dxa"/>
              <w:left w:w="56" w:type="dxa"/>
              <w:bottom w:w="56" w:type="dxa"/>
              <w:right w:w="56" w:type="dxa"/>
            </w:tcMar>
            <w:hideMark/>
          </w:tcPr>
          <w:p w14:paraId="0C723C73"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b/>
                <w:bCs/>
                <w:kern w:val="0"/>
                <w:sz w:val="24"/>
                <w:szCs w:val="24"/>
              </w:rPr>
              <w:lastRenderedPageBreak/>
              <w:t>君主-E</w:t>
            </w:r>
          </w:p>
        </w:tc>
        <w:tc>
          <w:tcPr>
            <w:tcW w:w="176" w:type="pct"/>
            <w:tcMar>
              <w:top w:w="56" w:type="dxa"/>
              <w:left w:w="56" w:type="dxa"/>
              <w:bottom w:w="56" w:type="dxa"/>
              <w:right w:w="56" w:type="dxa"/>
            </w:tcMar>
            <w:hideMark/>
          </w:tcPr>
          <w:p w14:paraId="1585C239"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三</w:t>
            </w:r>
          </w:p>
        </w:tc>
        <w:tc>
          <w:tcPr>
            <w:tcW w:w="244" w:type="pct"/>
            <w:tcMar>
              <w:top w:w="56" w:type="dxa"/>
              <w:left w:w="56" w:type="dxa"/>
              <w:bottom w:w="56" w:type="dxa"/>
              <w:right w:w="56" w:type="dxa"/>
            </w:tcMar>
            <w:hideMark/>
          </w:tcPr>
          <w:p w14:paraId="4778D242"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佐剂</w:t>
            </w:r>
          </w:p>
        </w:tc>
        <w:tc>
          <w:tcPr>
            <w:tcW w:w="1670" w:type="pct"/>
            <w:tcMar>
              <w:top w:w="56" w:type="dxa"/>
              <w:left w:w="56" w:type="dxa"/>
              <w:bottom w:w="56" w:type="dxa"/>
              <w:right w:w="56" w:type="dxa"/>
            </w:tcMar>
            <w:hideMark/>
          </w:tcPr>
          <w:p w14:paraId="012707BF"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绝经前/绝经后女性或男性，患有高危淋巴结阳性、激素受体阳性、HER2阴性的早期乳腺癌</w:t>
            </w:r>
          </w:p>
        </w:tc>
        <w:tc>
          <w:tcPr>
            <w:tcW w:w="857" w:type="pct"/>
            <w:tcMar>
              <w:top w:w="56" w:type="dxa"/>
              <w:left w:w="56" w:type="dxa"/>
              <w:bottom w:w="56" w:type="dxa"/>
              <w:right w:w="56" w:type="dxa"/>
            </w:tcMar>
            <w:hideMark/>
          </w:tcPr>
          <w:p w14:paraId="5160CEBA"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阿贝西利联合放疗</w:t>
            </w:r>
            <w:r w:rsidRPr="001063B2">
              <w:rPr>
                <w:rFonts w:ascii="微软雅黑" w:eastAsia="微软雅黑" w:hAnsi="微软雅黑" w:cs="宋体"/>
                <w:kern w:val="0"/>
                <w:sz w:val="24"/>
                <w:szCs w:val="24"/>
              </w:rPr>
              <w:br/>
              <w:t>对比</w:t>
            </w:r>
            <w:r w:rsidRPr="001063B2">
              <w:rPr>
                <w:rFonts w:ascii="微软雅黑" w:eastAsia="微软雅黑" w:hAnsi="微软雅黑" w:cs="宋体"/>
                <w:kern w:val="0"/>
                <w:sz w:val="24"/>
                <w:szCs w:val="24"/>
              </w:rPr>
              <w:br/>
              <w:t>放疗</w:t>
            </w:r>
          </w:p>
        </w:tc>
        <w:tc>
          <w:tcPr>
            <w:tcW w:w="374" w:type="pct"/>
            <w:tcMar>
              <w:top w:w="56" w:type="dxa"/>
              <w:left w:w="56" w:type="dxa"/>
              <w:bottom w:w="56" w:type="dxa"/>
              <w:right w:w="56" w:type="dxa"/>
            </w:tcMar>
            <w:hideMark/>
          </w:tcPr>
          <w:p w14:paraId="09E79316"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5637</w:t>
            </w:r>
          </w:p>
        </w:tc>
        <w:tc>
          <w:tcPr>
            <w:tcW w:w="709" w:type="pct"/>
            <w:tcMar>
              <w:top w:w="56" w:type="dxa"/>
              <w:left w:w="56" w:type="dxa"/>
              <w:bottom w:w="56" w:type="dxa"/>
              <w:right w:w="56" w:type="dxa"/>
            </w:tcMar>
            <w:hideMark/>
          </w:tcPr>
          <w:p w14:paraId="140265F2" w14:textId="77777777" w:rsidR="001063B2" w:rsidRPr="001063B2" w:rsidRDefault="001063B2" w:rsidP="001063B2">
            <w:pPr>
              <w:widowControl/>
              <w:rPr>
                <w:rFonts w:ascii="微软雅黑" w:eastAsia="微软雅黑" w:hAnsi="微软雅黑" w:cs="宋体"/>
                <w:kern w:val="0"/>
                <w:sz w:val="24"/>
                <w:szCs w:val="24"/>
              </w:rPr>
            </w:pPr>
            <w:proofErr w:type="spellStart"/>
            <w:r w:rsidRPr="001063B2">
              <w:rPr>
                <w:rFonts w:ascii="微软雅黑" w:eastAsia="微软雅黑" w:hAnsi="微软雅黑" w:cs="宋体"/>
                <w:kern w:val="0"/>
                <w:sz w:val="24"/>
                <w:szCs w:val="24"/>
              </w:rPr>
              <w:t>iDFS</w:t>
            </w:r>
            <w:proofErr w:type="spellEnd"/>
            <w:r w:rsidRPr="001063B2">
              <w:rPr>
                <w:rFonts w:ascii="微软雅黑" w:eastAsia="微软雅黑" w:hAnsi="微软雅黑" w:cs="宋体"/>
                <w:kern w:val="0"/>
                <w:sz w:val="24"/>
                <w:szCs w:val="24"/>
              </w:rPr>
              <w:t>（结果待定）</w:t>
            </w:r>
          </w:p>
        </w:tc>
      </w:tr>
      <w:tr w:rsidR="00CB7F59" w:rsidRPr="00CB7F59" w14:paraId="5E4705F1" w14:textId="77777777" w:rsidTr="001063B2">
        <w:trPr>
          <w:tblCellSpacing w:w="15" w:type="dxa"/>
        </w:trPr>
        <w:tc>
          <w:tcPr>
            <w:tcW w:w="861" w:type="pct"/>
            <w:tcMar>
              <w:top w:w="56" w:type="dxa"/>
              <w:left w:w="56" w:type="dxa"/>
              <w:bottom w:w="56" w:type="dxa"/>
              <w:right w:w="56" w:type="dxa"/>
            </w:tcMar>
            <w:hideMark/>
          </w:tcPr>
          <w:p w14:paraId="18F8B3DC"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b/>
                <w:bCs/>
                <w:kern w:val="0"/>
                <w:sz w:val="24"/>
                <w:szCs w:val="24"/>
              </w:rPr>
              <w:t>佩内洛普-B</w:t>
            </w:r>
          </w:p>
        </w:tc>
        <w:tc>
          <w:tcPr>
            <w:tcW w:w="176" w:type="pct"/>
            <w:tcMar>
              <w:top w:w="56" w:type="dxa"/>
              <w:left w:w="56" w:type="dxa"/>
              <w:bottom w:w="56" w:type="dxa"/>
              <w:right w:w="56" w:type="dxa"/>
            </w:tcMar>
            <w:hideMark/>
          </w:tcPr>
          <w:p w14:paraId="1818CA87"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三</w:t>
            </w:r>
          </w:p>
        </w:tc>
        <w:tc>
          <w:tcPr>
            <w:tcW w:w="244" w:type="pct"/>
            <w:tcMar>
              <w:top w:w="56" w:type="dxa"/>
              <w:left w:w="56" w:type="dxa"/>
              <w:bottom w:w="56" w:type="dxa"/>
              <w:right w:w="56" w:type="dxa"/>
            </w:tcMar>
            <w:hideMark/>
          </w:tcPr>
          <w:p w14:paraId="0A1E5B16"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佐剂</w:t>
            </w:r>
          </w:p>
        </w:tc>
        <w:tc>
          <w:tcPr>
            <w:tcW w:w="1670" w:type="pct"/>
            <w:tcMar>
              <w:top w:w="56" w:type="dxa"/>
              <w:left w:w="56" w:type="dxa"/>
              <w:bottom w:w="56" w:type="dxa"/>
              <w:right w:w="56" w:type="dxa"/>
            </w:tcMar>
            <w:hideMark/>
          </w:tcPr>
          <w:p w14:paraId="49991DC1"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对于接受新辅助化疗后未达到病理完全缓解且复发风险高的</w:t>
            </w:r>
            <w:r w:rsidRPr="001063B2">
              <w:rPr>
                <w:rFonts w:ascii="微软雅黑" w:eastAsia="微软雅黑" w:hAnsi="微软雅黑" w:cs="宋体"/>
                <w:kern w:val="0"/>
                <w:sz w:val="24"/>
                <w:szCs w:val="24"/>
              </w:rPr>
              <w:lastRenderedPageBreak/>
              <w:t>HR阳性/HER2阴性早期乳腺癌绝经前/后女性，应考虑使用本研究方案。</w:t>
            </w:r>
          </w:p>
        </w:tc>
        <w:tc>
          <w:tcPr>
            <w:tcW w:w="857" w:type="pct"/>
            <w:tcMar>
              <w:top w:w="56" w:type="dxa"/>
              <w:left w:w="56" w:type="dxa"/>
              <w:bottom w:w="56" w:type="dxa"/>
              <w:right w:w="56" w:type="dxa"/>
            </w:tcMar>
            <w:hideMark/>
          </w:tcPr>
          <w:p w14:paraId="121748E3"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lastRenderedPageBreak/>
              <w:t>帕博西尼</w:t>
            </w:r>
            <w:r w:rsidRPr="001063B2">
              <w:rPr>
                <w:rFonts w:ascii="微软雅黑" w:eastAsia="微软雅黑" w:hAnsi="微软雅黑" w:cs="宋体"/>
                <w:kern w:val="0"/>
                <w:sz w:val="24"/>
                <w:szCs w:val="24"/>
              </w:rPr>
              <w:br/>
              <w:t>对比</w:t>
            </w:r>
            <w:r w:rsidRPr="001063B2">
              <w:rPr>
                <w:rFonts w:ascii="微软雅黑" w:eastAsia="微软雅黑" w:hAnsi="微软雅黑" w:cs="宋体"/>
                <w:kern w:val="0"/>
                <w:sz w:val="24"/>
                <w:szCs w:val="24"/>
              </w:rPr>
              <w:br/>
              <w:t>安慰剂</w:t>
            </w:r>
          </w:p>
        </w:tc>
        <w:tc>
          <w:tcPr>
            <w:tcW w:w="374" w:type="pct"/>
            <w:tcMar>
              <w:top w:w="56" w:type="dxa"/>
              <w:left w:w="56" w:type="dxa"/>
              <w:bottom w:w="56" w:type="dxa"/>
              <w:right w:w="56" w:type="dxa"/>
            </w:tcMar>
            <w:hideMark/>
          </w:tcPr>
          <w:p w14:paraId="2253E2CA"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1250</w:t>
            </w:r>
          </w:p>
        </w:tc>
        <w:tc>
          <w:tcPr>
            <w:tcW w:w="709" w:type="pct"/>
            <w:tcMar>
              <w:top w:w="56" w:type="dxa"/>
              <w:left w:w="56" w:type="dxa"/>
              <w:bottom w:w="56" w:type="dxa"/>
              <w:right w:w="56" w:type="dxa"/>
            </w:tcMar>
            <w:hideMark/>
          </w:tcPr>
          <w:p w14:paraId="07302D50" w14:textId="77777777" w:rsidR="001063B2" w:rsidRPr="001063B2" w:rsidRDefault="001063B2" w:rsidP="001063B2">
            <w:pPr>
              <w:widowControl/>
              <w:rPr>
                <w:rFonts w:ascii="微软雅黑" w:eastAsia="微软雅黑" w:hAnsi="微软雅黑" w:cs="宋体"/>
                <w:kern w:val="0"/>
                <w:sz w:val="24"/>
                <w:szCs w:val="24"/>
              </w:rPr>
            </w:pPr>
            <w:proofErr w:type="spellStart"/>
            <w:r w:rsidRPr="001063B2">
              <w:rPr>
                <w:rFonts w:ascii="微软雅黑" w:eastAsia="微软雅黑" w:hAnsi="微软雅黑" w:cs="宋体"/>
                <w:kern w:val="0"/>
                <w:sz w:val="24"/>
                <w:szCs w:val="24"/>
              </w:rPr>
              <w:t>iDFS</w:t>
            </w:r>
            <w:proofErr w:type="spellEnd"/>
            <w:r w:rsidRPr="001063B2">
              <w:rPr>
                <w:rFonts w:ascii="微软雅黑" w:eastAsia="微软雅黑" w:hAnsi="微软雅黑" w:cs="宋体"/>
                <w:kern w:val="0"/>
                <w:sz w:val="24"/>
                <w:szCs w:val="24"/>
              </w:rPr>
              <w:t>（结果待定）</w:t>
            </w:r>
          </w:p>
        </w:tc>
      </w:tr>
      <w:tr w:rsidR="00CB7F59" w:rsidRPr="00CB7F59" w14:paraId="1E531DEC" w14:textId="77777777" w:rsidTr="001063B2">
        <w:trPr>
          <w:tblCellSpacing w:w="15" w:type="dxa"/>
        </w:trPr>
        <w:tc>
          <w:tcPr>
            <w:tcW w:w="861" w:type="pct"/>
            <w:tcMar>
              <w:top w:w="56" w:type="dxa"/>
              <w:left w:w="56" w:type="dxa"/>
              <w:bottom w:w="56" w:type="dxa"/>
              <w:right w:w="56" w:type="dxa"/>
            </w:tcMar>
            <w:hideMark/>
          </w:tcPr>
          <w:p w14:paraId="65BBCB03"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b/>
                <w:bCs/>
                <w:kern w:val="0"/>
                <w:sz w:val="24"/>
                <w:szCs w:val="24"/>
              </w:rPr>
              <w:t>帕拉斯</w:t>
            </w:r>
          </w:p>
        </w:tc>
        <w:tc>
          <w:tcPr>
            <w:tcW w:w="176" w:type="pct"/>
            <w:tcMar>
              <w:top w:w="56" w:type="dxa"/>
              <w:left w:w="56" w:type="dxa"/>
              <w:bottom w:w="56" w:type="dxa"/>
              <w:right w:w="56" w:type="dxa"/>
            </w:tcMar>
            <w:hideMark/>
          </w:tcPr>
          <w:p w14:paraId="70681179"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三</w:t>
            </w:r>
          </w:p>
        </w:tc>
        <w:tc>
          <w:tcPr>
            <w:tcW w:w="244" w:type="pct"/>
            <w:tcMar>
              <w:top w:w="56" w:type="dxa"/>
              <w:left w:w="56" w:type="dxa"/>
              <w:bottom w:w="56" w:type="dxa"/>
              <w:right w:w="56" w:type="dxa"/>
            </w:tcMar>
            <w:hideMark/>
          </w:tcPr>
          <w:p w14:paraId="63733190"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佐剂</w:t>
            </w:r>
          </w:p>
        </w:tc>
        <w:tc>
          <w:tcPr>
            <w:tcW w:w="1670" w:type="pct"/>
            <w:tcMar>
              <w:top w:w="56" w:type="dxa"/>
              <w:left w:w="56" w:type="dxa"/>
              <w:bottom w:w="56" w:type="dxa"/>
              <w:right w:w="56" w:type="dxa"/>
            </w:tcMar>
            <w:hideMark/>
          </w:tcPr>
          <w:p w14:paraId="55413CA6"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绝经前/绝经后女性或男性，患有 II/III 期 HR 阳性/HER2 阴性早期乳腺癌，且复发风险为中度</w:t>
            </w:r>
            <w:proofErr w:type="gramStart"/>
            <w:r w:rsidRPr="001063B2">
              <w:rPr>
                <w:rFonts w:ascii="微软雅黑" w:eastAsia="微软雅黑" w:hAnsi="微软雅黑" w:cs="宋体"/>
                <w:kern w:val="0"/>
                <w:sz w:val="24"/>
                <w:szCs w:val="24"/>
              </w:rPr>
              <w:t>至高度</w:t>
            </w:r>
            <w:proofErr w:type="gramEnd"/>
          </w:p>
        </w:tc>
        <w:tc>
          <w:tcPr>
            <w:tcW w:w="857" w:type="pct"/>
            <w:tcMar>
              <w:top w:w="56" w:type="dxa"/>
              <w:left w:w="56" w:type="dxa"/>
              <w:bottom w:w="56" w:type="dxa"/>
              <w:right w:w="56" w:type="dxa"/>
            </w:tcMar>
            <w:hideMark/>
          </w:tcPr>
          <w:p w14:paraId="42C09641"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帕博西尼（2 年）+ ET（5 年）</w:t>
            </w:r>
            <w:r w:rsidRPr="001063B2">
              <w:rPr>
                <w:rFonts w:ascii="微软雅黑" w:eastAsia="微软雅黑" w:hAnsi="微软雅黑" w:cs="宋体"/>
                <w:kern w:val="0"/>
                <w:sz w:val="24"/>
                <w:szCs w:val="24"/>
              </w:rPr>
              <w:br/>
              <w:t>对比</w:t>
            </w:r>
            <w:r w:rsidRPr="001063B2">
              <w:rPr>
                <w:rFonts w:ascii="微软雅黑" w:eastAsia="微软雅黑" w:hAnsi="微软雅黑" w:cs="宋体"/>
                <w:kern w:val="0"/>
                <w:sz w:val="24"/>
                <w:szCs w:val="24"/>
              </w:rPr>
              <w:br/>
              <w:t>ET 5 年</w:t>
            </w:r>
          </w:p>
        </w:tc>
        <w:tc>
          <w:tcPr>
            <w:tcW w:w="374" w:type="pct"/>
            <w:tcMar>
              <w:top w:w="56" w:type="dxa"/>
              <w:left w:w="56" w:type="dxa"/>
              <w:bottom w:w="56" w:type="dxa"/>
              <w:right w:w="56" w:type="dxa"/>
            </w:tcMar>
            <w:hideMark/>
          </w:tcPr>
          <w:p w14:paraId="71510F4E"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5796</w:t>
            </w:r>
          </w:p>
        </w:tc>
        <w:tc>
          <w:tcPr>
            <w:tcW w:w="709" w:type="pct"/>
            <w:tcMar>
              <w:top w:w="56" w:type="dxa"/>
              <w:left w:w="56" w:type="dxa"/>
              <w:bottom w:w="56" w:type="dxa"/>
              <w:right w:w="56" w:type="dxa"/>
            </w:tcMar>
            <w:hideMark/>
          </w:tcPr>
          <w:p w14:paraId="4DC51F6B" w14:textId="77777777" w:rsidR="001063B2" w:rsidRPr="001063B2" w:rsidRDefault="001063B2" w:rsidP="001063B2">
            <w:pPr>
              <w:widowControl/>
              <w:rPr>
                <w:rFonts w:ascii="微软雅黑" w:eastAsia="微软雅黑" w:hAnsi="微软雅黑" w:cs="宋体"/>
                <w:kern w:val="0"/>
                <w:sz w:val="24"/>
                <w:szCs w:val="24"/>
              </w:rPr>
            </w:pPr>
            <w:proofErr w:type="spellStart"/>
            <w:r w:rsidRPr="001063B2">
              <w:rPr>
                <w:rFonts w:ascii="微软雅黑" w:eastAsia="微软雅黑" w:hAnsi="微软雅黑" w:cs="宋体"/>
                <w:kern w:val="0"/>
                <w:sz w:val="24"/>
                <w:szCs w:val="24"/>
              </w:rPr>
              <w:t>iDFS</w:t>
            </w:r>
            <w:proofErr w:type="spellEnd"/>
            <w:r w:rsidRPr="001063B2">
              <w:rPr>
                <w:rFonts w:ascii="微软雅黑" w:eastAsia="微软雅黑" w:hAnsi="微软雅黑" w:cs="宋体"/>
                <w:kern w:val="0"/>
                <w:sz w:val="24"/>
                <w:szCs w:val="24"/>
              </w:rPr>
              <w:t>（结果待定）</w:t>
            </w:r>
          </w:p>
        </w:tc>
      </w:tr>
      <w:tr w:rsidR="00CB7F59" w:rsidRPr="00CB7F59" w14:paraId="37B6CB30" w14:textId="77777777" w:rsidTr="001063B2">
        <w:trPr>
          <w:tblCellSpacing w:w="15" w:type="dxa"/>
        </w:trPr>
        <w:tc>
          <w:tcPr>
            <w:tcW w:w="861" w:type="pct"/>
            <w:tcMar>
              <w:top w:w="56" w:type="dxa"/>
              <w:left w:w="56" w:type="dxa"/>
              <w:bottom w:w="56" w:type="dxa"/>
              <w:right w:w="56" w:type="dxa"/>
            </w:tcMar>
            <w:hideMark/>
          </w:tcPr>
          <w:p w14:paraId="75AF963C"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b/>
                <w:bCs/>
                <w:kern w:val="0"/>
                <w:sz w:val="24"/>
                <w:szCs w:val="24"/>
              </w:rPr>
              <w:t>维持</w:t>
            </w:r>
          </w:p>
        </w:tc>
        <w:tc>
          <w:tcPr>
            <w:tcW w:w="176" w:type="pct"/>
            <w:tcMar>
              <w:top w:w="56" w:type="dxa"/>
              <w:left w:w="56" w:type="dxa"/>
              <w:bottom w:w="56" w:type="dxa"/>
              <w:right w:w="56" w:type="dxa"/>
            </w:tcMar>
            <w:hideMark/>
          </w:tcPr>
          <w:p w14:paraId="6C238224"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二</w:t>
            </w:r>
          </w:p>
        </w:tc>
        <w:tc>
          <w:tcPr>
            <w:tcW w:w="244" w:type="pct"/>
            <w:tcMar>
              <w:top w:w="56" w:type="dxa"/>
              <w:left w:w="56" w:type="dxa"/>
              <w:bottom w:w="56" w:type="dxa"/>
              <w:right w:w="56" w:type="dxa"/>
            </w:tcMar>
            <w:hideMark/>
          </w:tcPr>
          <w:p w14:paraId="29449325"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晚期或</w:t>
            </w:r>
            <w:r w:rsidRPr="001063B2">
              <w:rPr>
                <w:rFonts w:ascii="微软雅黑" w:eastAsia="微软雅黑" w:hAnsi="微软雅黑" w:cs="宋体"/>
                <w:kern w:val="0"/>
                <w:sz w:val="24"/>
                <w:szCs w:val="24"/>
              </w:rPr>
              <w:lastRenderedPageBreak/>
              <w:t>转移性</w:t>
            </w:r>
          </w:p>
        </w:tc>
        <w:tc>
          <w:tcPr>
            <w:tcW w:w="1670" w:type="pct"/>
            <w:tcMar>
              <w:top w:w="56" w:type="dxa"/>
              <w:left w:w="56" w:type="dxa"/>
              <w:bottom w:w="56" w:type="dxa"/>
              <w:right w:w="56" w:type="dxa"/>
            </w:tcMar>
            <w:hideMark/>
          </w:tcPr>
          <w:p w14:paraId="46CDB3DB"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lastRenderedPageBreak/>
              <w:t>绝经前/绝经后女性或男性，HR阳性/HER2阴性晚期或</w:t>
            </w:r>
            <w:r w:rsidRPr="001063B2">
              <w:rPr>
                <w:rFonts w:ascii="微软雅黑" w:eastAsia="微软雅黑" w:hAnsi="微软雅黑" w:cs="宋体"/>
                <w:kern w:val="0"/>
                <w:sz w:val="24"/>
                <w:szCs w:val="24"/>
              </w:rPr>
              <w:lastRenderedPageBreak/>
              <w:t>转移性乳腺癌，且接受AI联合CDK4/6抑制剂（帕博西尼或瑞博西尼）治疗后病情进展</w:t>
            </w:r>
          </w:p>
        </w:tc>
        <w:tc>
          <w:tcPr>
            <w:tcW w:w="857" w:type="pct"/>
            <w:tcMar>
              <w:top w:w="56" w:type="dxa"/>
              <w:left w:w="56" w:type="dxa"/>
              <w:bottom w:w="56" w:type="dxa"/>
              <w:right w:w="56" w:type="dxa"/>
            </w:tcMar>
            <w:hideMark/>
          </w:tcPr>
          <w:p w14:paraId="5C79A1FD"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lastRenderedPageBreak/>
              <w:t>瑞博西尼+</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br/>
              <w:t>对比</w:t>
            </w:r>
            <w:r w:rsidRPr="001063B2">
              <w:rPr>
                <w:rFonts w:ascii="微软雅黑" w:eastAsia="微软雅黑" w:hAnsi="微软雅黑" w:cs="宋体"/>
                <w:kern w:val="0"/>
                <w:sz w:val="24"/>
                <w:szCs w:val="24"/>
              </w:rPr>
              <w:br/>
            </w:r>
            <w:proofErr w:type="gramStart"/>
            <w:r w:rsidRPr="001063B2">
              <w:rPr>
                <w:rFonts w:ascii="微软雅黑" w:eastAsia="微软雅黑" w:hAnsi="微软雅黑" w:cs="宋体"/>
                <w:kern w:val="0"/>
                <w:sz w:val="24"/>
                <w:szCs w:val="24"/>
              </w:rPr>
              <w:lastRenderedPageBreak/>
              <w:t>氟维司群</w:t>
            </w:r>
            <w:proofErr w:type="gramEnd"/>
            <w:r w:rsidRPr="001063B2">
              <w:rPr>
                <w:rFonts w:ascii="微软雅黑" w:eastAsia="微软雅黑" w:hAnsi="微软雅黑" w:cs="宋体"/>
                <w:kern w:val="0"/>
                <w:sz w:val="24"/>
                <w:szCs w:val="24"/>
              </w:rPr>
              <w:t>+安慰剂</w:t>
            </w:r>
          </w:p>
        </w:tc>
        <w:tc>
          <w:tcPr>
            <w:tcW w:w="374" w:type="pct"/>
            <w:tcMar>
              <w:top w:w="56" w:type="dxa"/>
              <w:left w:w="56" w:type="dxa"/>
              <w:bottom w:w="56" w:type="dxa"/>
              <w:right w:w="56" w:type="dxa"/>
            </w:tcMar>
            <w:hideMark/>
          </w:tcPr>
          <w:p w14:paraId="4148410D"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lastRenderedPageBreak/>
              <w:t>132</w:t>
            </w:r>
            <w:r w:rsidRPr="001063B2">
              <w:rPr>
                <w:rFonts w:ascii="微软雅黑" w:eastAsia="微软雅黑" w:hAnsi="微软雅黑" w:cs="宋体"/>
                <w:kern w:val="0"/>
                <w:sz w:val="24"/>
                <w:szCs w:val="24"/>
              </w:rPr>
              <w:br/>
              <w:t>（估计）</w:t>
            </w:r>
          </w:p>
        </w:tc>
        <w:tc>
          <w:tcPr>
            <w:tcW w:w="709" w:type="pct"/>
            <w:tcMar>
              <w:top w:w="56" w:type="dxa"/>
              <w:left w:w="56" w:type="dxa"/>
              <w:bottom w:w="56" w:type="dxa"/>
              <w:right w:w="56" w:type="dxa"/>
            </w:tcMar>
            <w:hideMark/>
          </w:tcPr>
          <w:p w14:paraId="0BF456E8"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24周无进展生</w:t>
            </w:r>
            <w:r w:rsidRPr="001063B2">
              <w:rPr>
                <w:rFonts w:ascii="微软雅黑" w:eastAsia="微软雅黑" w:hAnsi="微软雅黑" w:cs="宋体"/>
                <w:kern w:val="0"/>
                <w:sz w:val="24"/>
                <w:szCs w:val="24"/>
              </w:rPr>
              <w:lastRenderedPageBreak/>
              <w:t>存期（结果待定）</w:t>
            </w:r>
          </w:p>
        </w:tc>
      </w:tr>
      <w:tr w:rsidR="00CB7F59" w:rsidRPr="00CB7F59" w14:paraId="4FEFC084" w14:textId="77777777" w:rsidTr="001063B2">
        <w:trPr>
          <w:tblCellSpacing w:w="15" w:type="dxa"/>
        </w:trPr>
        <w:tc>
          <w:tcPr>
            <w:tcW w:w="861" w:type="pct"/>
            <w:tcMar>
              <w:top w:w="56" w:type="dxa"/>
              <w:left w:w="56" w:type="dxa"/>
              <w:bottom w:w="56" w:type="dxa"/>
              <w:right w:w="56" w:type="dxa"/>
            </w:tcMar>
            <w:hideMark/>
          </w:tcPr>
          <w:p w14:paraId="7A9DC028"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b/>
                <w:bCs/>
                <w:kern w:val="0"/>
                <w:sz w:val="24"/>
                <w:szCs w:val="24"/>
              </w:rPr>
              <w:lastRenderedPageBreak/>
              <w:t>步伐</w:t>
            </w:r>
          </w:p>
        </w:tc>
        <w:tc>
          <w:tcPr>
            <w:tcW w:w="176" w:type="pct"/>
            <w:tcMar>
              <w:top w:w="56" w:type="dxa"/>
              <w:left w:w="56" w:type="dxa"/>
              <w:bottom w:w="56" w:type="dxa"/>
              <w:right w:w="56" w:type="dxa"/>
            </w:tcMar>
            <w:hideMark/>
          </w:tcPr>
          <w:p w14:paraId="10E1C8ED"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二</w:t>
            </w:r>
          </w:p>
        </w:tc>
        <w:tc>
          <w:tcPr>
            <w:tcW w:w="244" w:type="pct"/>
            <w:tcMar>
              <w:top w:w="56" w:type="dxa"/>
              <w:left w:w="56" w:type="dxa"/>
              <w:bottom w:w="56" w:type="dxa"/>
              <w:right w:w="56" w:type="dxa"/>
            </w:tcMar>
            <w:hideMark/>
          </w:tcPr>
          <w:p w14:paraId="40E5F275"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晚期或转移性</w:t>
            </w:r>
          </w:p>
        </w:tc>
        <w:tc>
          <w:tcPr>
            <w:tcW w:w="1670" w:type="pct"/>
            <w:tcMar>
              <w:top w:w="56" w:type="dxa"/>
              <w:left w:w="56" w:type="dxa"/>
              <w:bottom w:w="56" w:type="dxa"/>
              <w:right w:w="56" w:type="dxa"/>
            </w:tcMar>
            <w:hideMark/>
          </w:tcPr>
          <w:p w14:paraId="50933B7C"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绝经前/绝经后女性或男性，HR阳性/HER2阴性晚期或转移性乳腺癌，且接受过内分泌治疗联合CDK4/6抑制剂治疗以及最多一线化疗后</w:t>
            </w:r>
            <w:r w:rsidRPr="001063B2">
              <w:rPr>
                <w:rFonts w:ascii="微软雅黑" w:eastAsia="微软雅黑" w:hAnsi="微软雅黑" w:cs="宋体"/>
                <w:kern w:val="0"/>
                <w:sz w:val="24"/>
                <w:szCs w:val="24"/>
              </w:rPr>
              <w:lastRenderedPageBreak/>
              <w:t>病情进展，可考虑使用ABC方案。</w:t>
            </w:r>
          </w:p>
        </w:tc>
        <w:tc>
          <w:tcPr>
            <w:tcW w:w="857" w:type="pct"/>
            <w:tcMar>
              <w:top w:w="56" w:type="dxa"/>
              <w:left w:w="56" w:type="dxa"/>
              <w:bottom w:w="56" w:type="dxa"/>
              <w:right w:w="56" w:type="dxa"/>
            </w:tcMar>
            <w:hideMark/>
          </w:tcPr>
          <w:p w14:paraId="3B5DDABD"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lastRenderedPageBreak/>
              <w:t>帕博西尼+</w:t>
            </w:r>
            <w:proofErr w:type="gramStart"/>
            <w:r w:rsidRPr="001063B2">
              <w:rPr>
                <w:rFonts w:ascii="微软雅黑" w:eastAsia="微软雅黑" w:hAnsi="微软雅黑" w:cs="宋体"/>
                <w:kern w:val="0"/>
                <w:sz w:val="24"/>
                <w:szCs w:val="24"/>
              </w:rPr>
              <w:t>氟维司</w:t>
            </w:r>
            <w:proofErr w:type="gramEnd"/>
            <w:r w:rsidRPr="001063B2">
              <w:rPr>
                <w:rFonts w:ascii="微软雅黑" w:eastAsia="微软雅黑" w:hAnsi="微软雅黑" w:cs="宋体"/>
                <w:kern w:val="0"/>
                <w:sz w:val="24"/>
                <w:szCs w:val="24"/>
              </w:rPr>
              <w:br/>
              <w:t>群对</w:t>
            </w:r>
            <w:r w:rsidRPr="001063B2">
              <w:rPr>
                <w:rFonts w:ascii="微软雅黑" w:eastAsia="微软雅黑" w:hAnsi="微软雅黑" w:cs="宋体"/>
                <w:kern w:val="0"/>
                <w:sz w:val="24"/>
                <w:szCs w:val="24"/>
              </w:rPr>
              <w:br/>
              <w:t>比帕博西尼+</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t>+</w:t>
            </w:r>
            <w:proofErr w:type="gramStart"/>
            <w:r w:rsidRPr="001063B2">
              <w:rPr>
                <w:rFonts w:ascii="微软雅黑" w:eastAsia="微软雅黑" w:hAnsi="微软雅黑" w:cs="宋体"/>
                <w:kern w:val="0"/>
                <w:sz w:val="24"/>
                <w:szCs w:val="24"/>
              </w:rPr>
              <w:t>阿维鲁</w:t>
            </w:r>
            <w:proofErr w:type="gramEnd"/>
            <w:r w:rsidRPr="001063B2">
              <w:rPr>
                <w:rFonts w:ascii="微软雅黑" w:eastAsia="微软雅黑" w:hAnsi="微软雅黑" w:cs="宋体"/>
                <w:kern w:val="0"/>
                <w:sz w:val="24"/>
                <w:szCs w:val="24"/>
              </w:rPr>
              <w:br/>
              <w:t>单抗对比</w:t>
            </w:r>
            <w:proofErr w:type="gramStart"/>
            <w:r w:rsidRPr="001063B2">
              <w:rPr>
                <w:rFonts w:ascii="微软雅黑" w:eastAsia="微软雅黑" w:hAnsi="微软雅黑" w:cs="宋体"/>
                <w:kern w:val="0"/>
                <w:sz w:val="24"/>
                <w:szCs w:val="24"/>
              </w:rPr>
              <w:t>氟维司群</w:t>
            </w:r>
            <w:proofErr w:type="gramEnd"/>
          </w:p>
        </w:tc>
        <w:tc>
          <w:tcPr>
            <w:tcW w:w="374" w:type="pct"/>
            <w:tcMar>
              <w:top w:w="56" w:type="dxa"/>
              <w:left w:w="56" w:type="dxa"/>
              <w:bottom w:w="56" w:type="dxa"/>
              <w:right w:w="56" w:type="dxa"/>
            </w:tcMar>
            <w:hideMark/>
          </w:tcPr>
          <w:p w14:paraId="1A9D6492"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220</w:t>
            </w:r>
            <w:r w:rsidRPr="001063B2">
              <w:rPr>
                <w:rFonts w:ascii="微软雅黑" w:eastAsia="微软雅黑" w:hAnsi="微软雅黑" w:cs="宋体"/>
                <w:kern w:val="0"/>
                <w:sz w:val="24"/>
                <w:szCs w:val="24"/>
              </w:rPr>
              <w:br/>
              <w:t>（估计）</w:t>
            </w:r>
          </w:p>
        </w:tc>
        <w:tc>
          <w:tcPr>
            <w:tcW w:w="709" w:type="pct"/>
            <w:tcMar>
              <w:top w:w="56" w:type="dxa"/>
              <w:left w:w="56" w:type="dxa"/>
              <w:bottom w:w="56" w:type="dxa"/>
              <w:right w:w="56" w:type="dxa"/>
            </w:tcMar>
            <w:hideMark/>
          </w:tcPr>
          <w:p w14:paraId="2327FBB3"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PFS（结果待定）</w:t>
            </w:r>
          </w:p>
        </w:tc>
      </w:tr>
      <w:tr w:rsidR="00CB7F59" w:rsidRPr="00CB7F59" w14:paraId="2B21B6D7" w14:textId="77777777" w:rsidTr="001063B2">
        <w:trPr>
          <w:tblCellSpacing w:w="15" w:type="dxa"/>
        </w:trPr>
        <w:tc>
          <w:tcPr>
            <w:tcW w:w="861" w:type="pct"/>
            <w:tcMar>
              <w:top w:w="56" w:type="dxa"/>
              <w:left w:w="56" w:type="dxa"/>
              <w:bottom w:w="56" w:type="dxa"/>
              <w:right w:w="56" w:type="dxa"/>
            </w:tcMar>
            <w:hideMark/>
          </w:tcPr>
          <w:p w14:paraId="3BB97486"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b/>
                <w:bCs/>
                <w:kern w:val="0"/>
                <w:sz w:val="24"/>
                <w:szCs w:val="24"/>
              </w:rPr>
              <w:t>铜绿</w:t>
            </w:r>
          </w:p>
        </w:tc>
        <w:tc>
          <w:tcPr>
            <w:tcW w:w="176" w:type="pct"/>
            <w:tcMar>
              <w:top w:w="56" w:type="dxa"/>
              <w:left w:w="56" w:type="dxa"/>
              <w:bottom w:w="56" w:type="dxa"/>
              <w:right w:w="56" w:type="dxa"/>
            </w:tcMar>
            <w:hideMark/>
          </w:tcPr>
          <w:p w14:paraId="54B81A16"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三</w:t>
            </w:r>
          </w:p>
        </w:tc>
        <w:tc>
          <w:tcPr>
            <w:tcW w:w="244" w:type="pct"/>
            <w:tcMar>
              <w:top w:w="56" w:type="dxa"/>
              <w:left w:w="56" w:type="dxa"/>
              <w:bottom w:w="56" w:type="dxa"/>
              <w:right w:w="56" w:type="dxa"/>
            </w:tcMar>
            <w:hideMark/>
          </w:tcPr>
          <w:p w14:paraId="35CD9CED"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晚期或转移性</w:t>
            </w:r>
          </w:p>
        </w:tc>
        <w:tc>
          <w:tcPr>
            <w:tcW w:w="1670" w:type="pct"/>
            <w:tcMar>
              <w:top w:w="56" w:type="dxa"/>
              <w:left w:w="56" w:type="dxa"/>
              <w:bottom w:w="56" w:type="dxa"/>
              <w:right w:w="56" w:type="dxa"/>
            </w:tcMar>
            <w:hideMark/>
          </w:tcPr>
          <w:p w14:paraId="2C0A0F42"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接受诱导治疗作为一线治疗的HR阳性、HER2阳性转移性乳腺癌患者</w:t>
            </w:r>
          </w:p>
        </w:tc>
        <w:tc>
          <w:tcPr>
            <w:tcW w:w="857" w:type="pct"/>
            <w:tcMar>
              <w:top w:w="56" w:type="dxa"/>
              <w:left w:w="56" w:type="dxa"/>
              <w:bottom w:w="56" w:type="dxa"/>
              <w:right w:w="56" w:type="dxa"/>
            </w:tcMar>
            <w:hideMark/>
          </w:tcPr>
          <w:p w14:paraId="18F824AE"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Palbociclib + 抗 HER2 + ET</w:t>
            </w:r>
            <w:r w:rsidRPr="001063B2">
              <w:rPr>
                <w:rFonts w:ascii="微软雅黑" w:eastAsia="微软雅黑" w:hAnsi="微软雅黑" w:cs="宋体"/>
                <w:kern w:val="0"/>
                <w:sz w:val="24"/>
                <w:szCs w:val="24"/>
              </w:rPr>
              <w:br/>
              <w:t>与</w:t>
            </w:r>
            <w:r w:rsidRPr="001063B2">
              <w:rPr>
                <w:rFonts w:ascii="微软雅黑" w:eastAsia="微软雅黑" w:hAnsi="微软雅黑" w:cs="宋体"/>
                <w:kern w:val="0"/>
                <w:sz w:val="24"/>
                <w:szCs w:val="24"/>
              </w:rPr>
              <w:br/>
              <w:t>抗 HER2 + ET</w:t>
            </w:r>
          </w:p>
        </w:tc>
        <w:tc>
          <w:tcPr>
            <w:tcW w:w="374" w:type="pct"/>
            <w:tcMar>
              <w:top w:w="56" w:type="dxa"/>
              <w:left w:w="56" w:type="dxa"/>
              <w:bottom w:w="56" w:type="dxa"/>
              <w:right w:w="56" w:type="dxa"/>
            </w:tcMar>
            <w:hideMark/>
          </w:tcPr>
          <w:p w14:paraId="02A3E88D"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496（估计）</w:t>
            </w:r>
          </w:p>
        </w:tc>
        <w:tc>
          <w:tcPr>
            <w:tcW w:w="709" w:type="pct"/>
            <w:tcMar>
              <w:top w:w="56" w:type="dxa"/>
              <w:left w:w="56" w:type="dxa"/>
              <w:bottom w:w="56" w:type="dxa"/>
              <w:right w:w="56" w:type="dxa"/>
            </w:tcMar>
            <w:hideMark/>
          </w:tcPr>
          <w:p w14:paraId="651D2BAF"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PFS（结果待定）</w:t>
            </w:r>
          </w:p>
        </w:tc>
      </w:tr>
      <w:tr w:rsidR="00CB7F59" w:rsidRPr="00CB7F59" w14:paraId="7AD4BE8D" w14:textId="77777777" w:rsidTr="001063B2">
        <w:trPr>
          <w:tblCellSpacing w:w="15" w:type="dxa"/>
        </w:trPr>
        <w:tc>
          <w:tcPr>
            <w:tcW w:w="861" w:type="pct"/>
            <w:tcMar>
              <w:top w:w="56" w:type="dxa"/>
              <w:left w:w="56" w:type="dxa"/>
              <w:bottom w:w="56" w:type="dxa"/>
              <w:right w:w="56" w:type="dxa"/>
            </w:tcMar>
            <w:hideMark/>
          </w:tcPr>
          <w:p w14:paraId="47700D8D" w14:textId="77777777" w:rsidR="001063B2" w:rsidRPr="001063B2" w:rsidRDefault="001063B2" w:rsidP="001063B2">
            <w:pPr>
              <w:widowControl/>
              <w:rPr>
                <w:rFonts w:ascii="微软雅黑" w:eastAsia="微软雅黑" w:hAnsi="微软雅黑" w:cs="宋体"/>
                <w:kern w:val="0"/>
                <w:sz w:val="24"/>
                <w:szCs w:val="24"/>
              </w:rPr>
            </w:pPr>
            <w:proofErr w:type="gramStart"/>
            <w:r w:rsidRPr="001063B2">
              <w:rPr>
                <w:rFonts w:ascii="微软雅黑" w:eastAsia="微软雅黑" w:hAnsi="微软雅黑" w:cs="宋体"/>
                <w:b/>
                <w:bCs/>
                <w:kern w:val="0"/>
                <w:sz w:val="24"/>
                <w:szCs w:val="24"/>
              </w:rPr>
              <w:t>娜</w:t>
            </w:r>
            <w:proofErr w:type="gramEnd"/>
            <w:r w:rsidRPr="001063B2">
              <w:rPr>
                <w:rFonts w:ascii="微软雅黑" w:eastAsia="微软雅黑" w:hAnsi="微软雅黑" w:cs="宋体"/>
                <w:b/>
                <w:bCs/>
                <w:kern w:val="0"/>
                <w:sz w:val="24"/>
                <w:szCs w:val="24"/>
              </w:rPr>
              <w:t>塔</w:t>
            </w:r>
            <w:proofErr w:type="gramStart"/>
            <w:r w:rsidRPr="001063B2">
              <w:rPr>
                <w:rFonts w:ascii="微软雅黑" w:eastAsia="微软雅黑" w:hAnsi="微软雅黑" w:cs="宋体"/>
                <w:b/>
                <w:bCs/>
                <w:kern w:val="0"/>
                <w:sz w:val="24"/>
                <w:szCs w:val="24"/>
              </w:rPr>
              <w:t>莉</w:t>
            </w:r>
            <w:proofErr w:type="gramEnd"/>
          </w:p>
        </w:tc>
        <w:tc>
          <w:tcPr>
            <w:tcW w:w="176" w:type="pct"/>
            <w:tcMar>
              <w:top w:w="56" w:type="dxa"/>
              <w:left w:w="56" w:type="dxa"/>
              <w:bottom w:w="56" w:type="dxa"/>
              <w:right w:w="56" w:type="dxa"/>
            </w:tcMar>
            <w:hideMark/>
          </w:tcPr>
          <w:p w14:paraId="30C4C3F3"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三</w:t>
            </w:r>
          </w:p>
        </w:tc>
        <w:tc>
          <w:tcPr>
            <w:tcW w:w="244" w:type="pct"/>
            <w:tcMar>
              <w:top w:w="56" w:type="dxa"/>
              <w:left w:w="56" w:type="dxa"/>
              <w:bottom w:w="56" w:type="dxa"/>
              <w:right w:w="56" w:type="dxa"/>
            </w:tcMar>
            <w:hideMark/>
          </w:tcPr>
          <w:p w14:paraId="079E0012"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佐剂</w:t>
            </w:r>
          </w:p>
        </w:tc>
        <w:tc>
          <w:tcPr>
            <w:tcW w:w="1670" w:type="pct"/>
            <w:tcMar>
              <w:top w:w="56" w:type="dxa"/>
              <w:left w:w="56" w:type="dxa"/>
              <w:bottom w:w="56" w:type="dxa"/>
              <w:right w:w="56" w:type="dxa"/>
            </w:tcMar>
            <w:hideMark/>
          </w:tcPr>
          <w:p w14:paraId="53756E42"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绝经前/绝经后女性或男性，患有HR阳性/HER2阴性早期乳腺癌</w:t>
            </w:r>
          </w:p>
        </w:tc>
        <w:tc>
          <w:tcPr>
            <w:tcW w:w="857" w:type="pct"/>
            <w:tcMar>
              <w:top w:w="56" w:type="dxa"/>
              <w:left w:w="56" w:type="dxa"/>
              <w:bottom w:w="56" w:type="dxa"/>
              <w:right w:w="56" w:type="dxa"/>
            </w:tcMar>
            <w:hideMark/>
          </w:tcPr>
          <w:p w14:paraId="5B13AAE6"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瑞博西尼+ET</w:t>
            </w:r>
            <w:r w:rsidRPr="001063B2">
              <w:rPr>
                <w:rFonts w:ascii="微软雅黑" w:eastAsia="微软雅黑" w:hAnsi="微软雅黑" w:cs="宋体"/>
                <w:kern w:val="0"/>
                <w:sz w:val="24"/>
                <w:szCs w:val="24"/>
              </w:rPr>
              <w:br/>
              <w:t>对比</w:t>
            </w:r>
            <w:r w:rsidRPr="001063B2">
              <w:rPr>
                <w:rFonts w:ascii="微软雅黑" w:eastAsia="微软雅黑" w:hAnsi="微软雅黑" w:cs="宋体"/>
                <w:kern w:val="0"/>
                <w:sz w:val="24"/>
                <w:szCs w:val="24"/>
              </w:rPr>
              <w:br/>
              <w:t>ET</w:t>
            </w:r>
          </w:p>
        </w:tc>
        <w:tc>
          <w:tcPr>
            <w:tcW w:w="374" w:type="pct"/>
            <w:tcMar>
              <w:top w:w="56" w:type="dxa"/>
              <w:left w:w="56" w:type="dxa"/>
              <w:bottom w:w="56" w:type="dxa"/>
              <w:right w:w="56" w:type="dxa"/>
            </w:tcMar>
            <w:hideMark/>
          </w:tcPr>
          <w:p w14:paraId="1C9019FD"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t>4000（估计）</w:t>
            </w:r>
          </w:p>
        </w:tc>
        <w:tc>
          <w:tcPr>
            <w:tcW w:w="709" w:type="pct"/>
            <w:tcMar>
              <w:top w:w="56" w:type="dxa"/>
              <w:left w:w="56" w:type="dxa"/>
              <w:bottom w:w="56" w:type="dxa"/>
              <w:right w:w="56" w:type="dxa"/>
            </w:tcMar>
            <w:hideMark/>
          </w:tcPr>
          <w:p w14:paraId="5F41CFFB" w14:textId="77777777" w:rsidR="001063B2" w:rsidRPr="001063B2" w:rsidRDefault="001063B2" w:rsidP="001063B2">
            <w:pPr>
              <w:widowControl/>
              <w:rPr>
                <w:rFonts w:ascii="微软雅黑" w:eastAsia="微软雅黑" w:hAnsi="微软雅黑" w:cs="宋体"/>
                <w:kern w:val="0"/>
                <w:sz w:val="24"/>
                <w:szCs w:val="24"/>
              </w:rPr>
            </w:pPr>
            <w:proofErr w:type="spellStart"/>
            <w:r w:rsidRPr="001063B2">
              <w:rPr>
                <w:rFonts w:ascii="微软雅黑" w:eastAsia="微软雅黑" w:hAnsi="微软雅黑" w:cs="宋体"/>
                <w:kern w:val="0"/>
                <w:sz w:val="24"/>
                <w:szCs w:val="24"/>
              </w:rPr>
              <w:t>iDFS</w:t>
            </w:r>
            <w:proofErr w:type="spellEnd"/>
            <w:r w:rsidRPr="001063B2">
              <w:rPr>
                <w:rFonts w:ascii="微软雅黑" w:eastAsia="微软雅黑" w:hAnsi="微软雅黑" w:cs="宋体"/>
                <w:kern w:val="0"/>
                <w:sz w:val="24"/>
                <w:szCs w:val="24"/>
              </w:rPr>
              <w:t>（结果待定）</w:t>
            </w:r>
          </w:p>
        </w:tc>
      </w:tr>
    </w:tbl>
    <w:p w14:paraId="482BCFA0" w14:textId="77777777" w:rsidR="001063B2" w:rsidRPr="001063B2" w:rsidRDefault="001063B2" w:rsidP="001063B2">
      <w:pPr>
        <w:widowControl/>
        <w:rPr>
          <w:rFonts w:ascii="微软雅黑" w:eastAsia="微软雅黑" w:hAnsi="微软雅黑" w:cs="宋体"/>
          <w:kern w:val="0"/>
          <w:sz w:val="24"/>
          <w:szCs w:val="24"/>
        </w:rPr>
      </w:pPr>
      <w:r w:rsidRPr="001063B2">
        <w:rPr>
          <w:rFonts w:ascii="微软雅黑" w:eastAsia="微软雅黑" w:hAnsi="微软雅黑" w:cs="宋体"/>
          <w:kern w:val="0"/>
          <w:sz w:val="24"/>
          <w:szCs w:val="24"/>
        </w:rPr>
        <w:lastRenderedPageBreak/>
        <w:t>缩写：Exp—实验组；Ctrl—对照组；HR</w:t>
      </w:r>
      <w:proofErr w:type="gramStart"/>
      <w:r w:rsidRPr="001063B2">
        <w:rPr>
          <w:rFonts w:ascii="微软雅黑" w:eastAsia="微软雅黑" w:hAnsi="微软雅黑" w:cs="宋体"/>
          <w:kern w:val="0"/>
          <w:sz w:val="24"/>
          <w:szCs w:val="24"/>
        </w:rPr>
        <w:t>—风险</w:t>
      </w:r>
      <w:proofErr w:type="gramEnd"/>
      <w:r w:rsidRPr="001063B2">
        <w:rPr>
          <w:rFonts w:ascii="微软雅黑" w:eastAsia="微软雅黑" w:hAnsi="微软雅黑" w:cs="宋体"/>
          <w:kern w:val="0"/>
          <w:sz w:val="24"/>
          <w:szCs w:val="24"/>
        </w:rPr>
        <w:t>比；CI—置信区间；AI—芳香化酶抑制剂；HR—激素受体；HER2—人表皮生长因子受体2；BC—乳腺癌；ABC—晚期乳腺癌；PFS</w:t>
      </w:r>
      <w:proofErr w:type="gramStart"/>
      <w:r w:rsidRPr="001063B2">
        <w:rPr>
          <w:rFonts w:ascii="微软雅黑" w:eastAsia="微软雅黑" w:hAnsi="微软雅黑" w:cs="宋体"/>
          <w:kern w:val="0"/>
          <w:sz w:val="24"/>
          <w:szCs w:val="24"/>
        </w:rPr>
        <w:t>—无进展</w:t>
      </w:r>
      <w:proofErr w:type="gramEnd"/>
      <w:r w:rsidRPr="001063B2">
        <w:rPr>
          <w:rFonts w:ascii="微软雅黑" w:eastAsia="微软雅黑" w:hAnsi="微软雅黑" w:cs="宋体"/>
          <w:kern w:val="0"/>
          <w:sz w:val="24"/>
          <w:szCs w:val="24"/>
        </w:rPr>
        <w:t>生存期；ET—内分泌治疗；CT—化疗；TAM—他</w:t>
      </w:r>
      <w:proofErr w:type="gramStart"/>
      <w:r w:rsidRPr="001063B2">
        <w:rPr>
          <w:rFonts w:ascii="微软雅黑" w:eastAsia="微软雅黑" w:hAnsi="微软雅黑" w:cs="宋体"/>
          <w:kern w:val="0"/>
          <w:sz w:val="24"/>
          <w:szCs w:val="24"/>
        </w:rPr>
        <w:t>莫昔芬</w:t>
      </w:r>
      <w:proofErr w:type="gramEnd"/>
      <w:r w:rsidRPr="001063B2">
        <w:rPr>
          <w:rFonts w:ascii="微软雅黑" w:eastAsia="微软雅黑" w:hAnsi="微软雅黑" w:cs="宋体"/>
          <w:kern w:val="0"/>
          <w:sz w:val="24"/>
          <w:szCs w:val="24"/>
        </w:rPr>
        <w:t>；NSAI—非</w:t>
      </w:r>
      <w:proofErr w:type="gramStart"/>
      <w:r w:rsidRPr="001063B2">
        <w:rPr>
          <w:rFonts w:ascii="微软雅黑" w:eastAsia="微软雅黑" w:hAnsi="微软雅黑" w:cs="宋体"/>
          <w:kern w:val="0"/>
          <w:sz w:val="24"/>
          <w:szCs w:val="24"/>
        </w:rPr>
        <w:t>甾</w:t>
      </w:r>
      <w:proofErr w:type="gramEnd"/>
      <w:r w:rsidRPr="001063B2">
        <w:rPr>
          <w:rFonts w:ascii="微软雅黑" w:eastAsia="微软雅黑" w:hAnsi="微软雅黑" w:cs="宋体"/>
          <w:kern w:val="0"/>
          <w:sz w:val="24"/>
          <w:szCs w:val="24"/>
        </w:rPr>
        <w:t>体类芳香化酶抑制剂；SOC—标准治疗；L</w:t>
      </w:r>
      <w:proofErr w:type="gramStart"/>
      <w:r w:rsidRPr="001063B2">
        <w:rPr>
          <w:rFonts w:ascii="微软雅黑" w:eastAsia="微软雅黑" w:hAnsi="微软雅黑" w:cs="宋体"/>
          <w:kern w:val="0"/>
          <w:sz w:val="24"/>
          <w:szCs w:val="24"/>
        </w:rPr>
        <w:t>—来曲唑</w:t>
      </w:r>
      <w:proofErr w:type="gramEnd"/>
      <w:r w:rsidRPr="001063B2">
        <w:rPr>
          <w:rFonts w:ascii="微软雅黑" w:eastAsia="微软雅黑" w:hAnsi="微软雅黑" w:cs="宋体"/>
          <w:kern w:val="0"/>
          <w:sz w:val="24"/>
          <w:szCs w:val="24"/>
        </w:rPr>
        <w:t>；P—帕博西尼；</w:t>
      </w:r>
      <w:proofErr w:type="spellStart"/>
      <w:r w:rsidRPr="001063B2">
        <w:rPr>
          <w:rFonts w:ascii="微软雅黑" w:eastAsia="微软雅黑" w:hAnsi="微软雅黑" w:cs="宋体"/>
          <w:kern w:val="0"/>
          <w:sz w:val="24"/>
          <w:szCs w:val="24"/>
        </w:rPr>
        <w:t>iDFS</w:t>
      </w:r>
      <w:proofErr w:type="spellEnd"/>
      <w:proofErr w:type="gramStart"/>
      <w:r w:rsidRPr="001063B2">
        <w:rPr>
          <w:rFonts w:ascii="微软雅黑" w:eastAsia="微软雅黑" w:hAnsi="微软雅黑" w:cs="宋体"/>
          <w:kern w:val="0"/>
          <w:sz w:val="24"/>
          <w:szCs w:val="24"/>
        </w:rPr>
        <w:t>—无侵袭</w:t>
      </w:r>
      <w:proofErr w:type="gramEnd"/>
      <w:r w:rsidRPr="001063B2">
        <w:rPr>
          <w:rFonts w:ascii="微软雅黑" w:eastAsia="微软雅黑" w:hAnsi="微软雅黑" w:cs="宋体"/>
          <w:kern w:val="0"/>
          <w:sz w:val="24"/>
          <w:szCs w:val="24"/>
        </w:rPr>
        <w:t>性疾病生存期；ROR—复发风险；CRR—临床缓解率；RCB—残余癌负荷。</w:t>
      </w:r>
    </w:p>
    <w:p w14:paraId="53C91546"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CDK4/6抑制剂联合内分泌治疗通常安全且耐受性良好。毒性反应易于治疗，可通过调整剂量和支持治疗进行控制。所有三种抑制剂均常见血液学毒性，但某些血液学不良事件（AE）在帕博西尼和瑞博西尼中的发生率高于阿贝西利，例如，帕博西尼和瑞博西尼治疗的患者中分别有66%和60%出现3-4级中性粒细胞减少症，而阿贝西利治疗的患者中仅有22%出现该症状。众所周知，所有CDK4/6抑制剂在造血前体细胞增殖中发挥关键作用，对中性粒细胞前体细胞具有细胞抑制作用，导致细胞静止；停药后，这种作用迅速恢复，这也是帕博西尼和瑞博西尼采用间歇给药方案的原因。帕博西尼（Palbociclib）需与食物同服，以增加药物暴露量。初始剂量为125 mg/天，采用3/1给药方案（用药21天，停药7天）。如有需要，剂量可减至100 mg/天，并逐步减至最终剂量75 mg/天[参考文献</w:t>
      </w:r>
      <w:r w:rsidRPr="001063B2">
        <w:rPr>
          <w:rFonts w:ascii="微软雅黑" w:eastAsia="微软雅黑" w:hAnsi="微软雅黑" w:cs="宋体"/>
          <w:kern w:val="0"/>
          <w:sz w:val="24"/>
          <w:szCs w:val="24"/>
        </w:rPr>
        <w:fldChar w:fldCharType="begin"/>
      </w:r>
      <w:r w:rsidRPr="001063B2">
        <w:rPr>
          <w:rFonts w:ascii="微软雅黑" w:eastAsia="微软雅黑" w:hAnsi="微软雅黑" w:cs="宋体"/>
          <w:kern w:val="0"/>
          <w:sz w:val="24"/>
          <w:szCs w:val="24"/>
        </w:rPr>
        <w:instrText xml:space="preserve"> HYPERLINK "https://pmc.ncbi.nlm.nih.gov/articles/PMC7554788/" \l "B69-ijms-21-06479" </w:instrText>
      </w:r>
      <w:r w:rsidRPr="001063B2">
        <w:rPr>
          <w:rFonts w:ascii="微软雅黑" w:eastAsia="微软雅黑" w:hAnsi="微软雅黑" w:cs="宋体"/>
          <w:kern w:val="0"/>
          <w:sz w:val="24"/>
          <w:szCs w:val="24"/>
        </w:rPr>
        <w:fldChar w:fldCharType="separate"/>
      </w:r>
      <w:r w:rsidRPr="001063B2">
        <w:rPr>
          <w:rFonts w:ascii="微软雅黑" w:eastAsia="微软雅黑" w:hAnsi="微软雅黑" w:cs="宋体"/>
          <w:kern w:val="0"/>
          <w:sz w:val="24"/>
          <w:szCs w:val="24"/>
          <w:u w:val="single"/>
        </w:rPr>
        <w:t>69</w:t>
      </w:r>
      <w:r w:rsidRPr="001063B2">
        <w:rPr>
          <w:rFonts w:ascii="微软雅黑" w:eastAsia="微软雅黑" w:hAnsi="微软雅黑" w:cs="宋体"/>
          <w:kern w:val="0"/>
          <w:sz w:val="24"/>
          <w:szCs w:val="24"/>
        </w:rPr>
        <w:fldChar w:fldCharType="end"/>
      </w:r>
      <w:r w:rsidRPr="001063B2">
        <w:rPr>
          <w:rFonts w:ascii="微软雅黑" w:eastAsia="微软雅黑" w:hAnsi="微软雅黑" w:cs="宋体"/>
          <w:kern w:val="0"/>
          <w:sz w:val="24"/>
          <w:szCs w:val="24"/>
        </w:rPr>
        <w:t> ]。瑞博西尼（</w:t>
      </w:r>
      <w:proofErr w:type="spellStart"/>
      <w:r w:rsidRPr="001063B2">
        <w:rPr>
          <w:rFonts w:ascii="微软雅黑" w:eastAsia="微软雅黑" w:hAnsi="微软雅黑" w:cs="宋体"/>
          <w:kern w:val="0"/>
          <w:sz w:val="24"/>
          <w:szCs w:val="24"/>
        </w:rPr>
        <w:t>Ribociclib</w:t>
      </w:r>
      <w:proofErr w:type="spellEnd"/>
      <w:r w:rsidRPr="001063B2">
        <w:rPr>
          <w:rFonts w:ascii="微软雅黑" w:eastAsia="微软雅黑" w:hAnsi="微软雅黑" w:cs="宋体"/>
          <w:kern w:val="0"/>
          <w:sz w:val="24"/>
          <w:szCs w:val="24"/>
        </w:rPr>
        <w:t>）的初始剂量为600 mg/天，采用3/1给药方案（用药21天，停药7天）；剂量可减至400 mg/天，最终剂量为200 mg/天[参考文献</w:t>
      </w:r>
      <w:r w:rsidRPr="001063B2">
        <w:rPr>
          <w:rFonts w:ascii="微软雅黑" w:eastAsia="微软雅黑" w:hAnsi="微软雅黑" w:cs="宋体"/>
          <w:kern w:val="0"/>
          <w:sz w:val="24"/>
          <w:szCs w:val="24"/>
        </w:rPr>
        <w:fldChar w:fldCharType="begin"/>
      </w:r>
      <w:r w:rsidRPr="001063B2">
        <w:rPr>
          <w:rFonts w:ascii="微软雅黑" w:eastAsia="微软雅黑" w:hAnsi="微软雅黑" w:cs="宋体"/>
          <w:kern w:val="0"/>
          <w:sz w:val="24"/>
          <w:szCs w:val="24"/>
        </w:rPr>
        <w:instrText xml:space="preserve"> HYPERLINK "https://pmc.ncbi.nlm.nih.gov/articles/PMC7554788/" \l "B70-ijms-21-06479" </w:instrText>
      </w:r>
      <w:r w:rsidRPr="001063B2">
        <w:rPr>
          <w:rFonts w:ascii="微软雅黑" w:eastAsia="微软雅黑" w:hAnsi="微软雅黑" w:cs="宋体"/>
          <w:kern w:val="0"/>
          <w:sz w:val="24"/>
          <w:szCs w:val="24"/>
        </w:rPr>
        <w:fldChar w:fldCharType="separate"/>
      </w:r>
      <w:r w:rsidRPr="001063B2">
        <w:rPr>
          <w:rFonts w:ascii="微软雅黑" w:eastAsia="微软雅黑" w:hAnsi="微软雅黑" w:cs="宋体"/>
          <w:kern w:val="0"/>
          <w:sz w:val="24"/>
          <w:szCs w:val="24"/>
          <w:u w:val="single"/>
        </w:rPr>
        <w:t>70</w:t>
      </w:r>
      <w:r w:rsidRPr="001063B2">
        <w:rPr>
          <w:rFonts w:ascii="微软雅黑" w:eastAsia="微软雅黑" w:hAnsi="微软雅黑" w:cs="宋体"/>
          <w:kern w:val="0"/>
          <w:sz w:val="24"/>
          <w:szCs w:val="24"/>
        </w:rPr>
        <w:fldChar w:fldCharType="end"/>
      </w:r>
      <w:r w:rsidRPr="001063B2">
        <w:rPr>
          <w:rFonts w:ascii="微软雅黑" w:eastAsia="微软雅黑" w:hAnsi="微软雅黑" w:cs="宋体"/>
          <w:kern w:val="0"/>
          <w:sz w:val="24"/>
          <w:szCs w:val="24"/>
        </w:rPr>
        <w:t> ]。阿贝西利（</w:t>
      </w:r>
      <w:proofErr w:type="spellStart"/>
      <w:r w:rsidRPr="001063B2">
        <w:rPr>
          <w:rFonts w:ascii="微软雅黑" w:eastAsia="微软雅黑" w:hAnsi="微软雅黑" w:cs="宋体"/>
          <w:kern w:val="0"/>
          <w:sz w:val="24"/>
          <w:szCs w:val="24"/>
        </w:rPr>
        <w:t>Abemaciclib</w:t>
      </w:r>
      <w:proofErr w:type="spellEnd"/>
      <w:r w:rsidRPr="001063B2">
        <w:rPr>
          <w:rFonts w:ascii="微软雅黑" w:eastAsia="微软雅黑" w:hAnsi="微软雅黑" w:cs="宋体"/>
          <w:kern w:val="0"/>
          <w:sz w:val="24"/>
          <w:szCs w:val="24"/>
        </w:rPr>
        <w:t>）对CDK4的选择性更高，因此血液毒性发生率较低。阿贝西利可作为单药治疗，初始剂量为200 mg，每日两次；也可与内分泌治疗（ET）联合使用，起始剂量为150 mg，每日两次[参考文献</w:t>
      </w:r>
      <w:r w:rsidRPr="001063B2">
        <w:rPr>
          <w:rFonts w:ascii="微软雅黑" w:eastAsia="微软雅黑" w:hAnsi="微软雅黑" w:cs="宋体"/>
          <w:kern w:val="0"/>
          <w:sz w:val="24"/>
          <w:szCs w:val="24"/>
        </w:rPr>
        <w:lastRenderedPageBreak/>
        <w:fldChar w:fldCharType="begin"/>
      </w:r>
      <w:r w:rsidRPr="001063B2">
        <w:rPr>
          <w:rFonts w:ascii="微软雅黑" w:eastAsia="微软雅黑" w:hAnsi="微软雅黑" w:cs="宋体"/>
          <w:kern w:val="0"/>
          <w:sz w:val="24"/>
          <w:szCs w:val="24"/>
        </w:rPr>
        <w:instrText xml:space="preserve"> HYPERLINK "https://pmc.ncbi.nlm.nih.gov/articles/PMC7554788/" \l "B71-ijms-21-06479" </w:instrText>
      </w:r>
      <w:r w:rsidRPr="001063B2">
        <w:rPr>
          <w:rFonts w:ascii="微软雅黑" w:eastAsia="微软雅黑" w:hAnsi="微软雅黑" w:cs="宋体"/>
          <w:kern w:val="0"/>
          <w:sz w:val="24"/>
          <w:szCs w:val="24"/>
        </w:rPr>
        <w:fldChar w:fldCharType="separate"/>
      </w:r>
      <w:r w:rsidRPr="001063B2">
        <w:rPr>
          <w:rFonts w:ascii="微软雅黑" w:eastAsia="微软雅黑" w:hAnsi="微软雅黑" w:cs="宋体"/>
          <w:kern w:val="0"/>
          <w:sz w:val="24"/>
          <w:szCs w:val="24"/>
          <w:u w:val="single"/>
        </w:rPr>
        <w:t>71</w:t>
      </w:r>
      <w:r w:rsidRPr="001063B2">
        <w:rPr>
          <w:rFonts w:ascii="微软雅黑" w:eastAsia="微软雅黑" w:hAnsi="微软雅黑" w:cs="宋体"/>
          <w:kern w:val="0"/>
          <w:sz w:val="24"/>
          <w:szCs w:val="24"/>
        </w:rPr>
        <w:fldChar w:fldCharType="end"/>
      </w:r>
      <w:r w:rsidRPr="001063B2">
        <w:rPr>
          <w:rFonts w:ascii="微软雅黑" w:eastAsia="微软雅黑" w:hAnsi="微软雅黑" w:cs="宋体"/>
          <w:kern w:val="0"/>
          <w:sz w:val="24"/>
          <w:szCs w:val="24"/>
        </w:rPr>
        <w:t> ]。不同的 CDK4/6 抑制剂具有一些独特的毒性：</w:t>
      </w:r>
      <w:proofErr w:type="spellStart"/>
      <w:r w:rsidRPr="001063B2">
        <w:rPr>
          <w:rFonts w:ascii="微软雅黑" w:eastAsia="微软雅黑" w:hAnsi="微软雅黑" w:cs="宋体"/>
          <w:kern w:val="0"/>
          <w:sz w:val="24"/>
          <w:szCs w:val="24"/>
        </w:rPr>
        <w:t>ribociclib</w:t>
      </w:r>
      <w:proofErr w:type="spellEnd"/>
      <w:r w:rsidRPr="001063B2">
        <w:rPr>
          <w:rFonts w:ascii="微软雅黑" w:eastAsia="微软雅黑" w:hAnsi="微软雅黑" w:cs="宋体"/>
          <w:kern w:val="0"/>
          <w:sz w:val="24"/>
          <w:szCs w:val="24"/>
        </w:rPr>
        <w:t xml:space="preserve"> 与较高的肝毒性发生率和可逆性 QT 间期延长有</w:t>
      </w:r>
      <w:r w:rsidRPr="001063B2">
        <w:rPr>
          <w:rFonts w:ascii="MS Gothic" w:eastAsia="MS Gothic" w:hAnsi="MS Gothic" w:cs="MS Gothic" w:hint="eastAsia"/>
          <w:kern w:val="0"/>
          <w:sz w:val="24"/>
          <w:szCs w:val="24"/>
        </w:rPr>
        <w:t>​​</w:t>
      </w:r>
      <w:r w:rsidRPr="001063B2">
        <w:rPr>
          <w:rFonts w:ascii="微软雅黑" w:eastAsia="微软雅黑" w:hAnsi="微软雅黑" w:cs="宋体"/>
          <w:kern w:val="0"/>
          <w:sz w:val="24"/>
          <w:szCs w:val="24"/>
        </w:rPr>
        <w:t xml:space="preserve">关，而 </w:t>
      </w:r>
      <w:proofErr w:type="spellStart"/>
      <w:r w:rsidRPr="001063B2">
        <w:rPr>
          <w:rFonts w:ascii="微软雅黑" w:eastAsia="微软雅黑" w:hAnsi="微软雅黑" w:cs="宋体"/>
          <w:kern w:val="0"/>
          <w:sz w:val="24"/>
          <w:szCs w:val="24"/>
        </w:rPr>
        <w:t>abemaciclib</w:t>
      </w:r>
      <w:proofErr w:type="spellEnd"/>
      <w:r w:rsidRPr="001063B2">
        <w:rPr>
          <w:rFonts w:ascii="微软雅黑" w:eastAsia="微软雅黑" w:hAnsi="微软雅黑" w:cs="宋体"/>
          <w:kern w:val="0"/>
          <w:sz w:val="24"/>
          <w:szCs w:val="24"/>
        </w:rPr>
        <w:t xml:space="preserve"> 则会导致较高的腹泻、疲劳、静脉血栓栓塞事件和血清肌</w:t>
      </w:r>
      <w:proofErr w:type="gramStart"/>
      <w:r w:rsidRPr="001063B2">
        <w:rPr>
          <w:rFonts w:ascii="微软雅黑" w:eastAsia="微软雅黑" w:hAnsi="微软雅黑" w:cs="宋体"/>
          <w:kern w:val="0"/>
          <w:sz w:val="24"/>
          <w:szCs w:val="24"/>
        </w:rPr>
        <w:t>酐</w:t>
      </w:r>
      <w:proofErr w:type="gramEnd"/>
      <w:r w:rsidRPr="001063B2">
        <w:rPr>
          <w:rFonts w:ascii="微软雅黑" w:eastAsia="微软雅黑" w:hAnsi="微软雅黑" w:cs="宋体"/>
          <w:kern w:val="0"/>
          <w:sz w:val="24"/>
          <w:szCs w:val="24"/>
        </w:rPr>
        <w:t>水平升高 [ </w:t>
      </w:r>
      <w:hyperlink r:id="rId90" w:anchor="B57-ijms-21-06479" w:history="1">
        <w:r w:rsidRPr="001063B2">
          <w:rPr>
            <w:rFonts w:ascii="微软雅黑" w:eastAsia="微软雅黑" w:hAnsi="微软雅黑" w:cs="宋体"/>
            <w:kern w:val="0"/>
            <w:sz w:val="24"/>
            <w:szCs w:val="24"/>
            <w:u w:val="single"/>
          </w:rPr>
          <w:t>57</w:t>
        </w:r>
      </w:hyperlink>
      <w:r w:rsidRPr="001063B2">
        <w:rPr>
          <w:rFonts w:ascii="微软雅黑" w:eastAsia="微软雅黑" w:hAnsi="微软雅黑" w:cs="宋体"/>
          <w:kern w:val="0"/>
          <w:sz w:val="24"/>
          <w:szCs w:val="24"/>
        </w:rPr>
        <w:t> , </w:t>
      </w:r>
      <w:hyperlink r:id="rId91" w:anchor="B66-ijms-21-06479" w:history="1">
        <w:r w:rsidRPr="001063B2">
          <w:rPr>
            <w:rFonts w:ascii="微软雅黑" w:eastAsia="微软雅黑" w:hAnsi="微软雅黑" w:cs="宋体"/>
            <w:kern w:val="0"/>
            <w:sz w:val="24"/>
            <w:szCs w:val="24"/>
            <w:u w:val="single"/>
          </w:rPr>
          <w:t>66</w:t>
        </w:r>
      </w:hyperlink>
      <w:r w:rsidRPr="001063B2">
        <w:rPr>
          <w:rFonts w:ascii="微软雅黑" w:eastAsia="微软雅黑" w:hAnsi="微软雅黑" w:cs="宋体"/>
          <w:kern w:val="0"/>
          <w:sz w:val="24"/>
          <w:szCs w:val="24"/>
        </w:rPr>
        <w:t> , </w:t>
      </w:r>
      <w:hyperlink r:id="rId92" w:anchor="B68-ijms-21-06479" w:history="1">
        <w:r w:rsidRPr="001063B2">
          <w:rPr>
            <w:rFonts w:ascii="微软雅黑" w:eastAsia="微软雅黑" w:hAnsi="微软雅黑" w:cs="宋体"/>
            <w:kern w:val="0"/>
            <w:sz w:val="24"/>
            <w:szCs w:val="24"/>
            <w:u w:val="single"/>
          </w:rPr>
          <w:t>68</w:t>
        </w:r>
      </w:hyperlink>
      <w:r w:rsidRPr="001063B2">
        <w:rPr>
          <w:rFonts w:ascii="微软雅黑" w:eastAsia="微软雅黑" w:hAnsi="微软雅黑" w:cs="宋体"/>
          <w:kern w:val="0"/>
          <w:sz w:val="24"/>
          <w:szCs w:val="24"/>
        </w:rPr>
        <w:t> , </w:t>
      </w:r>
      <w:hyperlink r:id="rId93" w:anchor="B74-ijms-21-06479" w:history="1">
        <w:r w:rsidRPr="001063B2">
          <w:rPr>
            <w:rFonts w:ascii="微软雅黑" w:eastAsia="微软雅黑" w:hAnsi="微软雅黑" w:cs="宋体"/>
            <w:kern w:val="0"/>
            <w:sz w:val="24"/>
            <w:szCs w:val="24"/>
            <w:u w:val="single"/>
          </w:rPr>
          <w:t>74</w:t>
        </w:r>
      </w:hyperlink>
      <w:r w:rsidRPr="001063B2">
        <w:rPr>
          <w:rFonts w:ascii="微软雅黑" w:eastAsia="微软雅黑" w:hAnsi="微软雅黑" w:cs="宋体"/>
          <w:kern w:val="0"/>
          <w:sz w:val="24"/>
          <w:szCs w:val="24"/>
        </w:rPr>
        <w:t> ]。</w:t>
      </w:r>
    </w:p>
    <w:p w14:paraId="64420AB3"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目前还有两种 CDK 4/6 抑制剂正在进行临床开发：</w:t>
      </w:r>
      <w:proofErr w:type="spellStart"/>
      <w:r w:rsidRPr="001063B2">
        <w:rPr>
          <w:rFonts w:ascii="微软雅黑" w:eastAsia="微软雅黑" w:hAnsi="微软雅黑" w:cs="宋体"/>
          <w:kern w:val="0"/>
          <w:sz w:val="24"/>
          <w:szCs w:val="24"/>
        </w:rPr>
        <w:t>lerociclib</w:t>
      </w:r>
      <w:proofErr w:type="spellEnd"/>
      <w:r w:rsidRPr="001063B2">
        <w:rPr>
          <w:rFonts w:ascii="微软雅黑" w:eastAsia="微软雅黑" w:hAnsi="微软雅黑" w:cs="宋体"/>
          <w:kern w:val="0"/>
          <w:sz w:val="24"/>
          <w:szCs w:val="24"/>
        </w:rPr>
        <w:t xml:space="preserve"> (G1T38) 和 Trilaciclib (G1T28)。</w:t>
      </w:r>
      <w:proofErr w:type="spellStart"/>
      <w:r w:rsidRPr="001063B2">
        <w:rPr>
          <w:rFonts w:ascii="微软雅黑" w:eastAsia="微软雅黑" w:hAnsi="微软雅黑" w:cs="宋体"/>
          <w:kern w:val="0"/>
          <w:sz w:val="24"/>
          <w:szCs w:val="24"/>
        </w:rPr>
        <w:t>Lerociclib</w:t>
      </w:r>
      <w:proofErr w:type="spellEnd"/>
      <w:r w:rsidRPr="001063B2">
        <w:rPr>
          <w:rFonts w:ascii="微软雅黑" w:eastAsia="微软雅黑" w:hAnsi="微软雅黑" w:cs="宋体"/>
          <w:kern w:val="0"/>
          <w:sz w:val="24"/>
          <w:szCs w:val="24"/>
        </w:rPr>
        <w:t xml:space="preserve"> 是一种差异化的口服 CDK4/6 抑制剂，目前正在一项 I/II 期临床试验 ( </w:t>
      </w:r>
      <w:hyperlink r:id="rId94" w:tgtFrame="_blank" w:history="1">
        <w:r w:rsidRPr="001063B2">
          <w:rPr>
            <w:rFonts w:ascii="微软雅黑" w:eastAsia="微软雅黑" w:hAnsi="微软雅黑" w:cs="宋体"/>
            <w:kern w:val="0"/>
            <w:sz w:val="24"/>
            <w:szCs w:val="24"/>
            <w:u w:val="single"/>
          </w:rPr>
          <w:t>NCT02983071</w:t>
        </w:r>
      </w:hyperlink>
      <w:r w:rsidRPr="001063B2">
        <w:rPr>
          <w:rFonts w:ascii="微软雅黑" w:eastAsia="微软雅黑" w:hAnsi="微软雅黑" w:cs="宋体"/>
          <w:kern w:val="0"/>
          <w:sz w:val="24"/>
          <w:szCs w:val="24"/>
        </w:rPr>
        <w:t> ) 中评估其与</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t>联合用于治疗 HR 阳性、HER2 阴性转移性乳腺癌患者的疗效；2019 年 12 月在圣安东尼奥乳腺癌研讨会 (SABCS) 上公布的初步结果显示，其安全性和有效性与其他 CDK4/6 抑制剂一致 [ </w:t>
      </w:r>
      <w:hyperlink r:id="rId95" w:anchor="B75-ijms-21-06479" w:history="1">
        <w:r w:rsidRPr="001063B2">
          <w:rPr>
            <w:rFonts w:ascii="微软雅黑" w:eastAsia="微软雅黑" w:hAnsi="微软雅黑" w:cs="宋体"/>
            <w:kern w:val="0"/>
            <w:sz w:val="24"/>
            <w:szCs w:val="24"/>
            <w:u w:val="single"/>
          </w:rPr>
          <w:t>75</w:t>
        </w:r>
      </w:hyperlink>
      <w:r w:rsidRPr="001063B2">
        <w:rPr>
          <w:rFonts w:ascii="微软雅黑" w:eastAsia="微软雅黑" w:hAnsi="微软雅黑" w:cs="宋体"/>
          <w:kern w:val="0"/>
          <w:sz w:val="24"/>
          <w:szCs w:val="24"/>
        </w:rPr>
        <w:t> ]。</w:t>
      </w:r>
    </w:p>
    <w:p w14:paraId="54A160EC"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Trilaciclib 是一种首创的“突破性疗法”，专为静脉给药而设计，旨在预防化疗引起的毒性。它通过抑制 CDK4/6 通路，靶向造血干细胞、祖细胞和淋巴细胞；能够暂时将免疫细胞和造血干细胞、祖细胞维持在 G1 期阻滞，从而保护免疫细胞和骨髓免受化疗引起的损伤。Trilaciclib 已在小细胞肺癌（结果积极）和转移性三阴性乳腺癌 (TNBC) 的随机试验中进行了测试 [ </w:t>
      </w:r>
      <w:hyperlink r:id="rId96" w:anchor="B76-ijms-21-06479" w:history="1">
        <w:r w:rsidRPr="001063B2">
          <w:rPr>
            <w:rFonts w:ascii="微软雅黑" w:eastAsia="微软雅黑" w:hAnsi="微软雅黑" w:cs="宋体"/>
            <w:kern w:val="0"/>
            <w:sz w:val="24"/>
            <w:szCs w:val="24"/>
            <w:u w:val="single"/>
          </w:rPr>
          <w:t>76</w:t>
        </w:r>
      </w:hyperlink>
      <w:r w:rsidRPr="001063B2">
        <w:rPr>
          <w:rFonts w:ascii="微软雅黑" w:eastAsia="微软雅黑" w:hAnsi="微软雅黑" w:cs="宋体"/>
          <w:kern w:val="0"/>
          <w:sz w:val="24"/>
          <w:szCs w:val="24"/>
        </w:rPr>
        <w:t> ]。计划于 2020 年开展乳腺癌的进一步试验。</w:t>
      </w:r>
    </w:p>
    <w:p w14:paraId="4E102D27" w14:textId="77777777" w:rsidR="001063B2" w:rsidRPr="001063B2" w:rsidRDefault="001063B2" w:rsidP="001063B2">
      <w:pPr>
        <w:widowControl/>
        <w:pBdr>
          <w:bottom w:val="single" w:sz="6" w:space="0" w:color="97B1C8"/>
        </w:pBdr>
        <w:spacing w:line="450" w:lineRule="atLeast"/>
        <w:outlineLvl w:val="1"/>
        <w:rPr>
          <w:rFonts w:ascii="微软雅黑" w:eastAsia="微软雅黑" w:hAnsi="微软雅黑" w:cs="宋体"/>
          <w:kern w:val="0"/>
          <w:sz w:val="34"/>
          <w:szCs w:val="34"/>
        </w:rPr>
      </w:pPr>
      <w:r w:rsidRPr="001063B2">
        <w:rPr>
          <w:rFonts w:ascii="微软雅黑" w:eastAsia="微软雅黑" w:hAnsi="微软雅黑" w:cs="宋体"/>
          <w:kern w:val="0"/>
          <w:sz w:val="34"/>
          <w:szCs w:val="34"/>
        </w:rPr>
        <w:t>5. 新型组合策略的生物学原理</w:t>
      </w:r>
    </w:p>
    <w:p w14:paraId="5DA10ED4"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在HER2阳性细胞中，HER2/Akt通路是CDK抑制剂p57（Kip2）的负调控因子，从而导致细胞增殖增加[ </w:t>
      </w:r>
      <w:hyperlink r:id="rId97" w:anchor="B77-ijms-21-06479" w:history="1">
        <w:r w:rsidRPr="001063B2">
          <w:rPr>
            <w:rFonts w:ascii="微软雅黑" w:eastAsia="微软雅黑" w:hAnsi="微软雅黑" w:cs="宋体"/>
            <w:kern w:val="0"/>
            <w:sz w:val="24"/>
            <w:szCs w:val="24"/>
            <w:u w:val="single"/>
          </w:rPr>
          <w:t>77</w:t>
        </w:r>
      </w:hyperlink>
      <w:r w:rsidRPr="001063B2">
        <w:rPr>
          <w:rFonts w:ascii="微软雅黑" w:eastAsia="微软雅黑" w:hAnsi="微软雅黑" w:cs="宋体"/>
          <w:kern w:val="0"/>
          <w:sz w:val="24"/>
          <w:szCs w:val="24"/>
        </w:rPr>
        <w:t> ]。在此背景下，临床前数据表明，CDK4/6抑制剂可能对HER2阳性乳腺癌有效，并能恢复其对HER2抑制剂的敏感性[ </w:t>
      </w:r>
      <w:hyperlink r:id="rId98" w:anchor="B78-ijms-21-06479" w:history="1">
        <w:r w:rsidRPr="001063B2">
          <w:rPr>
            <w:rFonts w:ascii="微软雅黑" w:eastAsia="微软雅黑" w:hAnsi="微软雅黑" w:cs="宋体"/>
            <w:kern w:val="0"/>
            <w:sz w:val="24"/>
            <w:szCs w:val="24"/>
            <w:u w:val="single"/>
          </w:rPr>
          <w:t>78</w:t>
        </w:r>
      </w:hyperlink>
      <w:r w:rsidRPr="001063B2">
        <w:rPr>
          <w:rFonts w:ascii="微软雅黑" w:eastAsia="微软雅黑" w:hAnsi="微软雅黑" w:cs="宋体"/>
          <w:kern w:val="0"/>
          <w:sz w:val="24"/>
          <w:szCs w:val="24"/>
        </w:rPr>
        <w:t> ]。体外研究表明，细胞周期蛋白D1/CDK4复合物可能是HER2抑制剂耐药的原</w:t>
      </w:r>
      <w:r w:rsidRPr="001063B2">
        <w:rPr>
          <w:rFonts w:ascii="微软雅黑" w:eastAsia="微软雅黑" w:hAnsi="微软雅黑" w:cs="宋体"/>
          <w:kern w:val="0"/>
          <w:sz w:val="24"/>
          <w:szCs w:val="24"/>
        </w:rPr>
        <w:lastRenderedPageBreak/>
        <w:t>因，而CDK4/6抑制剂作为单药或与</w:t>
      </w:r>
      <w:proofErr w:type="gramStart"/>
      <w:r w:rsidRPr="001063B2">
        <w:rPr>
          <w:rFonts w:ascii="微软雅黑" w:eastAsia="微软雅黑" w:hAnsi="微软雅黑" w:cs="宋体"/>
          <w:kern w:val="0"/>
          <w:sz w:val="24"/>
          <w:szCs w:val="24"/>
        </w:rPr>
        <w:t>曲妥珠单抗联合使用</w:t>
      </w:r>
      <w:proofErr w:type="gramEnd"/>
      <w:r w:rsidRPr="001063B2">
        <w:rPr>
          <w:rFonts w:ascii="微软雅黑" w:eastAsia="微软雅黑" w:hAnsi="微软雅黑" w:cs="宋体"/>
          <w:kern w:val="0"/>
          <w:sz w:val="24"/>
          <w:szCs w:val="24"/>
        </w:rPr>
        <w:t>均可有效恢复HER2抑制剂的敏感性[79]。同时，HER2靶</w:t>
      </w:r>
      <w:proofErr w:type="gramStart"/>
      <w:r w:rsidRPr="001063B2">
        <w:rPr>
          <w:rFonts w:ascii="微软雅黑" w:eastAsia="微软雅黑" w:hAnsi="微软雅黑" w:cs="宋体"/>
          <w:kern w:val="0"/>
          <w:sz w:val="24"/>
          <w:szCs w:val="24"/>
        </w:rPr>
        <w:t>向治疗</w:t>
      </w:r>
      <w:proofErr w:type="gramEnd"/>
      <w:r w:rsidRPr="001063B2">
        <w:rPr>
          <w:rFonts w:ascii="微软雅黑" w:eastAsia="微软雅黑" w:hAnsi="微软雅黑" w:cs="宋体"/>
          <w:kern w:val="0"/>
          <w:sz w:val="24"/>
          <w:szCs w:val="24"/>
        </w:rPr>
        <w:t>获得性耐药的临床前模型显示，细胞周期蛋白D1的激活增强，而CDK4/6抑制剂可有效阻断细胞增殖[80]。此外，Zhang等人[81]的研究表明，CDK4/6抑制剂可抑制HER2阳性乳腺癌</w:t>
      </w:r>
      <w:r w:rsidRPr="001063B2">
        <w:rPr>
          <w:rFonts w:ascii="微软雅黑" w:eastAsia="微软雅黑" w:hAnsi="微软雅黑" w:cs="宋体"/>
          <w:kern w:val="0"/>
          <w:sz w:val="24"/>
          <w:szCs w:val="24"/>
        </w:rPr>
        <w:fldChar w:fldCharType="begin"/>
      </w:r>
      <w:r w:rsidRPr="001063B2">
        <w:rPr>
          <w:rFonts w:ascii="微软雅黑" w:eastAsia="微软雅黑" w:hAnsi="微软雅黑" w:cs="宋体"/>
          <w:kern w:val="0"/>
          <w:sz w:val="24"/>
          <w:szCs w:val="24"/>
        </w:rPr>
        <w:instrText xml:space="preserve"> HYPERLINK "https://pmc.ncbi.nlm.nih.gov/articles/PMC7554788/" \l "B79-ijms-21-06479" </w:instrText>
      </w:r>
      <w:r w:rsidRPr="001063B2">
        <w:rPr>
          <w:rFonts w:ascii="微软雅黑" w:eastAsia="微软雅黑" w:hAnsi="微软雅黑" w:cs="宋体"/>
          <w:kern w:val="0"/>
          <w:sz w:val="24"/>
          <w:szCs w:val="24"/>
        </w:rPr>
        <w:fldChar w:fldCharType="separate"/>
      </w:r>
      <w:r w:rsidRPr="001063B2">
        <w:rPr>
          <w:rFonts w:ascii="微软雅黑" w:eastAsia="微软雅黑" w:hAnsi="微软雅黑" w:cs="宋体"/>
          <w:kern w:val="0"/>
          <w:sz w:val="24"/>
          <w:szCs w:val="24"/>
          <w:u w:val="single"/>
        </w:rPr>
        <w:t>细胞</w:t>
      </w:r>
      <w:r w:rsidRPr="001063B2">
        <w:rPr>
          <w:rFonts w:ascii="微软雅黑" w:eastAsia="微软雅黑" w:hAnsi="微软雅黑" w:cs="宋体"/>
          <w:kern w:val="0"/>
          <w:sz w:val="24"/>
          <w:szCs w:val="24"/>
        </w:rPr>
        <w:fldChar w:fldCharType="end"/>
      </w:r>
      <w:r w:rsidRPr="001063B2">
        <w:rPr>
          <w:rFonts w:ascii="微软雅黑" w:eastAsia="微软雅黑" w:hAnsi="微软雅黑" w:cs="宋体"/>
          <w:kern w:val="0"/>
          <w:sz w:val="24"/>
          <w:szCs w:val="24"/>
        </w:rPr>
        <w:t>的增殖，并降低其对HER2抑制剂的敏感性[ </w:t>
      </w:r>
      <w:hyperlink r:id="rId99" w:anchor="B80-ijms-21-06479" w:history="1">
        <w:r w:rsidRPr="001063B2">
          <w:rPr>
            <w:rFonts w:ascii="微软雅黑" w:eastAsia="微软雅黑" w:hAnsi="微软雅黑" w:cs="宋体"/>
            <w:kern w:val="0"/>
            <w:sz w:val="24"/>
            <w:szCs w:val="24"/>
            <w:u w:val="single"/>
          </w:rPr>
          <w:t>81</w:t>
        </w:r>
      </w:hyperlink>
      <w:r w:rsidRPr="001063B2">
        <w:rPr>
          <w:rFonts w:ascii="微软雅黑" w:eastAsia="微软雅黑" w:hAnsi="微软雅黑" w:cs="宋体"/>
          <w:kern w:val="0"/>
          <w:sz w:val="24"/>
          <w:szCs w:val="24"/>
        </w:rPr>
        <w:t> ]。有报道称，帕博西尼和泛HER2抑制剂</w:t>
      </w:r>
      <w:proofErr w:type="gramStart"/>
      <w:r w:rsidRPr="001063B2">
        <w:rPr>
          <w:rFonts w:ascii="微软雅黑" w:eastAsia="微软雅黑" w:hAnsi="微软雅黑" w:cs="宋体"/>
          <w:kern w:val="0"/>
          <w:sz w:val="24"/>
          <w:szCs w:val="24"/>
        </w:rPr>
        <w:t>吡咯替尼在</w:t>
      </w:r>
      <w:proofErr w:type="gramEnd"/>
      <w:r w:rsidRPr="001063B2">
        <w:rPr>
          <w:rFonts w:ascii="微软雅黑" w:eastAsia="微软雅黑" w:hAnsi="微软雅黑" w:cs="宋体"/>
          <w:kern w:val="0"/>
          <w:sz w:val="24"/>
          <w:szCs w:val="24"/>
        </w:rPr>
        <w:t>体外和体内HER2模型中抑制癌细胞增殖方面具有高度协同作用[ </w:t>
      </w:r>
      <w:hyperlink r:id="rId100" w:anchor="B81-ijms-21-06479" w:history="1">
        <w:r w:rsidRPr="001063B2">
          <w:rPr>
            <w:rFonts w:ascii="微软雅黑" w:eastAsia="微软雅黑" w:hAnsi="微软雅黑" w:cs="宋体"/>
            <w:kern w:val="0"/>
            <w:sz w:val="24"/>
            <w:szCs w:val="24"/>
            <w:u w:val="single"/>
          </w:rPr>
          <w:t>81</w:t>
        </w:r>
      </w:hyperlink>
      <w:r w:rsidRPr="001063B2">
        <w:rPr>
          <w:rFonts w:ascii="微软雅黑" w:eastAsia="微软雅黑" w:hAnsi="微软雅黑" w:cs="宋体"/>
          <w:kern w:val="0"/>
          <w:sz w:val="24"/>
          <w:szCs w:val="24"/>
        </w:rPr>
        <w:t> ]。由于这些临床前研究，CDK4/6抑制剂与抗HER2疗法联合应用的临床研究迅速涌现[ </w:t>
      </w:r>
      <w:hyperlink r:id="rId101" w:anchor="B82-ijms-21-06479" w:history="1">
        <w:r w:rsidRPr="001063B2">
          <w:rPr>
            <w:rFonts w:ascii="微软雅黑" w:eastAsia="微软雅黑" w:hAnsi="微软雅黑" w:cs="宋体"/>
            <w:kern w:val="0"/>
            <w:sz w:val="24"/>
            <w:szCs w:val="24"/>
            <w:u w:val="single"/>
          </w:rPr>
          <w:t>82</w:t>
        </w:r>
      </w:hyperlink>
      <w:r w:rsidRPr="001063B2">
        <w:rPr>
          <w:rFonts w:ascii="微软雅黑" w:eastAsia="微软雅黑" w:hAnsi="微软雅黑" w:cs="宋体"/>
          <w:kern w:val="0"/>
          <w:sz w:val="24"/>
          <w:szCs w:val="24"/>
        </w:rPr>
        <w:t> ]。</w:t>
      </w:r>
    </w:p>
    <w:p w14:paraId="06C2B6CE"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磷脂酰肌醇3-激酶（PI3K）通路在乳腺癌中频繁激活，可能导致内分泌治疗耐药。然而，迄今为止，单药PI3K抑制剂的临床疗效有限[ </w:t>
      </w:r>
      <w:hyperlink r:id="rId102" w:anchor="B83-ijms-21-06479" w:history="1">
        <w:r w:rsidRPr="001063B2">
          <w:rPr>
            <w:rFonts w:ascii="微软雅黑" w:eastAsia="微软雅黑" w:hAnsi="微软雅黑" w:cs="宋体"/>
            <w:kern w:val="0"/>
            <w:sz w:val="24"/>
            <w:szCs w:val="24"/>
            <w:u w:val="single"/>
          </w:rPr>
          <w:t>83</w:t>
        </w:r>
      </w:hyperlink>
      <w:r w:rsidRPr="001063B2">
        <w:rPr>
          <w:rFonts w:ascii="微软雅黑" w:eastAsia="微软雅黑" w:hAnsi="微软雅黑" w:cs="宋体"/>
          <w:kern w:val="0"/>
          <w:sz w:val="24"/>
          <w:szCs w:val="24"/>
        </w:rPr>
        <w:t> ]。临床前研究表明，PI3K/Akt/mTOR抑制剂可增强ER阳性细胞系对CDK4/6抑制剂的敏感性，且与内分泌治疗（ET）的三联疗法比双联疗法更有效[ </w:t>
      </w:r>
      <w:hyperlink r:id="rId103" w:anchor="B84-ijms-21-06479" w:history="1">
        <w:r w:rsidRPr="001063B2">
          <w:rPr>
            <w:rFonts w:ascii="微软雅黑" w:eastAsia="微软雅黑" w:hAnsi="微软雅黑" w:cs="宋体"/>
            <w:kern w:val="0"/>
            <w:sz w:val="24"/>
            <w:szCs w:val="24"/>
            <w:u w:val="single"/>
          </w:rPr>
          <w:t>84</w:t>
        </w:r>
      </w:hyperlink>
      <w:r w:rsidRPr="001063B2">
        <w:rPr>
          <w:rFonts w:ascii="微软雅黑" w:eastAsia="微软雅黑" w:hAnsi="微软雅黑" w:cs="宋体"/>
          <w:kern w:val="0"/>
          <w:sz w:val="24"/>
          <w:szCs w:val="24"/>
        </w:rPr>
        <w:t> ]。同时，利博西尼联合α特异性PI3K抑制剂阿培利西布（BYL719）在PIK3CA突变型乳腺癌细胞系中表现出协同作用。重要的是，PI3K和CDK4/6抑制剂的联合应用可克服PI3K抑制剂的固有耐药性和适应性耐药性，从而导致PIK3CA突变型异种移植瘤的消退[ </w:t>
      </w:r>
      <w:hyperlink r:id="rId104" w:anchor="B85-ijms-21-06479" w:history="1">
        <w:r w:rsidRPr="001063B2">
          <w:rPr>
            <w:rFonts w:ascii="微软雅黑" w:eastAsia="微软雅黑" w:hAnsi="微软雅黑" w:cs="宋体"/>
            <w:kern w:val="0"/>
            <w:sz w:val="24"/>
            <w:szCs w:val="24"/>
            <w:u w:val="single"/>
          </w:rPr>
          <w:t>85</w:t>
        </w:r>
      </w:hyperlink>
      <w:r w:rsidRPr="001063B2">
        <w:rPr>
          <w:rFonts w:ascii="微软雅黑" w:eastAsia="微软雅黑" w:hAnsi="微软雅黑" w:cs="宋体"/>
          <w:kern w:val="0"/>
          <w:sz w:val="24"/>
          <w:szCs w:val="24"/>
        </w:rPr>
        <w:t xml:space="preserve"> ]。最后，研究表明，帕博西尼和双重 mTOR 激酶抑制剂 MLN0128 的组合可协同抑制 </w:t>
      </w:r>
      <w:proofErr w:type="spellStart"/>
      <w:r w:rsidRPr="001063B2">
        <w:rPr>
          <w:rFonts w:ascii="微软雅黑" w:eastAsia="微软雅黑" w:hAnsi="微软雅黑" w:cs="宋体"/>
          <w:kern w:val="0"/>
          <w:sz w:val="24"/>
          <w:szCs w:val="24"/>
        </w:rPr>
        <w:t>pRb</w:t>
      </w:r>
      <w:proofErr w:type="spellEnd"/>
      <w:r w:rsidRPr="001063B2">
        <w:rPr>
          <w:rFonts w:ascii="微软雅黑" w:eastAsia="微软雅黑" w:hAnsi="微软雅黑" w:cs="宋体"/>
          <w:kern w:val="0"/>
          <w:sz w:val="24"/>
          <w:szCs w:val="24"/>
        </w:rPr>
        <w:t xml:space="preserve"> 表达的 HR 阴性乳腺癌细胞系的增殖并诱导 G1 细胞周期阻滞 [ </w:t>
      </w:r>
      <w:hyperlink r:id="rId105" w:anchor="B86-ijms-21-06479" w:history="1">
        <w:r w:rsidRPr="001063B2">
          <w:rPr>
            <w:rFonts w:ascii="微软雅黑" w:eastAsia="微软雅黑" w:hAnsi="微软雅黑" w:cs="宋体"/>
            <w:kern w:val="0"/>
            <w:sz w:val="24"/>
            <w:szCs w:val="24"/>
            <w:u w:val="single"/>
          </w:rPr>
          <w:t>86</w:t>
        </w:r>
      </w:hyperlink>
      <w:r w:rsidRPr="001063B2">
        <w:rPr>
          <w:rFonts w:ascii="微软雅黑" w:eastAsia="微软雅黑" w:hAnsi="微软雅黑" w:cs="宋体"/>
          <w:kern w:val="0"/>
          <w:sz w:val="24"/>
          <w:szCs w:val="24"/>
        </w:rPr>
        <w:t> ]。</w:t>
      </w:r>
    </w:p>
    <w:p w14:paraId="76EBC3DD"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其他研究报道，三阴性乳腺癌（TNBC）的LAR亚组可能过度表达Rb蛋白，从而对CDK4/6抑制剂敏感[ </w:t>
      </w:r>
      <w:hyperlink r:id="rId106" w:anchor="B87-ijms-21-06479" w:history="1">
        <w:r w:rsidRPr="001063B2">
          <w:rPr>
            <w:rFonts w:ascii="微软雅黑" w:eastAsia="微软雅黑" w:hAnsi="微软雅黑" w:cs="宋体"/>
            <w:kern w:val="0"/>
            <w:sz w:val="24"/>
            <w:szCs w:val="24"/>
            <w:u w:val="single"/>
          </w:rPr>
          <w:t>87</w:t>
        </w:r>
      </w:hyperlink>
      <w:r w:rsidRPr="001063B2">
        <w:rPr>
          <w:rFonts w:ascii="微软雅黑" w:eastAsia="微软雅黑" w:hAnsi="微软雅黑" w:cs="宋体"/>
          <w:kern w:val="0"/>
          <w:sz w:val="24"/>
          <w:szCs w:val="24"/>
        </w:rPr>
        <w:t> , </w:t>
      </w:r>
      <w:hyperlink r:id="rId107" w:anchor="B88-ijms-21-06479" w:history="1">
        <w:r w:rsidRPr="001063B2">
          <w:rPr>
            <w:rFonts w:ascii="微软雅黑" w:eastAsia="微软雅黑" w:hAnsi="微软雅黑" w:cs="宋体"/>
            <w:kern w:val="0"/>
            <w:sz w:val="24"/>
            <w:szCs w:val="24"/>
            <w:u w:val="single"/>
          </w:rPr>
          <w:t>88</w:t>
        </w:r>
      </w:hyperlink>
      <w:r w:rsidRPr="001063B2">
        <w:rPr>
          <w:rFonts w:ascii="微软雅黑" w:eastAsia="微软雅黑" w:hAnsi="微软雅黑" w:cs="宋体"/>
          <w:kern w:val="0"/>
          <w:sz w:val="24"/>
          <w:szCs w:val="24"/>
        </w:rPr>
        <w:t> , </w:t>
      </w:r>
      <w:hyperlink r:id="rId108" w:anchor="B89-ijms-21-06479" w:history="1">
        <w:r w:rsidRPr="001063B2">
          <w:rPr>
            <w:rFonts w:ascii="微软雅黑" w:eastAsia="微软雅黑" w:hAnsi="微软雅黑" w:cs="宋体"/>
            <w:kern w:val="0"/>
            <w:sz w:val="24"/>
            <w:szCs w:val="24"/>
            <w:u w:val="single"/>
          </w:rPr>
          <w:t>89</w:t>
        </w:r>
      </w:hyperlink>
      <w:r w:rsidRPr="001063B2">
        <w:rPr>
          <w:rFonts w:ascii="微软雅黑" w:eastAsia="微软雅黑" w:hAnsi="微软雅黑" w:cs="宋体"/>
          <w:kern w:val="0"/>
          <w:sz w:val="24"/>
          <w:szCs w:val="24"/>
        </w:rPr>
        <w:t> , </w:t>
      </w:r>
      <w:hyperlink r:id="rId109" w:anchor="B90-ijms-21-06479" w:history="1">
        <w:r w:rsidRPr="001063B2">
          <w:rPr>
            <w:rFonts w:ascii="微软雅黑" w:eastAsia="微软雅黑" w:hAnsi="微软雅黑" w:cs="宋体"/>
            <w:kern w:val="0"/>
            <w:sz w:val="24"/>
            <w:szCs w:val="24"/>
            <w:u w:val="single"/>
          </w:rPr>
          <w:t>90</w:t>
        </w:r>
      </w:hyperlink>
      <w:r w:rsidRPr="001063B2">
        <w:rPr>
          <w:rFonts w:ascii="微软雅黑" w:eastAsia="微软雅黑" w:hAnsi="微软雅黑" w:cs="宋体"/>
          <w:kern w:val="0"/>
          <w:sz w:val="24"/>
          <w:szCs w:val="24"/>
        </w:rPr>
        <w:t> ]。有趣的是，临床前研究表明，CDK4/6抑制剂还可以调节促有丝分裂激酶信号通路，诱导细胞衰老并促进抗肿</w:t>
      </w:r>
      <w:r w:rsidRPr="001063B2">
        <w:rPr>
          <w:rFonts w:ascii="微软雅黑" w:eastAsia="微软雅黑" w:hAnsi="微软雅黑" w:cs="宋体"/>
          <w:kern w:val="0"/>
          <w:sz w:val="24"/>
          <w:szCs w:val="24"/>
        </w:rPr>
        <w:lastRenderedPageBreak/>
        <w:t>瘤免疫[ </w:t>
      </w:r>
      <w:hyperlink r:id="rId110" w:anchor="B91-ijms-21-06479" w:history="1">
        <w:r w:rsidRPr="001063B2">
          <w:rPr>
            <w:rFonts w:ascii="微软雅黑" w:eastAsia="微软雅黑" w:hAnsi="微软雅黑" w:cs="宋体"/>
            <w:kern w:val="0"/>
            <w:sz w:val="24"/>
            <w:szCs w:val="24"/>
            <w:u w:val="single"/>
          </w:rPr>
          <w:t>91</w:t>
        </w:r>
      </w:hyperlink>
      <w:r w:rsidRPr="001063B2">
        <w:rPr>
          <w:rFonts w:ascii="微软雅黑" w:eastAsia="微软雅黑" w:hAnsi="微软雅黑" w:cs="宋体"/>
          <w:kern w:val="0"/>
          <w:sz w:val="24"/>
          <w:szCs w:val="24"/>
        </w:rPr>
        <w:t> , </w:t>
      </w:r>
      <w:hyperlink r:id="rId111" w:anchor="B92-ijms-21-06479" w:history="1">
        <w:r w:rsidRPr="001063B2">
          <w:rPr>
            <w:rFonts w:ascii="微软雅黑" w:eastAsia="微软雅黑" w:hAnsi="微软雅黑" w:cs="宋体"/>
            <w:kern w:val="0"/>
            <w:sz w:val="24"/>
            <w:szCs w:val="24"/>
            <w:u w:val="single"/>
          </w:rPr>
          <w:t>92</w:t>
        </w:r>
      </w:hyperlink>
      <w:r w:rsidRPr="001063B2">
        <w:rPr>
          <w:rFonts w:ascii="微软雅黑" w:eastAsia="微软雅黑" w:hAnsi="微软雅黑" w:cs="宋体"/>
          <w:kern w:val="0"/>
          <w:sz w:val="24"/>
          <w:szCs w:val="24"/>
        </w:rPr>
        <w:t> ]，这为与免疫治疗药物联合应用提供了理论依据。特别是，CDK4/6抑制剂可通过抑制Rb-E2F</w:t>
      </w:r>
      <w:proofErr w:type="gramStart"/>
      <w:r w:rsidRPr="001063B2">
        <w:rPr>
          <w:rFonts w:ascii="微软雅黑" w:eastAsia="微软雅黑" w:hAnsi="微软雅黑" w:cs="宋体"/>
          <w:kern w:val="0"/>
          <w:sz w:val="24"/>
          <w:szCs w:val="24"/>
        </w:rPr>
        <w:t>轴增强</w:t>
      </w:r>
      <w:proofErr w:type="gramEnd"/>
      <w:r w:rsidRPr="001063B2">
        <w:rPr>
          <w:rFonts w:ascii="微软雅黑" w:eastAsia="微软雅黑" w:hAnsi="微软雅黑" w:cs="宋体"/>
          <w:kern w:val="0"/>
          <w:sz w:val="24"/>
          <w:szCs w:val="24"/>
        </w:rPr>
        <w:t>抗原呈递[ </w:t>
      </w:r>
      <w:hyperlink r:id="rId112" w:anchor="B93-ijms-21-06479" w:history="1">
        <w:r w:rsidRPr="001063B2">
          <w:rPr>
            <w:rFonts w:ascii="微软雅黑" w:eastAsia="微软雅黑" w:hAnsi="微软雅黑" w:cs="宋体"/>
            <w:kern w:val="0"/>
            <w:sz w:val="24"/>
            <w:szCs w:val="24"/>
            <w:u w:val="single"/>
          </w:rPr>
          <w:t>93</w:t>
        </w:r>
      </w:hyperlink>
      <w:r w:rsidRPr="001063B2">
        <w:rPr>
          <w:rFonts w:ascii="微软雅黑" w:eastAsia="微软雅黑" w:hAnsi="微软雅黑" w:cs="宋体"/>
          <w:kern w:val="0"/>
          <w:sz w:val="24"/>
          <w:szCs w:val="24"/>
        </w:rPr>
        <w:t> ]。CDK4/6抑制剂可通过上调肿瘤微环境中细胞因子（IL-2）的水平来抑制免疫抑制性调节性T细胞（Tregs）并增强效应T细胞反应[ </w:t>
      </w:r>
      <w:hyperlink r:id="rId113" w:anchor="B94-ijms-21-06479" w:history="1">
        <w:r w:rsidRPr="001063B2">
          <w:rPr>
            <w:rFonts w:ascii="微软雅黑" w:eastAsia="微软雅黑" w:hAnsi="微软雅黑" w:cs="宋体"/>
            <w:kern w:val="0"/>
            <w:sz w:val="24"/>
            <w:szCs w:val="24"/>
            <w:u w:val="single"/>
          </w:rPr>
          <w:t>94</w:t>
        </w:r>
      </w:hyperlink>
      <w:r w:rsidRPr="001063B2">
        <w:rPr>
          <w:rFonts w:ascii="微软雅黑" w:eastAsia="微软雅黑" w:hAnsi="微软雅黑" w:cs="宋体"/>
          <w:kern w:val="0"/>
          <w:sz w:val="24"/>
          <w:szCs w:val="24"/>
        </w:rPr>
        <w:t> ]。据报道，细胞周期蛋白D-CDK4复合物在降低PD-L1表达方面也发挥作用；因此，CDK4/6抑制剂可能促进PD-L1的表达，导致肿瘤免疫逃逸[ </w:t>
      </w:r>
      <w:hyperlink r:id="rId114" w:anchor="B95-ijms-21-06479" w:history="1">
        <w:r w:rsidRPr="001063B2">
          <w:rPr>
            <w:rFonts w:ascii="微软雅黑" w:eastAsia="微软雅黑" w:hAnsi="微软雅黑" w:cs="宋体"/>
            <w:kern w:val="0"/>
            <w:sz w:val="24"/>
            <w:szCs w:val="24"/>
            <w:u w:val="single"/>
          </w:rPr>
          <w:t>95</w:t>
        </w:r>
      </w:hyperlink>
      <w:r w:rsidRPr="001063B2">
        <w:rPr>
          <w:rFonts w:ascii="微软雅黑" w:eastAsia="微软雅黑" w:hAnsi="微软雅黑" w:cs="宋体"/>
          <w:kern w:val="0"/>
          <w:sz w:val="24"/>
          <w:szCs w:val="24"/>
        </w:rPr>
        <w:t> , </w:t>
      </w:r>
      <w:hyperlink r:id="rId115" w:anchor="B96-ijms-21-06479" w:history="1">
        <w:r w:rsidRPr="001063B2">
          <w:rPr>
            <w:rFonts w:ascii="微软雅黑" w:eastAsia="微软雅黑" w:hAnsi="微软雅黑" w:cs="宋体"/>
            <w:kern w:val="0"/>
            <w:sz w:val="24"/>
            <w:szCs w:val="24"/>
            <w:u w:val="single"/>
          </w:rPr>
          <w:t>96</w:t>
        </w:r>
      </w:hyperlink>
      <w:r w:rsidRPr="001063B2">
        <w:rPr>
          <w:rFonts w:ascii="微软雅黑" w:eastAsia="微软雅黑" w:hAnsi="微软雅黑" w:cs="宋体"/>
          <w:kern w:val="0"/>
          <w:sz w:val="24"/>
          <w:szCs w:val="24"/>
        </w:rPr>
        <w:t> ]。这些发现提示，CDK4/6抑制剂与抗PD-L1疗法联合应用具有协同增效作用。正在进行的临床研究将进一步阐明CDK4/6抑制剂与免疫疗法联合应用的机制。</w:t>
      </w:r>
    </w:p>
    <w:p w14:paraId="4DC5FCFB"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CDK4/6抑制剂与化疗联合应用的效果已在临床前研究中进行了探索，但结果存在争议。CDK4/6抑制剂与紫杉</w:t>
      </w:r>
      <w:proofErr w:type="gramStart"/>
      <w:r w:rsidRPr="001063B2">
        <w:rPr>
          <w:rFonts w:ascii="微软雅黑" w:eastAsia="微软雅黑" w:hAnsi="微软雅黑" w:cs="宋体"/>
          <w:kern w:val="0"/>
          <w:sz w:val="24"/>
          <w:szCs w:val="24"/>
        </w:rPr>
        <w:t>醇</w:t>
      </w:r>
      <w:proofErr w:type="gramEnd"/>
      <w:r w:rsidRPr="001063B2">
        <w:rPr>
          <w:rFonts w:ascii="微软雅黑" w:eastAsia="微软雅黑" w:hAnsi="微软雅黑" w:cs="宋体"/>
          <w:kern w:val="0"/>
          <w:sz w:val="24"/>
          <w:szCs w:val="24"/>
        </w:rPr>
        <w:t>联合应用可促进HR阳性及TNBC模型中的细胞死亡[ </w:t>
      </w:r>
      <w:hyperlink r:id="rId116" w:anchor="B97-ijms-21-06479" w:history="1">
        <w:r w:rsidRPr="001063B2">
          <w:rPr>
            <w:rFonts w:ascii="微软雅黑" w:eastAsia="微软雅黑" w:hAnsi="微软雅黑" w:cs="宋体"/>
            <w:kern w:val="0"/>
            <w:sz w:val="24"/>
            <w:szCs w:val="24"/>
            <w:u w:val="single"/>
          </w:rPr>
          <w:t>97</w:t>
        </w:r>
      </w:hyperlink>
      <w:r w:rsidRPr="001063B2">
        <w:rPr>
          <w:rFonts w:ascii="微软雅黑" w:eastAsia="微软雅黑" w:hAnsi="微软雅黑" w:cs="宋体"/>
          <w:kern w:val="0"/>
          <w:sz w:val="24"/>
          <w:szCs w:val="24"/>
        </w:rPr>
        <w:t> ]，而帕博西尼与</w:t>
      </w:r>
      <w:proofErr w:type="gramStart"/>
      <w:r w:rsidRPr="001063B2">
        <w:rPr>
          <w:rFonts w:ascii="微软雅黑" w:eastAsia="微软雅黑" w:hAnsi="微软雅黑" w:cs="宋体"/>
          <w:kern w:val="0"/>
          <w:sz w:val="24"/>
          <w:szCs w:val="24"/>
        </w:rPr>
        <w:t>卡铂联合应用仅</w:t>
      </w:r>
      <w:proofErr w:type="gramEnd"/>
      <w:r w:rsidRPr="001063B2">
        <w:rPr>
          <w:rFonts w:ascii="微软雅黑" w:eastAsia="微软雅黑" w:hAnsi="微软雅黑" w:cs="宋体"/>
          <w:kern w:val="0"/>
          <w:sz w:val="24"/>
          <w:szCs w:val="24"/>
        </w:rPr>
        <w:t>在Rb功能正常的小鼠中导致抗肿瘤活性低于</w:t>
      </w:r>
      <w:proofErr w:type="gramStart"/>
      <w:r w:rsidRPr="001063B2">
        <w:rPr>
          <w:rFonts w:ascii="微软雅黑" w:eastAsia="微软雅黑" w:hAnsi="微软雅黑" w:cs="宋体"/>
          <w:kern w:val="0"/>
          <w:sz w:val="24"/>
          <w:szCs w:val="24"/>
        </w:rPr>
        <w:t>单用卡铂</w:t>
      </w:r>
      <w:proofErr w:type="gramEnd"/>
      <w:r w:rsidRPr="001063B2">
        <w:rPr>
          <w:rFonts w:ascii="微软雅黑" w:eastAsia="微软雅黑" w:hAnsi="微软雅黑" w:cs="宋体"/>
          <w:kern w:val="0"/>
          <w:sz w:val="24"/>
          <w:szCs w:val="24"/>
        </w:rPr>
        <w:t>[ </w:t>
      </w:r>
      <w:hyperlink r:id="rId117" w:anchor="B98-ijms-21-06479" w:history="1">
        <w:r w:rsidRPr="001063B2">
          <w:rPr>
            <w:rFonts w:ascii="微软雅黑" w:eastAsia="微软雅黑" w:hAnsi="微软雅黑" w:cs="宋体"/>
            <w:kern w:val="0"/>
            <w:sz w:val="24"/>
            <w:szCs w:val="24"/>
            <w:u w:val="single"/>
          </w:rPr>
          <w:t>98</w:t>
        </w:r>
      </w:hyperlink>
      <w:r w:rsidRPr="001063B2">
        <w:rPr>
          <w:rFonts w:ascii="微软雅黑" w:eastAsia="微软雅黑" w:hAnsi="微软雅黑" w:cs="宋体"/>
          <w:kern w:val="0"/>
          <w:sz w:val="24"/>
          <w:szCs w:val="24"/>
        </w:rPr>
        <w:t> ]。在TNBC细胞系中，帕博西尼与阿霉素或紫杉</w:t>
      </w:r>
      <w:proofErr w:type="gramStart"/>
      <w:r w:rsidRPr="001063B2">
        <w:rPr>
          <w:rFonts w:ascii="微软雅黑" w:eastAsia="微软雅黑" w:hAnsi="微软雅黑" w:cs="宋体"/>
          <w:kern w:val="0"/>
          <w:sz w:val="24"/>
          <w:szCs w:val="24"/>
        </w:rPr>
        <w:t>醇</w:t>
      </w:r>
      <w:proofErr w:type="gramEnd"/>
      <w:r w:rsidRPr="001063B2">
        <w:rPr>
          <w:rFonts w:ascii="微软雅黑" w:eastAsia="微软雅黑" w:hAnsi="微软雅黑" w:cs="宋体"/>
          <w:kern w:val="0"/>
          <w:sz w:val="24"/>
          <w:szCs w:val="24"/>
        </w:rPr>
        <w:t>联合应用的研究表明，这些联合用药可导致Rb依赖性细胞的细胞周期阻滞而不引起细胞死亡，提示帕博西尼的细胞抑制作用可能干扰化疗药物的细胞毒性作用[ </w:t>
      </w:r>
      <w:hyperlink r:id="rId118" w:anchor="B99-ijms-21-06479" w:history="1">
        <w:r w:rsidRPr="001063B2">
          <w:rPr>
            <w:rFonts w:ascii="微软雅黑" w:eastAsia="微软雅黑" w:hAnsi="微软雅黑" w:cs="宋体"/>
            <w:kern w:val="0"/>
            <w:sz w:val="24"/>
            <w:szCs w:val="24"/>
            <w:u w:val="single"/>
          </w:rPr>
          <w:t>99</w:t>
        </w:r>
      </w:hyperlink>
      <w:r w:rsidRPr="001063B2">
        <w:rPr>
          <w:rFonts w:ascii="微软雅黑" w:eastAsia="微软雅黑" w:hAnsi="微软雅黑" w:cs="宋体"/>
          <w:kern w:val="0"/>
          <w:sz w:val="24"/>
          <w:szCs w:val="24"/>
        </w:rPr>
        <w:t> ]。然而，CDK4/6抑制剂与化疗联合应用可能会扰乱细胞周期调控，因此应考虑CDK4/6抑制剂与细胞毒性药物序</w:t>
      </w:r>
      <w:proofErr w:type="gramStart"/>
      <w:r w:rsidRPr="001063B2">
        <w:rPr>
          <w:rFonts w:ascii="微软雅黑" w:eastAsia="微软雅黑" w:hAnsi="微软雅黑" w:cs="宋体"/>
          <w:kern w:val="0"/>
          <w:sz w:val="24"/>
          <w:szCs w:val="24"/>
        </w:rPr>
        <w:t>贯治疗</w:t>
      </w:r>
      <w:proofErr w:type="gramEnd"/>
      <w:r w:rsidRPr="001063B2">
        <w:rPr>
          <w:rFonts w:ascii="微软雅黑" w:eastAsia="微软雅黑" w:hAnsi="微软雅黑" w:cs="宋体"/>
          <w:kern w:val="0"/>
          <w:sz w:val="24"/>
          <w:szCs w:val="24"/>
        </w:rPr>
        <w:t>的可能性[ </w:t>
      </w:r>
      <w:hyperlink r:id="rId119" w:anchor="B100-ijms-21-06479" w:history="1">
        <w:r w:rsidRPr="001063B2">
          <w:rPr>
            <w:rFonts w:ascii="微软雅黑" w:eastAsia="微软雅黑" w:hAnsi="微软雅黑" w:cs="宋体"/>
            <w:kern w:val="0"/>
            <w:sz w:val="24"/>
            <w:szCs w:val="24"/>
            <w:u w:val="single"/>
          </w:rPr>
          <w:t>100</w:t>
        </w:r>
      </w:hyperlink>
      <w:r w:rsidRPr="001063B2">
        <w:rPr>
          <w:rFonts w:ascii="微软雅黑" w:eastAsia="微软雅黑" w:hAnsi="微软雅黑" w:cs="宋体"/>
          <w:kern w:val="0"/>
          <w:sz w:val="24"/>
          <w:szCs w:val="24"/>
        </w:rPr>
        <w:t> ]。在Rb阳性三阴性乳腺癌（TNBC）细胞模型中，帕博西尼与紫杉醇的联合用药似乎具有拮抗作用，而序</w:t>
      </w:r>
      <w:proofErr w:type="gramStart"/>
      <w:r w:rsidRPr="001063B2">
        <w:rPr>
          <w:rFonts w:ascii="微软雅黑" w:eastAsia="微软雅黑" w:hAnsi="微软雅黑" w:cs="宋体"/>
          <w:kern w:val="0"/>
          <w:sz w:val="24"/>
          <w:szCs w:val="24"/>
        </w:rPr>
        <w:t>贯治疗</w:t>
      </w:r>
      <w:proofErr w:type="gramEnd"/>
      <w:r w:rsidRPr="001063B2">
        <w:rPr>
          <w:rFonts w:ascii="微软雅黑" w:eastAsia="微软雅黑" w:hAnsi="微软雅黑" w:cs="宋体"/>
          <w:kern w:val="0"/>
          <w:sz w:val="24"/>
          <w:szCs w:val="24"/>
        </w:rPr>
        <w:t>则比单药治疗更能有效地抑制细胞增殖并促进细胞死亡[ </w:t>
      </w:r>
      <w:hyperlink r:id="rId120" w:anchor="B101-ijms-21-06479" w:history="1">
        <w:r w:rsidRPr="001063B2">
          <w:rPr>
            <w:rFonts w:ascii="微软雅黑" w:eastAsia="微软雅黑" w:hAnsi="微软雅黑" w:cs="宋体"/>
            <w:kern w:val="0"/>
            <w:sz w:val="24"/>
            <w:szCs w:val="24"/>
            <w:u w:val="single"/>
          </w:rPr>
          <w:t>101</w:t>
        </w:r>
      </w:hyperlink>
      <w:r w:rsidRPr="001063B2">
        <w:rPr>
          <w:rFonts w:ascii="微软雅黑" w:eastAsia="微软雅黑" w:hAnsi="微软雅黑" w:cs="宋体"/>
          <w:kern w:val="0"/>
          <w:sz w:val="24"/>
          <w:szCs w:val="24"/>
        </w:rPr>
        <w:t> ]。在此背景下，据报道，</w:t>
      </w:r>
      <w:proofErr w:type="gramStart"/>
      <w:r w:rsidRPr="001063B2">
        <w:rPr>
          <w:rFonts w:ascii="微软雅黑" w:eastAsia="微软雅黑" w:hAnsi="微软雅黑" w:cs="宋体"/>
          <w:kern w:val="0"/>
          <w:sz w:val="24"/>
          <w:szCs w:val="24"/>
        </w:rPr>
        <w:t>曲拉西</w:t>
      </w:r>
      <w:proofErr w:type="gramEnd"/>
      <w:r w:rsidRPr="001063B2">
        <w:rPr>
          <w:rFonts w:ascii="微软雅黑" w:eastAsia="微软雅黑" w:hAnsi="微软雅黑" w:cs="宋体"/>
          <w:kern w:val="0"/>
          <w:sz w:val="24"/>
          <w:szCs w:val="24"/>
        </w:rPr>
        <w:t>尼在CDK4/6依赖性异种移植瘤和PDX模型中不会降低化疗疗效[ </w:t>
      </w:r>
      <w:hyperlink r:id="rId121" w:anchor="B102-ijms-21-06479" w:history="1">
        <w:r w:rsidRPr="001063B2">
          <w:rPr>
            <w:rFonts w:ascii="微软雅黑" w:eastAsia="微软雅黑" w:hAnsi="微软雅黑" w:cs="宋体"/>
            <w:kern w:val="0"/>
            <w:sz w:val="24"/>
            <w:szCs w:val="24"/>
            <w:u w:val="single"/>
          </w:rPr>
          <w:t>102</w:t>
        </w:r>
      </w:hyperlink>
      <w:r w:rsidRPr="001063B2">
        <w:rPr>
          <w:rFonts w:ascii="微软雅黑" w:eastAsia="微软雅黑" w:hAnsi="微软雅黑" w:cs="宋体"/>
          <w:kern w:val="0"/>
          <w:sz w:val="24"/>
          <w:szCs w:val="24"/>
        </w:rPr>
        <w:t> ]。</w:t>
      </w:r>
    </w:p>
    <w:p w14:paraId="3F87013A" w14:textId="77777777" w:rsidR="001063B2" w:rsidRPr="001063B2" w:rsidRDefault="001063B2" w:rsidP="001063B2">
      <w:pPr>
        <w:widowControl/>
        <w:pBdr>
          <w:bottom w:val="single" w:sz="6" w:space="0" w:color="97B1C8"/>
        </w:pBdr>
        <w:spacing w:line="450" w:lineRule="atLeast"/>
        <w:outlineLvl w:val="1"/>
        <w:rPr>
          <w:rFonts w:ascii="微软雅黑" w:eastAsia="微软雅黑" w:hAnsi="微软雅黑" w:cs="宋体"/>
          <w:kern w:val="0"/>
          <w:sz w:val="34"/>
          <w:szCs w:val="34"/>
        </w:rPr>
      </w:pPr>
      <w:r w:rsidRPr="001063B2">
        <w:rPr>
          <w:rFonts w:ascii="微软雅黑" w:eastAsia="微软雅黑" w:hAnsi="微软雅黑" w:cs="宋体"/>
          <w:kern w:val="0"/>
          <w:sz w:val="34"/>
          <w:szCs w:val="34"/>
        </w:rPr>
        <w:t>6. 新型治疗策略</w:t>
      </w:r>
    </w:p>
    <w:p w14:paraId="3946D1F5" w14:textId="77777777" w:rsidR="001063B2" w:rsidRPr="001063B2" w:rsidRDefault="001063B2" w:rsidP="001063B2">
      <w:pPr>
        <w:widowControl/>
        <w:spacing w:line="450" w:lineRule="atLeast"/>
        <w:outlineLvl w:val="2"/>
        <w:rPr>
          <w:rFonts w:ascii="微软雅黑" w:eastAsia="微软雅黑" w:hAnsi="微软雅黑" w:cs="宋体"/>
          <w:kern w:val="0"/>
          <w:sz w:val="32"/>
          <w:szCs w:val="32"/>
        </w:rPr>
      </w:pPr>
      <w:r w:rsidRPr="001063B2">
        <w:rPr>
          <w:rFonts w:ascii="微软雅黑" w:eastAsia="微软雅黑" w:hAnsi="微软雅黑" w:cs="宋体"/>
          <w:kern w:val="0"/>
          <w:sz w:val="32"/>
          <w:szCs w:val="32"/>
        </w:rPr>
        <w:lastRenderedPageBreak/>
        <w:t>6.1 新辅助/辅助治疗</w:t>
      </w:r>
    </w:p>
    <w:p w14:paraId="6CF16D35"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 xml:space="preserve">自帕博西尼首次获批以来，研究人员一直致力于早期乳腺癌的治疗，试图证明在内分泌治疗的基础上联合使用 CDK4/6 抑制剂能够带来益处。一项 II 期单臂 </w:t>
      </w:r>
      <w:proofErr w:type="spellStart"/>
      <w:r w:rsidRPr="001063B2">
        <w:rPr>
          <w:rFonts w:ascii="微软雅黑" w:eastAsia="微软雅黑" w:hAnsi="微软雅黑" w:cs="宋体"/>
          <w:kern w:val="0"/>
          <w:sz w:val="24"/>
          <w:szCs w:val="24"/>
        </w:rPr>
        <w:t>NeoPalAna</w:t>
      </w:r>
      <w:proofErr w:type="spellEnd"/>
      <w:r w:rsidRPr="001063B2">
        <w:rPr>
          <w:rFonts w:ascii="微软雅黑" w:eastAsia="微软雅黑" w:hAnsi="微软雅黑" w:cs="宋体"/>
          <w:kern w:val="0"/>
          <w:sz w:val="24"/>
          <w:szCs w:val="24"/>
        </w:rPr>
        <w:t xml:space="preserve"> 研究 (NCT01723774) 表明，帕博西尼作为 II/III 期 HR 阳性乳腺癌的新辅助治疗药物，联合阿那曲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，显示出强大的抗增殖作用：患者根据 PIK3CA 突变状态进行分层，接受 4 周的阿</w:t>
      </w:r>
      <w:r w:rsidRPr="001063B2">
        <w:rPr>
          <w:rFonts w:ascii="微软雅黑" w:eastAsia="微软雅黑" w:hAnsi="微软雅黑" w:cs="宋体"/>
          <w:kern w:val="0"/>
          <w:sz w:val="24"/>
          <w:szCs w:val="24"/>
        </w:rPr>
        <w:fldChar w:fldCharType="begin"/>
      </w:r>
      <w:r w:rsidRPr="001063B2">
        <w:rPr>
          <w:rFonts w:ascii="微软雅黑" w:eastAsia="微软雅黑" w:hAnsi="微软雅黑" w:cs="宋体"/>
          <w:kern w:val="0"/>
          <w:sz w:val="24"/>
          <w:szCs w:val="24"/>
        </w:rPr>
        <w:instrText xml:space="preserve"> HYPERLINK "https://clinicaltrials.gov/ct2/show/NCT01723774" \t "_blank" </w:instrText>
      </w:r>
      <w:r w:rsidRPr="001063B2">
        <w:rPr>
          <w:rFonts w:ascii="微软雅黑" w:eastAsia="微软雅黑" w:hAnsi="微软雅黑" w:cs="宋体"/>
          <w:kern w:val="0"/>
          <w:sz w:val="24"/>
          <w:szCs w:val="24"/>
        </w:rPr>
        <w:fldChar w:fldCharType="separate"/>
      </w:r>
      <w:r w:rsidRPr="001063B2">
        <w:rPr>
          <w:rFonts w:ascii="微软雅黑" w:eastAsia="微软雅黑" w:hAnsi="微软雅黑" w:cs="宋体"/>
          <w:kern w:val="0"/>
          <w:sz w:val="24"/>
          <w:szCs w:val="24"/>
          <w:u w:val="single"/>
        </w:rPr>
        <w:t>那曲</w:t>
      </w:r>
      <w:r w:rsidRPr="001063B2">
        <w:rPr>
          <w:rFonts w:ascii="微软雅黑" w:eastAsia="微软雅黑" w:hAnsi="微软雅黑" w:cs="宋体"/>
          <w:kern w:val="0"/>
          <w:sz w:val="24"/>
          <w:szCs w:val="24"/>
        </w:rPr>
        <w:fldChar w:fldCharType="end"/>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 xml:space="preserve">治疗，随后接受 4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周期的阿那曲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联</w:t>
      </w:r>
      <w:proofErr w:type="gramStart"/>
      <w:r w:rsidRPr="001063B2">
        <w:rPr>
          <w:rFonts w:ascii="微软雅黑" w:eastAsia="微软雅黑" w:hAnsi="微软雅黑" w:cs="宋体"/>
          <w:kern w:val="0"/>
          <w:sz w:val="24"/>
          <w:szCs w:val="24"/>
        </w:rPr>
        <w:t>合帕</w:t>
      </w:r>
      <w:proofErr w:type="gramEnd"/>
      <w:r w:rsidRPr="001063B2">
        <w:rPr>
          <w:rFonts w:ascii="微软雅黑" w:eastAsia="微软雅黑" w:hAnsi="微软雅黑" w:cs="宋体"/>
          <w:kern w:val="0"/>
          <w:sz w:val="24"/>
          <w:szCs w:val="24"/>
        </w:rPr>
        <w:t>博西尼治疗；联合治疗15天后，完全细胞周期阻滞（CCCA：中心Ki67≤2.7%）的发生率为87%，而第1天为26%（</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&lt;0.001），提示84%对阿那曲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单药治疗耐药的患者在加用瑞博西尼后可能变得敏感。然而，在帕博西尼停药后（第5个疗程后Ki67水平被抑制），手术时Ki67水平恢复，提示可能需要延长给药时间才能维持其疗效[ </w:t>
      </w:r>
      <w:hyperlink r:id="rId122" w:anchor="B103-ijms-21-06479" w:history="1">
        <w:r w:rsidRPr="001063B2">
          <w:rPr>
            <w:rFonts w:ascii="微软雅黑" w:eastAsia="微软雅黑" w:hAnsi="微软雅黑" w:cs="宋体"/>
            <w:kern w:val="0"/>
            <w:sz w:val="24"/>
            <w:szCs w:val="24"/>
            <w:u w:val="single"/>
          </w:rPr>
          <w:t>103</w:t>
        </w:r>
      </w:hyperlink>
      <w:r w:rsidRPr="001063B2">
        <w:rPr>
          <w:rFonts w:ascii="微软雅黑" w:eastAsia="微软雅黑" w:hAnsi="微软雅黑" w:cs="宋体"/>
          <w:kern w:val="0"/>
          <w:sz w:val="24"/>
          <w:szCs w:val="24"/>
        </w:rPr>
        <w:t> ]。II期PALLET研究也表明，新辅助治疗中接受帕博西尼联合来曲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治疗的患者CCCA发生率为90%，而接受来曲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单药治疗的患者CCCA发生率为59%（</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&lt;0.001），但临床缓解率未见显著改善（54.3% vs. 49.5%，</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=0.20）[ </w:t>
      </w:r>
      <w:hyperlink r:id="rId123" w:anchor="B104-ijms-21-06479" w:history="1">
        <w:r w:rsidRPr="001063B2">
          <w:rPr>
            <w:rFonts w:ascii="微软雅黑" w:eastAsia="微软雅黑" w:hAnsi="微软雅黑" w:cs="宋体"/>
            <w:kern w:val="0"/>
            <w:sz w:val="24"/>
            <w:szCs w:val="24"/>
            <w:u w:val="single"/>
          </w:rPr>
          <w:t>104</w:t>
        </w:r>
      </w:hyperlink>
      <w:r w:rsidRPr="001063B2">
        <w:rPr>
          <w:rFonts w:ascii="微软雅黑" w:eastAsia="微软雅黑" w:hAnsi="微软雅黑" w:cs="宋体"/>
          <w:kern w:val="0"/>
          <w:sz w:val="24"/>
          <w:szCs w:val="24"/>
        </w:rPr>
        <w:t> ]。近期，评估帕博西尼联合内分泌治疗（ET）作为II/III期激素受体阳性乳腺癌辅助治疗的III期PALLAS试验（</w:t>
      </w:r>
      <w:r w:rsidRPr="001063B2">
        <w:rPr>
          <w:rFonts w:ascii="微软雅黑" w:eastAsia="微软雅黑" w:hAnsi="微软雅黑" w:cs="宋体"/>
          <w:kern w:val="0"/>
          <w:sz w:val="24"/>
          <w:szCs w:val="24"/>
        </w:rPr>
        <w:fldChar w:fldCharType="begin"/>
      </w:r>
      <w:r w:rsidRPr="001063B2">
        <w:rPr>
          <w:rFonts w:ascii="微软雅黑" w:eastAsia="微软雅黑" w:hAnsi="微软雅黑" w:cs="宋体"/>
          <w:kern w:val="0"/>
          <w:sz w:val="24"/>
          <w:szCs w:val="24"/>
        </w:rPr>
        <w:instrText xml:space="preserve"> HYPERLINK "https://clinicaltrials.gov/ct2/show/NCT02513394" \t "_blank" </w:instrText>
      </w:r>
      <w:r w:rsidRPr="001063B2">
        <w:rPr>
          <w:rFonts w:ascii="微软雅黑" w:eastAsia="微软雅黑" w:hAnsi="微软雅黑" w:cs="宋体"/>
          <w:kern w:val="0"/>
          <w:sz w:val="24"/>
          <w:szCs w:val="24"/>
        </w:rPr>
        <w:fldChar w:fldCharType="separate"/>
      </w:r>
      <w:r w:rsidRPr="001063B2">
        <w:rPr>
          <w:rFonts w:ascii="微软雅黑" w:eastAsia="微软雅黑" w:hAnsi="微软雅黑" w:cs="宋体"/>
          <w:kern w:val="0"/>
          <w:sz w:val="24"/>
          <w:szCs w:val="24"/>
          <w:u w:val="single"/>
        </w:rPr>
        <w:t>NCT02513394</w:t>
      </w:r>
      <w:r w:rsidRPr="001063B2">
        <w:rPr>
          <w:rFonts w:ascii="微软雅黑" w:eastAsia="微软雅黑" w:hAnsi="微软雅黑" w:cs="宋体"/>
          <w:kern w:val="0"/>
          <w:sz w:val="24"/>
          <w:szCs w:val="24"/>
        </w:rPr>
        <w:fldChar w:fldCharType="end"/>
      </w:r>
      <w:r w:rsidRPr="001063B2">
        <w:rPr>
          <w:rFonts w:ascii="微软雅黑" w:eastAsia="微软雅黑" w:hAnsi="微软雅黑" w:cs="宋体"/>
          <w:kern w:val="0"/>
          <w:sz w:val="24"/>
          <w:szCs w:val="24"/>
        </w:rPr>
        <w:t>）在预设的中期分析中未能达到其主要终点——侵袭性无病生存期（</w:t>
      </w:r>
      <w:proofErr w:type="spellStart"/>
      <w:r w:rsidRPr="001063B2">
        <w:rPr>
          <w:rFonts w:ascii="微软雅黑" w:eastAsia="微软雅黑" w:hAnsi="微软雅黑" w:cs="宋体"/>
          <w:kern w:val="0"/>
          <w:sz w:val="24"/>
          <w:szCs w:val="24"/>
        </w:rPr>
        <w:t>iDFS</w:t>
      </w:r>
      <w:proofErr w:type="spellEnd"/>
      <w:r w:rsidRPr="001063B2">
        <w:rPr>
          <w:rFonts w:ascii="微软雅黑" w:eastAsia="微软雅黑" w:hAnsi="微软雅黑" w:cs="宋体"/>
          <w:kern w:val="0"/>
          <w:sz w:val="24"/>
          <w:szCs w:val="24"/>
        </w:rPr>
        <w:t>）。完整结果将于未来几个月内公布。此外，评估帕博西尼联合标准ET作为新辅助治疗后高复发风险激素受体阳性乳腺癌患者的治疗方案的III期PENELOPE-B研究（NCT01864746）的结果</w:t>
      </w:r>
      <w:r w:rsidRPr="001063B2">
        <w:rPr>
          <w:rFonts w:ascii="微软雅黑" w:eastAsia="微软雅黑" w:hAnsi="微软雅黑" w:cs="宋体"/>
          <w:kern w:val="0"/>
          <w:sz w:val="24"/>
          <w:szCs w:val="24"/>
        </w:rPr>
        <w:fldChar w:fldCharType="begin"/>
      </w:r>
      <w:r w:rsidRPr="001063B2">
        <w:rPr>
          <w:rFonts w:ascii="微软雅黑" w:eastAsia="微软雅黑" w:hAnsi="微软雅黑" w:cs="宋体"/>
          <w:kern w:val="0"/>
          <w:sz w:val="24"/>
          <w:szCs w:val="24"/>
        </w:rPr>
        <w:instrText xml:space="preserve"> HYPERLINK "https://clinicaltrials.gov/ct2/show/NCT01864746" \t "_blank" </w:instrText>
      </w:r>
      <w:r w:rsidRPr="001063B2">
        <w:rPr>
          <w:rFonts w:ascii="微软雅黑" w:eastAsia="微软雅黑" w:hAnsi="微软雅黑" w:cs="宋体"/>
          <w:kern w:val="0"/>
          <w:sz w:val="24"/>
          <w:szCs w:val="24"/>
        </w:rPr>
        <w:fldChar w:fldCharType="separate"/>
      </w:r>
      <w:r w:rsidRPr="001063B2">
        <w:rPr>
          <w:rFonts w:ascii="微软雅黑" w:eastAsia="微软雅黑" w:hAnsi="微软雅黑" w:cs="宋体"/>
          <w:kern w:val="0"/>
          <w:sz w:val="24"/>
          <w:szCs w:val="24"/>
          <w:u w:val="single"/>
        </w:rPr>
        <w:t>预计</w:t>
      </w:r>
      <w:r w:rsidRPr="001063B2">
        <w:rPr>
          <w:rFonts w:ascii="微软雅黑" w:eastAsia="微软雅黑" w:hAnsi="微软雅黑" w:cs="宋体"/>
          <w:kern w:val="0"/>
          <w:sz w:val="24"/>
          <w:szCs w:val="24"/>
        </w:rPr>
        <w:fldChar w:fldCharType="end"/>
      </w:r>
      <w:r w:rsidRPr="001063B2">
        <w:rPr>
          <w:rFonts w:ascii="微软雅黑" w:eastAsia="微软雅黑" w:hAnsi="微软雅黑" w:cs="宋体"/>
          <w:kern w:val="0"/>
          <w:sz w:val="24"/>
          <w:szCs w:val="24"/>
        </w:rPr>
        <w:t>将于今年晚些时候公布。</w:t>
      </w:r>
    </w:p>
    <w:p w14:paraId="04F775DB"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在II期FELINE试验（</w:t>
      </w:r>
      <w:r w:rsidRPr="001063B2">
        <w:rPr>
          <w:rFonts w:ascii="微软雅黑" w:eastAsia="微软雅黑" w:hAnsi="微软雅黑" w:cs="宋体"/>
          <w:kern w:val="0"/>
          <w:sz w:val="24"/>
          <w:szCs w:val="24"/>
        </w:rPr>
        <w:fldChar w:fldCharType="begin"/>
      </w:r>
      <w:r w:rsidRPr="001063B2">
        <w:rPr>
          <w:rFonts w:ascii="微软雅黑" w:eastAsia="微软雅黑" w:hAnsi="微软雅黑" w:cs="宋体"/>
          <w:kern w:val="0"/>
          <w:sz w:val="24"/>
          <w:szCs w:val="24"/>
        </w:rPr>
        <w:instrText xml:space="preserve"> HYPERLINK "https://clinicaltrials.gov/ct2/show/NCT02712723" \t "_blank" </w:instrText>
      </w:r>
      <w:r w:rsidRPr="001063B2">
        <w:rPr>
          <w:rFonts w:ascii="微软雅黑" w:eastAsia="微软雅黑" w:hAnsi="微软雅黑" w:cs="宋体"/>
          <w:kern w:val="0"/>
          <w:sz w:val="24"/>
          <w:szCs w:val="24"/>
        </w:rPr>
        <w:fldChar w:fldCharType="separate"/>
      </w:r>
      <w:r w:rsidRPr="001063B2">
        <w:rPr>
          <w:rFonts w:ascii="微软雅黑" w:eastAsia="微软雅黑" w:hAnsi="微软雅黑" w:cs="宋体"/>
          <w:kern w:val="0"/>
          <w:sz w:val="24"/>
          <w:szCs w:val="24"/>
          <w:u w:val="single"/>
        </w:rPr>
        <w:t>NCT02712723</w:t>
      </w:r>
      <w:r w:rsidRPr="001063B2">
        <w:rPr>
          <w:rFonts w:ascii="微软雅黑" w:eastAsia="微软雅黑" w:hAnsi="微软雅黑" w:cs="宋体"/>
          <w:kern w:val="0"/>
          <w:sz w:val="24"/>
          <w:szCs w:val="24"/>
        </w:rPr>
        <w:fldChar w:fldCharType="end"/>
      </w:r>
      <w:r w:rsidRPr="001063B2">
        <w:rPr>
          <w:rFonts w:ascii="微软雅黑" w:eastAsia="微软雅黑" w:hAnsi="微软雅黑" w:cs="宋体"/>
          <w:kern w:val="0"/>
          <w:sz w:val="24"/>
          <w:szCs w:val="24"/>
        </w:rPr>
        <w:t>）中，研究人员对瑞博西尼（</w:t>
      </w:r>
      <w:proofErr w:type="spellStart"/>
      <w:r w:rsidRPr="001063B2">
        <w:rPr>
          <w:rFonts w:ascii="微软雅黑" w:eastAsia="微软雅黑" w:hAnsi="微软雅黑" w:cs="宋体"/>
          <w:kern w:val="0"/>
          <w:sz w:val="24"/>
          <w:szCs w:val="24"/>
        </w:rPr>
        <w:t>Ribociclib</w:t>
      </w:r>
      <w:proofErr w:type="spellEnd"/>
      <w:r w:rsidRPr="001063B2">
        <w:rPr>
          <w:rFonts w:ascii="微软雅黑" w:eastAsia="微软雅黑" w:hAnsi="微软雅黑" w:cs="宋体"/>
          <w:kern w:val="0"/>
          <w:sz w:val="24"/>
          <w:szCs w:val="24"/>
        </w:rPr>
        <w:t>）在新辅助治疗中的应用进行了研究。该试验评估了来曲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联合瑞博西尼与来曲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lastRenderedPageBreak/>
        <w:t>联合安慰剂在绝经后HR阳性、HER2阴性II/III期乳腺癌患者中的疗效。患者按1:1:1的比例随机分组，分别接受安慰剂联合来曲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、间歇性瑞博西尼联合来曲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或持续性瑞博西尼联合来曲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治疗。主要终点是术前内分泌预后指数（PEPI）评分在手术时为0分；PEPI评分旨在识别新辅助内分泌治疗后复发风险较低的患者。然而，FELINE试验的结果显示，联合治疗组在第14天观察到的Ki-67早期抑制在手术时并未得到证实，因此未达到主要终点。此外，持续给药和间歇给药的瑞博西尼似乎具有相似的疗效，但毒性特征不同。[ </w:t>
      </w:r>
      <w:hyperlink r:id="rId124" w:anchor="B105-ijms-21-06479" w:history="1">
        <w:r w:rsidRPr="001063B2">
          <w:rPr>
            <w:rFonts w:ascii="微软雅黑" w:eastAsia="微软雅黑" w:hAnsi="微软雅黑" w:cs="宋体"/>
            <w:kern w:val="0"/>
            <w:sz w:val="24"/>
            <w:szCs w:val="24"/>
            <w:u w:val="single"/>
          </w:rPr>
          <w:t>105</w:t>
        </w:r>
      </w:hyperlink>
      <w:r w:rsidRPr="001063B2">
        <w:rPr>
          <w:rFonts w:ascii="微软雅黑" w:eastAsia="微软雅黑" w:hAnsi="微软雅黑" w:cs="宋体"/>
          <w:kern w:val="0"/>
          <w:sz w:val="24"/>
          <w:szCs w:val="24"/>
        </w:rPr>
        <w:t xml:space="preserve"> ] 辅助治疗 III </w:t>
      </w:r>
      <w:proofErr w:type="gramStart"/>
      <w:r w:rsidRPr="001063B2">
        <w:rPr>
          <w:rFonts w:ascii="微软雅黑" w:eastAsia="微软雅黑" w:hAnsi="微软雅黑" w:cs="宋体"/>
          <w:kern w:val="0"/>
          <w:sz w:val="24"/>
          <w:szCs w:val="24"/>
        </w:rPr>
        <w:t>期试验</w:t>
      </w:r>
      <w:proofErr w:type="gramEnd"/>
      <w:r w:rsidRPr="001063B2">
        <w:rPr>
          <w:rFonts w:ascii="微软雅黑" w:eastAsia="微软雅黑" w:hAnsi="微软雅黑" w:cs="宋体"/>
          <w:kern w:val="0"/>
          <w:sz w:val="24"/>
          <w:szCs w:val="24"/>
        </w:rPr>
        <w:t xml:space="preserve"> NATALEE 旨在延缓获得性内分泌治疗耐药并改善侵袭性无病生存期 (</w:t>
      </w:r>
      <w:proofErr w:type="spellStart"/>
      <w:r w:rsidRPr="001063B2">
        <w:rPr>
          <w:rFonts w:ascii="微软雅黑" w:eastAsia="微软雅黑" w:hAnsi="微软雅黑" w:cs="宋体"/>
          <w:kern w:val="0"/>
          <w:sz w:val="24"/>
          <w:szCs w:val="24"/>
        </w:rPr>
        <w:t>iDFS</w:t>
      </w:r>
      <w:proofErr w:type="spellEnd"/>
      <w:r w:rsidRPr="001063B2">
        <w:rPr>
          <w:rFonts w:ascii="微软雅黑" w:eastAsia="微软雅黑" w:hAnsi="微软雅黑" w:cs="宋体"/>
          <w:kern w:val="0"/>
          <w:sz w:val="24"/>
          <w:szCs w:val="24"/>
        </w:rPr>
        <w:t>)，该试验比较了瑞博西尼联合标准内分泌治疗与单独内分泌治疗作为激素受体阳性、HER2 阴性早期乳腺癌辅助治疗的疗效和安全性，目前仍在进行中。[ </w:t>
      </w:r>
      <w:hyperlink r:id="rId125" w:anchor="B106-ijms-21-06479" w:history="1">
        <w:r w:rsidRPr="001063B2">
          <w:rPr>
            <w:rFonts w:ascii="微软雅黑" w:eastAsia="微软雅黑" w:hAnsi="微软雅黑" w:cs="宋体"/>
            <w:kern w:val="0"/>
            <w:sz w:val="24"/>
            <w:szCs w:val="24"/>
            <w:u w:val="single"/>
          </w:rPr>
          <w:t>106</w:t>
        </w:r>
      </w:hyperlink>
      <w:r w:rsidRPr="001063B2">
        <w:rPr>
          <w:rFonts w:ascii="微软雅黑" w:eastAsia="微软雅黑" w:hAnsi="微软雅黑" w:cs="宋体"/>
          <w:kern w:val="0"/>
          <w:sz w:val="24"/>
          <w:szCs w:val="24"/>
        </w:rPr>
        <w:t> ]</w:t>
      </w:r>
    </w:p>
    <w:p w14:paraId="2470FFBE"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在II期</w:t>
      </w:r>
      <w:proofErr w:type="spellStart"/>
      <w:r w:rsidRPr="001063B2">
        <w:rPr>
          <w:rFonts w:ascii="微软雅黑" w:eastAsia="微软雅黑" w:hAnsi="微软雅黑" w:cs="宋体"/>
          <w:kern w:val="0"/>
          <w:sz w:val="24"/>
          <w:szCs w:val="24"/>
        </w:rPr>
        <w:t>neoMONARCH</w:t>
      </w:r>
      <w:proofErr w:type="spellEnd"/>
      <w:r w:rsidRPr="001063B2">
        <w:rPr>
          <w:rFonts w:ascii="微软雅黑" w:eastAsia="微软雅黑" w:hAnsi="微软雅黑" w:cs="宋体"/>
          <w:kern w:val="0"/>
          <w:sz w:val="24"/>
          <w:szCs w:val="24"/>
        </w:rPr>
        <w:t>试验中，研究人员评估了阿贝西利联合阿那曲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作为新辅助治疗的疗效。结果显示，与单用阿那曲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相比，阿贝西利单药或联合阿那曲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治疗2周后均能显著抑制细胞周期。阿贝西利组58%–68%的患者达到完全细胞周期阻滞（CCCA），而单用阿那曲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组仅为14%（</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&lt; 0.001）。阿贝西利联合阿那曲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组的病理完全缓解率（</w:t>
      </w:r>
      <w:proofErr w:type="spellStart"/>
      <w:r w:rsidRPr="001063B2">
        <w:rPr>
          <w:rFonts w:ascii="微软雅黑" w:eastAsia="微软雅黑" w:hAnsi="微软雅黑" w:cs="宋体"/>
          <w:kern w:val="0"/>
          <w:sz w:val="24"/>
          <w:szCs w:val="24"/>
        </w:rPr>
        <w:t>pCR</w:t>
      </w:r>
      <w:proofErr w:type="spellEnd"/>
      <w:r w:rsidRPr="001063B2">
        <w:rPr>
          <w:rFonts w:ascii="微软雅黑" w:eastAsia="微软雅黑" w:hAnsi="微软雅黑" w:cs="宋体"/>
          <w:kern w:val="0"/>
          <w:sz w:val="24"/>
          <w:szCs w:val="24"/>
        </w:rPr>
        <w:t>）为4%。该研究还评估了与细胞增殖和免疫反应相关的基因表达变化，结果表明联合治疗抑制了细胞周期进程和雌激素信号传导，并导致细胞因子信号传导和适应性免疫反应增强，提示抗原呈递增强和T细胞表型活化[ </w:t>
      </w:r>
      <w:hyperlink r:id="rId126" w:anchor="B107-ijms-21-06479" w:history="1">
        <w:r w:rsidRPr="001063B2">
          <w:rPr>
            <w:rFonts w:ascii="微软雅黑" w:eastAsia="微软雅黑" w:hAnsi="微软雅黑" w:cs="宋体"/>
            <w:kern w:val="0"/>
            <w:sz w:val="24"/>
            <w:szCs w:val="24"/>
            <w:u w:val="single"/>
          </w:rPr>
          <w:t>107</w:t>
        </w:r>
      </w:hyperlink>
      <w:r w:rsidRPr="001063B2">
        <w:rPr>
          <w:rFonts w:ascii="微软雅黑" w:eastAsia="微软雅黑" w:hAnsi="微软雅黑" w:cs="宋体"/>
          <w:kern w:val="0"/>
          <w:sz w:val="24"/>
          <w:szCs w:val="24"/>
        </w:rPr>
        <w:t> ]。礼来公司近日宣布，其III期MONARCH-E试验（</w:t>
      </w:r>
      <w:r w:rsidRPr="001063B2">
        <w:rPr>
          <w:rFonts w:ascii="微软雅黑" w:eastAsia="微软雅黑" w:hAnsi="微软雅黑" w:cs="宋体"/>
          <w:kern w:val="0"/>
          <w:sz w:val="24"/>
          <w:szCs w:val="24"/>
        </w:rPr>
        <w:fldChar w:fldCharType="begin"/>
      </w:r>
      <w:r w:rsidRPr="001063B2">
        <w:rPr>
          <w:rFonts w:ascii="微软雅黑" w:eastAsia="微软雅黑" w:hAnsi="微软雅黑" w:cs="宋体"/>
          <w:kern w:val="0"/>
          <w:sz w:val="24"/>
          <w:szCs w:val="24"/>
        </w:rPr>
        <w:instrText xml:space="preserve"> HYPERLINK "https://clinicaltrials.gov/ct2/show/NCT03155997" \t "_blank" </w:instrText>
      </w:r>
      <w:r w:rsidRPr="001063B2">
        <w:rPr>
          <w:rFonts w:ascii="微软雅黑" w:eastAsia="微软雅黑" w:hAnsi="微软雅黑" w:cs="宋体"/>
          <w:kern w:val="0"/>
          <w:sz w:val="24"/>
          <w:szCs w:val="24"/>
        </w:rPr>
        <w:fldChar w:fldCharType="separate"/>
      </w:r>
      <w:r w:rsidRPr="001063B2">
        <w:rPr>
          <w:rFonts w:ascii="微软雅黑" w:eastAsia="微软雅黑" w:hAnsi="微软雅黑" w:cs="宋体"/>
          <w:kern w:val="0"/>
          <w:sz w:val="24"/>
          <w:szCs w:val="24"/>
          <w:u w:val="single"/>
        </w:rPr>
        <w:t>NCT03155997</w:t>
      </w:r>
      <w:r w:rsidRPr="001063B2">
        <w:rPr>
          <w:rFonts w:ascii="微软雅黑" w:eastAsia="微软雅黑" w:hAnsi="微软雅黑" w:cs="宋体"/>
          <w:kern w:val="0"/>
          <w:sz w:val="24"/>
          <w:szCs w:val="24"/>
        </w:rPr>
        <w:fldChar w:fldCharType="end"/>
      </w:r>
      <w:r w:rsidRPr="001063B2">
        <w:rPr>
          <w:rFonts w:ascii="微软雅黑" w:eastAsia="微软雅黑" w:hAnsi="微软雅黑" w:cs="宋体"/>
          <w:kern w:val="0"/>
          <w:sz w:val="24"/>
          <w:szCs w:val="24"/>
        </w:rPr>
        <w:t>）已达到其主要终点——侵袭性无病生存期（</w:t>
      </w:r>
      <w:proofErr w:type="spellStart"/>
      <w:r w:rsidRPr="001063B2">
        <w:rPr>
          <w:rFonts w:ascii="微软雅黑" w:eastAsia="微软雅黑" w:hAnsi="微软雅黑" w:cs="宋体"/>
          <w:kern w:val="0"/>
          <w:sz w:val="24"/>
          <w:szCs w:val="24"/>
        </w:rPr>
        <w:t>iDFS</w:t>
      </w:r>
      <w:proofErr w:type="spellEnd"/>
      <w:r w:rsidRPr="001063B2">
        <w:rPr>
          <w:rFonts w:ascii="微软雅黑" w:eastAsia="微软雅黑" w:hAnsi="微软雅黑" w:cs="宋体"/>
          <w:kern w:val="0"/>
          <w:sz w:val="24"/>
          <w:szCs w:val="24"/>
        </w:rPr>
        <w:t>）。结果显示，对于高危淋巴结阳性、激素受体阳性、HER2阴性的早期乳腺癌患者，与单</w:t>
      </w:r>
      <w:r w:rsidRPr="001063B2">
        <w:rPr>
          <w:rFonts w:ascii="微软雅黑" w:eastAsia="微软雅黑" w:hAnsi="微软雅黑" w:cs="宋体"/>
          <w:kern w:val="0"/>
          <w:sz w:val="24"/>
          <w:szCs w:val="24"/>
        </w:rPr>
        <w:lastRenderedPageBreak/>
        <w:t>独接受辅助内分泌治疗（ET）相比，阿贝西利联合标准ET可显著降低乳腺癌复发或死亡风险。该试验共纳入5637例患者，随机分配接受阿贝西利（150 mg，每日两次）联合标准ET治疗。阿贝西利治疗持续2年，而ET治疗至少持续5年。该研究还在评估远处无复发生存期、总生存期、安全性、药代动力学和健康结局。详细结果将于2020年晚些时候公布。</w:t>
      </w:r>
    </w:p>
    <w:p w14:paraId="1E0FE3CF"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总之，根据现有结果，阿贝西利似乎是唯一</w:t>
      </w:r>
      <w:proofErr w:type="gramStart"/>
      <w:r w:rsidRPr="001063B2">
        <w:rPr>
          <w:rFonts w:ascii="微软雅黑" w:eastAsia="微软雅黑" w:hAnsi="微软雅黑" w:cs="宋体"/>
          <w:kern w:val="0"/>
          <w:sz w:val="24"/>
          <w:szCs w:val="24"/>
        </w:rPr>
        <w:t>一</w:t>
      </w:r>
      <w:proofErr w:type="gramEnd"/>
      <w:r w:rsidRPr="001063B2">
        <w:rPr>
          <w:rFonts w:ascii="微软雅黑" w:eastAsia="微软雅黑" w:hAnsi="微软雅黑" w:cs="宋体"/>
          <w:kern w:val="0"/>
          <w:sz w:val="24"/>
          <w:szCs w:val="24"/>
        </w:rPr>
        <w:t>种能显著降低该患者群体复发风险的 CDK4/6 抑制剂，但瑞博西尼的数据尚待未来几年公布。然而，这些结果仅为早期结果，应谨慎解读；试验设计、入组人群特征的差异以及完整结果的公布将有助于我们更好地了解 CDK4/6 抑制剂在早期乳腺癌治疗中的临床疗效。</w:t>
      </w:r>
    </w:p>
    <w:p w14:paraId="62A3301F" w14:textId="77777777" w:rsidR="001063B2" w:rsidRPr="001063B2" w:rsidRDefault="001063B2" w:rsidP="001063B2">
      <w:pPr>
        <w:widowControl/>
        <w:spacing w:line="450" w:lineRule="atLeast"/>
        <w:outlineLvl w:val="2"/>
        <w:rPr>
          <w:rFonts w:ascii="微软雅黑" w:eastAsia="微软雅黑" w:hAnsi="微软雅黑" w:cs="宋体"/>
          <w:kern w:val="0"/>
          <w:sz w:val="32"/>
          <w:szCs w:val="32"/>
        </w:rPr>
      </w:pPr>
      <w:r w:rsidRPr="001063B2">
        <w:rPr>
          <w:rFonts w:ascii="微软雅黑" w:eastAsia="微软雅黑" w:hAnsi="微软雅黑" w:cs="宋体"/>
          <w:kern w:val="0"/>
          <w:sz w:val="32"/>
          <w:szCs w:val="32"/>
        </w:rPr>
        <w:t>6.2 与化疗的比较</w:t>
      </w:r>
    </w:p>
    <w:p w14:paraId="297A10BF"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化疗仍然是新辅助治疗的标准治疗方法，一个关键问题是 CDK4/6i 和 ET 的联合治疗是否可以取代化疗，从而减轻毒性负担并可能改善临床结果。</w:t>
      </w:r>
    </w:p>
    <w:p w14:paraId="4AE1300D"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 xml:space="preserve">随机 II 期 </w:t>
      </w:r>
      <w:proofErr w:type="spellStart"/>
      <w:r w:rsidRPr="001063B2">
        <w:rPr>
          <w:rFonts w:ascii="微软雅黑" w:eastAsia="微软雅黑" w:hAnsi="微软雅黑" w:cs="宋体"/>
          <w:kern w:val="0"/>
          <w:sz w:val="24"/>
          <w:szCs w:val="24"/>
        </w:rPr>
        <w:t>NeoPAL</w:t>
      </w:r>
      <w:proofErr w:type="spellEnd"/>
      <w:r w:rsidRPr="001063B2">
        <w:rPr>
          <w:rFonts w:ascii="微软雅黑" w:eastAsia="微软雅黑" w:hAnsi="微软雅黑" w:cs="宋体"/>
          <w:kern w:val="0"/>
          <w:sz w:val="24"/>
          <w:szCs w:val="24"/>
        </w:rPr>
        <w:t xml:space="preserve"> 研究 ( </w:t>
      </w:r>
      <w:hyperlink r:id="rId127" w:tgtFrame="_blank" w:history="1">
        <w:r w:rsidRPr="001063B2">
          <w:rPr>
            <w:rFonts w:ascii="微软雅黑" w:eastAsia="微软雅黑" w:hAnsi="微软雅黑" w:cs="宋体"/>
            <w:kern w:val="0"/>
            <w:sz w:val="24"/>
            <w:szCs w:val="24"/>
            <w:u w:val="single"/>
          </w:rPr>
          <w:t>NCT02400567</w:t>
        </w:r>
      </w:hyperlink>
      <w:r w:rsidRPr="001063B2">
        <w:rPr>
          <w:rFonts w:ascii="微软雅黑" w:eastAsia="微软雅黑" w:hAnsi="微软雅黑" w:cs="宋体"/>
          <w:kern w:val="0"/>
          <w:sz w:val="24"/>
          <w:szCs w:val="24"/>
        </w:rPr>
        <w:t> ) 研究了新辅助来曲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加帕博西尼与化疗在 II/III 期 HR 阳性 HER2 阴性乳腺癌患者中的疗效，结果未达到 RCB 0-1 的主要终点（≥20% 的患者），尽管联合治疗组中 17.6% 的患者达到 PEPI 评分 0，而化疗组中只有 8% 的患者达到 PEPI 评分 0 [ </w:t>
      </w:r>
      <w:hyperlink r:id="rId128" w:anchor="B108-ijms-21-06479" w:history="1">
        <w:r w:rsidRPr="001063B2">
          <w:rPr>
            <w:rFonts w:ascii="微软雅黑" w:eastAsia="微软雅黑" w:hAnsi="微软雅黑" w:cs="宋体"/>
            <w:kern w:val="0"/>
            <w:sz w:val="24"/>
            <w:szCs w:val="24"/>
            <w:u w:val="single"/>
          </w:rPr>
          <w:t>108</w:t>
        </w:r>
      </w:hyperlink>
      <w:r w:rsidRPr="001063B2">
        <w:rPr>
          <w:rFonts w:ascii="微软雅黑" w:eastAsia="微软雅黑" w:hAnsi="微软雅黑" w:cs="宋体"/>
          <w:kern w:val="0"/>
          <w:sz w:val="24"/>
          <w:szCs w:val="24"/>
        </w:rPr>
        <w:t> ]。</w:t>
      </w:r>
    </w:p>
    <w:p w14:paraId="3BFD3332"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II 期 CORALEEN 研究 ( </w:t>
      </w:r>
      <w:hyperlink r:id="rId129" w:tgtFrame="_blank" w:history="1">
        <w:r w:rsidRPr="001063B2">
          <w:rPr>
            <w:rFonts w:ascii="微软雅黑" w:eastAsia="微软雅黑" w:hAnsi="微软雅黑" w:cs="宋体"/>
            <w:kern w:val="0"/>
            <w:sz w:val="24"/>
            <w:szCs w:val="24"/>
            <w:u w:val="single"/>
          </w:rPr>
          <w:t>NCT03248427</w:t>
        </w:r>
      </w:hyperlink>
      <w:r w:rsidRPr="001063B2">
        <w:rPr>
          <w:rFonts w:ascii="微软雅黑" w:eastAsia="微软雅黑" w:hAnsi="微软雅黑" w:cs="宋体"/>
          <w:kern w:val="0"/>
          <w:sz w:val="24"/>
          <w:szCs w:val="24"/>
        </w:rPr>
        <w:t xml:space="preserve"> ) 比较了六个 28 天周期的 </w:t>
      </w:r>
      <w:proofErr w:type="spellStart"/>
      <w:r w:rsidRPr="001063B2">
        <w:rPr>
          <w:rFonts w:ascii="微软雅黑" w:eastAsia="微软雅黑" w:hAnsi="微软雅黑" w:cs="宋体"/>
          <w:kern w:val="0"/>
          <w:sz w:val="24"/>
          <w:szCs w:val="24"/>
        </w:rPr>
        <w:t>ribociclib</w:t>
      </w:r>
      <w:proofErr w:type="spellEnd"/>
      <w:r w:rsidRPr="001063B2">
        <w:rPr>
          <w:rFonts w:ascii="微软雅黑" w:eastAsia="微软雅黑" w:hAnsi="微软雅黑" w:cs="宋体"/>
          <w:kern w:val="0"/>
          <w:sz w:val="24"/>
          <w:szCs w:val="24"/>
        </w:rPr>
        <w:t xml:space="preserve"> 加来曲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与化疗（四个周期的</w:t>
      </w:r>
      <w:proofErr w:type="gramStart"/>
      <w:r w:rsidRPr="001063B2">
        <w:rPr>
          <w:rFonts w:ascii="微软雅黑" w:eastAsia="微软雅黑" w:hAnsi="微软雅黑" w:cs="宋体"/>
          <w:kern w:val="0"/>
          <w:sz w:val="24"/>
          <w:szCs w:val="24"/>
        </w:rPr>
        <w:t>多柔比</w:t>
      </w:r>
      <w:proofErr w:type="gramEnd"/>
      <w:r w:rsidRPr="001063B2">
        <w:rPr>
          <w:rFonts w:ascii="微软雅黑" w:eastAsia="微软雅黑" w:hAnsi="微软雅黑" w:cs="宋体"/>
          <w:kern w:val="0"/>
          <w:sz w:val="24"/>
          <w:szCs w:val="24"/>
        </w:rPr>
        <w:t>星加环磷酰胺，每 21 天一次，然后每周一次紫杉醇，持续 12 周）治疗 Luminal B 期 I-IIIA 期早期乳腺癌女</w:t>
      </w:r>
      <w:r w:rsidRPr="001063B2">
        <w:rPr>
          <w:rFonts w:ascii="微软雅黑" w:eastAsia="微软雅黑" w:hAnsi="微软雅黑" w:cs="宋体"/>
          <w:kern w:val="0"/>
          <w:sz w:val="24"/>
          <w:szCs w:val="24"/>
        </w:rPr>
        <w:lastRenderedPageBreak/>
        <w:t>性患者的疗效，并评估了手术时 PAM50 低复发风险 (ROR) 疾病患者的比例：结果显示两组之间没有显著差异（低 ROR 46.9% vs. 46.1%，</w:t>
      </w:r>
      <w:proofErr w:type="spellStart"/>
      <w:r w:rsidRPr="001063B2">
        <w:rPr>
          <w:rFonts w:ascii="微软雅黑" w:eastAsia="微软雅黑" w:hAnsi="微软雅黑" w:cs="宋体"/>
          <w:kern w:val="0"/>
          <w:sz w:val="24"/>
          <w:szCs w:val="24"/>
        </w:rPr>
        <w:t>pCR</w:t>
      </w:r>
      <w:proofErr w:type="spellEnd"/>
      <w:r w:rsidRPr="001063B2">
        <w:rPr>
          <w:rFonts w:ascii="微软雅黑" w:eastAsia="微软雅黑" w:hAnsi="微软雅黑" w:cs="宋体"/>
          <w:kern w:val="0"/>
          <w:sz w:val="24"/>
          <w:szCs w:val="24"/>
        </w:rPr>
        <w:t xml:space="preserve"> 率 2.0% vs. 5.8%，ORR 57.2% vs. 78.8%），此外，</w:t>
      </w:r>
      <w:proofErr w:type="spellStart"/>
      <w:r w:rsidRPr="001063B2">
        <w:rPr>
          <w:rFonts w:ascii="微软雅黑" w:eastAsia="微软雅黑" w:hAnsi="微软雅黑" w:cs="宋体"/>
          <w:kern w:val="0"/>
          <w:sz w:val="24"/>
          <w:szCs w:val="24"/>
        </w:rPr>
        <w:t>ribociclib</w:t>
      </w:r>
      <w:proofErr w:type="spellEnd"/>
      <w:r w:rsidRPr="001063B2">
        <w:rPr>
          <w:rFonts w:ascii="微软雅黑" w:eastAsia="微软雅黑" w:hAnsi="微软雅黑" w:cs="宋体"/>
          <w:kern w:val="0"/>
          <w:sz w:val="24"/>
          <w:szCs w:val="24"/>
        </w:rPr>
        <w:t xml:space="preserve"> 组的残余癌负荷 (RCB) 0-1 率较低，为 6.1%，而</w:t>
      </w:r>
      <w:proofErr w:type="gramStart"/>
      <w:r w:rsidRPr="001063B2">
        <w:rPr>
          <w:rFonts w:ascii="微软雅黑" w:eastAsia="微软雅黑" w:hAnsi="微软雅黑" w:cs="宋体"/>
          <w:kern w:val="0"/>
          <w:sz w:val="24"/>
          <w:szCs w:val="24"/>
        </w:rPr>
        <w:t>化疗组</w:t>
      </w:r>
      <w:proofErr w:type="gramEnd"/>
      <w:r w:rsidRPr="001063B2">
        <w:rPr>
          <w:rFonts w:ascii="微软雅黑" w:eastAsia="微软雅黑" w:hAnsi="微软雅黑" w:cs="宋体"/>
          <w:kern w:val="0"/>
          <w:sz w:val="24"/>
          <w:szCs w:val="24"/>
        </w:rPr>
        <w:t>为 11.8% [ </w:t>
      </w:r>
      <w:hyperlink r:id="rId130" w:anchor="B109-ijms-21-06479" w:history="1">
        <w:r w:rsidRPr="001063B2">
          <w:rPr>
            <w:rFonts w:ascii="微软雅黑" w:eastAsia="微软雅黑" w:hAnsi="微软雅黑" w:cs="宋体"/>
            <w:kern w:val="0"/>
            <w:sz w:val="24"/>
            <w:szCs w:val="24"/>
            <w:u w:val="single"/>
          </w:rPr>
          <w:t>109</w:t>
        </w:r>
      </w:hyperlink>
      <w:r w:rsidRPr="001063B2">
        <w:rPr>
          <w:rFonts w:ascii="微软雅黑" w:eastAsia="微软雅黑" w:hAnsi="微软雅黑" w:cs="宋体"/>
          <w:kern w:val="0"/>
          <w:sz w:val="24"/>
          <w:szCs w:val="24"/>
        </w:rPr>
        <w:t> ]。</w:t>
      </w:r>
    </w:p>
    <w:p w14:paraId="7BA1E226"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CDK4/6抑制剂联合内分泌治疗（ET）的策略也已与化疗在转移性乳腺癌的治疗中进行了比较。PEARL研究评估了帕博西尼联合ET与</w:t>
      </w:r>
      <w:proofErr w:type="gramStart"/>
      <w:r w:rsidRPr="001063B2">
        <w:rPr>
          <w:rFonts w:ascii="微软雅黑" w:eastAsia="微软雅黑" w:hAnsi="微软雅黑" w:cs="宋体"/>
          <w:kern w:val="0"/>
          <w:sz w:val="24"/>
          <w:szCs w:val="24"/>
        </w:rPr>
        <w:t>卡培他滨治疗</w:t>
      </w:r>
      <w:proofErr w:type="gramEnd"/>
      <w:r w:rsidRPr="001063B2">
        <w:rPr>
          <w:rFonts w:ascii="微软雅黑" w:eastAsia="微软雅黑" w:hAnsi="微软雅黑" w:cs="宋体"/>
          <w:kern w:val="0"/>
          <w:sz w:val="24"/>
          <w:szCs w:val="24"/>
        </w:rPr>
        <w:t>既往接受过芳香化酶抑制剂（AI）治疗的绝经后HR阳性、HER2阴性转移性乳腺癌患者的疗效；结果显示，无论是在意向治疗（ITT）人群还是在相关患者亚组（例如：(a) 内脏转移患者；(b) ESR1野生型肿瘤患者；(c) 基于DNA表达的管腔内型乳腺癌患者）中，两组患者的无进展生存期（PFS）均无显著差异。然而，帕博西尼联合ET的耐受性更好[ </w:t>
      </w:r>
      <w:hyperlink r:id="rId131" w:anchor="B110-ijms-21-06479" w:history="1">
        <w:r w:rsidRPr="001063B2">
          <w:rPr>
            <w:rFonts w:ascii="微软雅黑" w:eastAsia="微软雅黑" w:hAnsi="微软雅黑" w:cs="宋体"/>
            <w:kern w:val="0"/>
            <w:sz w:val="24"/>
            <w:szCs w:val="24"/>
            <w:u w:val="single"/>
          </w:rPr>
          <w:t>110</w:t>
        </w:r>
      </w:hyperlink>
      <w:r w:rsidRPr="001063B2">
        <w:rPr>
          <w:rFonts w:ascii="微软雅黑" w:eastAsia="微软雅黑" w:hAnsi="微软雅黑" w:cs="宋体"/>
          <w:kern w:val="0"/>
          <w:sz w:val="24"/>
          <w:szCs w:val="24"/>
        </w:rPr>
        <w:t> ]。</w:t>
      </w:r>
    </w:p>
    <w:p w14:paraId="0C6DB59B" w14:textId="77777777" w:rsidR="001063B2" w:rsidRPr="001063B2" w:rsidRDefault="001063B2" w:rsidP="001063B2">
      <w:pPr>
        <w:widowControl/>
        <w:spacing w:line="450" w:lineRule="atLeast"/>
        <w:outlineLvl w:val="2"/>
        <w:rPr>
          <w:rFonts w:ascii="微软雅黑" w:eastAsia="微软雅黑" w:hAnsi="微软雅黑" w:cs="宋体"/>
          <w:kern w:val="0"/>
          <w:sz w:val="32"/>
          <w:szCs w:val="32"/>
        </w:rPr>
      </w:pPr>
      <w:r w:rsidRPr="001063B2">
        <w:rPr>
          <w:rFonts w:ascii="微软雅黑" w:eastAsia="微软雅黑" w:hAnsi="微软雅黑" w:cs="宋体"/>
          <w:kern w:val="0"/>
          <w:sz w:val="32"/>
          <w:szCs w:val="32"/>
        </w:rPr>
        <w:t>6.3. HER2阳性乳腺癌</w:t>
      </w:r>
    </w:p>
    <w:p w14:paraId="67DCC111"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基于上述临床前数据，研究人员探索了 CDK4/6 抑制剂在 HER2 阳性乳腺癌中的临床活性。在 II 期单臂 NA-PHER2 试验中，研究人员在新辅助治疗中研究了帕博西尼、</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t>和</w:t>
      </w:r>
      <w:proofErr w:type="gramStart"/>
      <w:r w:rsidRPr="001063B2">
        <w:rPr>
          <w:rFonts w:ascii="微软雅黑" w:eastAsia="微软雅黑" w:hAnsi="微软雅黑" w:cs="宋体"/>
          <w:kern w:val="0"/>
          <w:sz w:val="24"/>
          <w:szCs w:val="24"/>
        </w:rPr>
        <w:t>曲妥珠单</w:t>
      </w:r>
      <w:proofErr w:type="gramEnd"/>
      <w:r w:rsidRPr="001063B2">
        <w:rPr>
          <w:rFonts w:ascii="微软雅黑" w:eastAsia="微软雅黑" w:hAnsi="微软雅黑" w:cs="宋体"/>
          <w:kern w:val="0"/>
          <w:sz w:val="24"/>
          <w:szCs w:val="24"/>
        </w:rPr>
        <w:t>抗联</w:t>
      </w:r>
      <w:proofErr w:type="gramStart"/>
      <w:r w:rsidRPr="001063B2">
        <w:rPr>
          <w:rFonts w:ascii="微软雅黑" w:eastAsia="微软雅黑" w:hAnsi="微软雅黑" w:cs="宋体"/>
          <w:kern w:val="0"/>
          <w:sz w:val="24"/>
          <w:szCs w:val="24"/>
        </w:rPr>
        <w:t>合帕妥珠单</w:t>
      </w:r>
      <w:proofErr w:type="gramEnd"/>
      <w:r w:rsidRPr="001063B2">
        <w:rPr>
          <w:rFonts w:ascii="微软雅黑" w:eastAsia="微软雅黑" w:hAnsi="微软雅黑" w:cs="宋体"/>
          <w:kern w:val="0"/>
          <w:sz w:val="24"/>
          <w:szCs w:val="24"/>
        </w:rPr>
        <w:t>抗的疗效，结果显示，治疗 2 周后以及手术时，Ki67 的表达均显著降低；这一结果提示，ER、RB1 和 HER2 的三重靶</w:t>
      </w:r>
      <w:proofErr w:type="gramStart"/>
      <w:r w:rsidRPr="001063B2">
        <w:rPr>
          <w:rFonts w:ascii="微软雅黑" w:eastAsia="微软雅黑" w:hAnsi="微软雅黑" w:cs="宋体"/>
          <w:kern w:val="0"/>
          <w:sz w:val="24"/>
          <w:szCs w:val="24"/>
        </w:rPr>
        <w:t>向治疗</w:t>
      </w:r>
      <w:proofErr w:type="gramEnd"/>
      <w:r w:rsidRPr="001063B2">
        <w:rPr>
          <w:rFonts w:ascii="微软雅黑" w:eastAsia="微软雅黑" w:hAnsi="微软雅黑" w:cs="宋体"/>
          <w:kern w:val="0"/>
          <w:sz w:val="24"/>
          <w:szCs w:val="24"/>
        </w:rPr>
        <w:t>可能是一种有效的 HR 阳性、HER2 阳性乳腺癌患者的无化疗策略 [ </w:t>
      </w:r>
      <w:hyperlink r:id="rId132" w:anchor="B111-ijms-21-06479" w:history="1">
        <w:r w:rsidRPr="001063B2">
          <w:rPr>
            <w:rFonts w:ascii="微软雅黑" w:eastAsia="微软雅黑" w:hAnsi="微软雅黑" w:cs="宋体"/>
            <w:kern w:val="0"/>
            <w:sz w:val="24"/>
            <w:szCs w:val="24"/>
            <w:u w:val="single"/>
          </w:rPr>
          <w:t>111</w:t>
        </w:r>
      </w:hyperlink>
      <w:r w:rsidRPr="001063B2">
        <w:rPr>
          <w:rFonts w:ascii="微软雅黑" w:eastAsia="微软雅黑" w:hAnsi="微软雅黑" w:cs="宋体"/>
          <w:kern w:val="0"/>
          <w:sz w:val="24"/>
          <w:szCs w:val="24"/>
        </w:rPr>
        <w:t> ]。在转移性肿瘤的治疗中，多项试验正在探索双重/三重阻断的协同抗肿瘤活性：II期PATRICIA研究（</w:t>
      </w:r>
      <w:r w:rsidRPr="001063B2">
        <w:rPr>
          <w:rFonts w:ascii="微软雅黑" w:eastAsia="微软雅黑" w:hAnsi="微软雅黑" w:cs="宋体"/>
          <w:kern w:val="0"/>
          <w:sz w:val="24"/>
          <w:szCs w:val="24"/>
        </w:rPr>
        <w:fldChar w:fldCharType="begin"/>
      </w:r>
      <w:r w:rsidRPr="001063B2">
        <w:rPr>
          <w:rFonts w:ascii="微软雅黑" w:eastAsia="微软雅黑" w:hAnsi="微软雅黑" w:cs="宋体"/>
          <w:kern w:val="0"/>
          <w:sz w:val="24"/>
          <w:szCs w:val="24"/>
        </w:rPr>
        <w:instrText xml:space="preserve"> HYPERLINK "https://clinicaltrials.gov/ct2/show/NCT02947685" \t "_blank" </w:instrText>
      </w:r>
      <w:r w:rsidRPr="001063B2">
        <w:rPr>
          <w:rFonts w:ascii="微软雅黑" w:eastAsia="微软雅黑" w:hAnsi="微软雅黑" w:cs="宋体"/>
          <w:kern w:val="0"/>
          <w:sz w:val="24"/>
          <w:szCs w:val="24"/>
        </w:rPr>
        <w:fldChar w:fldCharType="separate"/>
      </w:r>
      <w:r w:rsidRPr="001063B2">
        <w:rPr>
          <w:rFonts w:ascii="微软雅黑" w:eastAsia="微软雅黑" w:hAnsi="微软雅黑" w:cs="宋体"/>
          <w:kern w:val="0"/>
          <w:sz w:val="24"/>
          <w:szCs w:val="24"/>
          <w:u w:val="single"/>
        </w:rPr>
        <w:t>NCT02947685</w:t>
      </w:r>
      <w:r w:rsidRPr="001063B2">
        <w:rPr>
          <w:rFonts w:ascii="微软雅黑" w:eastAsia="微软雅黑" w:hAnsi="微软雅黑" w:cs="宋体"/>
          <w:kern w:val="0"/>
          <w:sz w:val="24"/>
          <w:szCs w:val="24"/>
        </w:rPr>
        <w:fldChar w:fldCharType="end"/>
      </w:r>
      <w:r w:rsidRPr="001063B2">
        <w:rPr>
          <w:rFonts w:ascii="微软雅黑" w:eastAsia="微软雅黑" w:hAnsi="微软雅黑" w:cs="宋体"/>
          <w:kern w:val="0"/>
          <w:sz w:val="24"/>
          <w:szCs w:val="24"/>
        </w:rPr>
        <w:t>）正在评估帕博西尼联合</w:t>
      </w:r>
      <w:proofErr w:type="gramStart"/>
      <w:r w:rsidRPr="001063B2">
        <w:rPr>
          <w:rFonts w:ascii="微软雅黑" w:eastAsia="微软雅黑" w:hAnsi="微软雅黑" w:cs="宋体"/>
          <w:kern w:val="0"/>
          <w:sz w:val="24"/>
          <w:szCs w:val="24"/>
        </w:rPr>
        <w:t>曲妥珠单</w:t>
      </w:r>
      <w:proofErr w:type="gramEnd"/>
      <w:r w:rsidRPr="001063B2">
        <w:rPr>
          <w:rFonts w:ascii="微软雅黑" w:eastAsia="微软雅黑" w:hAnsi="微软雅黑" w:cs="宋体"/>
          <w:kern w:val="0"/>
          <w:sz w:val="24"/>
          <w:szCs w:val="24"/>
        </w:rPr>
        <w:t>抗±来曲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治疗既往接受过2-4线抗HER2方案治疗的绝经后女性患者的疗效和安全性[ </w:t>
      </w:r>
      <w:hyperlink r:id="rId133" w:anchor="B112-ijms-21-06479" w:history="1">
        <w:r w:rsidRPr="001063B2">
          <w:rPr>
            <w:rFonts w:ascii="微软雅黑" w:eastAsia="微软雅黑" w:hAnsi="微软雅黑" w:cs="宋体"/>
            <w:kern w:val="0"/>
            <w:sz w:val="24"/>
            <w:szCs w:val="24"/>
            <w:u w:val="single"/>
          </w:rPr>
          <w:t>112</w:t>
        </w:r>
      </w:hyperlink>
      <w:r w:rsidRPr="001063B2">
        <w:rPr>
          <w:rFonts w:ascii="微软雅黑" w:eastAsia="微软雅黑" w:hAnsi="微软雅黑" w:cs="宋体"/>
          <w:kern w:val="0"/>
          <w:sz w:val="24"/>
          <w:szCs w:val="24"/>
        </w:rPr>
        <w:t> ]；PATINA研究（</w:t>
      </w:r>
      <w:r w:rsidRPr="001063B2">
        <w:rPr>
          <w:rFonts w:ascii="微软雅黑" w:eastAsia="微软雅黑" w:hAnsi="微软雅黑" w:cs="宋体"/>
          <w:kern w:val="0"/>
          <w:sz w:val="24"/>
          <w:szCs w:val="24"/>
        </w:rPr>
        <w:fldChar w:fldCharType="begin"/>
      </w:r>
      <w:r w:rsidRPr="001063B2">
        <w:rPr>
          <w:rFonts w:ascii="微软雅黑" w:eastAsia="微软雅黑" w:hAnsi="微软雅黑" w:cs="宋体"/>
          <w:kern w:val="0"/>
          <w:sz w:val="24"/>
          <w:szCs w:val="24"/>
        </w:rPr>
        <w:instrText xml:space="preserve"> HYPERLINK "https://clinicaltrials.gov/ct2/show/NCT02947685" \t "_blank" </w:instrText>
      </w:r>
      <w:r w:rsidRPr="001063B2">
        <w:rPr>
          <w:rFonts w:ascii="微软雅黑" w:eastAsia="微软雅黑" w:hAnsi="微软雅黑" w:cs="宋体"/>
          <w:kern w:val="0"/>
          <w:sz w:val="24"/>
          <w:szCs w:val="24"/>
        </w:rPr>
        <w:fldChar w:fldCharType="separate"/>
      </w:r>
      <w:r w:rsidRPr="001063B2">
        <w:rPr>
          <w:rFonts w:ascii="微软雅黑" w:eastAsia="微软雅黑" w:hAnsi="微软雅黑" w:cs="宋体"/>
          <w:kern w:val="0"/>
          <w:sz w:val="24"/>
          <w:szCs w:val="24"/>
          <w:u w:val="single"/>
        </w:rPr>
        <w:t>NCT02947685</w:t>
      </w:r>
      <w:r w:rsidRPr="001063B2">
        <w:rPr>
          <w:rFonts w:ascii="微软雅黑" w:eastAsia="微软雅黑" w:hAnsi="微软雅黑" w:cs="宋体"/>
          <w:kern w:val="0"/>
          <w:sz w:val="24"/>
          <w:szCs w:val="24"/>
        </w:rPr>
        <w:fldChar w:fldCharType="end"/>
      </w:r>
      <w:r w:rsidRPr="001063B2">
        <w:rPr>
          <w:rFonts w:ascii="微软雅黑" w:eastAsia="微软雅黑" w:hAnsi="微软雅黑" w:cs="宋体"/>
          <w:kern w:val="0"/>
          <w:sz w:val="24"/>
          <w:szCs w:val="24"/>
        </w:rPr>
        <w:t>）是一项III</w:t>
      </w:r>
      <w:proofErr w:type="gramStart"/>
      <w:r w:rsidRPr="001063B2">
        <w:rPr>
          <w:rFonts w:ascii="微软雅黑" w:eastAsia="微软雅黑" w:hAnsi="微软雅黑" w:cs="宋体"/>
          <w:kern w:val="0"/>
          <w:sz w:val="24"/>
          <w:szCs w:val="24"/>
        </w:rPr>
        <w:t>期开放</w:t>
      </w:r>
      <w:proofErr w:type="gramEnd"/>
      <w:r w:rsidRPr="001063B2">
        <w:rPr>
          <w:rFonts w:ascii="微软雅黑" w:eastAsia="微软雅黑" w:hAnsi="微软雅黑" w:cs="宋体"/>
          <w:kern w:val="0"/>
          <w:sz w:val="24"/>
          <w:szCs w:val="24"/>
        </w:rPr>
        <w:t>标签</w:t>
      </w:r>
      <w:r w:rsidRPr="001063B2">
        <w:rPr>
          <w:rFonts w:ascii="微软雅黑" w:eastAsia="微软雅黑" w:hAnsi="微软雅黑" w:cs="宋体"/>
          <w:kern w:val="0"/>
          <w:sz w:val="24"/>
          <w:szCs w:val="24"/>
        </w:rPr>
        <w:lastRenderedPageBreak/>
        <w:t>试验，旨在确定在诱导6-8个周期化疗（紫杉烷类或长春瑞滨）和抗HER2治疗后，在抗HER2和内分泌治疗维持治疗中加入帕博西尼的疗效[ </w:t>
      </w:r>
      <w:hyperlink r:id="rId134" w:anchor="B113-ijms-21-06479" w:history="1">
        <w:r w:rsidRPr="001063B2">
          <w:rPr>
            <w:rFonts w:ascii="微软雅黑" w:eastAsia="微软雅黑" w:hAnsi="微软雅黑" w:cs="宋体"/>
            <w:kern w:val="0"/>
            <w:sz w:val="24"/>
            <w:szCs w:val="24"/>
            <w:u w:val="single"/>
          </w:rPr>
          <w:t>113</w:t>
        </w:r>
      </w:hyperlink>
      <w:r w:rsidRPr="001063B2">
        <w:rPr>
          <w:rFonts w:ascii="微软雅黑" w:eastAsia="微软雅黑" w:hAnsi="微软雅黑" w:cs="宋体"/>
          <w:kern w:val="0"/>
          <w:sz w:val="24"/>
          <w:szCs w:val="24"/>
        </w:rPr>
        <w:t> ]。帕博西尼也正在与</w:t>
      </w:r>
      <w:proofErr w:type="gramStart"/>
      <w:r w:rsidRPr="001063B2">
        <w:rPr>
          <w:rFonts w:ascii="微软雅黑" w:eastAsia="微软雅黑" w:hAnsi="微软雅黑" w:cs="宋体"/>
          <w:kern w:val="0"/>
          <w:sz w:val="24"/>
          <w:szCs w:val="24"/>
        </w:rPr>
        <w:t>曲妥珠单</w:t>
      </w:r>
      <w:proofErr w:type="gramEnd"/>
      <w:r w:rsidRPr="001063B2">
        <w:rPr>
          <w:rFonts w:ascii="微软雅黑" w:eastAsia="微软雅黑" w:hAnsi="微软雅黑" w:cs="宋体"/>
          <w:kern w:val="0"/>
          <w:sz w:val="24"/>
          <w:szCs w:val="24"/>
        </w:rPr>
        <w:t>抗联合用于治疗脑转移瘤（NCT0274681）。</w:t>
      </w:r>
    </w:p>
    <w:p w14:paraId="1AE78723"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在一项 I/II 期临床试验 ( </w:t>
      </w:r>
      <w:hyperlink r:id="rId135" w:tgtFrame="_blank" w:history="1">
        <w:r w:rsidRPr="001063B2">
          <w:rPr>
            <w:rFonts w:ascii="微软雅黑" w:eastAsia="微软雅黑" w:hAnsi="微软雅黑" w:cs="宋体"/>
            <w:kern w:val="0"/>
            <w:sz w:val="24"/>
            <w:szCs w:val="24"/>
            <w:u w:val="single"/>
          </w:rPr>
          <w:t>NCT02657343</w:t>
        </w:r>
      </w:hyperlink>
      <w:r w:rsidRPr="001063B2">
        <w:rPr>
          <w:rFonts w:ascii="微软雅黑" w:eastAsia="微软雅黑" w:hAnsi="微软雅黑" w:cs="宋体"/>
          <w:kern w:val="0"/>
          <w:sz w:val="24"/>
          <w:szCs w:val="24"/>
        </w:rPr>
        <w:t xml:space="preserve"> ) 中，持续低剂量 </w:t>
      </w:r>
      <w:proofErr w:type="spellStart"/>
      <w:r w:rsidRPr="001063B2">
        <w:rPr>
          <w:rFonts w:ascii="微软雅黑" w:eastAsia="微软雅黑" w:hAnsi="微软雅黑" w:cs="宋体"/>
          <w:kern w:val="0"/>
          <w:sz w:val="24"/>
          <w:szCs w:val="24"/>
        </w:rPr>
        <w:t>ribociclib</w:t>
      </w:r>
      <w:proofErr w:type="spellEnd"/>
      <w:r w:rsidRPr="001063B2">
        <w:rPr>
          <w:rFonts w:ascii="微软雅黑" w:eastAsia="微软雅黑" w:hAnsi="微软雅黑" w:cs="宋体"/>
          <w:kern w:val="0"/>
          <w:sz w:val="24"/>
          <w:szCs w:val="24"/>
        </w:rPr>
        <w:t xml:space="preserve"> (400 mg) 与抗 HER2 疗法联合用药已被证实对既往接受过大量治疗的患者安全，但该联合疗法的临床活性仍在研究中 [ </w:t>
      </w:r>
      <w:hyperlink r:id="rId136" w:anchor="B114-ijms-21-06479" w:history="1">
        <w:r w:rsidRPr="001063B2">
          <w:rPr>
            <w:rFonts w:ascii="微软雅黑" w:eastAsia="微软雅黑" w:hAnsi="微软雅黑" w:cs="宋体"/>
            <w:kern w:val="0"/>
            <w:sz w:val="24"/>
            <w:szCs w:val="24"/>
            <w:u w:val="single"/>
          </w:rPr>
          <w:t>114 ]。Ribociclib 与 TDM-1 联合用药也在一项 Ib 期临床试验 ( </w:t>
        </w:r>
      </w:hyperlink>
      <w:hyperlink r:id="rId137" w:tgtFrame="_blank" w:history="1">
        <w:r w:rsidRPr="001063B2">
          <w:rPr>
            <w:rFonts w:ascii="微软雅黑" w:eastAsia="微软雅黑" w:hAnsi="微软雅黑" w:cs="宋体"/>
            <w:kern w:val="0"/>
            <w:sz w:val="24"/>
            <w:szCs w:val="24"/>
            <w:u w:val="single"/>
          </w:rPr>
          <w:t>NCT02657343</w:t>
        </w:r>
      </w:hyperlink>
      <w:r w:rsidRPr="001063B2">
        <w:rPr>
          <w:rFonts w:ascii="微软雅黑" w:eastAsia="微软雅黑" w:hAnsi="微软雅黑" w:cs="宋体"/>
          <w:kern w:val="0"/>
          <w:sz w:val="24"/>
          <w:szCs w:val="24"/>
        </w:rPr>
        <w:t xml:space="preserve"> )中进行了研究，结果表明，在推荐的 II 期临床试验剂量 400 mg </w:t>
      </w:r>
      <w:proofErr w:type="spellStart"/>
      <w:r w:rsidRPr="001063B2">
        <w:rPr>
          <w:rFonts w:ascii="微软雅黑" w:eastAsia="微软雅黑" w:hAnsi="微软雅黑" w:cs="宋体"/>
          <w:kern w:val="0"/>
          <w:sz w:val="24"/>
          <w:szCs w:val="24"/>
        </w:rPr>
        <w:t>ribociclib</w:t>
      </w:r>
      <w:proofErr w:type="spellEnd"/>
      <w:r w:rsidRPr="001063B2">
        <w:rPr>
          <w:rFonts w:ascii="微软雅黑" w:eastAsia="微软雅黑" w:hAnsi="微软雅黑" w:cs="宋体"/>
          <w:kern w:val="0"/>
          <w:sz w:val="24"/>
          <w:szCs w:val="24"/>
        </w:rPr>
        <w:t xml:space="preserve"> 下，HER2 和 CDK4/6 的联合靶</w:t>
      </w:r>
      <w:proofErr w:type="gramStart"/>
      <w:r w:rsidRPr="001063B2">
        <w:rPr>
          <w:rFonts w:ascii="微软雅黑" w:eastAsia="微软雅黑" w:hAnsi="微软雅黑" w:cs="宋体"/>
          <w:kern w:val="0"/>
          <w:sz w:val="24"/>
          <w:szCs w:val="24"/>
        </w:rPr>
        <w:t>向治疗</w:t>
      </w:r>
      <w:proofErr w:type="gramEnd"/>
      <w:r w:rsidRPr="001063B2">
        <w:rPr>
          <w:rFonts w:ascii="微软雅黑" w:eastAsia="微软雅黑" w:hAnsi="微软雅黑" w:cs="宋体"/>
          <w:kern w:val="0"/>
          <w:sz w:val="24"/>
          <w:szCs w:val="24"/>
        </w:rPr>
        <w:t>耐受性良好，并显示出临床活性 [ </w:t>
      </w:r>
      <w:hyperlink r:id="rId138" w:anchor="B115-ijms-21-06479" w:history="1">
        <w:r w:rsidRPr="001063B2">
          <w:rPr>
            <w:rFonts w:ascii="微软雅黑" w:eastAsia="微软雅黑" w:hAnsi="微软雅黑" w:cs="宋体"/>
            <w:kern w:val="0"/>
            <w:sz w:val="24"/>
            <w:szCs w:val="24"/>
            <w:u w:val="single"/>
          </w:rPr>
          <w:t>115</w:t>
        </w:r>
      </w:hyperlink>
      <w:r w:rsidRPr="001063B2">
        <w:rPr>
          <w:rFonts w:ascii="微软雅黑" w:eastAsia="微软雅黑" w:hAnsi="微软雅黑" w:cs="宋体"/>
          <w:kern w:val="0"/>
          <w:sz w:val="24"/>
          <w:szCs w:val="24"/>
        </w:rPr>
        <w:t> ]。</w:t>
      </w:r>
    </w:p>
    <w:p w14:paraId="3F381B03"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 xml:space="preserve">最近，II 期 </w:t>
      </w:r>
      <w:proofErr w:type="spellStart"/>
      <w:r w:rsidRPr="001063B2">
        <w:rPr>
          <w:rFonts w:ascii="微软雅黑" w:eastAsia="微软雅黑" w:hAnsi="微软雅黑" w:cs="宋体"/>
          <w:kern w:val="0"/>
          <w:sz w:val="24"/>
          <w:szCs w:val="24"/>
        </w:rPr>
        <w:t>monarchHER</w:t>
      </w:r>
      <w:proofErr w:type="spellEnd"/>
      <w:r w:rsidRPr="001063B2">
        <w:rPr>
          <w:rFonts w:ascii="微软雅黑" w:eastAsia="微软雅黑" w:hAnsi="微软雅黑" w:cs="宋体"/>
          <w:kern w:val="0"/>
          <w:sz w:val="24"/>
          <w:szCs w:val="24"/>
        </w:rPr>
        <w:t xml:space="preserve"> 试验的结果显示，与标准化疗加</w:t>
      </w:r>
      <w:proofErr w:type="gramStart"/>
      <w:r w:rsidRPr="001063B2">
        <w:rPr>
          <w:rFonts w:ascii="微软雅黑" w:eastAsia="微软雅黑" w:hAnsi="微软雅黑" w:cs="宋体"/>
          <w:kern w:val="0"/>
          <w:sz w:val="24"/>
          <w:szCs w:val="24"/>
        </w:rPr>
        <w:t>曲妥珠单</w:t>
      </w:r>
      <w:proofErr w:type="gramEnd"/>
      <w:r w:rsidRPr="001063B2">
        <w:rPr>
          <w:rFonts w:ascii="微软雅黑" w:eastAsia="微软雅黑" w:hAnsi="微软雅黑" w:cs="宋体"/>
          <w:kern w:val="0"/>
          <w:sz w:val="24"/>
          <w:szCs w:val="24"/>
        </w:rPr>
        <w:t>抗相比，阿贝西利、</w:t>
      </w:r>
      <w:proofErr w:type="gramStart"/>
      <w:r w:rsidRPr="001063B2">
        <w:rPr>
          <w:rFonts w:ascii="微软雅黑" w:eastAsia="微软雅黑" w:hAnsi="微软雅黑" w:cs="宋体"/>
          <w:kern w:val="0"/>
          <w:sz w:val="24"/>
          <w:szCs w:val="24"/>
        </w:rPr>
        <w:t>氟维司群</w:t>
      </w:r>
      <w:proofErr w:type="gramEnd"/>
      <w:r w:rsidRPr="001063B2">
        <w:rPr>
          <w:rFonts w:ascii="微软雅黑" w:eastAsia="微软雅黑" w:hAnsi="微软雅黑" w:cs="宋体"/>
          <w:kern w:val="0"/>
          <w:sz w:val="24"/>
          <w:szCs w:val="24"/>
        </w:rPr>
        <w:t>和</w:t>
      </w:r>
      <w:proofErr w:type="gramStart"/>
      <w:r w:rsidRPr="001063B2">
        <w:rPr>
          <w:rFonts w:ascii="微软雅黑" w:eastAsia="微软雅黑" w:hAnsi="微软雅黑" w:cs="宋体"/>
          <w:kern w:val="0"/>
          <w:sz w:val="24"/>
          <w:szCs w:val="24"/>
        </w:rPr>
        <w:t>曲妥珠单</w:t>
      </w:r>
      <w:proofErr w:type="gramEnd"/>
      <w:r w:rsidRPr="001063B2">
        <w:rPr>
          <w:rFonts w:ascii="微软雅黑" w:eastAsia="微软雅黑" w:hAnsi="微软雅黑" w:cs="宋体"/>
          <w:kern w:val="0"/>
          <w:sz w:val="24"/>
          <w:szCs w:val="24"/>
        </w:rPr>
        <w:t xml:space="preserve">抗的联合治疗显著改善了 PFS（8.3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 xml:space="preserve">月 vs. 5.7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月，HR 0.67，</w:t>
      </w:r>
      <w:r w:rsidRPr="001063B2">
        <w:rPr>
          <w:rFonts w:ascii="微软雅黑" w:eastAsia="微软雅黑" w:hAnsi="微软雅黑" w:cs="宋体"/>
          <w:i/>
          <w:iCs/>
          <w:kern w:val="0"/>
          <w:sz w:val="24"/>
          <w:szCs w:val="24"/>
        </w:rPr>
        <w:t>p</w:t>
      </w:r>
      <w:r w:rsidRPr="001063B2">
        <w:rPr>
          <w:rFonts w:ascii="微软雅黑" w:eastAsia="微软雅黑" w:hAnsi="微软雅黑" w:cs="宋体"/>
          <w:kern w:val="0"/>
          <w:sz w:val="24"/>
          <w:szCs w:val="24"/>
        </w:rPr>
        <w:t> = 0.051），且安全性良好 [ </w:t>
      </w:r>
      <w:hyperlink r:id="rId139" w:anchor="B116-ijms-21-06479" w:history="1">
        <w:r w:rsidRPr="001063B2">
          <w:rPr>
            <w:rFonts w:ascii="微软雅黑" w:eastAsia="微软雅黑" w:hAnsi="微软雅黑" w:cs="宋体"/>
            <w:kern w:val="0"/>
            <w:sz w:val="24"/>
            <w:szCs w:val="24"/>
            <w:u w:val="single"/>
          </w:rPr>
          <w:t>116</w:t>
        </w:r>
      </w:hyperlink>
      <w:r w:rsidRPr="001063B2">
        <w:rPr>
          <w:rFonts w:ascii="微软雅黑" w:eastAsia="微软雅黑" w:hAnsi="微软雅黑" w:cs="宋体"/>
          <w:kern w:val="0"/>
          <w:sz w:val="24"/>
          <w:szCs w:val="24"/>
        </w:rPr>
        <w:t> ]。</w:t>
      </w:r>
    </w:p>
    <w:p w14:paraId="66711F00"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CDK4/6 抑制剂对 HER2 阳性乳腺癌的疗效仍在探索中，但 II 期研究的结果表明，对于这些患者来说，无化疗方案可能是一种可行的治疗选择。</w:t>
      </w:r>
    </w:p>
    <w:p w14:paraId="1CBF25D5" w14:textId="77777777" w:rsidR="001063B2" w:rsidRPr="001063B2" w:rsidRDefault="001063B2" w:rsidP="001063B2">
      <w:pPr>
        <w:widowControl/>
        <w:spacing w:line="450" w:lineRule="atLeast"/>
        <w:outlineLvl w:val="2"/>
        <w:rPr>
          <w:rFonts w:ascii="微软雅黑" w:eastAsia="微软雅黑" w:hAnsi="微软雅黑" w:cs="宋体"/>
          <w:kern w:val="0"/>
          <w:sz w:val="32"/>
          <w:szCs w:val="32"/>
        </w:rPr>
      </w:pPr>
      <w:r w:rsidRPr="001063B2">
        <w:rPr>
          <w:rFonts w:ascii="微软雅黑" w:eastAsia="微软雅黑" w:hAnsi="微软雅黑" w:cs="宋体"/>
          <w:kern w:val="0"/>
          <w:sz w:val="32"/>
          <w:szCs w:val="32"/>
        </w:rPr>
        <w:t>6.4. 与免疫疗法和其他药物联合使用</w:t>
      </w:r>
    </w:p>
    <w:p w14:paraId="6C1B2641"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越来越多的临床试验正在探索 CDK4/6 抑制剂与其</w:t>
      </w:r>
      <w:proofErr w:type="gramStart"/>
      <w:r w:rsidRPr="001063B2">
        <w:rPr>
          <w:rFonts w:ascii="微软雅黑" w:eastAsia="微软雅黑" w:hAnsi="微软雅黑" w:cs="宋体"/>
          <w:kern w:val="0"/>
          <w:sz w:val="24"/>
          <w:szCs w:val="24"/>
        </w:rPr>
        <w:t>他靶向</w:t>
      </w:r>
      <w:proofErr w:type="gramEnd"/>
      <w:r w:rsidRPr="001063B2">
        <w:rPr>
          <w:rFonts w:ascii="微软雅黑" w:eastAsia="微软雅黑" w:hAnsi="微软雅黑" w:cs="宋体"/>
          <w:kern w:val="0"/>
          <w:sz w:val="24"/>
          <w:szCs w:val="24"/>
        </w:rPr>
        <w:t>疗法以及免疫疗法的联合应用。大多数新型联合疗法都涉及 PI3K 通路。I/II 期临床试验 TRINITI-1 ( </w:t>
      </w:r>
      <w:hyperlink r:id="rId140" w:tgtFrame="_blank" w:history="1">
        <w:r w:rsidRPr="001063B2">
          <w:rPr>
            <w:rFonts w:ascii="微软雅黑" w:eastAsia="微软雅黑" w:hAnsi="微软雅黑" w:cs="宋体"/>
            <w:kern w:val="0"/>
            <w:sz w:val="24"/>
            <w:szCs w:val="24"/>
            <w:u w:val="single"/>
          </w:rPr>
          <w:t>NCT02732119</w:t>
        </w:r>
      </w:hyperlink>
      <w:r w:rsidRPr="001063B2">
        <w:rPr>
          <w:rFonts w:ascii="微软雅黑" w:eastAsia="微软雅黑" w:hAnsi="微软雅黑" w:cs="宋体"/>
          <w:kern w:val="0"/>
          <w:sz w:val="24"/>
          <w:szCs w:val="24"/>
        </w:rPr>
        <w:t> ) 研究了 CDK4/6 抑制剂联合内分泌治疗进展后，依西美坦联合瑞博西尼和依维莫司的三联疗法；结果显示，其客观缓解率 (ORR) 和无进</w:t>
      </w:r>
      <w:r w:rsidRPr="001063B2">
        <w:rPr>
          <w:rFonts w:ascii="微软雅黑" w:eastAsia="微软雅黑" w:hAnsi="微软雅黑" w:cs="宋体"/>
          <w:kern w:val="0"/>
          <w:sz w:val="24"/>
          <w:szCs w:val="24"/>
        </w:rPr>
        <w:lastRenderedPageBreak/>
        <w:t xml:space="preserve">展生存期 (PFS) 均低于 BOLERO-2 试验中依西美坦联合依维莫司的疗效（ORR 分别为 8% 和 9.5%，中位 PFS 分别为 5.7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 xml:space="preserve">月和 6.9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月）[ </w:t>
      </w:r>
      <w:hyperlink r:id="rId141" w:anchor="B117-ijms-21-06479" w:history="1">
        <w:r w:rsidRPr="001063B2">
          <w:rPr>
            <w:rFonts w:ascii="微软雅黑" w:eastAsia="微软雅黑" w:hAnsi="微软雅黑" w:cs="宋体"/>
            <w:kern w:val="0"/>
            <w:sz w:val="24"/>
            <w:szCs w:val="24"/>
            <w:u w:val="single"/>
          </w:rPr>
          <w:t>117</w:t>
        </w:r>
      </w:hyperlink>
      <w:r w:rsidRPr="001063B2">
        <w:rPr>
          <w:rFonts w:ascii="微软雅黑" w:eastAsia="微软雅黑" w:hAnsi="微软雅黑" w:cs="宋体"/>
          <w:kern w:val="0"/>
          <w:sz w:val="24"/>
          <w:szCs w:val="24"/>
        </w:rPr>
        <w:t> , </w:t>
      </w:r>
      <w:hyperlink r:id="rId142" w:anchor="B118-ijms-21-06479" w:history="1">
        <w:r w:rsidRPr="001063B2">
          <w:rPr>
            <w:rFonts w:ascii="微软雅黑" w:eastAsia="微软雅黑" w:hAnsi="微软雅黑" w:cs="宋体"/>
            <w:kern w:val="0"/>
            <w:sz w:val="24"/>
            <w:szCs w:val="24"/>
            <w:u w:val="single"/>
          </w:rPr>
          <w:t>118</w:t>
        </w:r>
      </w:hyperlink>
      <w:r w:rsidRPr="001063B2">
        <w:rPr>
          <w:rFonts w:ascii="微软雅黑" w:eastAsia="微软雅黑" w:hAnsi="微软雅黑" w:cs="宋体"/>
          <w:kern w:val="0"/>
          <w:sz w:val="24"/>
          <w:szCs w:val="24"/>
        </w:rPr>
        <w:t> ]。这种差异可能反映了入组患者的内分泌敏感性不同，以及 PIK3CA 和 SR1 突变的普遍性，TRINITI-1 试验中 30% 的入组患者存在这些突变[ </w:t>
      </w:r>
      <w:hyperlink r:id="rId143" w:anchor="B118-ijms-21-06479" w:history="1">
        <w:r w:rsidRPr="001063B2">
          <w:rPr>
            <w:rFonts w:ascii="微软雅黑" w:eastAsia="微软雅黑" w:hAnsi="微软雅黑" w:cs="宋体"/>
            <w:kern w:val="0"/>
            <w:sz w:val="24"/>
            <w:szCs w:val="24"/>
            <w:u w:val="single"/>
          </w:rPr>
          <w:t>118</w:t>
        </w:r>
      </w:hyperlink>
      <w:r w:rsidRPr="001063B2">
        <w:rPr>
          <w:rFonts w:ascii="微软雅黑" w:eastAsia="微软雅黑" w:hAnsi="微软雅黑" w:cs="宋体"/>
          <w:kern w:val="0"/>
          <w:sz w:val="24"/>
          <w:szCs w:val="24"/>
        </w:rPr>
        <w:t xml:space="preserve"> ]。两项 II </w:t>
      </w:r>
      <w:proofErr w:type="gramStart"/>
      <w:r w:rsidRPr="001063B2">
        <w:rPr>
          <w:rFonts w:ascii="微软雅黑" w:eastAsia="微软雅黑" w:hAnsi="微软雅黑" w:cs="宋体"/>
          <w:kern w:val="0"/>
          <w:sz w:val="24"/>
          <w:szCs w:val="24"/>
        </w:rPr>
        <w:t>期试验</w:t>
      </w:r>
      <w:proofErr w:type="gramEnd"/>
      <w:r w:rsidRPr="001063B2">
        <w:rPr>
          <w:rFonts w:ascii="微软雅黑" w:eastAsia="微软雅黑" w:hAnsi="微软雅黑" w:cs="宋体"/>
          <w:kern w:val="0"/>
          <w:sz w:val="24"/>
          <w:szCs w:val="24"/>
        </w:rPr>
        <w:t xml:space="preserve"> MAINTAIN ( </w:t>
      </w:r>
      <w:hyperlink r:id="rId144" w:tgtFrame="_blank" w:history="1">
        <w:r w:rsidRPr="001063B2">
          <w:rPr>
            <w:rFonts w:ascii="微软雅黑" w:eastAsia="微软雅黑" w:hAnsi="微软雅黑" w:cs="宋体"/>
            <w:kern w:val="0"/>
            <w:sz w:val="24"/>
            <w:szCs w:val="24"/>
            <w:u w:val="single"/>
          </w:rPr>
          <w:t>NCT02632045</w:t>
        </w:r>
      </w:hyperlink>
      <w:r w:rsidRPr="001063B2">
        <w:rPr>
          <w:rFonts w:ascii="微软雅黑" w:eastAsia="微软雅黑" w:hAnsi="微软雅黑" w:cs="宋体"/>
          <w:kern w:val="0"/>
          <w:sz w:val="24"/>
          <w:szCs w:val="24"/>
        </w:rPr>
        <w:t> ) 和 PACE ( </w:t>
      </w:r>
      <w:hyperlink r:id="rId145" w:tgtFrame="_blank" w:history="1">
        <w:r w:rsidRPr="001063B2">
          <w:rPr>
            <w:rFonts w:ascii="微软雅黑" w:eastAsia="微软雅黑" w:hAnsi="微软雅黑" w:cs="宋体"/>
            <w:kern w:val="0"/>
            <w:sz w:val="24"/>
            <w:szCs w:val="24"/>
            <w:u w:val="single"/>
          </w:rPr>
          <w:t>NCT03147287</w:t>
        </w:r>
      </w:hyperlink>
      <w:r w:rsidRPr="001063B2">
        <w:rPr>
          <w:rFonts w:ascii="微软雅黑" w:eastAsia="微软雅黑" w:hAnsi="微软雅黑" w:cs="宋体"/>
          <w:kern w:val="0"/>
          <w:sz w:val="24"/>
          <w:szCs w:val="24"/>
        </w:rPr>
        <w:t xml:space="preserve"> ) 正在评估 CDK4/6i（分别为 </w:t>
      </w:r>
      <w:proofErr w:type="spellStart"/>
      <w:r w:rsidRPr="001063B2">
        <w:rPr>
          <w:rFonts w:ascii="微软雅黑" w:eastAsia="微软雅黑" w:hAnsi="微软雅黑" w:cs="宋体"/>
          <w:kern w:val="0"/>
          <w:sz w:val="24"/>
          <w:szCs w:val="24"/>
        </w:rPr>
        <w:t>ribociclib</w:t>
      </w:r>
      <w:proofErr w:type="spellEnd"/>
      <w:r w:rsidRPr="001063B2">
        <w:rPr>
          <w:rFonts w:ascii="微软雅黑" w:eastAsia="微软雅黑" w:hAnsi="微软雅黑" w:cs="宋体"/>
          <w:kern w:val="0"/>
          <w:sz w:val="24"/>
          <w:szCs w:val="24"/>
        </w:rPr>
        <w:t xml:space="preserve"> 和 </w:t>
      </w:r>
      <w:proofErr w:type="spellStart"/>
      <w:r w:rsidRPr="001063B2">
        <w:rPr>
          <w:rFonts w:ascii="微软雅黑" w:eastAsia="微软雅黑" w:hAnsi="微软雅黑" w:cs="宋体"/>
          <w:kern w:val="0"/>
          <w:sz w:val="24"/>
          <w:szCs w:val="24"/>
        </w:rPr>
        <w:t>palbociclib</w:t>
      </w:r>
      <w:proofErr w:type="spellEnd"/>
      <w:r w:rsidRPr="001063B2">
        <w:rPr>
          <w:rFonts w:ascii="微软雅黑" w:eastAsia="微软雅黑" w:hAnsi="微软雅黑" w:cs="宋体"/>
          <w:kern w:val="0"/>
          <w:sz w:val="24"/>
          <w:szCs w:val="24"/>
        </w:rPr>
        <w:t>）加</w:t>
      </w:r>
      <w:proofErr w:type="gramStart"/>
      <w:r w:rsidRPr="001063B2">
        <w:rPr>
          <w:rFonts w:ascii="微软雅黑" w:eastAsia="微软雅黑" w:hAnsi="微软雅黑" w:cs="宋体"/>
          <w:kern w:val="0"/>
          <w:sz w:val="24"/>
          <w:szCs w:val="24"/>
        </w:rPr>
        <w:t>氟维司群治疗</w:t>
      </w:r>
      <w:proofErr w:type="gramEnd"/>
      <w:r w:rsidRPr="001063B2">
        <w:rPr>
          <w:rFonts w:ascii="微软雅黑" w:eastAsia="微软雅黑" w:hAnsi="微软雅黑" w:cs="宋体"/>
          <w:kern w:val="0"/>
          <w:sz w:val="24"/>
          <w:szCs w:val="24"/>
        </w:rPr>
        <w:t xml:space="preserve"> HR 阳性乳腺癌患者（在 CK4/6i 方案治疗后病情进展）的疗效；PACE 研究还在探索添加 avelumab（抗 PD-L1）的协同作用 [ </w:t>
      </w:r>
      <w:hyperlink r:id="rId146" w:anchor="B119-ijms-21-06479" w:history="1">
        <w:r w:rsidRPr="001063B2">
          <w:rPr>
            <w:rFonts w:ascii="微软雅黑" w:eastAsia="微软雅黑" w:hAnsi="微软雅黑" w:cs="宋体"/>
            <w:kern w:val="0"/>
            <w:sz w:val="24"/>
            <w:szCs w:val="24"/>
            <w:u w:val="single"/>
          </w:rPr>
          <w:t>119</w:t>
        </w:r>
      </w:hyperlink>
      <w:r w:rsidRPr="001063B2">
        <w:rPr>
          <w:rFonts w:ascii="微软雅黑" w:eastAsia="微软雅黑" w:hAnsi="微软雅黑" w:cs="宋体"/>
          <w:kern w:val="0"/>
          <w:sz w:val="24"/>
          <w:szCs w:val="24"/>
        </w:rPr>
        <w:t> , </w:t>
      </w:r>
      <w:hyperlink r:id="rId147" w:anchor="B120-ijms-21-06479" w:history="1">
        <w:r w:rsidRPr="001063B2">
          <w:rPr>
            <w:rFonts w:ascii="微软雅黑" w:eastAsia="微软雅黑" w:hAnsi="微软雅黑" w:cs="宋体"/>
            <w:kern w:val="0"/>
            <w:sz w:val="24"/>
            <w:szCs w:val="24"/>
            <w:u w:val="single"/>
          </w:rPr>
          <w:t>120</w:t>
        </w:r>
      </w:hyperlink>
      <w:r w:rsidRPr="001063B2">
        <w:rPr>
          <w:rFonts w:ascii="微软雅黑" w:eastAsia="微软雅黑" w:hAnsi="微软雅黑" w:cs="宋体"/>
          <w:kern w:val="0"/>
          <w:sz w:val="24"/>
          <w:szCs w:val="24"/>
        </w:rPr>
        <w:t> ]。</w:t>
      </w:r>
    </w:p>
    <w:p w14:paraId="68978F8F"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目前正在进行的试验也在评估 CDK4/6 抑制剂在三阴性乳腺癌 (TNBC) 中的作用；在这种情况下，RB1 丢失相当常见，这使得 CDK4/6 抑制剂的使用更具挑战性，并凸显了选择可能对 CDK4/6 抑制剂敏感的特定患者亚群的重要性。特别是，雄激素受体 (AR) 阳性的 TNBC 患者似乎对这种联合治疗策略更为敏感，这是由于 AR 和 RB1 的表达之间存在关联 [ </w:t>
      </w:r>
      <w:hyperlink r:id="rId148" w:anchor="B121-ijms-21-06479" w:history="1">
        <w:r w:rsidRPr="001063B2">
          <w:rPr>
            <w:rFonts w:ascii="微软雅黑" w:eastAsia="微软雅黑" w:hAnsi="微软雅黑" w:cs="宋体"/>
            <w:kern w:val="0"/>
            <w:sz w:val="24"/>
            <w:szCs w:val="24"/>
            <w:u w:val="single"/>
          </w:rPr>
          <w:t>121</w:t>
        </w:r>
      </w:hyperlink>
      <w:r w:rsidRPr="001063B2">
        <w:rPr>
          <w:rFonts w:ascii="微软雅黑" w:eastAsia="微软雅黑" w:hAnsi="微软雅黑" w:cs="宋体"/>
          <w:kern w:val="0"/>
          <w:sz w:val="24"/>
          <w:szCs w:val="24"/>
        </w:rPr>
        <w:t xml:space="preserve"> ]。事实上，两项 I/II </w:t>
      </w:r>
      <w:proofErr w:type="gramStart"/>
      <w:r w:rsidRPr="001063B2">
        <w:rPr>
          <w:rFonts w:ascii="微软雅黑" w:eastAsia="微软雅黑" w:hAnsi="微软雅黑" w:cs="宋体"/>
          <w:kern w:val="0"/>
          <w:sz w:val="24"/>
          <w:szCs w:val="24"/>
        </w:rPr>
        <w:t>期试验</w:t>
      </w:r>
      <w:proofErr w:type="gramEnd"/>
      <w:r w:rsidRPr="001063B2">
        <w:rPr>
          <w:rFonts w:ascii="微软雅黑" w:eastAsia="微软雅黑" w:hAnsi="微软雅黑" w:cs="宋体"/>
          <w:kern w:val="0"/>
          <w:sz w:val="24"/>
          <w:szCs w:val="24"/>
        </w:rPr>
        <w:t>正在评估比卡鲁胺（AR 抑制剂）与帕博西尼或瑞博西尼联合用于 AR+ TNBC 的疗效，以验证雄激素阻断联合 CDK4/6 抑制剂能否提高雄激素依</w:t>
      </w:r>
      <w:r w:rsidRPr="001063B2">
        <w:rPr>
          <w:rFonts w:ascii="MS Gothic" w:eastAsia="MS Gothic" w:hAnsi="MS Gothic" w:cs="MS Gothic" w:hint="eastAsia"/>
          <w:kern w:val="0"/>
          <w:sz w:val="24"/>
          <w:szCs w:val="24"/>
        </w:rPr>
        <w:t>​​</w:t>
      </w:r>
      <w:proofErr w:type="gramStart"/>
      <w:r w:rsidRPr="001063B2">
        <w:rPr>
          <w:rFonts w:ascii="微软雅黑" w:eastAsia="微软雅黑" w:hAnsi="微软雅黑" w:cs="宋体"/>
          <w:kern w:val="0"/>
          <w:sz w:val="24"/>
          <w:szCs w:val="24"/>
        </w:rPr>
        <w:t>赖性乳腺癌</w:t>
      </w:r>
      <w:proofErr w:type="gramEnd"/>
      <w:r w:rsidRPr="001063B2">
        <w:rPr>
          <w:rFonts w:ascii="微软雅黑" w:eastAsia="微软雅黑" w:hAnsi="微软雅黑" w:cs="宋体"/>
          <w:kern w:val="0"/>
          <w:sz w:val="24"/>
          <w:szCs w:val="24"/>
        </w:rPr>
        <w:t>的疗效（</w:t>
      </w:r>
      <w:hyperlink r:id="rId149" w:tgtFrame="_blank" w:history="1">
        <w:r w:rsidRPr="001063B2">
          <w:rPr>
            <w:rFonts w:ascii="微软雅黑" w:eastAsia="微软雅黑" w:hAnsi="微软雅黑" w:cs="宋体"/>
            <w:kern w:val="0"/>
            <w:sz w:val="24"/>
            <w:szCs w:val="24"/>
            <w:u w:val="single"/>
          </w:rPr>
          <w:t>NCT02605486</w:t>
        </w:r>
      </w:hyperlink>
      <w:r w:rsidRPr="001063B2">
        <w:rPr>
          <w:rFonts w:ascii="微软雅黑" w:eastAsia="微软雅黑" w:hAnsi="微软雅黑" w:cs="宋体"/>
          <w:kern w:val="0"/>
          <w:sz w:val="24"/>
          <w:szCs w:val="24"/>
        </w:rPr>
        <w:t>，</w:t>
      </w:r>
      <w:r w:rsidRPr="001063B2">
        <w:rPr>
          <w:rFonts w:ascii="微软雅黑" w:eastAsia="微软雅黑" w:hAnsi="微软雅黑" w:cs="宋体"/>
          <w:kern w:val="0"/>
          <w:sz w:val="24"/>
          <w:szCs w:val="24"/>
        </w:rPr>
        <w:fldChar w:fldCharType="begin"/>
      </w:r>
      <w:r w:rsidRPr="001063B2">
        <w:rPr>
          <w:rFonts w:ascii="微软雅黑" w:eastAsia="微软雅黑" w:hAnsi="微软雅黑" w:cs="宋体"/>
          <w:kern w:val="0"/>
          <w:sz w:val="24"/>
          <w:szCs w:val="24"/>
        </w:rPr>
        <w:instrText xml:space="preserve"> HYPERLINK "https://clinicaltrials.gov/ct2/show/NCT03090165" \t "_blank" </w:instrText>
      </w:r>
      <w:r w:rsidRPr="001063B2">
        <w:rPr>
          <w:rFonts w:ascii="微软雅黑" w:eastAsia="微软雅黑" w:hAnsi="微软雅黑" w:cs="宋体"/>
          <w:kern w:val="0"/>
          <w:sz w:val="24"/>
          <w:szCs w:val="24"/>
        </w:rPr>
        <w:fldChar w:fldCharType="separate"/>
      </w:r>
      <w:r w:rsidRPr="001063B2">
        <w:rPr>
          <w:rFonts w:ascii="微软雅黑" w:eastAsia="微软雅黑" w:hAnsi="微软雅黑" w:cs="宋体"/>
          <w:kern w:val="0"/>
          <w:sz w:val="24"/>
          <w:szCs w:val="24"/>
          <w:u w:val="single"/>
        </w:rPr>
        <w:t>NCT03090165</w:t>
      </w:r>
      <w:r w:rsidRPr="001063B2">
        <w:rPr>
          <w:rFonts w:ascii="微软雅黑" w:eastAsia="微软雅黑" w:hAnsi="微软雅黑" w:cs="宋体"/>
          <w:kern w:val="0"/>
          <w:sz w:val="24"/>
          <w:szCs w:val="24"/>
        </w:rPr>
        <w:fldChar w:fldCharType="end"/>
      </w:r>
      <w:r w:rsidRPr="001063B2">
        <w:rPr>
          <w:rFonts w:ascii="微软雅黑" w:eastAsia="微软雅黑" w:hAnsi="微软雅黑" w:cs="宋体"/>
          <w:kern w:val="0"/>
          <w:sz w:val="24"/>
          <w:szCs w:val="24"/>
        </w:rPr>
        <w:t>）。</w:t>
      </w:r>
      <w:r w:rsidRPr="001063B2">
        <w:rPr>
          <w:rFonts w:ascii="微软雅黑" w:eastAsia="微软雅黑" w:hAnsi="微软雅黑" w:cs="宋体"/>
          <w:kern w:val="0"/>
          <w:sz w:val="24"/>
          <w:szCs w:val="24"/>
        </w:rPr>
        <w:fldChar w:fldCharType="begin"/>
      </w:r>
      <w:r w:rsidRPr="001063B2">
        <w:rPr>
          <w:rFonts w:ascii="微软雅黑" w:eastAsia="微软雅黑" w:hAnsi="微软雅黑" w:cs="宋体"/>
          <w:kern w:val="0"/>
          <w:sz w:val="24"/>
          <w:szCs w:val="24"/>
        </w:rPr>
        <w:instrText xml:space="preserve"> HYPERLINK "https://pmc.ncbi.nlm.nih.gov/articles/PMC7554788/" \l "B123-ijms-21-06479" </w:instrText>
      </w:r>
      <w:r w:rsidRPr="001063B2">
        <w:rPr>
          <w:rFonts w:ascii="微软雅黑" w:eastAsia="微软雅黑" w:hAnsi="微软雅黑" w:cs="宋体"/>
          <w:kern w:val="0"/>
          <w:sz w:val="24"/>
          <w:szCs w:val="24"/>
        </w:rPr>
        <w:fldChar w:fldCharType="separate"/>
      </w:r>
      <w:r w:rsidRPr="001063B2">
        <w:rPr>
          <w:rFonts w:ascii="微软雅黑" w:eastAsia="微软雅黑" w:hAnsi="微软雅黑" w:cs="宋体"/>
          <w:kern w:val="0"/>
          <w:sz w:val="24"/>
          <w:szCs w:val="24"/>
          <w:u w:val="single"/>
        </w:rPr>
        <w:t>初步</w:t>
      </w:r>
      <w:r w:rsidRPr="001063B2">
        <w:rPr>
          <w:rFonts w:ascii="微软雅黑" w:eastAsia="微软雅黑" w:hAnsi="微软雅黑" w:cs="宋体"/>
          <w:kern w:val="0"/>
          <w:sz w:val="24"/>
          <w:szCs w:val="24"/>
        </w:rPr>
        <w:fldChar w:fldCharType="end"/>
      </w:r>
      <w:r w:rsidRPr="001063B2">
        <w:rPr>
          <w:rFonts w:ascii="微软雅黑" w:eastAsia="微软雅黑" w:hAnsi="微软雅黑" w:cs="宋体"/>
          <w:kern w:val="0"/>
          <w:sz w:val="24"/>
          <w:szCs w:val="24"/>
        </w:rPr>
        <w:t>结果显示，联合治疗策略耐受性良好，未观察到意外毒性</w:t>
      </w:r>
      <w:hyperlink r:id="rId150" w:anchor="B122-ijms-21-06479" w:history="1">
        <w:r w:rsidRPr="001063B2">
          <w:rPr>
            <w:rFonts w:ascii="微软雅黑" w:eastAsia="微软雅黑" w:hAnsi="微软雅黑" w:cs="宋体"/>
            <w:kern w:val="0"/>
            <w:sz w:val="24"/>
            <w:szCs w:val="24"/>
            <w:u w:val="single"/>
          </w:rPr>
          <w:t>[</w:t>
        </w:r>
      </w:hyperlink>
      <w:r w:rsidRPr="001063B2">
        <w:rPr>
          <w:rFonts w:ascii="微软雅黑" w:eastAsia="微软雅黑" w:hAnsi="微软雅黑" w:cs="宋体"/>
          <w:kern w:val="0"/>
          <w:sz w:val="24"/>
          <w:szCs w:val="24"/>
        </w:rPr>
        <w:t> 89,122,123 </w:t>
      </w:r>
      <w:hyperlink r:id="rId151" w:anchor="B89-ijms-21-06479" w:history="1">
        <w:r w:rsidRPr="001063B2">
          <w:rPr>
            <w:rFonts w:ascii="微软雅黑" w:eastAsia="微软雅黑" w:hAnsi="微软雅黑" w:cs="宋体"/>
            <w:kern w:val="0"/>
            <w:sz w:val="24"/>
            <w:szCs w:val="24"/>
            <w:u w:val="single"/>
          </w:rPr>
          <w:t>]</w:t>
        </w:r>
      </w:hyperlink>
      <w:r w:rsidRPr="001063B2">
        <w:rPr>
          <w:rFonts w:ascii="微软雅黑" w:eastAsia="微软雅黑" w:hAnsi="微软雅黑" w:cs="宋体"/>
          <w:kern w:val="0"/>
          <w:sz w:val="24"/>
          <w:szCs w:val="24"/>
        </w:rPr>
        <w:t>。</w:t>
      </w:r>
    </w:p>
    <w:p w14:paraId="196B5C35" w14:textId="77777777" w:rsidR="001063B2" w:rsidRPr="001063B2" w:rsidRDefault="001063B2" w:rsidP="001063B2">
      <w:pPr>
        <w:widowControl/>
        <w:pBdr>
          <w:bottom w:val="single" w:sz="6" w:space="0" w:color="97B1C8"/>
        </w:pBdr>
        <w:spacing w:line="450" w:lineRule="atLeast"/>
        <w:outlineLvl w:val="1"/>
        <w:rPr>
          <w:rFonts w:ascii="微软雅黑" w:eastAsia="微软雅黑" w:hAnsi="微软雅黑" w:cs="宋体"/>
          <w:kern w:val="0"/>
          <w:sz w:val="34"/>
          <w:szCs w:val="34"/>
        </w:rPr>
      </w:pPr>
      <w:r w:rsidRPr="001063B2">
        <w:rPr>
          <w:rFonts w:ascii="微软雅黑" w:eastAsia="微软雅黑" w:hAnsi="微软雅黑" w:cs="宋体"/>
          <w:kern w:val="0"/>
          <w:sz w:val="34"/>
          <w:szCs w:val="34"/>
        </w:rPr>
        <w:t>7. 耐药机制和潜在的反应生物标志物</w:t>
      </w:r>
    </w:p>
    <w:p w14:paraId="46BD2F60"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多项研究正在探索 CDK4/6i 的耐药机制，重点关注两大类改变，涉及细胞周期机制和上游信号传导，例如 MAPK 通路和 PI3K/Akt/mTOR 通路。</w:t>
      </w:r>
    </w:p>
    <w:p w14:paraId="62CF52B6"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lastRenderedPageBreak/>
        <w:t>RB是CDK4/6的主要磷酸化靶点，磷酸化RB（</w:t>
      </w:r>
      <w:proofErr w:type="spellStart"/>
      <w:r w:rsidRPr="001063B2">
        <w:rPr>
          <w:rFonts w:ascii="微软雅黑" w:eastAsia="微软雅黑" w:hAnsi="微软雅黑" w:cs="宋体"/>
          <w:kern w:val="0"/>
          <w:sz w:val="24"/>
          <w:szCs w:val="24"/>
        </w:rPr>
        <w:t>pRB</w:t>
      </w:r>
      <w:proofErr w:type="spellEnd"/>
      <w:r w:rsidRPr="001063B2">
        <w:rPr>
          <w:rFonts w:ascii="微软雅黑" w:eastAsia="微软雅黑" w:hAnsi="微软雅黑" w:cs="宋体"/>
          <w:kern w:val="0"/>
          <w:sz w:val="24"/>
          <w:szCs w:val="24"/>
        </w:rPr>
        <w:t>）的存在是一个重要的生物标志物。临床前研究表明，</w:t>
      </w:r>
      <w:r w:rsidRPr="001063B2">
        <w:rPr>
          <w:rFonts w:ascii="微软雅黑" w:eastAsia="微软雅黑" w:hAnsi="微软雅黑" w:cs="宋体"/>
          <w:i/>
          <w:iCs/>
          <w:kern w:val="0"/>
          <w:sz w:val="24"/>
          <w:szCs w:val="24"/>
        </w:rPr>
        <w:t>RB1</w:t>
      </w:r>
      <w:r w:rsidRPr="001063B2">
        <w:rPr>
          <w:rFonts w:ascii="微软雅黑" w:eastAsia="微软雅黑" w:hAnsi="微软雅黑" w:cs="宋体"/>
          <w:kern w:val="0"/>
          <w:sz w:val="24"/>
          <w:szCs w:val="24"/>
        </w:rPr>
        <w:t>的缺失与CDK4/6抑制剂的初始耐药相关，并且在长期暴露于帕博西尼或瑞博西尼的过程中， </w:t>
      </w:r>
      <w:r w:rsidRPr="001063B2">
        <w:rPr>
          <w:rFonts w:ascii="微软雅黑" w:eastAsia="微软雅黑" w:hAnsi="微软雅黑" w:cs="宋体"/>
          <w:i/>
          <w:iCs/>
          <w:kern w:val="0"/>
          <w:sz w:val="24"/>
          <w:szCs w:val="24"/>
        </w:rPr>
        <w:t>RB1</w:t>
      </w:r>
      <w:r w:rsidRPr="001063B2">
        <w:rPr>
          <w:rFonts w:ascii="微软雅黑" w:eastAsia="微软雅黑" w:hAnsi="微软雅黑" w:cs="宋体"/>
          <w:kern w:val="0"/>
          <w:sz w:val="24"/>
          <w:szCs w:val="24"/>
        </w:rPr>
        <w:t>的丢失已被证实与获得性耐药相关。此外，在循环肿瘤DNA（</w:t>
      </w:r>
      <w:proofErr w:type="spellStart"/>
      <w:r w:rsidRPr="001063B2">
        <w:rPr>
          <w:rFonts w:ascii="微软雅黑" w:eastAsia="微软雅黑" w:hAnsi="微软雅黑" w:cs="宋体"/>
          <w:kern w:val="0"/>
          <w:sz w:val="24"/>
          <w:szCs w:val="24"/>
        </w:rPr>
        <w:t>ctDNA</w:t>
      </w:r>
      <w:proofErr w:type="spellEnd"/>
      <w:r w:rsidRPr="001063B2">
        <w:rPr>
          <w:rFonts w:ascii="微软雅黑" w:eastAsia="微软雅黑" w:hAnsi="微软雅黑" w:cs="宋体"/>
          <w:kern w:val="0"/>
          <w:sz w:val="24"/>
          <w:szCs w:val="24"/>
        </w:rPr>
        <w:t>）中检测到的RB1获得性突变也与接受CDK4/6抑制剂治疗的乳腺癌患者的临床耐药相关[ </w:t>
      </w:r>
      <w:hyperlink r:id="rId152" w:anchor="B124-ijms-21-06479" w:history="1">
        <w:r w:rsidRPr="001063B2">
          <w:rPr>
            <w:rFonts w:ascii="微软雅黑" w:eastAsia="微软雅黑" w:hAnsi="微软雅黑" w:cs="宋体"/>
            <w:kern w:val="0"/>
            <w:sz w:val="24"/>
            <w:szCs w:val="24"/>
            <w:u w:val="single"/>
          </w:rPr>
          <w:t>124</w:t>
        </w:r>
      </w:hyperlink>
      <w:r w:rsidRPr="001063B2">
        <w:rPr>
          <w:rFonts w:ascii="微软雅黑" w:eastAsia="微软雅黑" w:hAnsi="微软雅黑" w:cs="宋体"/>
          <w:kern w:val="0"/>
          <w:sz w:val="24"/>
          <w:szCs w:val="24"/>
        </w:rPr>
        <w:t> , </w:t>
      </w:r>
      <w:hyperlink r:id="rId153" w:anchor="B125-ijms-21-06479" w:history="1">
        <w:r w:rsidRPr="001063B2">
          <w:rPr>
            <w:rFonts w:ascii="微软雅黑" w:eastAsia="微软雅黑" w:hAnsi="微软雅黑" w:cs="宋体"/>
            <w:kern w:val="0"/>
            <w:sz w:val="24"/>
            <w:szCs w:val="24"/>
            <w:u w:val="single"/>
          </w:rPr>
          <w:t>125</w:t>
        </w:r>
      </w:hyperlink>
      <w:r w:rsidRPr="001063B2">
        <w:rPr>
          <w:rFonts w:ascii="微软雅黑" w:eastAsia="微软雅黑" w:hAnsi="微软雅黑" w:cs="宋体"/>
          <w:kern w:val="0"/>
          <w:sz w:val="24"/>
          <w:szCs w:val="24"/>
        </w:rPr>
        <w:t> , </w:t>
      </w:r>
      <w:hyperlink r:id="rId154" w:anchor="B126-ijms-21-06479" w:history="1">
        <w:r w:rsidRPr="001063B2">
          <w:rPr>
            <w:rFonts w:ascii="微软雅黑" w:eastAsia="微软雅黑" w:hAnsi="微软雅黑" w:cs="宋体"/>
            <w:kern w:val="0"/>
            <w:sz w:val="24"/>
            <w:szCs w:val="24"/>
            <w:u w:val="single"/>
          </w:rPr>
          <w:t>126</w:t>
        </w:r>
      </w:hyperlink>
      <w:r w:rsidRPr="001063B2">
        <w:rPr>
          <w:rFonts w:ascii="微软雅黑" w:eastAsia="微软雅黑" w:hAnsi="微软雅黑" w:cs="宋体"/>
          <w:kern w:val="0"/>
          <w:sz w:val="24"/>
          <w:szCs w:val="24"/>
        </w:rPr>
        <w:t> , </w:t>
      </w:r>
      <w:hyperlink r:id="rId155" w:anchor="B127-ijms-21-06479" w:history="1">
        <w:r w:rsidRPr="001063B2">
          <w:rPr>
            <w:rFonts w:ascii="微软雅黑" w:eastAsia="微软雅黑" w:hAnsi="微软雅黑" w:cs="宋体"/>
            <w:kern w:val="0"/>
            <w:sz w:val="24"/>
            <w:szCs w:val="24"/>
            <w:u w:val="single"/>
          </w:rPr>
          <w:t>127</w:t>
        </w:r>
      </w:hyperlink>
      <w:r w:rsidRPr="001063B2">
        <w:rPr>
          <w:rFonts w:ascii="微软雅黑" w:eastAsia="微软雅黑" w:hAnsi="微软雅黑" w:cs="宋体"/>
          <w:kern w:val="0"/>
          <w:sz w:val="24"/>
          <w:szCs w:val="24"/>
        </w:rPr>
        <w:t> ]。细胞周期蛋白E/CDK2复合物也可能作为生物标志物，PALOMA-2和PALOMA-3研究的分析表明，细胞周期蛋白E1（</w:t>
      </w:r>
      <w:r w:rsidRPr="001063B2">
        <w:rPr>
          <w:rFonts w:ascii="微软雅黑" w:eastAsia="微软雅黑" w:hAnsi="微软雅黑" w:cs="宋体"/>
          <w:i/>
          <w:iCs/>
          <w:kern w:val="0"/>
          <w:sz w:val="24"/>
          <w:szCs w:val="24"/>
        </w:rPr>
        <w:t>CCNE1</w:t>
      </w:r>
      <w:r w:rsidRPr="001063B2">
        <w:rPr>
          <w:rFonts w:ascii="微软雅黑" w:eastAsia="微软雅黑" w:hAnsi="微软雅黑" w:cs="宋体"/>
          <w:kern w:val="0"/>
          <w:sz w:val="24"/>
          <w:szCs w:val="24"/>
        </w:rPr>
        <w:t>）mRNA的</w:t>
      </w:r>
      <w:proofErr w:type="gramStart"/>
      <w:r w:rsidRPr="001063B2">
        <w:rPr>
          <w:rFonts w:ascii="微软雅黑" w:eastAsia="微软雅黑" w:hAnsi="微软雅黑" w:cs="宋体"/>
          <w:kern w:val="0"/>
          <w:sz w:val="24"/>
          <w:szCs w:val="24"/>
        </w:rPr>
        <w:t>高表达</w:t>
      </w:r>
      <w:proofErr w:type="gramEnd"/>
      <w:r w:rsidRPr="001063B2">
        <w:rPr>
          <w:rFonts w:ascii="微软雅黑" w:eastAsia="微软雅黑" w:hAnsi="微软雅黑" w:cs="宋体"/>
          <w:kern w:val="0"/>
          <w:sz w:val="24"/>
          <w:szCs w:val="24"/>
        </w:rPr>
        <w:t>与既往接受过治疗的患者（PALOMA-3队列）的无进展生存期（PFS）缩短相关，但在</w:t>
      </w:r>
      <w:proofErr w:type="gramStart"/>
      <w:r w:rsidRPr="001063B2">
        <w:rPr>
          <w:rFonts w:ascii="微软雅黑" w:eastAsia="微软雅黑" w:hAnsi="微软雅黑" w:cs="宋体"/>
          <w:kern w:val="0"/>
          <w:sz w:val="24"/>
          <w:szCs w:val="24"/>
        </w:rPr>
        <w:t>既往未</w:t>
      </w:r>
      <w:proofErr w:type="gramEnd"/>
      <w:r w:rsidRPr="001063B2">
        <w:rPr>
          <w:rFonts w:ascii="微软雅黑" w:eastAsia="微软雅黑" w:hAnsi="微软雅黑" w:cs="宋体"/>
          <w:kern w:val="0"/>
          <w:sz w:val="24"/>
          <w:szCs w:val="24"/>
        </w:rPr>
        <w:t>接受过治疗的患者（PALOMA-2队列）中则无此关联[ </w:t>
      </w:r>
      <w:hyperlink r:id="rId156" w:anchor="B128-ijms-21-06479" w:history="1">
        <w:r w:rsidRPr="001063B2">
          <w:rPr>
            <w:rFonts w:ascii="微软雅黑" w:eastAsia="微软雅黑" w:hAnsi="微软雅黑" w:cs="宋体"/>
            <w:kern w:val="0"/>
            <w:sz w:val="24"/>
            <w:szCs w:val="24"/>
            <w:u w:val="single"/>
          </w:rPr>
          <w:t>128</w:t>
        </w:r>
      </w:hyperlink>
      <w:r w:rsidRPr="001063B2">
        <w:rPr>
          <w:rFonts w:ascii="微软雅黑" w:eastAsia="微软雅黑" w:hAnsi="微软雅黑" w:cs="宋体"/>
          <w:kern w:val="0"/>
          <w:sz w:val="24"/>
          <w:szCs w:val="24"/>
        </w:rPr>
        <w:t> , </w:t>
      </w:r>
      <w:hyperlink r:id="rId157" w:anchor="B129-ijms-21-06479" w:history="1">
        <w:r w:rsidRPr="001063B2">
          <w:rPr>
            <w:rFonts w:ascii="微软雅黑" w:eastAsia="微软雅黑" w:hAnsi="微软雅黑" w:cs="宋体"/>
            <w:kern w:val="0"/>
            <w:sz w:val="24"/>
            <w:szCs w:val="24"/>
            <w:u w:val="single"/>
          </w:rPr>
          <w:t>129</w:t>
        </w:r>
      </w:hyperlink>
      <w:r w:rsidRPr="001063B2">
        <w:rPr>
          <w:rFonts w:ascii="微软雅黑" w:eastAsia="微软雅黑" w:hAnsi="微软雅黑" w:cs="宋体"/>
          <w:kern w:val="0"/>
          <w:sz w:val="24"/>
          <w:szCs w:val="24"/>
        </w:rPr>
        <w:t> ]。获得性CDK6扩增通过降低雌激素受体（ER）的表达促进CDK4/6抑制剂耐药[ </w:t>
      </w:r>
      <w:hyperlink r:id="rId158" w:anchor="B130-ijms-21-06479" w:history="1">
        <w:r w:rsidRPr="001063B2">
          <w:rPr>
            <w:rFonts w:ascii="微软雅黑" w:eastAsia="微软雅黑" w:hAnsi="微软雅黑" w:cs="宋体"/>
            <w:kern w:val="0"/>
            <w:sz w:val="24"/>
            <w:szCs w:val="24"/>
            <w:u w:val="single"/>
          </w:rPr>
          <w:t>130</w:t>
        </w:r>
      </w:hyperlink>
      <w:r w:rsidRPr="001063B2">
        <w:rPr>
          <w:rFonts w:ascii="微软雅黑" w:eastAsia="微软雅黑" w:hAnsi="微软雅黑" w:cs="宋体"/>
          <w:kern w:val="0"/>
          <w:sz w:val="24"/>
          <w:szCs w:val="24"/>
        </w:rPr>
        <w:t> ]。p16扩增作为生物标志物的作用仍存在争议，因为PALOMA-1、PALOMA-2和PALOMA-3的生物标志物分析结果显示，p16/CCND1队列与未选择队列相比，PFS方面无显著差异[ </w:t>
      </w:r>
      <w:hyperlink r:id="rId159" w:anchor="B128-ijms-21-06479" w:history="1">
        <w:r w:rsidRPr="001063B2">
          <w:rPr>
            <w:rFonts w:ascii="微软雅黑" w:eastAsia="微软雅黑" w:hAnsi="微软雅黑" w:cs="宋体"/>
            <w:kern w:val="0"/>
            <w:sz w:val="24"/>
            <w:szCs w:val="24"/>
            <w:u w:val="single"/>
          </w:rPr>
          <w:t>128</w:t>
        </w:r>
      </w:hyperlink>
      <w:r w:rsidRPr="001063B2">
        <w:rPr>
          <w:rFonts w:ascii="微软雅黑" w:eastAsia="微软雅黑" w:hAnsi="微软雅黑" w:cs="宋体"/>
          <w:kern w:val="0"/>
          <w:sz w:val="24"/>
          <w:szCs w:val="24"/>
        </w:rPr>
        <w:t> , </w:t>
      </w:r>
      <w:hyperlink r:id="rId160" w:anchor="B129-ijms-21-06479" w:history="1">
        <w:r w:rsidRPr="001063B2">
          <w:rPr>
            <w:rFonts w:ascii="微软雅黑" w:eastAsia="微软雅黑" w:hAnsi="微软雅黑" w:cs="宋体"/>
            <w:kern w:val="0"/>
            <w:sz w:val="24"/>
            <w:szCs w:val="24"/>
            <w:u w:val="single"/>
          </w:rPr>
          <w:t>129</w:t>
        </w:r>
      </w:hyperlink>
      <w:r w:rsidRPr="001063B2">
        <w:rPr>
          <w:rFonts w:ascii="微软雅黑" w:eastAsia="微软雅黑" w:hAnsi="微软雅黑" w:cs="宋体"/>
          <w:kern w:val="0"/>
          <w:sz w:val="24"/>
          <w:szCs w:val="24"/>
        </w:rPr>
        <w:t> , </w:t>
      </w:r>
      <w:hyperlink r:id="rId161" w:anchor="B131-ijms-21-06479" w:history="1">
        <w:r w:rsidRPr="001063B2">
          <w:rPr>
            <w:rFonts w:ascii="微软雅黑" w:eastAsia="微软雅黑" w:hAnsi="微软雅黑" w:cs="宋体"/>
            <w:kern w:val="0"/>
            <w:sz w:val="24"/>
            <w:szCs w:val="24"/>
            <w:u w:val="single"/>
          </w:rPr>
          <w:t>131</w:t>
        </w:r>
      </w:hyperlink>
      <w:r w:rsidRPr="001063B2">
        <w:rPr>
          <w:rFonts w:ascii="微软雅黑" w:eastAsia="微软雅黑" w:hAnsi="微软雅黑" w:cs="宋体"/>
          <w:kern w:val="0"/>
          <w:sz w:val="24"/>
          <w:szCs w:val="24"/>
        </w:rPr>
        <w:t> ]。</w:t>
      </w:r>
    </w:p>
    <w:p w14:paraId="46A4EBFB"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上游信号转导的改变也可能参与促进对 CDK4/6 抑制剂的耐药性；</w:t>
      </w:r>
      <w:r w:rsidRPr="001063B2">
        <w:rPr>
          <w:rFonts w:ascii="微软雅黑" w:eastAsia="微软雅黑" w:hAnsi="微软雅黑" w:cs="宋体"/>
          <w:i/>
          <w:iCs/>
          <w:kern w:val="0"/>
          <w:sz w:val="24"/>
          <w:szCs w:val="24"/>
        </w:rPr>
        <w:t>AKT1、KRAS、HRAS、NRAS、FGFR2</w:t>
      </w:r>
      <w:r w:rsidRPr="001063B2">
        <w:rPr>
          <w:rFonts w:ascii="微软雅黑" w:eastAsia="微软雅黑" w:hAnsi="微软雅黑" w:cs="宋体"/>
          <w:kern w:val="0"/>
          <w:sz w:val="24"/>
          <w:szCs w:val="24"/>
        </w:rPr>
        <w:t>和</w:t>
      </w:r>
      <w:r w:rsidRPr="001063B2">
        <w:rPr>
          <w:rFonts w:ascii="微软雅黑" w:eastAsia="微软雅黑" w:hAnsi="微软雅黑" w:cs="宋体"/>
          <w:i/>
          <w:iCs/>
          <w:kern w:val="0"/>
          <w:sz w:val="24"/>
          <w:szCs w:val="24"/>
        </w:rPr>
        <w:t>ERBB2</w:t>
      </w:r>
      <w:r w:rsidRPr="001063B2">
        <w:rPr>
          <w:rFonts w:ascii="微软雅黑" w:eastAsia="微软雅黑" w:hAnsi="微软雅黑" w:cs="宋体"/>
          <w:kern w:val="0"/>
          <w:sz w:val="24"/>
          <w:szCs w:val="24"/>
        </w:rPr>
        <w:t>的改变与肿瘤标本的全外显子组分析中 CDK4/6 抑制剂耐药性和/或抗雌激素耐药性相关 [ </w:t>
      </w:r>
      <w:hyperlink r:id="rId162" w:anchor="B132-ijms-21-06479" w:history="1">
        <w:r w:rsidRPr="001063B2">
          <w:rPr>
            <w:rFonts w:ascii="微软雅黑" w:eastAsia="微软雅黑" w:hAnsi="微软雅黑" w:cs="宋体"/>
            <w:kern w:val="0"/>
            <w:sz w:val="24"/>
            <w:szCs w:val="24"/>
            <w:u w:val="single"/>
          </w:rPr>
          <w:t>132</w:t>
        </w:r>
      </w:hyperlink>
      <w:r w:rsidRPr="001063B2">
        <w:rPr>
          <w:rFonts w:ascii="微软雅黑" w:eastAsia="微软雅黑" w:hAnsi="微软雅黑" w:cs="宋体"/>
          <w:kern w:val="0"/>
          <w:sz w:val="24"/>
          <w:szCs w:val="24"/>
        </w:rPr>
        <w:t> ]。此外，ERBB2 的点突变与帕博西尼和抗雌激素耐药性相关；这种耐药性在体外可通过添加 HER2 激酶抑制</w:t>
      </w:r>
      <w:proofErr w:type="gramStart"/>
      <w:r w:rsidRPr="001063B2">
        <w:rPr>
          <w:rFonts w:ascii="微软雅黑" w:eastAsia="微软雅黑" w:hAnsi="微软雅黑" w:cs="宋体"/>
          <w:kern w:val="0"/>
          <w:sz w:val="24"/>
          <w:szCs w:val="24"/>
        </w:rPr>
        <w:t>剂奈拉替尼</w:t>
      </w:r>
      <w:proofErr w:type="gramEnd"/>
      <w:r w:rsidRPr="001063B2">
        <w:rPr>
          <w:rFonts w:ascii="微软雅黑" w:eastAsia="微软雅黑" w:hAnsi="微软雅黑" w:cs="宋体"/>
          <w:kern w:val="0"/>
          <w:sz w:val="24"/>
          <w:szCs w:val="24"/>
        </w:rPr>
        <w:t>逆转 [ </w:t>
      </w:r>
      <w:hyperlink r:id="rId163" w:anchor="B133-ijms-21-06479" w:history="1">
        <w:r w:rsidRPr="001063B2">
          <w:rPr>
            <w:rFonts w:ascii="微软雅黑" w:eastAsia="微软雅黑" w:hAnsi="微软雅黑" w:cs="宋体"/>
            <w:kern w:val="0"/>
            <w:sz w:val="24"/>
            <w:szCs w:val="24"/>
            <w:u w:val="single"/>
          </w:rPr>
          <w:t>133</w:t>
        </w:r>
      </w:hyperlink>
      <w:r w:rsidRPr="001063B2">
        <w:rPr>
          <w:rFonts w:ascii="微软雅黑" w:eastAsia="微软雅黑" w:hAnsi="微软雅黑" w:cs="宋体"/>
          <w:kern w:val="0"/>
          <w:sz w:val="24"/>
          <w:szCs w:val="24"/>
        </w:rPr>
        <w:t> , </w:t>
      </w:r>
      <w:hyperlink r:id="rId164" w:anchor="B134-ijms-21-06479" w:history="1">
        <w:r w:rsidRPr="001063B2">
          <w:rPr>
            <w:rFonts w:ascii="微软雅黑" w:eastAsia="微软雅黑" w:hAnsi="微软雅黑" w:cs="宋体"/>
            <w:kern w:val="0"/>
            <w:sz w:val="24"/>
            <w:szCs w:val="24"/>
            <w:u w:val="single"/>
          </w:rPr>
          <w:t>134</w:t>
        </w:r>
      </w:hyperlink>
      <w:r w:rsidRPr="001063B2">
        <w:rPr>
          <w:rFonts w:ascii="微软雅黑" w:eastAsia="微软雅黑" w:hAnsi="微软雅黑" w:cs="宋体"/>
          <w:kern w:val="0"/>
          <w:sz w:val="24"/>
          <w:szCs w:val="24"/>
        </w:rPr>
        <w:t> ]。前瞻性药物遗传学研究 ECLIPS 正在鉴定帕博西尼联合内分泌治疗的预测性生物标志物；结果显示，胸</w:t>
      </w:r>
      <w:proofErr w:type="gramStart"/>
      <w:r w:rsidRPr="001063B2">
        <w:rPr>
          <w:rFonts w:ascii="微软雅黑" w:eastAsia="微软雅黑" w:hAnsi="微软雅黑" w:cs="宋体"/>
          <w:kern w:val="0"/>
          <w:sz w:val="24"/>
          <w:szCs w:val="24"/>
        </w:rPr>
        <w:t>苷</w:t>
      </w:r>
      <w:proofErr w:type="gramEnd"/>
      <w:r w:rsidRPr="001063B2">
        <w:rPr>
          <w:rFonts w:ascii="微软雅黑" w:eastAsia="微软雅黑" w:hAnsi="微软雅黑" w:cs="宋体"/>
          <w:kern w:val="0"/>
          <w:sz w:val="24"/>
          <w:szCs w:val="24"/>
        </w:rPr>
        <w:t xml:space="preserve">激酶-1 (TK1) 是 S/G2 </w:t>
      </w:r>
      <w:proofErr w:type="gramStart"/>
      <w:r w:rsidRPr="001063B2">
        <w:rPr>
          <w:rFonts w:ascii="微软雅黑" w:eastAsia="微软雅黑" w:hAnsi="微软雅黑" w:cs="宋体"/>
          <w:kern w:val="0"/>
          <w:sz w:val="24"/>
          <w:szCs w:val="24"/>
        </w:rPr>
        <w:t>期关键</w:t>
      </w:r>
      <w:proofErr w:type="gramEnd"/>
      <w:r w:rsidRPr="001063B2">
        <w:rPr>
          <w:rFonts w:ascii="微软雅黑" w:eastAsia="微软雅黑" w:hAnsi="微软雅黑" w:cs="宋体"/>
          <w:kern w:val="0"/>
          <w:sz w:val="24"/>
          <w:szCs w:val="24"/>
        </w:rPr>
        <w:t xml:space="preserve">调控因子，在疾病进展患者治疗前与治疗 3 </w:t>
      </w:r>
      <w:proofErr w:type="gramStart"/>
      <w:r w:rsidRPr="001063B2">
        <w:rPr>
          <w:rFonts w:ascii="微软雅黑" w:eastAsia="微软雅黑" w:hAnsi="微软雅黑" w:cs="宋体"/>
          <w:kern w:val="0"/>
          <w:sz w:val="24"/>
          <w:szCs w:val="24"/>
        </w:rPr>
        <w:t>个</w:t>
      </w:r>
      <w:proofErr w:type="gramEnd"/>
      <w:r w:rsidRPr="001063B2">
        <w:rPr>
          <w:rFonts w:ascii="微软雅黑" w:eastAsia="微软雅黑" w:hAnsi="微软雅黑" w:cs="宋体"/>
          <w:kern w:val="0"/>
          <w:sz w:val="24"/>
          <w:szCs w:val="24"/>
        </w:rPr>
        <w:t xml:space="preserve">月后相比显著升高，提示 TIK1 mRNA 拷贝数/mL 可能与 CDK4/6 抑制剂的获得性耐药相关 </w:t>
      </w:r>
      <w:r w:rsidRPr="001063B2">
        <w:rPr>
          <w:rFonts w:ascii="微软雅黑" w:eastAsia="微软雅黑" w:hAnsi="微软雅黑" w:cs="宋体"/>
          <w:kern w:val="0"/>
          <w:sz w:val="24"/>
          <w:szCs w:val="24"/>
        </w:rPr>
        <w:lastRenderedPageBreak/>
        <w:t>[ </w:t>
      </w:r>
      <w:hyperlink r:id="rId165" w:anchor="B135-ijms-21-06479" w:history="1">
        <w:r w:rsidRPr="001063B2">
          <w:rPr>
            <w:rFonts w:ascii="微软雅黑" w:eastAsia="微软雅黑" w:hAnsi="微软雅黑" w:cs="宋体"/>
            <w:kern w:val="0"/>
            <w:sz w:val="24"/>
            <w:szCs w:val="24"/>
            <w:u w:val="single"/>
          </w:rPr>
          <w:t>135</w:t>
        </w:r>
      </w:hyperlink>
      <w:r w:rsidRPr="001063B2">
        <w:rPr>
          <w:rFonts w:ascii="微软雅黑" w:eastAsia="微软雅黑" w:hAnsi="微软雅黑" w:cs="宋体"/>
          <w:kern w:val="0"/>
          <w:sz w:val="24"/>
          <w:szCs w:val="24"/>
        </w:rPr>
        <w:t xml:space="preserve"> ]。对 348 例 HR 阳性 HER2 阴性转移性乳腺癌样本的基因分析结果显示，FAT1（一种属于 </w:t>
      </w:r>
      <w:proofErr w:type="spellStart"/>
      <w:r w:rsidRPr="001063B2">
        <w:rPr>
          <w:rFonts w:ascii="微软雅黑" w:eastAsia="微软雅黑" w:hAnsi="微软雅黑" w:cs="宋体"/>
          <w:kern w:val="0"/>
          <w:sz w:val="24"/>
          <w:szCs w:val="24"/>
        </w:rPr>
        <w:t>chaderin</w:t>
      </w:r>
      <w:proofErr w:type="spellEnd"/>
      <w:r w:rsidRPr="001063B2">
        <w:rPr>
          <w:rFonts w:ascii="微软雅黑" w:eastAsia="微软雅黑" w:hAnsi="微软雅黑" w:cs="宋体"/>
          <w:kern w:val="0"/>
          <w:sz w:val="24"/>
          <w:szCs w:val="24"/>
        </w:rPr>
        <w:t xml:space="preserve"> 家族的肿瘤抑制因子，可通过 Hippo 通路上调 CDK6 的表达）的缺失与较短的无进展生存期 (PFS) 相关，提示其可能作为 CDK4/6 抑制剂耐药的预测因子 [ </w:t>
      </w:r>
      <w:hyperlink r:id="rId166" w:anchor="B136-ijms-21-06479" w:history="1">
        <w:r w:rsidRPr="001063B2">
          <w:rPr>
            <w:rFonts w:ascii="微软雅黑" w:eastAsia="微软雅黑" w:hAnsi="微软雅黑" w:cs="宋体"/>
            <w:kern w:val="0"/>
            <w:sz w:val="24"/>
            <w:szCs w:val="24"/>
            <w:u w:val="single"/>
          </w:rPr>
          <w:t>136</w:t>
        </w:r>
      </w:hyperlink>
      <w:r w:rsidRPr="001063B2">
        <w:rPr>
          <w:rFonts w:ascii="微软雅黑" w:eastAsia="微软雅黑" w:hAnsi="微软雅黑" w:cs="宋体"/>
          <w:kern w:val="0"/>
          <w:sz w:val="24"/>
          <w:szCs w:val="24"/>
        </w:rPr>
        <w:t> ]。</w:t>
      </w:r>
    </w:p>
    <w:p w14:paraId="3FFDCA2F"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最后，正在进行的</w:t>
      </w:r>
      <w:proofErr w:type="spellStart"/>
      <w:r w:rsidRPr="001063B2">
        <w:rPr>
          <w:rFonts w:ascii="微软雅黑" w:eastAsia="微软雅黑" w:hAnsi="微软雅黑" w:cs="宋体"/>
          <w:kern w:val="0"/>
          <w:sz w:val="24"/>
          <w:szCs w:val="24"/>
        </w:rPr>
        <w:t>IIIb</w:t>
      </w:r>
      <w:proofErr w:type="spellEnd"/>
      <w:r w:rsidRPr="001063B2">
        <w:rPr>
          <w:rFonts w:ascii="微软雅黑" w:eastAsia="微软雅黑" w:hAnsi="微软雅黑" w:cs="宋体"/>
          <w:kern w:val="0"/>
          <w:sz w:val="24"/>
          <w:szCs w:val="24"/>
        </w:rPr>
        <w:t>期临床试验</w:t>
      </w:r>
      <w:proofErr w:type="spellStart"/>
      <w:r w:rsidRPr="001063B2">
        <w:rPr>
          <w:rFonts w:ascii="微软雅黑" w:eastAsia="微软雅黑" w:hAnsi="微软雅黑" w:cs="宋体"/>
          <w:kern w:val="0"/>
          <w:sz w:val="24"/>
          <w:szCs w:val="24"/>
        </w:rPr>
        <w:t>Bioitalee</w:t>
      </w:r>
      <w:proofErr w:type="spellEnd"/>
      <w:r w:rsidRPr="001063B2">
        <w:rPr>
          <w:rFonts w:ascii="微软雅黑" w:eastAsia="微软雅黑" w:hAnsi="微软雅黑" w:cs="宋体"/>
          <w:kern w:val="0"/>
          <w:sz w:val="24"/>
          <w:szCs w:val="24"/>
        </w:rPr>
        <w:t>（</w:t>
      </w:r>
      <w:hyperlink r:id="rId167" w:tgtFrame="_blank" w:history="1">
        <w:r w:rsidRPr="001063B2">
          <w:rPr>
            <w:rFonts w:ascii="微软雅黑" w:eastAsia="微软雅黑" w:hAnsi="微软雅黑" w:cs="宋体"/>
            <w:kern w:val="0"/>
            <w:sz w:val="24"/>
            <w:szCs w:val="24"/>
            <w:u w:val="single"/>
          </w:rPr>
          <w:t>NCT03439046</w:t>
        </w:r>
      </w:hyperlink>
      <w:r w:rsidRPr="001063B2">
        <w:rPr>
          <w:rFonts w:ascii="微软雅黑" w:eastAsia="微软雅黑" w:hAnsi="微软雅黑" w:cs="宋体"/>
          <w:kern w:val="0"/>
          <w:sz w:val="24"/>
          <w:szCs w:val="24"/>
        </w:rPr>
        <w:t>）正在研究</w:t>
      </w:r>
      <w:proofErr w:type="spellStart"/>
      <w:r w:rsidRPr="001063B2">
        <w:rPr>
          <w:rFonts w:ascii="微软雅黑" w:eastAsia="微软雅黑" w:hAnsi="微软雅黑" w:cs="宋体"/>
          <w:kern w:val="0"/>
          <w:sz w:val="24"/>
          <w:szCs w:val="24"/>
        </w:rPr>
        <w:t>ctDNA</w:t>
      </w:r>
      <w:proofErr w:type="spellEnd"/>
      <w:r w:rsidRPr="001063B2">
        <w:rPr>
          <w:rFonts w:ascii="微软雅黑" w:eastAsia="微软雅黑" w:hAnsi="微软雅黑" w:cs="宋体"/>
          <w:kern w:val="0"/>
          <w:sz w:val="24"/>
          <w:szCs w:val="24"/>
        </w:rPr>
        <w:t>改变及其在接受</w:t>
      </w:r>
      <w:proofErr w:type="spellStart"/>
      <w:r w:rsidRPr="001063B2">
        <w:rPr>
          <w:rFonts w:ascii="微软雅黑" w:eastAsia="微软雅黑" w:hAnsi="微软雅黑" w:cs="宋体"/>
          <w:kern w:val="0"/>
          <w:sz w:val="24"/>
          <w:szCs w:val="24"/>
        </w:rPr>
        <w:t>ribociclib</w:t>
      </w:r>
      <w:proofErr w:type="spellEnd"/>
      <w:r w:rsidRPr="001063B2">
        <w:rPr>
          <w:rFonts w:ascii="微软雅黑" w:eastAsia="微软雅黑" w:hAnsi="微软雅黑" w:cs="宋体"/>
          <w:kern w:val="0"/>
          <w:sz w:val="24"/>
          <w:szCs w:val="24"/>
        </w:rPr>
        <w:t>和来曲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一线治疗期间的演变：该研究共纳入287例绝经后患者，其中271例患者的样本适合进行初步生物标志物分析。主要结果显示，最常发生改变的基因包括</w:t>
      </w:r>
      <w:r w:rsidRPr="001063B2">
        <w:rPr>
          <w:rFonts w:ascii="微软雅黑" w:eastAsia="微软雅黑" w:hAnsi="微软雅黑" w:cs="宋体"/>
          <w:i/>
          <w:iCs/>
          <w:kern w:val="0"/>
          <w:sz w:val="24"/>
          <w:szCs w:val="24"/>
        </w:rPr>
        <w:t>PIK3CA</w:t>
      </w:r>
      <w:r w:rsidRPr="001063B2">
        <w:rPr>
          <w:rFonts w:ascii="微软雅黑" w:eastAsia="微软雅黑" w:hAnsi="微软雅黑" w:cs="宋体"/>
          <w:kern w:val="0"/>
          <w:sz w:val="24"/>
          <w:szCs w:val="24"/>
        </w:rPr>
        <w:t>（22.14%）、</w:t>
      </w:r>
      <w:r w:rsidRPr="001063B2">
        <w:rPr>
          <w:rFonts w:ascii="微软雅黑" w:eastAsia="微软雅黑" w:hAnsi="微软雅黑" w:cs="宋体"/>
          <w:i/>
          <w:iCs/>
          <w:kern w:val="0"/>
          <w:sz w:val="24"/>
          <w:szCs w:val="24"/>
        </w:rPr>
        <w:t>TP53</w:t>
      </w:r>
      <w:r w:rsidRPr="001063B2">
        <w:rPr>
          <w:rFonts w:ascii="微软雅黑" w:eastAsia="微软雅黑" w:hAnsi="微软雅黑" w:cs="宋体"/>
          <w:kern w:val="0"/>
          <w:sz w:val="24"/>
          <w:szCs w:val="24"/>
        </w:rPr>
        <w:t>（15.50%）、</w:t>
      </w:r>
      <w:r w:rsidRPr="001063B2">
        <w:rPr>
          <w:rFonts w:ascii="微软雅黑" w:eastAsia="微软雅黑" w:hAnsi="微软雅黑" w:cs="宋体"/>
          <w:i/>
          <w:iCs/>
          <w:kern w:val="0"/>
          <w:sz w:val="24"/>
          <w:szCs w:val="24"/>
        </w:rPr>
        <w:t>FGFR1</w:t>
      </w:r>
      <w:r w:rsidRPr="001063B2">
        <w:rPr>
          <w:rFonts w:ascii="微软雅黑" w:eastAsia="微软雅黑" w:hAnsi="微软雅黑" w:cs="宋体"/>
          <w:kern w:val="0"/>
          <w:sz w:val="24"/>
          <w:szCs w:val="24"/>
        </w:rPr>
        <w:t>（6.64%）、</w:t>
      </w:r>
      <w:r w:rsidRPr="001063B2">
        <w:rPr>
          <w:rFonts w:ascii="微软雅黑" w:eastAsia="微软雅黑" w:hAnsi="微软雅黑" w:cs="宋体"/>
          <w:i/>
          <w:iCs/>
          <w:kern w:val="0"/>
          <w:sz w:val="24"/>
          <w:szCs w:val="24"/>
        </w:rPr>
        <w:t>CCND1</w:t>
      </w:r>
      <w:r w:rsidRPr="001063B2">
        <w:rPr>
          <w:rFonts w:ascii="微软雅黑" w:eastAsia="微软雅黑" w:hAnsi="微软雅黑" w:cs="宋体"/>
          <w:kern w:val="0"/>
          <w:sz w:val="24"/>
          <w:szCs w:val="24"/>
        </w:rPr>
        <w:t>（4.80%）、</w:t>
      </w:r>
      <w:r w:rsidRPr="001063B2">
        <w:rPr>
          <w:rFonts w:ascii="微软雅黑" w:eastAsia="微软雅黑" w:hAnsi="微软雅黑" w:cs="宋体"/>
          <w:i/>
          <w:iCs/>
          <w:kern w:val="0"/>
          <w:sz w:val="24"/>
          <w:szCs w:val="24"/>
        </w:rPr>
        <w:t>CCND2</w:t>
      </w:r>
      <w:r w:rsidRPr="001063B2">
        <w:rPr>
          <w:rFonts w:ascii="微软雅黑" w:eastAsia="微软雅黑" w:hAnsi="微软雅黑" w:cs="宋体"/>
          <w:kern w:val="0"/>
          <w:sz w:val="24"/>
          <w:szCs w:val="24"/>
        </w:rPr>
        <w:t>（4.80%）、</w:t>
      </w:r>
      <w:r w:rsidRPr="001063B2">
        <w:rPr>
          <w:rFonts w:ascii="微软雅黑" w:eastAsia="微软雅黑" w:hAnsi="微软雅黑" w:cs="宋体"/>
          <w:i/>
          <w:iCs/>
          <w:kern w:val="0"/>
          <w:sz w:val="24"/>
          <w:szCs w:val="24"/>
        </w:rPr>
        <w:t>KMT2C</w:t>
      </w:r>
      <w:r w:rsidRPr="001063B2">
        <w:rPr>
          <w:rFonts w:ascii="微软雅黑" w:eastAsia="微软雅黑" w:hAnsi="微软雅黑" w:cs="宋体"/>
          <w:kern w:val="0"/>
          <w:sz w:val="24"/>
          <w:szCs w:val="24"/>
        </w:rPr>
        <w:t>（4.43%）、</w:t>
      </w:r>
      <w:r w:rsidRPr="001063B2">
        <w:rPr>
          <w:rFonts w:ascii="微软雅黑" w:eastAsia="微软雅黑" w:hAnsi="微软雅黑" w:cs="宋体"/>
          <w:i/>
          <w:iCs/>
          <w:kern w:val="0"/>
          <w:sz w:val="24"/>
          <w:szCs w:val="24"/>
        </w:rPr>
        <w:t>MYC （4.06%）、 CDK4</w:t>
      </w:r>
      <w:r w:rsidRPr="001063B2">
        <w:rPr>
          <w:rFonts w:ascii="微软雅黑" w:eastAsia="微软雅黑" w:hAnsi="微软雅黑" w:cs="宋体"/>
          <w:kern w:val="0"/>
          <w:sz w:val="24"/>
          <w:szCs w:val="24"/>
        </w:rPr>
        <w:t>（3.69%）、</w:t>
      </w:r>
      <w:r w:rsidRPr="001063B2">
        <w:rPr>
          <w:rFonts w:ascii="微软雅黑" w:eastAsia="微软雅黑" w:hAnsi="微软雅黑" w:cs="宋体"/>
          <w:i/>
          <w:iCs/>
          <w:kern w:val="0"/>
          <w:sz w:val="24"/>
          <w:szCs w:val="24"/>
        </w:rPr>
        <w:t>AKT1</w:t>
      </w:r>
      <w:r w:rsidRPr="001063B2">
        <w:rPr>
          <w:rFonts w:ascii="微软雅黑" w:eastAsia="微软雅黑" w:hAnsi="微软雅黑" w:cs="宋体"/>
          <w:kern w:val="0"/>
          <w:sz w:val="24"/>
          <w:szCs w:val="24"/>
        </w:rPr>
        <w:t>（3.32%）、</w:t>
      </w:r>
      <w:r w:rsidRPr="001063B2">
        <w:rPr>
          <w:rFonts w:ascii="微软雅黑" w:eastAsia="微软雅黑" w:hAnsi="微软雅黑" w:cs="宋体"/>
          <w:i/>
          <w:iCs/>
          <w:kern w:val="0"/>
          <w:sz w:val="24"/>
          <w:szCs w:val="24"/>
        </w:rPr>
        <w:t>PTEN</w:t>
      </w:r>
      <w:r w:rsidRPr="001063B2">
        <w:rPr>
          <w:rFonts w:ascii="微软雅黑" w:eastAsia="微软雅黑" w:hAnsi="微软雅黑" w:cs="宋体"/>
          <w:kern w:val="0"/>
          <w:sz w:val="24"/>
          <w:szCs w:val="24"/>
        </w:rPr>
        <w:t>（3.32%）、</w:t>
      </w:r>
      <w:r w:rsidRPr="001063B2">
        <w:rPr>
          <w:rFonts w:ascii="微软雅黑" w:eastAsia="微软雅黑" w:hAnsi="微软雅黑" w:cs="宋体"/>
          <w:i/>
          <w:iCs/>
          <w:kern w:val="0"/>
          <w:sz w:val="24"/>
          <w:szCs w:val="24"/>
        </w:rPr>
        <w:t>ERBB2</w:t>
      </w:r>
      <w:r w:rsidRPr="001063B2">
        <w:rPr>
          <w:rFonts w:ascii="微软雅黑" w:eastAsia="微软雅黑" w:hAnsi="微软雅黑" w:cs="宋体"/>
          <w:kern w:val="0"/>
          <w:sz w:val="24"/>
          <w:szCs w:val="24"/>
        </w:rPr>
        <w:t>（2.58%）、</w:t>
      </w:r>
      <w:r w:rsidRPr="001063B2">
        <w:rPr>
          <w:rFonts w:ascii="微软雅黑" w:eastAsia="微软雅黑" w:hAnsi="微软雅黑" w:cs="宋体"/>
          <w:i/>
          <w:iCs/>
          <w:kern w:val="0"/>
          <w:sz w:val="24"/>
          <w:szCs w:val="24"/>
        </w:rPr>
        <w:t>CCND3</w:t>
      </w:r>
      <w:r w:rsidRPr="001063B2">
        <w:rPr>
          <w:rFonts w:ascii="微软雅黑" w:eastAsia="微软雅黑" w:hAnsi="微软雅黑" w:cs="宋体"/>
          <w:kern w:val="0"/>
          <w:sz w:val="24"/>
          <w:szCs w:val="24"/>
        </w:rPr>
        <w:t>（2.58%）、</w:t>
      </w:r>
      <w:r w:rsidRPr="001063B2">
        <w:rPr>
          <w:rFonts w:ascii="微软雅黑" w:eastAsia="微软雅黑" w:hAnsi="微软雅黑" w:cs="宋体"/>
          <w:i/>
          <w:iCs/>
          <w:kern w:val="0"/>
          <w:sz w:val="24"/>
          <w:szCs w:val="24"/>
        </w:rPr>
        <w:t>APC</w:t>
      </w:r>
      <w:r w:rsidRPr="001063B2">
        <w:rPr>
          <w:rFonts w:ascii="微软雅黑" w:eastAsia="微软雅黑" w:hAnsi="微软雅黑" w:cs="宋体"/>
          <w:kern w:val="0"/>
          <w:sz w:val="24"/>
          <w:szCs w:val="24"/>
        </w:rPr>
        <w:t>（2.21%）和</w:t>
      </w:r>
      <w:r w:rsidRPr="001063B2">
        <w:rPr>
          <w:rFonts w:ascii="微软雅黑" w:eastAsia="微软雅黑" w:hAnsi="微软雅黑" w:cs="宋体"/>
          <w:i/>
          <w:iCs/>
          <w:kern w:val="0"/>
          <w:sz w:val="24"/>
          <w:szCs w:val="24"/>
        </w:rPr>
        <w:t>MAP2K4。</w:t>
      </w:r>
      <w:r w:rsidRPr="001063B2">
        <w:rPr>
          <w:rFonts w:ascii="微软雅黑" w:eastAsia="微软雅黑" w:hAnsi="微软雅黑" w:cs="宋体"/>
          <w:kern w:val="0"/>
          <w:sz w:val="24"/>
          <w:szCs w:val="24"/>
        </w:rPr>
        <w:t>（2.21%）。28% 的患者观察到不止一种改变（拷贝数变异或热点）。与新发晚期乳腺癌患者相比，复发性疾病患者中</w:t>
      </w:r>
      <w:r w:rsidRPr="001063B2">
        <w:rPr>
          <w:rFonts w:ascii="微软雅黑" w:eastAsia="微软雅黑" w:hAnsi="微软雅黑" w:cs="宋体"/>
          <w:i/>
          <w:iCs/>
          <w:kern w:val="0"/>
          <w:sz w:val="24"/>
          <w:szCs w:val="24"/>
        </w:rPr>
        <w:t>KTM2C</w:t>
      </w:r>
      <w:r w:rsidRPr="001063B2">
        <w:rPr>
          <w:rFonts w:ascii="微软雅黑" w:eastAsia="微软雅黑" w:hAnsi="微软雅黑" w:cs="宋体"/>
          <w:kern w:val="0"/>
          <w:sz w:val="24"/>
          <w:szCs w:val="24"/>
        </w:rPr>
        <w:t>突变或“雌激素受体核功能”（</w:t>
      </w:r>
      <w:proofErr w:type="spellStart"/>
      <w:r w:rsidRPr="001063B2">
        <w:rPr>
          <w:rFonts w:ascii="微软雅黑" w:eastAsia="微软雅黑" w:hAnsi="微软雅黑" w:cs="宋体"/>
          <w:kern w:val="0"/>
          <w:sz w:val="24"/>
          <w:szCs w:val="24"/>
        </w:rPr>
        <w:t>ERnf</w:t>
      </w:r>
      <w:proofErr w:type="spellEnd"/>
      <w:r w:rsidRPr="001063B2">
        <w:rPr>
          <w:rFonts w:ascii="微软雅黑" w:eastAsia="微软雅黑" w:hAnsi="微软雅黑" w:cs="宋体"/>
          <w:kern w:val="0"/>
          <w:sz w:val="24"/>
          <w:szCs w:val="24"/>
        </w:rPr>
        <w:t>）通路基因（即</w:t>
      </w:r>
      <w:r w:rsidRPr="001063B2">
        <w:rPr>
          <w:rFonts w:ascii="微软雅黑" w:eastAsia="微软雅黑" w:hAnsi="微软雅黑" w:cs="宋体"/>
          <w:i/>
          <w:iCs/>
          <w:kern w:val="0"/>
          <w:sz w:val="24"/>
          <w:szCs w:val="24"/>
        </w:rPr>
        <w:t>KTM2C</w:t>
      </w:r>
      <w:r w:rsidRPr="001063B2">
        <w:rPr>
          <w:rFonts w:ascii="微软雅黑" w:eastAsia="微软雅黑" w:hAnsi="微软雅黑" w:cs="宋体"/>
          <w:kern w:val="0"/>
          <w:sz w:val="24"/>
          <w:szCs w:val="24"/>
        </w:rPr>
        <w:t>、</w:t>
      </w:r>
      <w:r w:rsidRPr="001063B2">
        <w:rPr>
          <w:rFonts w:ascii="微软雅黑" w:eastAsia="微软雅黑" w:hAnsi="微软雅黑" w:cs="宋体"/>
          <w:i/>
          <w:iCs/>
          <w:kern w:val="0"/>
          <w:sz w:val="24"/>
          <w:szCs w:val="24"/>
        </w:rPr>
        <w:t>ESR1</w:t>
      </w:r>
      <w:r w:rsidRPr="001063B2">
        <w:rPr>
          <w:rFonts w:ascii="微软雅黑" w:eastAsia="微软雅黑" w:hAnsi="微软雅黑" w:cs="宋体"/>
          <w:kern w:val="0"/>
          <w:sz w:val="24"/>
          <w:szCs w:val="24"/>
        </w:rPr>
        <w:t>、</w:t>
      </w:r>
      <w:r w:rsidRPr="001063B2">
        <w:rPr>
          <w:rFonts w:ascii="微软雅黑" w:eastAsia="微软雅黑" w:hAnsi="微软雅黑" w:cs="宋体"/>
          <w:i/>
          <w:iCs/>
          <w:kern w:val="0"/>
          <w:sz w:val="24"/>
          <w:szCs w:val="24"/>
        </w:rPr>
        <w:t>GATA3</w:t>
      </w:r>
      <w:r w:rsidRPr="001063B2">
        <w:rPr>
          <w:rFonts w:ascii="微软雅黑" w:eastAsia="微软雅黑" w:hAnsi="微软雅黑" w:cs="宋体"/>
          <w:kern w:val="0"/>
          <w:sz w:val="24"/>
          <w:szCs w:val="24"/>
        </w:rPr>
        <w:t>和</w:t>
      </w:r>
      <w:r w:rsidRPr="001063B2">
        <w:rPr>
          <w:rFonts w:ascii="微软雅黑" w:eastAsia="微软雅黑" w:hAnsi="微软雅黑" w:cs="宋体"/>
          <w:i/>
          <w:iCs/>
          <w:kern w:val="0"/>
          <w:sz w:val="24"/>
          <w:szCs w:val="24"/>
        </w:rPr>
        <w:t>MYC</w:t>
      </w:r>
      <w:r w:rsidRPr="001063B2">
        <w:rPr>
          <w:rFonts w:ascii="微软雅黑" w:eastAsia="微软雅黑" w:hAnsi="微软雅黑" w:cs="宋体"/>
          <w:kern w:val="0"/>
          <w:sz w:val="24"/>
          <w:szCs w:val="24"/>
        </w:rPr>
        <w:t>）的改变更为常见，而 FGFR（FGFR1、2 和 3）拷贝数增加在更具侵袭性疾病的患者中更为普遍。早期疾病进展的患者更常出现 HER 家族和 CDK4/6 通路基因的改变、TP53 突变和</w:t>
      </w:r>
      <w:r w:rsidRPr="001063B2">
        <w:rPr>
          <w:rFonts w:ascii="微软雅黑" w:eastAsia="微软雅黑" w:hAnsi="微软雅黑" w:cs="宋体"/>
          <w:i/>
          <w:iCs/>
          <w:kern w:val="0"/>
          <w:sz w:val="24"/>
          <w:szCs w:val="24"/>
        </w:rPr>
        <w:t>MYC</w:t>
      </w:r>
      <w:r w:rsidRPr="001063B2">
        <w:rPr>
          <w:rFonts w:ascii="微软雅黑" w:eastAsia="微软雅黑" w:hAnsi="微软雅黑" w:cs="宋体"/>
          <w:kern w:val="0"/>
          <w:sz w:val="24"/>
          <w:szCs w:val="24"/>
        </w:rPr>
        <w:t>拷贝数增加，提示这些生物标志物可能是对一线利博西尼和来曲</w:t>
      </w:r>
      <w:proofErr w:type="gramStart"/>
      <w:r w:rsidRPr="001063B2">
        <w:rPr>
          <w:rFonts w:ascii="微软雅黑" w:eastAsia="微软雅黑" w:hAnsi="微软雅黑" w:cs="宋体"/>
          <w:kern w:val="0"/>
          <w:sz w:val="24"/>
          <w:szCs w:val="24"/>
        </w:rPr>
        <w:t>唑</w:t>
      </w:r>
      <w:proofErr w:type="gramEnd"/>
      <w:r w:rsidRPr="001063B2">
        <w:rPr>
          <w:rFonts w:ascii="微软雅黑" w:eastAsia="微软雅黑" w:hAnsi="微软雅黑" w:cs="宋体"/>
          <w:kern w:val="0"/>
          <w:sz w:val="24"/>
          <w:szCs w:val="24"/>
        </w:rPr>
        <w:t>治疗产生内在耐药性的潜在标志物。最终的生物标志物动态变化和药物基因组学分析仍在进行中[ </w:t>
      </w:r>
      <w:hyperlink r:id="rId168" w:anchor="B137-ijms-21-06479" w:history="1">
        <w:r w:rsidRPr="001063B2">
          <w:rPr>
            <w:rFonts w:ascii="微软雅黑" w:eastAsia="微软雅黑" w:hAnsi="微软雅黑" w:cs="宋体"/>
            <w:kern w:val="0"/>
            <w:sz w:val="24"/>
            <w:szCs w:val="24"/>
            <w:u w:val="single"/>
          </w:rPr>
          <w:t>137</w:t>
        </w:r>
      </w:hyperlink>
      <w:r w:rsidRPr="001063B2">
        <w:rPr>
          <w:rFonts w:ascii="微软雅黑" w:eastAsia="微软雅黑" w:hAnsi="微软雅黑" w:cs="宋体"/>
          <w:kern w:val="0"/>
          <w:sz w:val="24"/>
          <w:szCs w:val="24"/>
        </w:rPr>
        <w:t> ]。</w:t>
      </w:r>
    </w:p>
    <w:p w14:paraId="06424A4A" w14:textId="77777777" w:rsidR="001063B2" w:rsidRPr="001063B2" w:rsidRDefault="001063B2" w:rsidP="001063B2">
      <w:pPr>
        <w:widowControl/>
        <w:pBdr>
          <w:bottom w:val="single" w:sz="6" w:space="0" w:color="97B1C8"/>
        </w:pBdr>
        <w:spacing w:line="450" w:lineRule="atLeast"/>
        <w:outlineLvl w:val="1"/>
        <w:rPr>
          <w:rFonts w:ascii="微软雅黑" w:eastAsia="微软雅黑" w:hAnsi="微软雅黑" w:cs="宋体"/>
          <w:kern w:val="0"/>
          <w:sz w:val="34"/>
          <w:szCs w:val="34"/>
        </w:rPr>
      </w:pPr>
      <w:r w:rsidRPr="001063B2">
        <w:rPr>
          <w:rFonts w:ascii="微软雅黑" w:eastAsia="微软雅黑" w:hAnsi="微软雅黑" w:cs="宋体"/>
          <w:kern w:val="0"/>
          <w:sz w:val="34"/>
          <w:szCs w:val="34"/>
        </w:rPr>
        <w:t>8. 结论</w:t>
      </w:r>
    </w:p>
    <w:p w14:paraId="3828AADC" w14:textId="77777777" w:rsidR="001063B2" w:rsidRPr="001063B2" w:rsidRDefault="001063B2" w:rsidP="001063B2">
      <w:pPr>
        <w:widowControl/>
        <w:spacing w:before="450"/>
        <w:rPr>
          <w:rFonts w:ascii="微软雅黑" w:eastAsia="微软雅黑" w:hAnsi="微软雅黑" w:cs="宋体"/>
          <w:kern w:val="0"/>
          <w:sz w:val="24"/>
          <w:szCs w:val="24"/>
        </w:rPr>
      </w:pPr>
      <w:r w:rsidRPr="001063B2">
        <w:rPr>
          <w:rFonts w:ascii="微软雅黑" w:eastAsia="微软雅黑" w:hAnsi="微软雅黑" w:cs="宋体"/>
          <w:kern w:val="0"/>
          <w:sz w:val="24"/>
          <w:szCs w:val="24"/>
        </w:rPr>
        <w:t>CDK4/6抑制剂在临床实践中的应用，标志着HR阳性HER2阴性乳腺癌治疗的重大进展（</w:t>
      </w:r>
      <w:hyperlink r:id="rId169" w:anchor="ijms-21-06479-t001" w:history="1">
        <w:r w:rsidRPr="001063B2">
          <w:rPr>
            <w:rFonts w:ascii="微软雅黑" w:eastAsia="微软雅黑" w:hAnsi="微软雅黑" w:cs="宋体"/>
            <w:kern w:val="0"/>
            <w:sz w:val="24"/>
            <w:szCs w:val="24"/>
            <w:u w:val="single"/>
          </w:rPr>
          <w:t>表1</w:t>
        </w:r>
      </w:hyperlink>
      <w:r w:rsidRPr="001063B2">
        <w:rPr>
          <w:rFonts w:ascii="微软雅黑" w:eastAsia="微软雅黑" w:hAnsi="微软雅黑" w:cs="宋体"/>
          <w:kern w:val="0"/>
          <w:sz w:val="24"/>
          <w:szCs w:val="24"/>
        </w:rPr>
        <w:t>）。FDA的大型汇总分析显示，CDK4/6抑制剂联合内分泌治疗</w:t>
      </w:r>
      <w:r w:rsidRPr="001063B2">
        <w:rPr>
          <w:rFonts w:ascii="微软雅黑" w:eastAsia="微软雅黑" w:hAnsi="微软雅黑" w:cs="宋体"/>
          <w:kern w:val="0"/>
          <w:sz w:val="24"/>
          <w:szCs w:val="24"/>
        </w:rPr>
        <w:lastRenderedPageBreak/>
        <w:t>（ET）似乎对所有临床病理亚组均有效[ </w:t>
      </w:r>
      <w:hyperlink r:id="rId170" w:anchor="B138-ijms-21-06479" w:history="1">
        <w:r w:rsidRPr="001063B2">
          <w:rPr>
            <w:rFonts w:ascii="微软雅黑" w:eastAsia="微软雅黑" w:hAnsi="微软雅黑" w:cs="宋体"/>
            <w:kern w:val="0"/>
            <w:sz w:val="24"/>
            <w:szCs w:val="24"/>
            <w:u w:val="single"/>
          </w:rPr>
          <w:t>138</w:t>
        </w:r>
      </w:hyperlink>
      <w:r w:rsidRPr="001063B2">
        <w:rPr>
          <w:rFonts w:ascii="微软雅黑" w:eastAsia="微软雅黑" w:hAnsi="微软雅黑" w:cs="宋体"/>
          <w:kern w:val="0"/>
          <w:sz w:val="24"/>
          <w:szCs w:val="24"/>
        </w:rPr>
        <w:t> ]。目前，临床前和转化研究正在探索驱动这些药物疗效的异质性因素。此外，临床研究正在探索其他乳腺癌亚型（例如HER2阳性乳腺癌和TBNC）的新型联合治疗策略，并着重研究CDK4/6抑制剂治疗进展后的治疗策略。基于这些临床前和临床数据，有强有力的证据表明，CDK4/6抑制剂能够带来治疗获益，增强其他类型药物（例如标准化疗方案、免疫治疗方案和</w:t>
      </w:r>
      <w:proofErr w:type="gramStart"/>
      <w:r w:rsidRPr="001063B2">
        <w:rPr>
          <w:rFonts w:ascii="微软雅黑" w:eastAsia="微软雅黑" w:hAnsi="微软雅黑" w:cs="宋体"/>
          <w:kern w:val="0"/>
          <w:sz w:val="24"/>
          <w:szCs w:val="24"/>
        </w:rPr>
        <w:t>靶向</w:t>
      </w:r>
      <w:proofErr w:type="gramEnd"/>
      <w:r w:rsidRPr="001063B2">
        <w:rPr>
          <w:rFonts w:ascii="微软雅黑" w:eastAsia="微软雅黑" w:hAnsi="微软雅黑" w:cs="宋体"/>
          <w:kern w:val="0"/>
          <w:sz w:val="24"/>
          <w:szCs w:val="24"/>
        </w:rPr>
        <w:t>治疗）的抗肿瘤活性（</w:t>
      </w:r>
      <w:hyperlink r:id="rId171" w:anchor="ijms-21-06479-t001" w:history="1">
        <w:r w:rsidRPr="001063B2">
          <w:rPr>
            <w:rFonts w:ascii="微软雅黑" w:eastAsia="微软雅黑" w:hAnsi="微软雅黑" w:cs="宋体"/>
            <w:kern w:val="0"/>
            <w:sz w:val="24"/>
            <w:szCs w:val="24"/>
            <w:u w:val="single"/>
          </w:rPr>
          <w:t>表1</w:t>
        </w:r>
      </w:hyperlink>
      <w:r w:rsidRPr="001063B2">
        <w:rPr>
          <w:rFonts w:ascii="微软雅黑" w:eastAsia="微软雅黑" w:hAnsi="微软雅黑" w:cs="宋体"/>
          <w:kern w:val="0"/>
          <w:sz w:val="24"/>
          <w:szCs w:val="24"/>
        </w:rPr>
        <w:t>）[ </w:t>
      </w:r>
      <w:hyperlink r:id="rId172" w:anchor="B139-ijms-21-06479" w:history="1">
        <w:r w:rsidRPr="001063B2">
          <w:rPr>
            <w:rFonts w:ascii="微软雅黑" w:eastAsia="微软雅黑" w:hAnsi="微软雅黑" w:cs="宋体"/>
            <w:kern w:val="0"/>
            <w:sz w:val="24"/>
            <w:szCs w:val="24"/>
            <w:u w:val="single"/>
          </w:rPr>
          <w:t>139</w:t>
        </w:r>
      </w:hyperlink>
      <w:r w:rsidRPr="001063B2">
        <w:rPr>
          <w:rFonts w:ascii="微软雅黑" w:eastAsia="微软雅黑" w:hAnsi="微软雅黑" w:cs="宋体"/>
          <w:kern w:val="0"/>
          <w:sz w:val="24"/>
          <w:szCs w:val="24"/>
        </w:rPr>
        <w:t> ]。</w:t>
      </w:r>
    </w:p>
    <w:p w14:paraId="19656A40" w14:textId="77777777" w:rsidR="00A92B7D" w:rsidRPr="00CB7F59" w:rsidRDefault="00A92B7D" w:rsidP="001063B2">
      <w:pPr>
        <w:rPr>
          <w:rFonts w:ascii="微软雅黑" w:eastAsia="微软雅黑" w:hAnsi="微软雅黑"/>
        </w:rPr>
      </w:pPr>
    </w:p>
    <w:sectPr w:rsidR="00A92B7D" w:rsidRPr="00CB7F59">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2D31BF"/>
    <w:multiLevelType w:val="multilevel"/>
    <w:tmpl w:val="4CD4E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2B7D"/>
    <w:rsid w:val="001063B2"/>
    <w:rsid w:val="00A92B7D"/>
    <w:rsid w:val="00CB7F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F4B56"/>
  <w15:chartTrackingRefBased/>
  <w15:docId w15:val="{C28A32A6-7402-47D9-9064-4292654F2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1063B2"/>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1063B2"/>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1063B2"/>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063B2"/>
    <w:rPr>
      <w:rFonts w:ascii="宋体" w:eastAsia="宋体" w:hAnsi="宋体" w:cs="宋体"/>
      <w:b/>
      <w:bCs/>
      <w:kern w:val="36"/>
      <w:sz w:val="48"/>
      <w:szCs w:val="48"/>
    </w:rPr>
  </w:style>
  <w:style w:type="character" w:customStyle="1" w:styleId="20">
    <w:name w:val="标题 2 字符"/>
    <w:basedOn w:val="a0"/>
    <w:link w:val="2"/>
    <w:uiPriority w:val="9"/>
    <w:rsid w:val="001063B2"/>
    <w:rPr>
      <w:rFonts w:ascii="宋体" w:eastAsia="宋体" w:hAnsi="宋体" w:cs="宋体"/>
      <w:b/>
      <w:bCs/>
      <w:kern w:val="0"/>
      <w:sz w:val="36"/>
      <w:szCs w:val="36"/>
    </w:rPr>
  </w:style>
  <w:style w:type="character" w:customStyle="1" w:styleId="30">
    <w:name w:val="标题 3 字符"/>
    <w:basedOn w:val="a0"/>
    <w:link w:val="3"/>
    <w:uiPriority w:val="9"/>
    <w:rsid w:val="001063B2"/>
    <w:rPr>
      <w:rFonts w:ascii="宋体" w:eastAsia="宋体" w:hAnsi="宋体" w:cs="宋体"/>
      <w:b/>
      <w:bCs/>
      <w:kern w:val="0"/>
      <w:sz w:val="27"/>
      <w:szCs w:val="27"/>
    </w:rPr>
  </w:style>
  <w:style w:type="paragraph" w:customStyle="1" w:styleId="msonormal0">
    <w:name w:val="msonormal"/>
    <w:basedOn w:val="a"/>
    <w:rsid w:val="001063B2"/>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semiHidden/>
    <w:unhideWhenUsed/>
    <w:rsid w:val="001063B2"/>
    <w:rPr>
      <w:color w:val="0000FF"/>
      <w:u w:val="single"/>
    </w:rPr>
  </w:style>
  <w:style w:type="character" w:styleId="a4">
    <w:name w:val="FollowedHyperlink"/>
    <w:basedOn w:val="a0"/>
    <w:uiPriority w:val="99"/>
    <w:semiHidden/>
    <w:unhideWhenUsed/>
    <w:rsid w:val="001063B2"/>
    <w:rPr>
      <w:color w:val="800080"/>
      <w:u w:val="single"/>
    </w:rPr>
  </w:style>
  <w:style w:type="character" w:customStyle="1" w:styleId="name">
    <w:name w:val="name"/>
    <w:basedOn w:val="a0"/>
    <w:rsid w:val="001063B2"/>
  </w:style>
  <w:style w:type="paragraph" w:styleId="a5">
    <w:name w:val="Normal (Web)"/>
    <w:basedOn w:val="a"/>
    <w:uiPriority w:val="99"/>
    <w:semiHidden/>
    <w:unhideWhenUsed/>
    <w:rsid w:val="001063B2"/>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1063B2"/>
    <w:rPr>
      <w:b/>
      <w:bCs/>
    </w:rPr>
  </w:style>
  <w:style w:type="character" w:styleId="a7">
    <w:name w:val="Emphasis"/>
    <w:basedOn w:val="a0"/>
    <w:uiPriority w:val="20"/>
    <w:qFormat/>
    <w:rsid w:val="001063B2"/>
    <w:rPr>
      <w:i/>
      <w:iCs/>
    </w:rPr>
  </w:style>
  <w:style w:type="paragraph" w:customStyle="1" w:styleId="img-box">
    <w:name w:val="img-box"/>
    <w:basedOn w:val="a"/>
    <w:rsid w:val="001063B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6005924">
      <w:bodyDiv w:val="1"/>
      <w:marLeft w:val="0"/>
      <w:marRight w:val="0"/>
      <w:marTop w:val="0"/>
      <w:marBottom w:val="0"/>
      <w:divBdr>
        <w:top w:val="none" w:sz="0" w:space="0" w:color="auto"/>
        <w:left w:val="none" w:sz="0" w:space="0" w:color="auto"/>
        <w:bottom w:val="none" w:sz="0" w:space="0" w:color="auto"/>
        <w:right w:val="none" w:sz="0" w:space="0" w:color="auto"/>
      </w:divBdr>
      <w:divsChild>
        <w:div w:id="1635988194">
          <w:marLeft w:val="0"/>
          <w:marRight w:val="0"/>
          <w:marTop w:val="0"/>
          <w:marBottom w:val="0"/>
          <w:divBdr>
            <w:top w:val="none" w:sz="0" w:space="0" w:color="auto"/>
            <w:left w:val="none" w:sz="0" w:space="0" w:color="auto"/>
            <w:bottom w:val="none" w:sz="0" w:space="0" w:color="auto"/>
            <w:right w:val="none" w:sz="0" w:space="0" w:color="auto"/>
          </w:divBdr>
          <w:divsChild>
            <w:div w:id="616833683">
              <w:marLeft w:val="0"/>
              <w:marRight w:val="0"/>
              <w:marTop w:val="225"/>
              <w:marBottom w:val="0"/>
              <w:divBdr>
                <w:top w:val="none" w:sz="0" w:space="0" w:color="auto"/>
                <w:left w:val="none" w:sz="0" w:space="0" w:color="auto"/>
                <w:bottom w:val="none" w:sz="0" w:space="0" w:color="auto"/>
                <w:right w:val="none" w:sz="0" w:space="0" w:color="auto"/>
              </w:divBdr>
            </w:div>
            <w:div w:id="210852613">
              <w:marLeft w:val="0"/>
              <w:marRight w:val="0"/>
              <w:marTop w:val="0"/>
              <w:marBottom w:val="0"/>
              <w:divBdr>
                <w:top w:val="none" w:sz="0" w:space="0" w:color="auto"/>
                <w:left w:val="none" w:sz="0" w:space="0" w:color="auto"/>
                <w:bottom w:val="none" w:sz="0" w:space="0" w:color="auto"/>
                <w:right w:val="none" w:sz="0" w:space="0" w:color="auto"/>
              </w:divBdr>
            </w:div>
          </w:divsChild>
        </w:div>
        <w:div w:id="310790180">
          <w:marLeft w:val="0"/>
          <w:marRight w:val="0"/>
          <w:marTop w:val="450"/>
          <w:marBottom w:val="0"/>
          <w:divBdr>
            <w:top w:val="none" w:sz="0" w:space="0" w:color="auto"/>
            <w:left w:val="none" w:sz="0" w:space="0" w:color="auto"/>
            <w:bottom w:val="none" w:sz="0" w:space="0" w:color="auto"/>
            <w:right w:val="none" w:sz="0" w:space="0" w:color="auto"/>
          </w:divBdr>
        </w:div>
        <w:div w:id="609899880">
          <w:marLeft w:val="0"/>
          <w:marRight w:val="0"/>
          <w:marTop w:val="450"/>
          <w:marBottom w:val="0"/>
          <w:divBdr>
            <w:top w:val="none" w:sz="0" w:space="0" w:color="auto"/>
            <w:left w:val="none" w:sz="0" w:space="0" w:color="auto"/>
            <w:bottom w:val="none" w:sz="0" w:space="0" w:color="auto"/>
            <w:right w:val="none" w:sz="0" w:space="0" w:color="auto"/>
          </w:divBdr>
        </w:div>
        <w:div w:id="1203863505">
          <w:marLeft w:val="0"/>
          <w:marRight w:val="0"/>
          <w:marTop w:val="450"/>
          <w:marBottom w:val="0"/>
          <w:divBdr>
            <w:top w:val="none" w:sz="0" w:space="0" w:color="auto"/>
            <w:left w:val="none" w:sz="0" w:space="0" w:color="auto"/>
            <w:bottom w:val="none" w:sz="0" w:space="0" w:color="auto"/>
            <w:right w:val="none" w:sz="0" w:space="0" w:color="auto"/>
          </w:divBdr>
        </w:div>
        <w:div w:id="778571416">
          <w:marLeft w:val="0"/>
          <w:marRight w:val="0"/>
          <w:marTop w:val="450"/>
          <w:marBottom w:val="0"/>
          <w:divBdr>
            <w:top w:val="none" w:sz="0" w:space="0" w:color="auto"/>
            <w:left w:val="none" w:sz="0" w:space="0" w:color="auto"/>
            <w:bottom w:val="none" w:sz="0" w:space="0" w:color="auto"/>
            <w:right w:val="none" w:sz="0" w:space="0" w:color="auto"/>
          </w:divBdr>
        </w:div>
        <w:div w:id="1471824405">
          <w:marLeft w:val="0"/>
          <w:marRight w:val="0"/>
          <w:marTop w:val="450"/>
          <w:marBottom w:val="0"/>
          <w:divBdr>
            <w:top w:val="none" w:sz="0" w:space="0" w:color="auto"/>
            <w:left w:val="none" w:sz="0" w:space="0" w:color="auto"/>
            <w:bottom w:val="none" w:sz="0" w:space="0" w:color="auto"/>
            <w:right w:val="none" w:sz="0" w:space="0" w:color="auto"/>
          </w:divBdr>
          <w:divsChild>
            <w:div w:id="166123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084342">
      <w:bodyDiv w:val="1"/>
      <w:marLeft w:val="0"/>
      <w:marRight w:val="0"/>
      <w:marTop w:val="0"/>
      <w:marBottom w:val="0"/>
      <w:divBdr>
        <w:top w:val="none" w:sz="0" w:space="0" w:color="auto"/>
        <w:left w:val="none" w:sz="0" w:space="0" w:color="auto"/>
        <w:bottom w:val="none" w:sz="0" w:space="0" w:color="auto"/>
        <w:right w:val="none" w:sz="0" w:space="0" w:color="auto"/>
      </w:divBdr>
      <w:divsChild>
        <w:div w:id="979649087">
          <w:marLeft w:val="0"/>
          <w:marRight w:val="0"/>
          <w:marTop w:val="0"/>
          <w:marBottom w:val="0"/>
          <w:divBdr>
            <w:top w:val="none" w:sz="0" w:space="0" w:color="auto"/>
            <w:left w:val="none" w:sz="0" w:space="0" w:color="auto"/>
            <w:bottom w:val="none" w:sz="0" w:space="0" w:color="auto"/>
            <w:right w:val="none" w:sz="0" w:space="0" w:color="auto"/>
          </w:divBdr>
          <w:divsChild>
            <w:div w:id="1129855192">
              <w:marLeft w:val="0"/>
              <w:marRight w:val="0"/>
              <w:marTop w:val="225"/>
              <w:marBottom w:val="0"/>
              <w:divBdr>
                <w:top w:val="none" w:sz="0" w:space="0" w:color="auto"/>
                <w:left w:val="none" w:sz="0" w:space="0" w:color="auto"/>
                <w:bottom w:val="none" w:sz="0" w:space="0" w:color="auto"/>
                <w:right w:val="none" w:sz="0" w:space="0" w:color="auto"/>
              </w:divBdr>
            </w:div>
            <w:div w:id="1582105185">
              <w:marLeft w:val="0"/>
              <w:marRight w:val="0"/>
              <w:marTop w:val="0"/>
              <w:marBottom w:val="0"/>
              <w:divBdr>
                <w:top w:val="none" w:sz="0" w:space="0" w:color="auto"/>
                <w:left w:val="none" w:sz="0" w:space="0" w:color="auto"/>
                <w:bottom w:val="none" w:sz="0" w:space="0" w:color="auto"/>
                <w:right w:val="none" w:sz="0" w:space="0" w:color="auto"/>
              </w:divBdr>
            </w:div>
          </w:divsChild>
        </w:div>
        <w:div w:id="431703145">
          <w:marLeft w:val="0"/>
          <w:marRight w:val="0"/>
          <w:marTop w:val="450"/>
          <w:marBottom w:val="0"/>
          <w:divBdr>
            <w:top w:val="none" w:sz="0" w:space="0" w:color="auto"/>
            <w:left w:val="none" w:sz="0" w:space="0" w:color="auto"/>
            <w:bottom w:val="none" w:sz="0" w:space="0" w:color="auto"/>
            <w:right w:val="none" w:sz="0" w:space="0" w:color="auto"/>
          </w:divBdr>
        </w:div>
        <w:div w:id="88434120">
          <w:marLeft w:val="0"/>
          <w:marRight w:val="0"/>
          <w:marTop w:val="450"/>
          <w:marBottom w:val="0"/>
          <w:divBdr>
            <w:top w:val="none" w:sz="0" w:space="0" w:color="auto"/>
            <w:left w:val="none" w:sz="0" w:space="0" w:color="auto"/>
            <w:bottom w:val="none" w:sz="0" w:space="0" w:color="auto"/>
            <w:right w:val="none" w:sz="0" w:space="0" w:color="auto"/>
          </w:divBdr>
        </w:div>
        <w:div w:id="1962614059">
          <w:marLeft w:val="0"/>
          <w:marRight w:val="0"/>
          <w:marTop w:val="450"/>
          <w:marBottom w:val="0"/>
          <w:divBdr>
            <w:top w:val="none" w:sz="0" w:space="0" w:color="auto"/>
            <w:left w:val="none" w:sz="0" w:space="0" w:color="auto"/>
            <w:bottom w:val="none" w:sz="0" w:space="0" w:color="auto"/>
            <w:right w:val="none" w:sz="0" w:space="0" w:color="auto"/>
          </w:divBdr>
        </w:div>
        <w:div w:id="75398143">
          <w:marLeft w:val="0"/>
          <w:marRight w:val="0"/>
          <w:marTop w:val="450"/>
          <w:marBottom w:val="0"/>
          <w:divBdr>
            <w:top w:val="none" w:sz="0" w:space="0" w:color="auto"/>
            <w:left w:val="none" w:sz="0" w:space="0" w:color="auto"/>
            <w:bottom w:val="none" w:sz="0" w:space="0" w:color="auto"/>
            <w:right w:val="none" w:sz="0" w:space="0" w:color="auto"/>
          </w:divBdr>
        </w:div>
        <w:div w:id="2104256115">
          <w:marLeft w:val="0"/>
          <w:marRight w:val="0"/>
          <w:marTop w:val="450"/>
          <w:marBottom w:val="0"/>
          <w:divBdr>
            <w:top w:val="none" w:sz="0" w:space="0" w:color="auto"/>
            <w:left w:val="none" w:sz="0" w:space="0" w:color="auto"/>
            <w:bottom w:val="none" w:sz="0" w:space="0" w:color="auto"/>
            <w:right w:val="none" w:sz="0" w:space="0" w:color="auto"/>
          </w:divBdr>
          <w:divsChild>
            <w:div w:id="35743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pmc.ncbi.nlm.nih.gov/articles/PMC7554788/" TargetMode="External"/><Relationship Id="rId21" Type="http://schemas.openxmlformats.org/officeDocument/2006/relationships/hyperlink" Target="https://pmc.ncbi.nlm.nih.gov/articles/PMC7554788/" TargetMode="External"/><Relationship Id="rId42" Type="http://schemas.openxmlformats.org/officeDocument/2006/relationships/hyperlink" Target="https://pmc.ncbi.nlm.nih.gov/articles/PMC7554788/" TargetMode="External"/><Relationship Id="rId63" Type="http://schemas.openxmlformats.org/officeDocument/2006/relationships/hyperlink" Target="https://pmc.ncbi.nlm.nih.gov/articles/PMC7554788/" TargetMode="External"/><Relationship Id="rId84" Type="http://schemas.openxmlformats.org/officeDocument/2006/relationships/hyperlink" Target="https://pmc.ncbi.nlm.nih.gov/articles/PMC7554788/" TargetMode="External"/><Relationship Id="rId138" Type="http://schemas.openxmlformats.org/officeDocument/2006/relationships/hyperlink" Target="https://pmc.ncbi.nlm.nih.gov/articles/PMC7554788/" TargetMode="External"/><Relationship Id="rId159" Type="http://schemas.openxmlformats.org/officeDocument/2006/relationships/hyperlink" Target="https://pmc.ncbi.nlm.nih.gov/articles/PMC7554788/" TargetMode="External"/><Relationship Id="rId170" Type="http://schemas.openxmlformats.org/officeDocument/2006/relationships/hyperlink" Target="https://pmc.ncbi.nlm.nih.gov/articles/PMC7554788/" TargetMode="External"/><Relationship Id="rId107" Type="http://schemas.openxmlformats.org/officeDocument/2006/relationships/hyperlink" Target="https://pmc.ncbi.nlm.nih.gov/articles/PMC7554788/" TargetMode="External"/><Relationship Id="rId11" Type="http://schemas.openxmlformats.org/officeDocument/2006/relationships/hyperlink" Target="https://pmc.ncbi.nlm.nih.gov/articles/PMC7554788/" TargetMode="External"/><Relationship Id="rId32" Type="http://schemas.openxmlformats.org/officeDocument/2006/relationships/hyperlink" Target="https://pmc.ncbi.nlm.nih.gov/articles/PMC7554788/" TargetMode="External"/><Relationship Id="rId53" Type="http://schemas.openxmlformats.org/officeDocument/2006/relationships/hyperlink" Target="https://pmc.ncbi.nlm.nih.gov/articles/PMC7554788/" TargetMode="External"/><Relationship Id="rId74" Type="http://schemas.openxmlformats.org/officeDocument/2006/relationships/hyperlink" Target="https://pmc.ncbi.nlm.nih.gov/articles/PMC7554788/" TargetMode="External"/><Relationship Id="rId128" Type="http://schemas.openxmlformats.org/officeDocument/2006/relationships/hyperlink" Target="https://pmc.ncbi.nlm.nih.gov/articles/PMC7554788/" TargetMode="External"/><Relationship Id="rId149" Type="http://schemas.openxmlformats.org/officeDocument/2006/relationships/hyperlink" Target="https://clinicaltrials.gov/ct2/show/NCT02605486" TargetMode="External"/><Relationship Id="rId5" Type="http://schemas.openxmlformats.org/officeDocument/2006/relationships/hyperlink" Target="https://pmc.ncbi.nlm.nih.gov/articles/PMC7554788/" TargetMode="External"/><Relationship Id="rId95" Type="http://schemas.openxmlformats.org/officeDocument/2006/relationships/hyperlink" Target="https://pmc.ncbi.nlm.nih.gov/articles/PMC7554788/" TargetMode="External"/><Relationship Id="rId160" Type="http://schemas.openxmlformats.org/officeDocument/2006/relationships/hyperlink" Target="https://pmc.ncbi.nlm.nih.gov/articles/PMC7554788/" TargetMode="External"/><Relationship Id="rId22" Type="http://schemas.openxmlformats.org/officeDocument/2006/relationships/hyperlink" Target="https://pmc.ncbi.nlm.nih.gov/articles/PMC7554788/" TargetMode="External"/><Relationship Id="rId43" Type="http://schemas.openxmlformats.org/officeDocument/2006/relationships/hyperlink" Target="https://pmc.ncbi.nlm.nih.gov/articles/PMC7554788/" TargetMode="External"/><Relationship Id="rId64" Type="http://schemas.openxmlformats.org/officeDocument/2006/relationships/hyperlink" Target="https://pmc.ncbi.nlm.nih.gov/articles/PMC7554788/" TargetMode="External"/><Relationship Id="rId118" Type="http://schemas.openxmlformats.org/officeDocument/2006/relationships/hyperlink" Target="https://pmc.ncbi.nlm.nih.gov/articles/PMC7554788/" TargetMode="External"/><Relationship Id="rId139" Type="http://schemas.openxmlformats.org/officeDocument/2006/relationships/hyperlink" Target="https://pmc.ncbi.nlm.nih.gov/articles/PMC7554788/" TargetMode="External"/><Relationship Id="rId85" Type="http://schemas.openxmlformats.org/officeDocument/2006/relationships/hyperlink" Target="https://pmc.ncbi.nlm.nih.gov/articles/PMC7554788/" TargetMode="External"/><Relationship Id="rId150" Type="http://schemas.openxmlformats.org/officeDocument/2006/relationships/hyperlink" Target="https://pmc.ncbi.nlm.nih.gov/articles/PMC7554788/" TargetMode="External"/><Relationship Id="rId171" Type="http://schemas.openxmlformats.org/officeDocument/2006/relationships/hyperlink" Target="https://pmc.ncbi.nlm.nih.gov/articles/PMC7554788/" TargetMode="External"/><Relationship Id="rId12" Type="http://schemas.openxmlformats.org/officeDocument/2006/relationships/hyperlink" Target="https://pmc.ncbi.nlm.nih.gov/articles/PMC7554788/" TargetMode="External"/><Relationship Id="rId33" Type="http://schemas.openxmlformats.org/officeDocument/2006/relationships/hyperlink" Target="https://pmc.ncbi.nlm.nih.gov/articles/PMC7554788/" TargetMode="External"/><Relationship Id="rId108" Type="http://schemas.openxmlformats.org/officeDocument/2006/relationships/hyperlink" Target="https://pmc.ncbi.nlm.nih.gov/articles/PMC7554788/" TargetMode="External"/><Relationship Id="rId129" Type="http://schemas.openxmlformats.org/officeDocument/2006/relationships/hyperlink" Target="https://clinicaltrials.gov/ct2/show/NCT03248427" TargetMode="External"/><Relationship Id="rId54" Type="http://schemas.openxmlformats.org/officeDocument/2006/relationships/hyperlink" Target="https://pmc.ncbi.nlm.nih.gov/articles/PMC7554788/" TargetMode="External"/><Relationship Id="rId75" Type="http://schemas.openxmlformats.org/officeDocument/2006/relationships/hyperlink" Target="https://pmc.ncbi.nlm.nih.gov/articles/PMC7554788/" TargetMode="External"/><Relationship Id="rId96" Type="http://schemas.openxmlformats.org/officeDocument/2006/relationships/hyperlink" Target="https://pmc.ncbi.nlm.nih.gov/articles/PMC7554788/" TargetMode="External"/><Relationship Id="rId140" Type="http://schemas.openxmlformats.org/officeDocument/2006/relationships/hyperlink" Target="https://clinicaltrials.gov/ct2/show/NCT02732119" TargetMode="External"/><Relationship Id="rId161" Type="http://schemas.openxmlformats.org/officeDocument/2006/relationships/hyperlink" Target="https://pmc.ncbi.nlm.nih.gov/articles/PMC7554788/" TargetMode="External"/><Relationship Id="rId1" Type="http://schemas.openxmlformats.org/officeDocument/2006/relationships/numbering" Target="numbering.xml"/><Relationship Id="rId6" Type="http://schemas.openxmlformats.org/officeDocument/2006/relationships/hyperlink" Target="https://pmc.ncbi.nlm.nih.gov/articles/PMC7554788/" TargetMode="External"/><Relationship Id="rId23" Type="http://schemas.openxmlformats.org/officeDocument/2006/relationships/hyperlink" Target="https://pmc.ncbi.nlm.nih.gov/articles/PMC7554788/" TargetMode="External"/><Relationship Id="rId28" Type="http://schemas.openxmlformats.org/officeDocument/2006/relationships/hyperlink" Target="https://pmc.ncbi.nlm.nih.gov/articles/PMC7554788/" TargetMode="External"/><Relationship Id="rId49" Type="http://schemas.openxmlformats.org/officeDocument/2006/relationships/hyperlink" Target="https://pmc.ncbi.nlm.nih.gov/articles/PMC7554788/" TargetMode="External"/><Relationship Id="rId114" Type="http://schemas.openxmlformats.org/officeDocument/2006/relationships/hyperlink" Target="https://pmc.ncbi.nlm.nih.gov/articles/PMC7554788/" TargetMode="External"/><Relationship Id="rId119" Type="http://schemas.openxmlformats.org/officeDocument/2006/relationships/hyperlink" Target="https://pmc.ncbi.nlm.nih.gov/articles/PMC7554788/" TargetMode="External"/><Relationship Id="rId44" Type="http://schemas.openxmlformats.org/officeDocument/2006/relationships/hyperlink" Target="https://pmc.ncbi.nlm.nih.gov/articles/PMC7554788/" TargetMode="External"/><Relationship Id="rId60" Type="http://schemas.openxmlformats.org/officeDocument/2006/relationships/hyperlink" Target="https://pmc.ncbi.nlm.nih.gov/articles/PMC7554788/" TargetMode="External"/><Relationship Id="rId65" Type="http://schemas.openxmlformats.org/officeDocument/2006/relationships/hyperlink" Target="https://pmc.ncbi.nlm.nih.gov/articles/PMC7554788/" TargetMode="External"/><Relationship Id="rId81" Type="http://schemas.openxmlformats.org/officeDocument/2006/relationships/hyperlink" Target="https://pmc.ncbi.nlm.nih.gov/articles/PMC7554788/" TargetMode="External"/><Relationship Id="rId86" Type="http://schemas.openxmlformats.org/officeDocument/2006/relationships/hyperlink" Target="https://pmc.ncbi.nlm.nih.gov/articles/PMC7554788/" TargetMode="External"/><Relationship Id="rId130" Type="http://schemas.openxmlformats.org/officeDocument/2006/relationships/hyperlink" Target="https://pmc.ncbi.nlm.nih.gov/articles/PMC7554788/" TargetMode="External"/><Relationship Id="rId135" Type="http://schemas.openxmlformats.org/officeDocument/2006/relationships/hyperlink" Target="https://clinicaltrials.gov/ct2/show/NCT02657343" TargetMode="External"/><Relationship Id="rId151" Type="http://schemas.openxmlformats.org/officeDocument/2006/relationships/hyperlink" Target="https://pmc.ncbi.nlm.nih.gov/articles/PMC7554788/" TargetMode="External"/><Relationship Id="rId156" Type="http://schemas.openxmlformats.org/officeDocument/2006/relationships/hyperlink" Target="https://pmc.ncbi.nlm.nih.gov/articles/PMC7554788/" TargetMode="External"/><Relationship Id="rId172" Type="http://schemas.openxmlformats.org/officeDocument/2006/relationships/hyperlink" Target="https://pmc.ncbi.nlm.nih.gov/articles/PMC7554788/" TargetMode="External"/><Relationship Id="rId13" Type="http://schemas.openxmlformats.org/officeDocument/2006/relationships/hyperlink" Target="https://pmc.ncbi.nlm.nih.gov/articles/PMC7554788/" TargetMode="External"/><Relationship Id="rId18" Type="http://schemas.openxmlformats.org/officeDocument/2006/relationships/hyperlink" Target="https://pmc.ncbi.nlm.nih.gov/articles/PMC7554788/" TargetMode="External"/><Relationship Id="rId39" Type="http://schemas.openxmlformats.org/officeDocument/2006/relationships/hyperlink" Target="https://pmc.ncbi.nlm.nih.gov/articles/PMC7554788/" TargetMode="External"/><Relationship Id="rId109" Type="http://schemas.openxmlformats.org/officeDocument/2006/relationships/hyperlink" Target="https://pmc.ncbi.nlm.nih.gov/articles/PMC7554788/" TargetMode="External"/><Relationship Id="rId34" Type="http://schemas.openxmlformats.org/officeDocument/2006/relationships/hyperlink" Target="https://pmc.ncbi.nlm.nih.gov/articles/PMC7554788/" TargetMode="External"/><Relationship Id="rId50" Type="http://schemas.openxmlformats.org/officeDocument/2006/relationships/hyperlink" Target="https://pmc.ncbi.nlm.nih.gov/articles/PMC7554788/" TargetMode="External"/><Relationship Id="rId55" Type="http://schemas.openxmlformats.org/officeDocument/2006/relationships/hyperlink" Target="https://pmc.ncbi.nlm.nih.gov/articles/PMC7554788/" TargetMode="External"/><Relationship Id="rId76" Type="http://schemas.openxmlformats.org/officeDocument/2006/relationships/hyperlink" Target="https://pmc.ncbi.nlm.nih.gov/articles/PMC7554788/" TargetMode="External"/><Relationship Id="rId97" Type="http://schemas.openxmlformats.org/officeDocument/2006/relationships/hyperlink" Target="https://pmc.ncbi.nlm.nih.gov/articles/PMC7554788/" TargetMode="External"/><Relationship Id="rId104" Type="http://schemas.openxmlformats.org/officeDocument/2006/relationships/hyperlink" Target="https://pmc.ncbi.nlm.nih.gov/articles/PMC7554788/" TargetMode="External"/><Relationship Id="rId120" Type="http://schemas.openxmlformats.org/officeDocument/2006/relationships/hyperlink" Target="https://pmc.ncbi.nlm.nih.gov/articles/PMC7554788/" TargetMode="External"/><Relationship Id="rId125" Type="http://schemas.openxmlformats.org/officeDocument/2006/relationships/hyperlink" Target="https://pmc.ncbi.nlm.nih.gov/articles/PMC7554788/" TargetMode="External"/><Relationship Id="rId141" Type="http://schemas.openxmlformats.org/officeDocument/2006/relationships/hyperlink" Target="https://pmc.ncbi.nlm.nih.gov/articles/PMC7554788/" TargetMode="External"/><Relationship Id="rId146" Type="http://schemas.openxmlformats.org/officeDocument/2006/relationships/hyperlink" Target="https://pmc.ncbi.nlm.nih.gov/articles/PMC7554788/" TargetMode="External"/><Relationship Id="rId167" Type="http://schemas.openxmlformats.org/officeDocument/2006/relationships/hyperlink" Target="https://clinicaltrials.gov/ct2/show/NCT03439046" TargetMode="External"/><Relationship Id="rId7" Type="http://schemas.openxmlformats.org/officeDocument/2006/relationships/hyperlink" Target="https://pmc.ncbi.nlm.nih.gov/articles/PMC7554788/" TargetMode="External"/><Relationship Id="rId71" Type="http://schemas.openxmlformats.org/officeDocument/2006/relationships/hyperlink" Target="https://pmc.ncbi.nlm.nih.gov/articles/PMC7554788/" TargetMode="External"/><Relationship Id="rId92" Type="http://schemas.openxmlformats.org/officeDocument/2006/relationships/hyperlink" Target="https://pmc.ncbi.nlm.nih.gov/articles/PMC7554788/" TargetMode="External"/><Relationship Id="rId162" Type="http://schemas.openxmlformats.org/officeDocument/2006/relationships/hyperlink" Target="https://pmc.ncbi.nlm.nih.gov/articles/PMC7554788/" TargetMode="External"/><Relationship Id="rId2" Type="http://schemas.openxmlformats.org/officeDocument/2006/relationships/styles" Target="styles.xml"/><Relationship Id="rId29" Type="http://schemas.openxmlformats.org/officeDocument/2006/relationships/hyperlink" Target="https://pmc.ncbi.nlm.nih.gov/articles/PMC7554788/" TargetMode="External"/><Relationship Id="rId24" Type="http://schemas.openxmlformats.org/officeDocument/2006/relationships/hyperlink" Target="https://www.ncbi.nlm.nih.gov/core/lw/2.0/html/tileshop_pmc/tileshop_pmc_inline.html?title=Click%20on%20image%20to%20zoom&amp;p=PMC3&amp;id=7554788_ijms-21-06479-g001.jpg" TargetMode="External"/><Relationship Id="rId40" Type="http://schemas.openxmlformats.org/officeDocument/2006/relationships/hyperlink" Target="https://pmc.ncbi.nlm.nih.gov/articles/PMC7554788/" TargetMode="External"/><Relationship Id="rId45" Type="http://schemas.openxmlformats.org/officeDocument/2006/relationships/hyperlink" Target="https://pmc.ncbi.nlm.nih.gov/articles/PMC7554788/" TargetMode="External"/><Relationship Id="rId66" Type="http://schemas.openxmlformats.org/officeDocument/2006/relationships/hyperlink" Target="https://pmc.ncbi.nlm.nih.gov/articles/PMC7554788/" TargetMode="External"/><Relationship Id="rId87" Type="http://schemas.openxmlformats.org/officeDocument/2006/relationships/hyperlink" Target="https://pmc.ncbi.nlm.nih.gov/articles/PMC7554788/" TargetMode="External"/><Relationship Id="rId110" Type="http://schemas.openxmlformats.org/officeDocument/2006/relationships/hyperlink" Target="https://pmc.ncbi.nlm.nih.gov/articles/PMC7554788/" TargetMode="External"/><Relationship Id="rId115" Type="http://schemas.openxmlformats.org/officeDocument/2006/relationships/hyperlink" Target="https://pmc.ncbi.nlm.nih.gov/articles/PMC7554788/" TargetMode="External"/><Relationship Id="rId131" Type="http://schemas.openxmlformats.org/officeDocument/2006/relationships/hyperlink" Target="https://pmc.ncbi.nlm.nih.gov/articles/PMC7554788/" TargetMode="External"/><Relationship Id="rId136" Type="http://schemas.openxmlformats.org/officeDocument/2006/relationships/hyperlink" Target="https://pmc.ncbi.nlm.nih.gov/articles/PMC7554788/" TargetMode="External"/><Relationship Id="rId157" Type="http://schemas.openxmlformats.org/officeDocument/2006/relationships/hyperlink" Target="https://pmc.ncbi.nlm.nih.gov/articles/PMC7554788/" TargetMode="External"/><Relationship Id="rId61" Type="http://schemas.openxmlformats.org/officeDocument/2006/relationships/hyperlink" Target="https://pmc.ncbi.nlm.nih.gov/articles/PMC7554788/" TargetMode="External"/><Relationship Id="rId82" Type="http://schemas.openxmlformats.org/officeDocument/2006/relationships/hyperlink" Target="https://pmc.ncbi.nlm.nih.gov/articles/PMC7554788/" TargetMode="External"/><Relationship Id="rId152" Type="http://schemas.openxmlformats.org/officeDocument/2006/relationships/hyperlink" Target="https://pmc.ncbi.nlm.nih.gov/articles/PMC7554788/" TargetMode="External"/><Relationship Id="rId173" Type="http://schemas.openxmlformats.org/officeDocument/2006/relationships/fontTable" Target="fontTable.xml"/><Relationship Id="rId19" Type="http://schemas.openxmlformats.org/officeDocument/2006/relationships/hyperlink" Target="https://pmc.ncbi.nlm.nih.gov/articles/PMC7554788/" TargetMode="External"/><Relationship Id="rId14" Type="http://schemas.openxmlformats.org/officeDocument/2006/relationships/hyperlink" Target="https://pmc.ncbi.nlm.nih.gov/articles/PMC7554788/" TargetMode="External"/><Relationship Id="rId30" Type="http://schemas.openxmlformats.org/officeDocument/2006/relationships/hyperlink" Target="https://pmc.ncbi.nlm.nih.gov/articles/PMC7554788/" TargetMode="External"/><Relationship Id="rId35" Type="http://schemas.openxmlformats.org/officeDocument/2006/relationships/hyperlink" Target="https://pmc.ncbi.nlm.nih.gov/articles/PMC7554788/" TargetMode="External"/><Relationship Id="rId56" Type="http://schemas.openxmlformats.org/officeDocument/2006/relationships/hyperlink" Target="https://pmc.ncbi.nlm.nih.gov/articles/PMC7554788/" TargetMode="External"/><Relationship Id="rId77" Type="http://schemas.openxmlformats.org/officeDocument/2006/relationships/hyperlink" Target="https://pmc.ncbi.nlm.nih.gov/articles/PMC7554788/" TargetMode="External"/><Relationship Id="rId100" Type="http://schemas.openxmlformats.org/officeDocument/2006/relationships/hyperlink" Target="https://pmc.ncbi.nlm.nih.gov/articles/PMC7554788/" TargetMode="External"/><Relationship Id="rId105" Type="http://schemas.openxmlformats.org/officeDocument/2006/relationships/hyperlink" Target="https://pmc.ncbi.nlm.nih.gov/articles/PMC7554788/" TargetMode="External"/><Relationship Id="rId126" Type="http://schemas.openxmlformats.org/officeDocument/2006/relationships/hyperlink" Target="https://pmc.ncbi.nlm.nih.gov/articles/PMC7554788/" TargetMode="External"/><Relationship Id="rId147" Type="http://schemas.openxmlformats.org/officeDocument/2006/relationships/hyperlink" Target="https://pmc.ncbi.nlm.nih.gov/articles/PMC7554788/" TargetMode="External"/><Relationship Id="rId168" Type="http://schemas.openxmlformats.org/officeDocument/2006/relationships/hyperlink" Target="https://pmc.ncbi.nlm.nih.gov/articles/PMC7554788/" TargetMode="External"/><Relationship Id="rId8" Type="http://schemas.openxmlformats.org/officeDocument/2006/relationships/hyperlink" Target="https://pmc.ncbi.nlm.nih.gov/articles/PMC7554788/" TargetMode="External"/><Relationship Id="rId51" Type="http://schemas.openxmlformats.org/officeDocument/2006/relationships/hyperlink" Target="https://pmc.ncbi.nlm.nih.gov/articles/PMC7554788/" TargetMode="External"/><Relationship Id="rId72" Type="http://schemas.openxmlformats.org/officeDocument/2006/relationships/hyperlink" Target="https://pmc.ncbi.nlm.nih.gov/articles/PMC7554788/" TargetMode="External"/><Relationship Id="rId93" Type="http://schemas.openxmlformats.org/officeDocument/2006/relationships/hyperlink" Target="https://pmc.ncbi.nlm.nih.gov/articles/PMC7554788/" TargetMode="External"/><Relationship Id="rId98" Type="http://schemas.openxmlformats.org/officeDocument/2006/relationships/hyperlink" Target="https://pmc.ncbi.nlm.nih.gov/articles/PMC7554788/" TargetMode="External"/><Relationship Id="rId121" Type="http://schemas.openxmlformats.org/officeDocument/2006/relationships/hyperlink" Target="https://pmc.ncbi.nlm.nih.gov/articles/PMC7554788/" TargetMode="External"/><Relationship Id="rId142" Type="http://schemas.openxmlformats.org/officeDocument/2006/relationships/hyperlink" Target="https://pmc.ncbi.nlm.nih.gov/articles/PMC7554788/" TargetMode="External"/><Relationship Id="rId163" Type="http://schemas.openxmlformats.org/officeDocument/2006/relationships/hyperlink" Target="https://pmc.ncbi.nlm.nih.gov/articles/PMC7554788/" TargetMode="External"/><Relationship Id="rId3" Type="http://schemas.openxmlformats.org/officeDocument/2006/relationships/settings" Target="settings.xml"/><Relationship Id="rId25" Type="http://schemas.openxmlformats.org/officeDocument/2006/relationships/image" Target="media/image1.jpeg"/><Relationship Id="rId46" Type="http://schemas.openxmlformats.org/officeDocument/2006/relationships/hyperlink" Target="https://pmc.ncbi.nlm.nih.gov/articles/PMC7554788/" TargetMode="External"/><Relationship Id="rId67" Type="http://schemas.openxmlformats.org/officeDocument/2006/relationships/hyperlink" Target="https://pmc.ncbi.nlm.nih.gov/articles/PMC7554788/" TargetMode="External"/><Relationship Id="rId116" Type="http://schemas.openxmlformats.org/officeDocument/2006/relationships/hyperlink" Target="https://pmc.ncbi.nlm.nih.gov/articles/PMC7554788/" TargetMode="External"/><Relationship Id="rId137" Type="http://schemas.openxmlformats.org/officeDocument/2006/relationships/hyperlink" Target="https://clinicaltrials.gov/ct2/show/NCT02657343" TargetMode="External"/><Relationship Id="rId158" Type="http://schemas.openxmlformats.org/officeDocument/2006/relationships/hyperlink" Target="https://pmc.ncbi.nlm.nih.gov/articles/PMC7554788/" TargetMode="External"/><Relationship Id="rId20" Type="http://schemas.openxmlformats.org/officeDocument/2006/relationships/hyperlink" Target="https://pmc.ncbi.nlm.nih.gov/articles/PMC7554788/" TargetMode="External"/><Relationship Id="rId41" Type="http://schemas.openxmlformats.org/officeDocument/2006/relationships/hyperlink" Target="https://pmc.ncbi.nlm.nih.gov/articles/PMC7554788/" TargetMode="External"/><Relationship Id="rId62" Type="http://schemas.openxmlformats.org/officeDocument/2006/relationships/hyperlink" Target="https://pmc.ncbi.nlm.nih.gov/articles/PMC7554788/" TargetMode="External"/><Relationship Id="rId83" Type="http://schemas.openxmlformats.org/officeDocument/2006/relationships/hyperlink" Target="https://pmc.ncbi.nlm.nih.gov/articles/PMC7554788/" TargetMode="External"/><Relationship Id="rId88" Type="http://schemas.openxmlformats.org/officeDocument/2006/relationships/hyperlink" Target="https://pmc.ncbi.nlm.nih.gov/articles/PMC7554788/" TargetMode="External"/><Relationship Id="rId111" Type="http://schemas.openxmlformats.org/officeDocument/2006/relationships/hyperlink" Target="https://pmc.ncbi.nlm.nih.gov/articles/PMC7554788/" TargetMode="External"/><Relationship Id="rId132" Type="http://schemas.openxmlformats.org/officeDocument/2006/relationships/hyperlink" Target="https://pmc.ncbi.nlm.nih.gov/articles/PMC7554788/" TargetMode="External"/><Relationship Id="rId153" Type="http://schemas.openxmlformats.org/officeDocument/2006/relationships/hyperlink" Target="https://pmc.ncbi.nlm.nih.gov/articles/PMC7554788/" TargetMode="External"/><Relationship Id="rId174" Type="http://schemas.openxmlformats.org/officeDocument/2006/relationships/theme" Target="theme/theme1.xml"/><Relationship Id="rId15" Type="http://schemas.openxmlformats.org/officeDocument/2006/relationships/hyperlink" Target="https://pmc.ncbi.nlm.nih.gov/articles/PMC7554788/" TargetMode="External"/><Relationship Id="rId36" Type="http://schemas.openxmlformats.org/officeDocument/2006/relationships/hyperlink" Target="https://pmc.ncbi.nlm.nih.gov/articles/PMC7554788/" TargetMode="External"/><Relationship Id="rId57" Type="http://schemas.openxmlformats.org/officeDocument/2006/relationships/hyperlink" Target="https://pmc.ncbi.nlm.nih.gov/articles/PMC7554788/" TargetMode="External"/><Relationship Id="rId106" Type="http://schemas.openxmlformats.org/officeDocument/2006/relationships/hyperlink" Target="https://pmc.ncbi.nlm.nih.gov/articles/PMC7554788/" TargetMode="External"/><Relationship Id="rId127" Type="http://schemas.openxmlformats.org/officeDocument/2006/relationships/hyperlink" Target="https://clinicaltrials.gov/ct2/show/NCT02400567" TargetMode="External"/><Relationship Id="rId10" Type="http://schemas.openxmlformats.org/officeDocument/2006/relationships/hyperlink" Target="https://pmc.ncbi.nlm.nih.gov/articles/PMC7554788/" TargetMode="External"/><Relationship Id="rId31" Type="http://schemas.openxmlformats.org/officeDocument/2006/relationships/hyperlink" Target="https://pmc.ncbi.nlm.nih.gov/articles/PMC7554788/" TargetMode="External"/><Relationship Id="rId52" Type="http://schemas.openxmlformats.org/officeDocument/2006/relationships/hyperlink" Target="https://pmc.ncbi.nlm.nih.gov/articles/PMC7554788/" TargetMode="External"/><Relationship Id="rId73" Type="http://schemas.openxmlformats.org/officeDocument/2006/relationships/hyperlink" Target="https://pmc.ncbi.nlm.nih.gov/articles/PMC7554788/" TargetMode="External"/><Relationship Id="rId78" Type="http://schemas.openxmlformats.org/officeDocument/2006/relationships/hyperlink" Target="https://pmc.ncbi.nlm.nih.gov/articles/PMC7554788/" TargetMode="External"/><Relationship Id="rId94" Type="http://schemas.openxmlformats.org/officeDocument/2006/relationships/hyperlink" Target="https://clinicaltrials.gov/ct2/show/NCT02983071" TargetMode="External"/><Relationship Id="rId99" Type="http://schemas.openxmlformats.org/officeDocument/2006/relationships/hyperlink" Target="https://pmc.ncbi.nlm.nih.gov/articles/PMC7554788/" TargetMode="External"/><Relationship Id="rId101" Type="http://schemas.openxmlformats.org/officeDocument/2006/relationships/hyperlink" Target="https://pmc.ncbi.nlm.nih.gov/articles/PMC7554788/" TargetMode="External"/><Relationship Id="rId122" Type="http://schemas.openxmlformats.org/officeDocument/2006/relationships/hyperlink" Target="https://pmc.ncbi.nlm.nih.gov/articles/PMC7554788/" TargetMode="External"/><Relationship Id="rId143" Type="http://schemas.openxmlformats.org/officeDocument/2006/relationships/hyperlink" Target="https://pmc.ncbi.nlm.nih.gov/articles/PMC7554788/" TargetMode="External"/><Relationship Id="rId148" Type="http://schemas.openxmlformats.org/officeDocument/2006/relationships/hyperlink" Target="https://pmc.ncbi.nlm.nih.gov/articles/PMC7554788/" TargetMode="External"/><Relationship Id="rId164" Type="http://schemas.openxmlformats.org/officeDocument/2006/relationships/hyperlink" Target="https://pmc.ncbi.nlm.nih.gov/articles/PMC7554788/" TargetMode="External"/><Relationship Id="rId169" Type="http://schemas.openxmlformats.org/officeDocument/2006/relationships/hyperlink" Target="https://pmc.ncbi.nlm.nih.gov/articles/PMC7554788/" TargetMode="External"/><Relationship Id="rId4" Type="http://schemas.openxmlformats.org/officeDocument/2006/relationships/webSettings" Target="webSettings.xml"/><Relationship Id="rId9" Type="http://schemas.openxmlformats.org/officeDocument/2006/relationships/hyperlink" Target="https://pmc.ncbi.nlm.nih.gov/articles/PMC7554788/" TargetMode="External"/><Relationship Id="rId26" Type="http://schemas.openxmlformats.org/officeDocument/2006/relationships/hyperlink" Target="https://pmc.ncbi.nlm.nih.gov/articles/PMC7554788/" TargetMode="External"/><Relationship Id="rId47" Type="http://schemas.openxmlformats.org/officeDocument/2006/relationships/hyperlink" Target="https://pmc.ncbi.nlm.nih.gov/articles/PMC7554788/" TargetMode="External"/><Relationship Id="rId68" Type="http://schemas.openxmlformats.org/officeDocument/2006/relationships/hyperlink" Target="https://pmc.ncbi.nlm.nih.gov/articles/PMC7554788/" TargetMode="External"/><Relationship Id="rId89" Type="http://schemas.openxmlformats.org/officeDocument/2006/relationships/hyperlink" Target="https://pmc.ncbi.nlm.nih.gov/articles/PMC7554788/" TargetMode="External"/><Relationship Id="rId112" Type="http://schemas.openxmlformats.org/officeDocument/2006/relationships/hyperlink" Target="https://pmc.ncbi.nlm.nih.gov/articles/PMC7554788/" TargetMode="External"/><Relationship Id="rId133" Type="http://schemas.openxmlformats.org/officeDocument/2006/relationships/hyperlink" Target="https://pmc.ncbi.nlm.nih.gov/articles/PMC7554788/" TargetMode="External"/><Relationship Id="rId154" Type="http://schemas.openxmlformats.org/officeDocument/2006/relationships/hyperlink" Target="https://pmc.ncbi.nlm.nih.gov/articles/PMC7554788/" TargetMode="External"/><Relationship Id="rId16" Type="http://schemas.openxmlformats.org/officeDocument/2006/relationships/hyperlink" Target="https://pmc.ncbi.nlm.nih.gov/articles/PMC7554788/" TargetMode="External"/><Relationship Id="rId37" Type="http://schemas.openxmlformats.org/officeDocument/2006/relationships/hyperlink" Target="https://pmc.ncbi.nlm.nih.gov/articles/PMC7554788/" TargetMode="External"/><Relationship Id="rId58" Type="http://schemas.openxmlformats.org/officeDocument/2006/relationships/hyperlink" Target="https://pmc.ncbi.nlm.nih.gov/articles/PMC7554788/" TargetMode="External"/><Relationship Id="rId79" Type="http://schemas.openxmlformats.org/officeDocument/2006/relationships/hyperlink" Target="https://pmc.ncbi.nlm.nih.gov/articles/PMC7554788/" TargetMode="External"/><Relationship Id="rId102" Type="http://schemas.openxmlformats.org/officeDocument/2006/relationships/hyperlink" Target="https://pmc.ncbi.nlm.nih.gov/articles/PMC7554788/" TargetMode="External"/><Relationship Id="rId123" Type="http://schemas.openxmlformats.org/officeDocument/2006/relationships/hyperlink" Target="https://pmc.ncbi.nlm.nih.gov/articles/PMC7554788/" TargetMode="External"/><Relationship Id="rId144" Type="http://schemas.openxmlformats.org/officeDocument/2006/relationships/hyperlink" Target="https://clinicaltrials.gov/ct2/show/NCT02632045" TargetMode="External"/><Relationship Id="rId90" Type="http://schemas.openxmlformats.org/officeDocument/2006/relationships/hyperlink" Target="https://pmc.ncbi.nlm.nih.gov/articles/PMC7554788/" TargetMode="External"/><Relationship Id="rId165" Type="http://schemas.openxmlformats.org/officeDocument/2006/relationships/hyperlink" Target="https://pmc.ncbi.nlm.nih.gov/articles/PMC7554788/" TargetMode="External"/><Relationship Id="rId27" Type="http://schemas.openxmlformats.org/officeDocument/2006/relationships/hyperlink" Target="https://pmc.ncbi.nlm.nih.gov/articles/PMC7554788/" TargetMode="External"/><Relationship Id="rId48" Type="http://schemas.openxmlformats.org/officeDocument/2006/relationships/hyperlink" Target="https://pmc.ncbi.nlm.nih.gov/articles/PMC7554788/" TargetMode="External"/><Relationship Id="rId69" Type="http://schemas.openxmlformats.org/officeDocument/2006/relationships/hyperlink" Target="https://pmc.ncbi.nlm.nih.gov/articles/PMC7554788/" TargetMode="External"/><Relationship Id="rId113" Type="http://schemas.openxmlformats.org/officeDocument/2006/relationships/hyperlink" Target="https://pmc.ncbi.nlm.nih.gov/articles/PMC7554788/" TargetMode="External"/><Relationship Id="rId134" Type="http://schemas.openxmlformats.org/officeDocument/2006/relationships/hyperlink" Target="https://pmc.ncbi.nlm.nih.gov/articles/PMC7554788/" TargetMode="External"/><Relationship Id="rId80" Type="http://schemas.openxmlformats.org/officeDocument/2006/relationships/hyperlink" Target="https://pmc.ncbi.nlm.nih.gov/articles/PMC7554788/" TargetMode="External"/><Relationship Id="rId155" Type="http://schemas.openxmlformats.org/officeDocument/2006/relationships/hyperlink" Target="https://pmc.ncbi.nlm.nih.gov/articles/PMC7554788/" TargetMode="External"/><Relationship Id="rId17" Type="http://schemas.openxmlformats.org/officeDocument/2006/relationships/hyperlink" Target="https://pmc.ncbi.nlm.nih.gov/articles/PMC7554788/" TargetMode="External"/><Relationship Id="rId38" Type="http://schemas.openxmlformats.org/officeDocument/2006/relationships/hyperlink" Target="https://pmc.ncbi.nlm.nih.gov/articles/PMC7554788/" TargetMode="External"/><Relationship Id="rId59" Type="http://schemas.openxmlformats.org/officeDocument/2006/relationships/hyperlink" Target="https://pmc.ncbi.nlm.nih.gov/articles/PMC7554788/" TargetMode="External"/><Relationship Id="rId103" Type="http://schemas.openxmlformats.org/officeDocument/2006/relationships/hyperlink" Target="https://pmc.ncbi.nlm.nih.gov/articles/PMC7554788/" TargetMode="External"/><Relationship Id="rId124" Type="http://schemas.openxmlformats.org/officeDocument/2006/relationships/hyperlink" Target="https://pmc.ncbi.nlm.nih.gov/articles/PMC7554788/" TargetMode="External"/><Relationship Id="rId70" Type="http://schemas.openxmlformats.org/officeDocument/2006/relationships/hyperlink" Target="https://pmc.ncbi.nlm.nih.gov/articles/PMC7554788/" TargetMode="External"/><Relationship Id="rId91" Type="http://schemas.openxmlformats.org/officeDocument/2006/relationships/hyperlink" Target="https://pmc.ncbi.nlm.nih.gov/articles/PMC7554788/" TargetMode="External"/><Relationship Id="rId145" Type="http://schemas.openxmlformats.org/officeDocument/2006/relationships/hyperlink" Target="https://clinicaltrials.gov/ct2/show/NCT03147287" TargetMode="External"/><Relationship Id="rId166" Type="http://schemas.openxmlformats.org/officeDocument/2006/relationships/hyperlink" Target="https://pmc.ncbi.nlm.nih.gov/articles/PMC7554788/"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39</Pages>
  <Words>5463</Words>
  <Characters>31140</Characters>
  <Application>Microsoft Office Word</Application>
  <DocSecurity>0</DocSecurity>
  <Lines>259</Lines>
  <Paragraphs>73</Paragraphs>
  <ScaleCrop>false</ScaleCrop>
  <Company/>
  <LinksUpToDate>false</LinksUpToDate>
  <CharactersWithSpaces>36530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3</cp:revision>
  <dcterms:created xsi:type="dcterms:W3CDTF">2025-12-28T10:21:00Z</dcterms:created>
  <dcterms:modified xsi:type="dcterms:W3CDTF">2025-12-28T10:23:00Z</dcterms:modified>
</cp:coreProperties>
</file>