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0F341">
      <w:pPr>
        <w:jc w:val="center"/>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破伤风预防的高风险人群</w:t>
      </w:r>
    </w:p>
    <w:p w14:paraId="00D33028">
      <w:pPr>
        <w:jc w:val="both"/>
        <w:rPr>
          <w:rFonts w:hint="eastAsia" w:asciiTheme="majorEastAsia" w:hAnsiTheme="majorEastAsia" w:eastAsiaTheme="majorEastAsia" w:cstheme="majorEastAsia"/>
          <w:sz w:val="28"/>
          <w:szCs w:val="28"/>
          <w:lang w:val="en-US" w:eastAsia="zh-CN"/>
        </w:rPr>
      </w:pPr>
      <w:r>
        <w:rPr>
          <w:rFonts w:hint="eastAsia" w:ascii="等线" w:hAnsi="等线" w:eastAsia="等线" w:cs="等线"/>
          <w:color w:val="000000"/>
          <w:kern w:val="0"/>
          <w:sz w:val="24"/>
          <w:szCs w:val="24"/>
          <w:lang w:val="en-US" w:eastAsia="zh-CN" w:bidi="ar"/>
        </w:rPr>
        <w:t>破伤风梭菌的芽孢广泛存在于自然环境中，耐热且难以被常见化学试剂杀灭。它可通过破损的皮肤、黏膜进入人体。</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那么，破伤风暴露后预防管理的高风险人群有哪些呢？</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1.外伤高风险职业人群</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特殊职业人群或特定人群如军人、警察、消防员、野外工程工作人员、建筑工人、农林牧渔等野外作业人员、运动员、野外运动爱好者及旅行者。这些人群发生外伤（或烧伤）风险显著高于一般人群。</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2.65岁以上的老年人</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20世纪60年代我国开始使用百白破联合疫苗，1978年才将其纳入计划免疫。因此，20世纪60年代以前出生的（&gt;65岁）均为免疫空白人群，是破伤风发病的高危人群。</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3.免疫功能受损人群</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一般包括先天性免疫缺陷、人类免疫缺陷病毒（ HIV）感染者、血液病或其他恶性肿瘤、干细胞移植或器官移植以及慢性肾功能衰竭患者。免疫功能受损人群由于其免疫应答产生的速度和水平都低于健康人群，伤口愈合速度也明显较低。同时，免疫功能受损人群破伤风免疫史往往不完整甚至缺失，因此免疫功能受损人群发生外伤且发生破伤风暴露时，破伤风发病风险将明显增加。</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4.创伤、烧伤、犬致伤</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在任何一个国家，创伤都是极其普遍的现象，以中国为例，每年发生各类创伤约 2 亿人次。同时，数据显示，我国每年约有2600万人发生不同程度的烧烫伤、4000万人被猫犬咬伤。而世界卫生组织曾指出，有研究表明，动物咬伤伤害中有76％—94％是犬造成的。哺乳动物消化道内可有破伤风梭菌存在，且动物及人咬伤的伤口感染率高，局部易形成厌氧环境，因此动物及人咬伤是破伤风高风险暴露。</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破伤风是一种极为严重的潜在致命性疾病，在无医疗干预的情况下，病死率接近 100%，即便在现代化医疗条件下，全球病死率仍达 30%～50%。人类普遍对其无自然免疫力，因此正确的暴露后处置对预防破伤风至关重要。</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凡是外伤后出现皮肤和/或黏膜破损，都属于破伤风暴露，应该采取破伤风暴露后处置。如果伤口较深或者被污染，伤口里有异物等情况，千万不要自己随便处理伤口，应该立即到正规医院就诊，由专业医生评估是否需要打破伤风针。</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我们通常所说的 “破伤风针”，实际上是意外受伤后，紧急预防破伤风发作所使用的破伤风被动免疫制剂，主要用于破伤风的短期应急性预防。</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目前，我国防治破伤风的被动免疫制剂主要有破伤风抗毒素（TAT）、马破伤风免疫球蛋白（F(ab')2）和破伤风人免疫球蛋白（HTIG）。随着重组抗破伤风毒素单克隆抗体的问世，我国破伤风的防治有了更多的选择。</w:t>
      </w:r>
      <w:r>
        <w:rPr>
          <w:rFonts w:hint="eastAsia" w:ascii="等线" w:hAnsi="等线" w:eastAsia="等线" w:cs="等线"/>
          <w:color w:val="000000"/>
          <w:kern w:val="0"/>
          <w:sz w:val="24"/>
          <w:szCs w:val="24"/>
          <w:lang w:val="en-US" w:eastAsia="zh-CN" w:bidi="ar"/>
        </w:rPr>
        <w:br w:type="textWrapping"/>
      </w:r>
      <w:r>
        <w:rPr>
          <w:rFonts w:hint="eastAsia" w:ascii="等线" w:hAnsi="等线" w:eastAsia="等线" w:cs="等线"/>
          <w:color w:val="000000"/>
          <w:kern w:val="0"/>
          <w:sz w:val="24"/>
          <w:szCs w:val="24"/>
          <w:lang w:val="en-US" w:eastAsia="zh-CN" w:bidi="ar"/>
        </w:rPr>
        <w:t>抗破伤风单抗单抗注射液作为重组抗破伤风毒素单克隆抗体药物，其 Ⅲ 期临床结果显示其具有速效性（在 12 h 内快速构建免疫屏障），优效性（持续数月提供高水平的抗破伤风中和抗体保护，抗体水平约为 HTIG 的 5～7 倍）、安全性（无需皮试、无过敏、无血源性疾病传播风险）和可及性（高质高产，充分满足临床供应需求）。抗破伤风单抗单抗注射液的上市为全球破伤风的防治带来更优方案，突破传统局限。</w:t>
      </w:r>
      <w:r>
        <w:rPr>
          <w:rFonts w:hint="eastAsia" w:ascii="等线" w:hAnsi="等线" w:eastAsia="等线" w:cs="等线"/>
          <w:color w:val="000000"/>
          <w:kern w:val="0"/>
          <w:sz w:val="24"/>
          <w:szCs w:val="24"/>
          <w:lang w:val="en-US" w:eastAsia="zh-CN" w:bidi="ar"/>
        </w:rPr>
        <w:br w:type="textWrapp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095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2025-07-28T00:10:46Z</dcterms:created>
  <dc:creator>Lenovo</dc:creator>
  <cp:lastModifiedBy>月光袭我以郁香</cp:lastModifiedBy>
  <dcterms:modified xsi:type="dcterms:W3CDTF">2025-07-28T00:15:14Z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eyJoZGlkIjoiNmI2ODc5M2VlOTQ5ZDUyYjI5MDFlMTJjNjNiYWM2YzIiLCJ1c2VySWQiOiIzMDkyMTYxNDkifQ==</vt:lpwstr>
  </property>
  <property fmtid="{D5CDD505-2E9C-101B-9397-08002B2CF9AE}" pid="4" name="ICV">
    <vt:lpwstr>F8CD38E21A324F1B9959A56A36B051BA_12</vt:lpwstr>
  </property>
</Properties>
</file>