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084A6" w14:textId="77777777" w:rsidR="00BF1A4E" w:rsidRPr="00BF1A4E" w:rsidRDefault="00BF1A4E" w:rsidP="00BF1A4E">
      <w:pPr>
        <w:widowControl/>
        <w:spacing w:line="450" w:lineRule="atLeast"/>
        <w:outlineLvl w:val="0"/>
        <w:rPr>
          <w:rFonts w:ascii="微软雅黑" w:eastAsia="微软雅黑" w:hAnsi="微软雅黑" w:cs="宋体"/>
          <w:b/>
          <w:bCs/>
          <w:kern w:val="36"/>
          <w:sz w:val="36"/>
          <w:szCs w:val="36"/>
        </w:rPr>
      </w:pPr>
      <w:r w:rsidRPr="00BF1A4E">
        <w:rPr>
          <w:rFonts w:ascii="微软雅黑" w:eastAsia="微软雅黑" w:hAnsi="微软雅黑" w:cs="宋体"/>
          <w:b/>
          <w:bCs/>
          <w:kern w:val="36"/>
          <w:sz w:val="36"/>
          <w:szCs w:val="36"/>
        </w:rPr>
        <w:t>GPX4抑制剂可增强CDK4/6抑制剂和内分泌疗法在乳腺癌中的活性</w:t>
      </w:r>
    </w:p>
    <w:p w14:paraId="0EFE7697" w14:textId="5A8F2713" w:rsidR="00BF1A4E" w:rsidRPr="00BF1A4E" w:rsidRDefault="00BF1A4E" w:rsidP="00BF1A4E">
      <w:pPr>
        <w:widowControl/>
        <w:pBdr>
          <w:bottom w:val="single" w:sz="6" w:space="0" w:color="97B1C8"/>
        </w:pBdr>
        <w:spacing w:line="450" w:lineRule="atLeast"/>
        <w:outlineLvl w:val="1"/>
        <w:rPr>
          <w:rFonts w:ascii="微软雅黑" w:eastAsia="微软雅黑" w:hAnsi="微软雅黑" w:cs="宋体"/>
          <w:kern w:val="0"/>
          <w:sz w:val="34"/>
          <w:szCs w:val="34"/>
        </w:rPr>
      </w:pPr>
      <w:r w:rsidRPr="0092390F">
        <w:rPr>
          <w:rFonts w:ascii="微软雅黑" w:eastAsia="微软雅黑" w:hAnsi="微软雅黑" w:cs="宋体" w:hint="eastAsia"/>
          <w:kern w:val="0"/>
          <w:sz w:val="34"/>
          <w:szCs w:val="34"/>
        </w:rPr>
        <w:t>摘要</w:t>
      </w:r>
    </w:p>
    <w:p w14:paraId="53182A3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CDK4/6抑制剂联合内分泌治疗是雌激素受体阳性（ER+）乳腺癌的标准治疗方案，尽管细胞抑制现象较为常见，但仍需要新的治疗策略来提高疗效。本研究进行了两项独立的全基因组CRISPR筛选，旨在鉴定CDK4/6抑制剂和内分泌治疗敏感性的遗传决定因素。参与氧化应激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基因能够调节敏感性，其中GPX4在两项筛选中均是主要的增敏因子。在ER+乳腺癌模型中，GPX4的缺失或抑制可提高对帕博西尼、吉瑞地群及其联合用药的敏感性，其中GPX4缺失的异种移植瘤对帕博西尼高度敏感。GPX4的扰动还能增强三阴性乳腺癌（TNBC）模型对帕博西尼的敏感性。帕博西尼和吉瑞地群可诱导氧化应激和脂质代谢紊乱，从而导致细胞进入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敏感的状态。在ER阳性乳腺癌模型中，脂质过氧化是由过氧化物酶体AGPAT3依赖性通路促进的，而非经典的ACSL4通路。我们的数据表明，CDK4/6和ER抑制会使细胞更容易发生铁死亡，而</w:t>
      </w:r>
      <w:proofErr w:type="gramStart"/>
      <w:r w:rsidRPr="00BF1A4E">
        <w:rPr>
          <w:rFonts w:ascii="微软雅黑" w:eastAsia="微软雅黑" w:hAnsi="微软雅黑" w:cs="宋体"/>
          <w:kern w:val="0"/>
          <w:sz w:val="24"/>
          <w:szCs w:val="24"/>
        </w:rPr>
        <w:t>这种易</w:t>
      </w:r>
      <w:proofErr w:type="gramEnd"/>
      <w:r w:rsidRPr="00BF1A4E">
        <w:rPr>
          <w:rFonts w:ascii="微软雅黑" w:eastAsia="微软雅黑" w:hAnsi="微软雅黑" w:cs="宋体"/>
          <w:kern w:val="0"/>
          <w:sz w:val="24"/>
          <w:szCs w:val="24"/>
        </w:rPr>
        <w:t>感性可以通过与GPX4抑制剂联合使用来增强乳腺癌对现有疗法的敏感性。</w:t>
      </w:r>
    </w:p>
    <w:p w14:paraId="61194684" w14:textId="77777777"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主题词：</w:t>
      </w:r>
      <w:r w:rsidRPr="00BF1A4E">
        <w:rPr>
          <w:rFonts w:ascii="微软雅黑" w:eastAsia="微软雅黑" w:hAnsi="微软雅黑" w:cs="宋体"/>
          <w:kern w:val="0"/>
          <w:sz w:val="24"/>
          <w:szCs w:val="24"/>
        </w:rPr>
        <w:t>乳腺癌，乳腺癌</w:t>
      </w:r>
    </w:p>
    <w:p w14:paraId="21B3266C" w14:textId="77777777"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kern w:val="0"/>
          <w:sz w:val="24"/>
          <w:szCs w:val="24"/>
        </w:rPr>
        <w:pict w14:anchorId="66CFCA87">
          <v:rect id="_x0000_i1025" style="width:0;height:0" o:hralign="center" o:hrstd="t" o:hr="t" fillcolor="#a0a0a0" stroked="f"/>
        </w:pict>
      </w:r>
    </w:p>
    <w:p w14:paraId="70D5C95C"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CDK4/6抑制剂（CDK4/6i）虽然改善了乳腺癌患者的预后，但雌激素受体阳性（ER+）乳腺癌常常产生耐药性，而三阴性乳腺癌（TNBC）的敏感性较差。本文作者发现，CDK4/6i治疗的ER+和TNBC在</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方面存在脆弱性，并证实CDK4/6i与GPX4抑制剂联合使用具有协同作用。</w:t>
      </w:r>
    </w:p>
    <w:p w14:paraId="549ABD3D" w14:textId="77777777" w:rsidR="00BF1A4E" w:rsidRPr="00BF1A4E" w:rsidRDefault="00BF1A4E" w:rsidP="00BF1A4E">
      <w:pPr>
        <w:widowControl/>
        <w:pBdr>
          <w:bottom w:val="single" w:sz="6" w:space="0" w:color="97B1C8"/>
        </w:pBdr>
        <w:spacing w:line="450" w:lineRule="atLeast"/>
        <w:outlineLvl w:val="1"/>
        <w:rPr>
          <w:rFonts w:ascii="微软雅黑" w:eastAsia="微软雅黑" w:hAnsi="微软雅黑" w:cs="宋体"/>
          <w:kern w:val="0"/>
          <w:sz w:val="34"/>
          <w:szCs w:val="34"/>
        </w:rPr>
      </w:pPr>
      <w:r w:rsidRPr="00BF1A4E">
        <w:rPr>
          <w:rFonts w:ascii="微软雅黑" w:eastAsia="微软雅黑" w:hAnsi="微软雅黑" w:cs="宋体"/>
          <w:kern w:val="0"/>
          <w:sz w:val="34"/>
          <w:szCs w:val="34"/>
        </w:rPr>
        <w:lastRenderedPageBreak/>
        <w:t>介绍</w:t>
      </w:r>
    </w:p>
    <w:p w14:paraId="4F5ABFE0" w14:textId="40DAF2CC"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细胞周期蛋白D依赖性激酶4和6抑制剂（CDK4/6i），包括帕博西尼、瑞博西尼和阿贝西利，联合内分泌治疗是雌激素受体阳性（ER+）和人表皮生长因子受体2阴性乳腺癌患者的标准治疗方案</w:t>
      </w:r>
      <w:r w:rsidRPr="00BF1A4E">
        <w:rPr>
          <w:rFonts w:ascii="微软雅黑" w:eastAsia="微软雅黑" w:hAnsi="微软雅黑" w:cs="宋体"/>
          <w:kern w:val="0"/>
          <w:sz w:val="24"/>
          <w:szCs w:val="24"/>
          <w:u w:val="single"/>
          <w:vertAlign w:val="superscript"/>
        </w:rPr>
        <w:t>&lt;sup&gt; </w:t>
      </w:r>
      <w:hyperlink r:id="rId5" w:anchor="CR1" w:history="1">
        <w:r w:rsidRPr="00BF1A4E">
          <w:rPr>
            <w:rFonts w:ascii="微软雅黑" w:eastAsia="微软雅黑" w:hAnsi="微软雅黑" w:cs="宋体"/>
            <w:kern w:val="0"/>
            <w:sz w:val="24"/>
            <w:szCs w:val="24"/>
            <w:u w:val="single"/>
            <w:vertAlign w:val="superscript"/>
          </w:rPr>
          <w:t>1-5</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抑制CDK4/6和抑制ER信号通路均可通过将细胞阻滞在细胞周期的G1期来减弱细胞增殖，二者联合使用可增强细胞周期阻滞</w:t>
      </w:r>
      <w:r w:rsidRPr="00BF1A4E">
        <w:rPr>
          <w:rFonts w:ascii="微软雅黑" w:eastAsia="微软雅黑" w:hAnsi="微软雅黑" w:cs="宋体"/>
          <w:kern w:val="0"/>
          <w:sz w:val="24"/>
          <w:szCs w:val="24"/>
          <w:u w:val="single"/>
          <w:vertAlign w:val="superscript"/>
        </w:rPr>
        <w:t>&lt;sup&gt; </w:t>
      </w:r>
      <w:hyperlink r:id="rId6" w:anchor="CR6" w:history="1">
        <w:r w:rsidRPr="00BF1A4E">
          <w:rPr>
            <w:rFonts w:ascii="微软雅黑" w:eastAsia="微软雅黑" w:hAnsi="微软雅黑" w:cs="宋体"/>
            <w:kern w:val="0"/>
            <w:sz w:val="24"/>
            <w:szCs w:val="24"/>
            <w:u w:val="single"/>
            <w:vertAlign w:val="superscript"/>
          </w:rPr>
          <w:t>6&lt;/sup&gt;</w:t>
        </w:r>
      </w:hyperlink>
      <w:r w:rsidRPr="00BF1A4E">
        <w:rPr>
          <w:rFonts w:ascii="微软雅黑" w:eastAsia="微软雅黑" w:hAnsi="微软雅黑" w:cs="宋体"/>
          <w:kern w:val="0"/>
          <w:sz w:val="24"/>
          <w:szCs w:val="24"/>
        </w:rPr>
        <w:t>。尽管这些治疗取得了成功，但绝大多数患者在晚期仍会进展，许多患者即使接受辅助治疗也会复发。因此，需要新的方法来克服耐药性并提高敏感性。正在研究的口服雌激素受体拮抗剂和降解剂，例如吉瑞地群，可以更有效地抑制ER，并且可能比目前的内分泌疗法更有效，尤其是在存在</w:t>
      </w:r>
      <w:r w:rsidRPr="00BF1A4E">
        <w:rPr>
          <w:rFonts w:ascii="微软雅黑" w:eastAsia="微软雅黑" w:hAnsi="微软雅黑" w:cs="宋体"/>
          <w:i/>
          <w:iCs/>
          <w:kern w:val="0"/>
          <w:sz w:val="24"/>
          <w:szCs w:val="24"/>
        </w:rPr>
        <w:t>ESR1</w:t>
      </w:r>
      <w:r w:rsidRPr="00BF1A4E">
        <w:rPr>
          <w:rFonts w:ascii="微软雅黑" w:eastAsia="微软雅黑" w:hAnsi="微软雅黑" w:cs="宋体"/>
          <w:kern w:val="0"/>
          <w:sz w:val="24"/>
          <w:szCs w:val="24"/>
        </w:rPr>
        <w:t>突变的情况下</w:t>
      </w:r>
      <w:r w:rsidRPr="00BF1A4E">
        <w:rPr>
          <w:rFonts w:ascii="微软雅黑" w:eastAsia="微软雅黑" w:hAnsi="微软雅黑" w:cs="宋体"/>
          <w:kern w:val="0"/>
          <w:sz w:val="24"/>
          <w:szCs w:val="24"/>
          <w:u w:val="single"/>
          <w:vertAlign w:val="superscript"/>
        </w:rPr>
        <w:fldChar w:fldCharType="begin"/>
      </w:r>
      <w:r w:rsidRPr="00BF1A4E">
        <w:rPr>
          <w:rFonts w:ascii="微软雅黑" w:eastAsia="微软雅黑" w:hAnsi="微软雅黑" w:cs="宋体"/>
          <w:kern w:val="0"/>
          <w:sz w:val="24"/>
          <w:szCs w:val="24"/>
          <w:u w:val="single"/>
          <w:vertAlign w:val="superscript"/>
        </w:rPr>
        <w:instrText xml:space="preserve"> HYPERLINK "https://pmc.ncbi.nlm.nih.gov/articles/PMC11538343/" \l "CR9" </w:instrText>
      </w:r>
      <w:r w:rsidRPr="00BF1A4E">
        <w:rPr>
          <w:rFonts w:ascii="微软雅黑" w:eastAsia="微软雅黑" w:hAnsi="微软雅黑" w:cs="宋体"/>
          <w:kern w:val="0"/>
          <w:sz w:val="24"/>
          <w:szCs w:val="24"/>
          <w:u w:val="single"/>
          <w:vertAlign w:val="superscript"/>
        </w:rPr>
        <w:fldChar w:fldCharType="separate"/>
      </w:r>
      <w:r w:rsidRPr="00BF1A4E">
        <w:rPr>
          <w:rFonts w:ascii="微软雅黑" w:eastAsia="微软雅黑" w:hAnsi="微软雅黑" w:cs="宋体"/>
          <w:kern w:val="0"/>
          <w:sz w:val="24"/>
          <w:szCs w:val="24"/>
          <w:u w:val="single"/>
          <w:vertAlign w:val="superscript"/>
        </w:rPr>
        <w:t>&lt;sup&gt; </w:t>
      </w:r>
      <w:r w:rsidRPr="00BF1A4E">
        <w:rPr>
          <w:rFonts w:ascii="微软雅黑" w:eastAsia="微软雅黑" w:hAnsi="微软雅黑" w:cs="宋体"/>
          <w:kern w:val="0"/>
          <w:sz w:val="24"/>
          <w:szCs w:val="24"/>
          <w:u w:val="single"/>
          <w:vertAlign w:val="superscript"/>
        </w:rPr>
        <w:fldChar w:fldCharType="end"/>
      </w:r>
      <w:hyperlink r:id="rId7" w:anchor="CR7" w:history="1">
        <w:r w:rsidRPr="00BF1A4E">
          <w:rPr>
            <w:rFonts w:ascii="微软雅黑" w:eastAsia="微软雅黑" w:hAnsi="微软雅黑" w:cs="宋体"/>
            <w:kern w:val="0"/>
            <w:sz w:val="24"/>
            <w:szCs w:val="24"/>
            <w:u w:val="single"/>
            <w:vertAlign w:val="superscript"/>
          </w:rPr>
          <w:t>7-9</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。此外，CDK4/6i 在其他类型的乳腺癌（如三阴性乳腺癌 (TNBC)）中已显示出有限的活性，而使这些癌症对 CDK4/6i 敏感的疗法可能具有相当大的实用价值。</w:t>
      </w:r>
    </w:p>
    <w:p w14:paraId="677FD1BC" w14:textId="77777777" w:rsidR="00BF1A4E" w:rsidRPr="00BF1A4E" w:rsidRDefault="00BF1A4E" w:rsidP="00BF1A4E">
      <w:pPr>
        <w:widowControl/>
        <w:spacing w:before="450"/>
        <w:rPr>
          <w:rFonts w:ascii="微软雅黑" w:eastAsia="微软雅黑" w:hAnsi="微软雅黑" w:cs="宋体"/>
          <w:kern w:val="0"/>
          <w:sz w:val="24"/>
          <w:szCs w:val="24"/>
        </w:rPr>
      </w:pP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已被确定为一种铁依赖性的非凋亡性细胞死亡机制，其由脂质过氧化物的积累</w:t>
      </w:r>
      <w:proofErr w:type="gramStart"/>
      <w:r w:rsidRPr="00BF1A4E">
        <w:rPr>
          <w:rFonts w:ascii="微软雅黑" w:eastAsia="微软雅黑" w:hAnsi="微软雅黑" w:cs="宋体"/>
          <w:kern w:val="0"/>
          <w:sz w:val="24"/>
          <w:szCs w:val="24"/>
        </w:rPr>
        <w:t>介</w:t>
      </w:r>
      <w:proofErr w:type="gramEnd"/>
      <w:r w:rsidRPr="00BF1A4E">
        <w:rPr>
          <w:rFonts w:ascii="微软雅黑" w:eastAsia="微软雅黑" w:hAnsi="微软雅黑" w:cs="宋体"/>
          <w:kern w:val="0"/>
          <w:sz w:val="24"/>
          <w:szCs w:val="24"/>
        </w:rPr>
        <w:t>导，导致质膜快速且不可修复的损伤</w:t>
      </w:r>
      <w:r w:rsidRPr="00BF1A4E">
        <w:rPr>
          <w:rFonts w:ascii="微软雅黑" w:eastAsia="微软雅黑" w:hAnsi="微软雅黑" w:cs="宋体"/>
          <w:kern w:val="0"/>
          <w:sz w:val="24"/>
          <w:szCs w:val="24"/>
          <w:u w:val="single"/>
          <w:vertAlign w:val="superscript"/>
        </w:rPr>
        <w:t>&lt;sup&gt; </w:t>
      </w:r>
      <w:hyperlink r:id="rId8" w:anchor="CR10" w:history="1">
        <w:r w:rsidRPr="00BF1A4E">
          <w:rPr>
            <w:rFonts w:ascii="微软雅黑" w:eastAsia="微软雅黑" w:hAnsi="微软雅黑" w:cs="宋体"/>
            <w:kern w:val="0"/>
            <w:sz w:val="24"/>
            <w:szCs w:val="24"/>
            <w:u w:val="single"/>
            <w:vertAlign w:val="superscript"/>
          </w:rPr>
          <w:t>10&lt;/sup&gt;</w:t>
        </w:r>
      </w:hyperlink>
      <w:r w:rsidRPr="00BF1A4E">
        <w:rPr>
          <w:rFonts w:ascii="微软雅黑" w:eastAsia="微软雅黑" w:hAnsi="微软雅黑" w:cs="宋体"/>
          <w:kern w:val="0"/>
          <w:sz w:val="24"/>
          <w:szCs w:val="24"/>
        </w:rPr>
        <w:t>。含有多不饱和脂肪酸（PUFA）的磷脂（PL）极易发生过氧化，而谷胱甘肽过氧化物酶4（GPX4）通过催化磷脂和胆固醇氢过氧化物的还原来抵抗</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u w:val="single"/>
          <w:vertAlign w:val="superscript"/>
        </w:rPr>
        <w:t>&lt;sup&gt; 11-13 </w:t>
      </w:r>
      <w:hyperlink r:id="rId9" w:anchor="CR11" w:history="1">
        <w:r w:rsidRPr="00BF1A4E">
          <w:rPr>
            <w:rFonts w:ascii="微软雅黑" w:eastAsia="微软雅黑" w:hAnsi="微软雅黑" w:cs="宋体"/>
            <w:kern w:val="0"/>
            <w:sz w:val="24"/>
            <w:szCs w:val="24"/>
            <w:u w:val="single"/>
            <w:vertAlign w:val="superscript"/>
          </w:rPr>
          <w:t>&lt;/sup&gt; </w:t>
        </w:r>
      </w:hyperlink>
      <w:hyperlink r:id="rId10" w:anchor="CR13" w:history="1">
        <w:r w:rsidRPr="00BF1A4E">
          <w:rPr>
            <w:rFonts w:ascii="微软雅黑" w:eastAsia="微软雅黑" w:hAnsi="微软雅黑" w:cs="宋体"/>
            <w:kern w:val="0"/>
            <w:sz w:val="24"/>
            <w:szCs w:val="24"/>
            <w:u w:val="single"/>
            <w:vertAlign w:val="superscript"/>
          </w:rPr>
          <w:t>。</w:t>
        </w:r>
      </w:hyperlink>
      <w:r w:rsidRPr="00BF1A4E">
        <w:rPr>
          <w:rFonts w:ascii="微软雅黑" w:eastAsia="微软雅黑" w:hAnsi="微软雅黑" w:cs="宋体"/>
          <w:kern w:val="0"/>
          <w:sz w:val="24"/>
          <w:szCs w:val="24"/>
        </w:rPr>
        <w:t>多种途径调节易发生过氧化的PUFA-PL的膜丰度，其中ACSL4和LPCAT3通常是参与该过程的关键酶</w:t>
      </w:r>
      <w:r w:rsidRPr="00BF1A4E">
        <w:rPr>
          <w:rFonts w:ascii="微软雅黑" w:eastAsia="微软雅黑" w:hAnsi="微软雅黑" w:cs="宋体"/>
          <w:kern w:val="0"/>
          <w:sz w:val="24"/>
          <w:szCs w:val="24"/>
          <w:u w:val="single"/>
          <w:vertAlign w:val="superscript"/>
        </w:rPr>
        <w:t>&lt;sup&gt; </w:t>
      </w:r>
      <w:hyperlink r:id="rId11" w:anchor="CR14" w:history="1">
        <w:r w:rsidRPr="00BF1A4E">
          <w:rPr>
            <w:rFonts w:ascii="微软雅黑" w:eastAsia="微软雅黑" w:hAnsi="微软雅黑" w:cs="宋体"/>
            <w:kern w:val="0"/>
            <w:sz w:val="24"/>
            <w:szCs w:val="24"/>
            <w:u w:val="single"/>
            <w:vertAlign w:val="superscript"/>
          </w:rPr>
          <w:t>14&lt;/sup&gt;</w:t>
        </w:r>
      </w:hyperlink>
      <w:r w:rsidRPr="00BF1A4E">
        <w:rPr>
          <w:rFonts w:ascii="微软雅黑" w:eastAsia="微软雅黑" w:hAnsi="微软雅黑" w:cs="宋体"/>
          <w:kern w:val="0"/>
          <w:sz w:val="24"/>
          <w:szCs w:val="24"/>
        </w:rPr>
        <w:t>。最近，过氧化物酶体作为</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的另一个调节因子而出现，它参与合成多不饱和脂肪酸</w:t>
      </w:r>
      <w:proofErr w:type="gramStart"/>
      <w:r w:rsidRPr="00BF1A4E">
        <w:rPr>
          <w:rFonts w:ascii="微软雅黑" w:eastAsia="微软雅黑" w:hAnsi="微软雅黑" w:cs="宋体"/>
          <w:kern w:val="0"/>
          <w:sz w:val="24"/>
          <w:szCs w:val="24"/>
        </w:rPr>
        <w:t>醚键合</w:t>
      </w:r>
      <w:proofErr w:type="gramEnd"/>
      <w:r w:rsidRPr="00BF1A4E">
        <w:rPr>
          <w:rFonts w:ascii="微软雅黑" w:eastAsia="微软雅黑" w:hAnsi="微软雅黑" w:cs="宋体"/>
          <w:kern w:val="0"/>
          <w:sz w:val="24"/>
          <w:szCs w:val="24"/>
        </w:rPr>
        <w:t>磷脂（PUFA-</w:t>
      </w:r>
      <w:proofErr w:type="spellStart"/>
      <w:r w:rsidRPr="00BF1A4E">
        <w:rPr>
          <w:rFonts w:ascii="微软雅黑" w:eastAsia="微软雅黑" w:hAnsi="微软雅黑" w:cs="宋体"/>
          <w:kern w:val="0"/>
          <w:sz w:val="24"/>
          <w:szCs w:val="24"/>
        </w:rPr>
        <w:t>ePLs</w:t>
      </w:r>
      <w:proofErr w:type="spellEnd"/>
      <w:r w:rsidRPr="00BF1A4E">
        <w:rPr>
          <w:rFonts w:ascii="微软雅黑" w:eastAsia="微软雅黑" w:hAnsi="微软雅黑" w:cs="宋体"/>
          <w:kern w:val="0"/>
          <w:sz w:val="24"/>
          <w:szCs w:val="24"/>
        </w:rPr>
        <w:t>），且该过程独立于 ACSL4，其中 AGPS、FAR1 和 AGPAT3 是</w:t>
      </w:r>
      <w:proofErr w:type="gramStart"/>
      <w:r w:rsidRPr="00BF1A4E">
        <w:rPr>
          <w:rFonts w:ascii="微软雅黑" w:eastAsia="微软雅黑" w:hAnsi="微软雅黑" w:cs="宋体"/>
          <w:kern w:val="0"/>
          <w:sz w:val="24"/>
          <w:szCs w:val="24"/>
        </w:rPr>
        <w:t>该途径</w:t>
      </w:r>
      <w:proofErr w:type="gramEnd"/>
      <w:r w:rsidRPr="00BF1A4E">
        <w:rPr>
          <w:rFonts w:ascii="微软雅黑" w:eastAsia="微软雅黑" w:hAnsi="微软雅黑" w:cs="宋体"/>
          <w:kern w:val="0"/>
          <w:sz w:val="24"/>
          <w:szCs w:val="24"/>
        </w:rPr>
        <w:t>中的关键酶</w:t>
      </w:r>
      <w:r w:rsidRPr="00BF1A4E">
        <w:rPr>
          <w:rFonts w:ascii="微软雅黑" w:eastAsia="微软雅黑" w:hAnsi="微软雅黑" w:cs="宋体"/>
          <w:kern w:val="0"/>
          <w:sz w:val="24"/>
          <w:szCs w:val="24"/>
          <w:u w:val="single"/>
          <w:vertAlign w:val="superscript"/>
        </w:rPr>
        <w:lastRenderedPageBreak/>
        <w:t>&lt;sup&gt; </w:t>
      </w:r>
      <w:hyperlink r:id="rId12" w:anchor="CR15" w:history="1">
        <w:r w:rsidRPr="00BF1A4E">
          <w:rPr>
            <w:rFonts w:ascii="微软雅黑" w:eastAsia="微软雅黑" w:hAnsi="微软雅黑" w:cs="宋体"/>
            <w:kern w:val="0"/>
            <w:sz w:val="24"/>
            <w:szCs w:val="24"/>
            <w:u w:val="single"/>
            <w:vertAlign w:val="superscript"/>
          </w:rPr>
          <w:t>15&lt;/sup&gt;</w:t>
        </w:r>
      </w:hyperlink>
      <w:r w:rsidRPr="00BF1A4E">
        <w:rPr>
          <w:rFonts w:ascii="微软雅黑" w:eastAsia="微软雅黑" w:hAnsi="微软雅黑" w:cs="宋体"/>
          <w:kern w:val="0"/>
          <w:sz w:val="24"/>
          <w:szCs w:val="24"/>
        </w:rPr>
        <w:t>。脂质过氧化可</w:t>
      </w:r>
      <w:proofErr w:type="gramStart"/>
      <w:r w:rsidRPr="00BF1A4E">
        <w:rPr>
          <w:rFonts w:ascii="微软雅黑" w:eastAsia="微软雅黑" w:hAnsi="微软雅黑" w:cs="宋体"/>
          <w:kern w:val="0"/>
          <w:sz w:val="24"/>
          <w:szCs w:val="24"/>
        </w:rPr>
        <w:t>由烷氧</w:t>
      </w:r>
      <w:proofErr w:type="gramEnd"/>
      <w:r w:rsidRPr="00BF1A4E">
        <w:rPr>
          <w:rFonts w:ascii="微软雅黑" w:eastAsia="微软雅黑" w:hAnsi="微软雅黑" w:cs="宋体"/>
          <w:kern w:val="0"/>
          <w:sz w:val="24"/>
          <w:szCs w:val="24"/>
        </w:rPr>
        <w:t>基自由基或羟基自由基的非酶促反应引起，也可由铁依赖的</w:t>
      </w:r>
      <w:proofErr w:type="gramStart"/>
      <w:r w:rsidRPr="00BF1A4E">
        <w:rPr>
          <w:rFonts w:ascii="微软雅黑" w:eastAsia="微软雅黑" w:hAnsi="微软雅黑" w:cs="宋体"/>
          <w:kern w:val="0"/>
          <w:sz w:val="24"/>
          <w:szCs w:val="24"/>
        </w:rPr>
        <w:t>芬顿型</w:t>
      </w:r>
      <w:proofErr w:type="gramEnd"/>
      <w:r w:rsidRPr="00BF1A4E">
        <w:rPr>
          <w:rFonts w:ascii="微软雅黑" w:eastAsia="微软雅黑" w:hAnsi="微软雅黑" w:cs="宋体"/>
          <w:kern w:val="0"/>
          <w:sz w:val="24"/>
          <w:szCs w:val="24"/>
        </w:rPr>
        <w:t>反应引起</w:t>
      </w:r>
      <w:r w:rsidRPr="00BF1A4E">
        <w:rPr>
          <w:rFonts w:ascii="微软雅黑" w:eastAsia="微软雅黑" w:hAnsi="微软雅黑" w:cs="宋体"/>
          <w:kern w:val="0"/>
          <w:sz w:val="24"/>
          <w:szCs w:val="24"/>
          <w:u w:val="single"/>
          <w:vertAlign w:val="superscript"/>
        </w:rPr>
        <w:t>&lt;sup&gt; </w:t>
      </w:r>
      <w:hyperlink r:id="rId13" w:anchor="CR16" w:history="1">
        <w:r w:rsidRPr="00BF1A4E">
          <w:rPr>
            <w:rFonts w:ascii="微软雅黑" w:eastAsia="微软雅黑" w:hAnsi="微软雅黑" w:cs="宋体"/>
            <w:kern w:val="0"/>
            <w:sz w:val="24"/>
            <w:szCs w:val="24"/>
            <w:u w:val="single"/>
            <w:vertAlign w:val="superscript"/>
          </w:rPr>
          <w:t>16&lt;/sup&gt;</w:t>
        </w:r>
      </w:hyperlink>
      <w:r w:rsidRPr="00BF1A4E">
        <w:rPr>
          <w:rFonts w:ascii="微软雅黑" w:eastAsia="微软雅黑" w:hAnsi="微软雅黑" w:cs="宋体"/>
          <w:kern w:val="0"/>
          <w:sz w:val="24"/>
          <w:szCs w:val="24"/>
        </w:rPr>
        <w:t>。</w:t>
      </w:r>
    </w:p>
    <w:p w14:paraId="2D9DFF93"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为了寻找能够增强 CDK4/6 抑制剂和内分泌疗法疗效的潜在靶点，我们进行了全基因组 CRISPR/Cas9 抑制筛选，意外地发现 GPX4 缺失是增强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和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治疗细胞敏感性的最主要靶点，同时还有多个其他参与</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的基因调节了这种敏感性。本文中，我们展示了 GPX4 缺失能够增强多种乳腺癌模型对 CDK4/6 和 ER 抑制剂的敏感性，并探讨了这些药物如何诱导细胞进入易</w:t>
      </w:r>
      <w:proofErr w:type="gramStart"/>
      <w:r w:rsidRPr="00BF1A4E">
        <w:rPr>
          <w:rFonts w:ascii="微软雅黑" w:eastAsia="微软雅黑" w:hAnsi="微软雅黑" w:cs="宋体"/>
          <w:kern w:val="0"/>
          <w:sz w:val="24"/>
          <w:szCs w:val="24"/>
        </w:rPr>
        <w:t>受铁死亡</w:t>
      </w:r>
      <w:proofErr w:type="gramEnd"/>
      <w:r w:rsidRPr="00BF1A4E">
        <w:rPr>
          <w:rFonts w:ascii="微软雅黑" w:eastAsia="微软雅黑" w:hAnsi="微软雅黑" w:cs="宋体"/>
          <w:kern w:val="0"/>
          <w:sz w:val="24"/>
          <w:szCs w:val="24"/>
        </w:rPr>
        <w:t>影响的状态。</w:t>
      </w:r>
    </w:p>
    <w:p w14:paraId="216281EC" w14:textId="77777777" w:rsidR="00BF1A4E" w:rsidRPr="00BF1A4E" w:rsidRDefault="00BF1A4E" w:rsidP="00BF1A4E">
      <w:pPr>
        <w:widowControl/>
        <w:pBdr>
          <w:bottom w:val="single" w:sz="6" w:space="0" w:color="97B1C8"/>
        </w:pBdr>
        <w:spacing w:line="450" w:lineRule="atLeast"/>
        <w:outlineLvl w:val="1"/>
        <w:rPr>
          <w:rFonts w:ascii="微软雅黑" w:eastAsia="微软雅黑" w:hAnsi="微软雅黑" w:cs="宋体"/>
          <w:kern w:val="0"/>
          <w:sz w:val="34"/>
          <w:szCs w:val="34"/>
        </w:rPr>
      </w:pPr>
      <w:r w:rsidRPr="00BF1A4E">
        <w:rPr>
          <w:rFonts w:ascii="微软雅黑" w:eastAsia="微软雅黑" w:hAnsi="微软雅黑" w:cs="宋体"/>
          <w:kern w:val="0"/>
          <w:sz w:val="34"/>
          <w:szCs w:val="34"/>
        </w:rPr>
        <w:t>结果</w:t>
      </w:r>
    </w:p>
    <w:p w14:paraId="5B1EF434"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帕博西尼全基因组 CRISPR 筛选揭示了</w:t>
      </w:r>
      <w:proofErr w:type="gramStart"/>
      <w:r w:rsidRPr="00BF1A4E">
        <w:rPr>
          <w:rFonts w:ascii="微软雅黑" w:eastAsia="微软雅黑" w:hAnsi="微软雅黑" w:cs="宋体"/>
          <w:kern w:val="0"/>
          <w:sz w:val="32"/>
          <w:szCs w:val="32"/>
        </w:rPr>
        <w:t>铁死亡</w:t>
      </w:r>
      <w:proofErr w:type="gramEnd"/>
      <w:r w:rsidRPr="00BF1A4E">
        <w:rPr>
          <w:rFonts w:ascii="微软雅黑" w:eastAsia="微软雅黑" w:hAnsi="微软雅黑" w:cs="宋体"/>
          <w:kern w:val="0"/>
          <w:sz w:val="32"/>
          <w:szCs w:val="32"/>
        </w:rPr>
        <w:t>和氧化应激的调节因子，这些调节因子可增强 CDK4/6 抑制剂的敏感性。</w:t>
      </w:r>
    </w:p>
    <w:p w14:paraId="4D8B54F1"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为了鉴定ER阳性乳腺癌中对CDK4/6抑制剂的敏感性和耐药性机制，我们利用包含87,897个sgRNA的人类sgRNA文库</w:t>
      </w:r>
      <w:r w:rsidRPr="00BF1A4E">
        <w:rPr>
          <w:rFonts w:ascii="微软雅黑" w:eastAsia="微软雅黑" w:hAnsi="微软雅黑" w:cs="宋体"/>
          <w:kern w:val="0"/>
          <w:sz w:val="24"/>
          <w:szCs w:val="24"/>
          <w:u w:val="single"/>
          <w:vertAlign w:val="superscript"/>
        </w:rPr>
        <w:t>&lt;sup&gt; </w:t>
      </w:r>
      <w:hyperlink r:id="rId14" w:anchor="CR17" w:history="1">
        <w:r w:rsidRPr="00BF1A4E">
          <w:rPr>
            <w:rFonts w:ascii="微软雅黑" w:eastAsia="微软雅黑" w:hAnsi="微软雅黑" w:cs="宋体"/>
            <w:kern w:val="0"/>
            <w:sz w:val="24"/>
            <w:szCs w:val="24"/>
            <w:u w:val="single"/>
            <w:vertAlign w:val="superscript"/>
          </w:rPr>
          <w:t>17</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和强力霉素诱导型Cas9 MCF-7细胞（MCF-7 iCas9；图 </w:t>
      </w:r>
      <w:hyperlink r:id="rId15" w:anchor="Fig1" w:history="1">
        <w:r w:rsidRPr="00BF1A4E">
          <w:rPr>
            <w:rFonts w:ascii="微软雅黑" w:eastAsia="微软雅黑" w:hAnsi="微软雅黑" w:cs="宋体"/>
            <w:kern w:val="0"/>
            <w:sz w:val="24"/>
            <w:szCs w:val="24"/>
            <w:u w:val="single"/>
          </w:rPr>
          <w:t>1A</w:t>
        </w:r>
      </w:hyperlink>
      <w:r w:rsidRPr="00BF1A4E">
        <w:rPr>
          <w:rFonts w:ascii="微软雅黑" w:eastAsia="微软雅黑" w:hAnsi="微软雅黑" w:cs="宋体"/>
          <w:kern w:val="0"/>
          <w:sz w:val="24"/>
          <w:szCs w:val="24"/>
        </w:rPr>
        <w:t>）进行了全基因组CRISPR/Cas9负向筛选。在低MOI（</w:t>
      </w:r>
      <w:proofErr w:type="spellStart"/>
      <w:r w:rsidRPr="00BF1A4E">
        <w:rPr>
          <w:rFonts w:ascii="微软雅黑" w:eastAsia="微软雅黑" w:hAnsi="微软雅黑" w:cs="宋体"/>
          <w:kern w:val="0"/>
          <w:sz w:val="24"/>
          <w:szCs w:val="24"/>
        </w:rPr>
        <w:t>MOI</w:t>
      </w:r>
      <w:proofErr w:type="spellEnd"/>
      <w:r w:rsidRPr="00BF1A4E">
        <w:rPr>
          <w:rFonts w:ascii="微软雅黑" w:eastAsia="微软雅黑" w:hAnsi="微软雅黑" w:cs="宋体"/>
          <w:kern w:val="0"/>
          <w:sz w:val="24"/>
          <w:szCs w:val="24"/>
        </w:rPr>
        <w:t xml:space="preserve"> 0.3）下转染sgRNA文库后，细胞暴露于强力霉素以诱导Cas9表达和基因突变，然后暴露于载体（DMSO）或500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帕博西尼（SF&lt;sub&gt; </w:t>
      </w:r>
      <w:r w:rsidRPr="00BF1A4E">
        <w:rPr>
          <w:rFonts w:ascii="微软雅黑" w:eastAsia="微软雅黑" w:hAnsi="微软雅黑" w:cs="宋体"/>
          <w:kern w:val="0"/>
          <w:sz w:val="24"/>
          <w:szCs w:val="24"/>
          <w:vertAlign w:val="subscript"/>
        </w:rPr>
        <w:t>50</w:t>
      </w:r>
      <w:r w:rsidRPr="00BF1A4E">
        <w:rPr>
          <w:rFonts w:ascii="微软雅黑" w:eastAsia="微软雅黑" w:hAnsi="微软雅黑" w:cs="宋体"/>
          <w:kern w:val="0"/>
          <w:sz w:val="24"/>
          <w:szCs w:val="24"/>
        </w:rPr>
        <w:t> &lt;/sub&gt; ）两周。通过深度测序比较处理前（T &lt;sub&gt;0 &lt;/sub&gt;）和处理后（T&lt;sub&gt; 1&lt;/sub&gt;）细胞群中sgRNA的丰度，以鉴定影响帕博西尼反应的基因。在车辆对照组中，我们观察到靶向公认的“核心必需基因”的sgRNA显著减少，表明该筛选方法能够灵敏地检测基因扰动（补充图 </w:t>
      </w:r>
      <w:hyperlink r:id="rId16" w:anchor="MOESM1" w:history="1">
        <w:r w:rsidRPr="00BF1A4E">
          <w:rPr>
            <w:rFonts w:ascii="微软雅黑" w:eastAsia="微软雅黑" w:hAnsi="微软雅黑" w:cs="宋体"/>
            <w:kern w:val="0"/>
            <w:sz w:val="24"/>
            <w:szCs w:val="24"/>
            <w:u w:val="single"/>
          </w:rPr>
          <w:t>1A</w:t>
        </w:r>
      </w:hyperlink>
      <w:r w:rsidRPr="00BF1A4E">
        <w:rPr>
          <w:rFonts w:ascii="微软雅黑" w:eastAsia="微软雅黑" w:hAnsi="微软雅黑" w:cs="宋体"/>
          <w:kern w:val="0"/>
          <w:sz w:val="24"/>
          <w:szCs w:val="24"/>
        </w:rPr>
        <w:t>）。此</w:t>
      </w:r>
      <w:r w:rsidRPr="00BF1A4E">
        <w:rPr>
          <w:rFonts w:ascii="微软雅黑" w:eastAsia="微软雅黑" w:hAnsi="微软雅黑" w:cs="宋体"/>
          <w:kern w:val="0"/>
          <w:sz w:val="24"/>
          <w:szCs w:val="24"/>
        </w:rPr>
        <w:lastRenderedPageBreak/>
        <w:t>外，该筛选方法证实了之前的研究结果。因此，CRISPR-Cas9靶向细胞周期抑制因子</w:t>
      </w:r>
      <w:r w:rsidRPr="00BF1A4E">
        <w:rPr>
          <w:rFonts w:ascii="微软雅黑" w:eastAsia="微软雅黑" w:hAnsi="微软雅黑" w:cs="宋体"/>
          <w:i/>
          <w:iCs/>
          <w:kern w:val="0"/>
          <w:sz w:val="24"/>
          <w:szCs w:val="24"/>
        </w:rPr>
        <w:t>RB1 </w:t>
      </w:r>
      <w:r w:rsidRPr="00BF1A4E">
        <w:rPr>
          <w:rFonts w:ascii="微软雅黑" w:eastAsia="微软雅黑" w:hAnsi="微软雅黑" w:cs="宋体"/>
          <w:kern w:val="0"/>
          <w:sz w:val="24"/>
          <w:szCs w:val="24"/>
          <w:u w:val="single"/>
          <w:vertAlign w:val="superscript"/>
        </w:rPr>
        <w:t>&lt;sup&gt; </w:t>
      </w:r>
      <w:hyperlink r:id="rId17" w:anchor="CR18" w:history="1">
        <w:r w:rsidRPr="00BF1A4E">
          <w:rPr>
            <w:rFonts w:ascii="微软雅黑" w:eastAsia="微软雅黑" w:hAnsi="微软雅黑" w:cs="宋体"/>
            <w:kern w:val="0"/>
            <w:sz w:val="24"/>
            <w:szCs w:val="24"/>
            <w:u w:val="single"/>
            <w:vertAlign w:val="superscript"/>
          </w:rPr>
          <w:t>18-20 </w:t>
        </w:r>
      </w:hyperlink>
      <w:hyperlink r:id="rId18" w:anchor="CR20"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w:t>
      </w:r>
      <w:r w:rsidRPr="00BF1A4E">
        <w:rPr>
          <w:rFonts w:ascii="微软雅黑" w:eastAsia="微软雅黑" w:hAnsi="微软雅黑" w:cs="宋体"/>
          <w:i/>
          <w:iCs/>
          <w:kern w:val="0"/>
          <w:sz w:val="24"/>
          <w:szCs w:val="24"/>
        </w:rPr>
        <w:t>CDKN1A</w:t>
      </w:r>
      <w:r w:rsidRPr="00BF1A4E">
        <w:rPr>
          <w:rFonts w:ascii="微软雅黑" w:eastAsia="微软雅黑" w:hAnsi="微软雅黑" w:cs="宋体"/>
          <w:kern w:val="0"/>
          <w:sz w:val="24"/>
          <w:szCs w:val="24"/>
        </w:rPr>
        <w:t> (p21)和</w:t>
      </w:r>
      <w:r w:rsidRPr="00BF1A4E">
        <w:rPr>
          <w:rFonts w:ascii="微软雅黑" w:eastAsia="微软雅黑" w:hAnsi="微软雅黑" w:cs="宋体"/>
          <w:i/>
          <w:iCs/>
          <w:kern w:val="0"/>
          <w:sz w:val="24"/>
          <w:szCs w:val="24"/>
        </w:rPr>
        <w:t>FZR1 </w:t>
      </w:r>
      <w:hyperlink r:id="rId19" w:anchor="CR21" w:history="1">
        <w:r w:rsidRPr="00BF1A4E">
          <w:rPr>
            <w:rFonts w:ascii="微软雅黑" w:eastAsia="微软雅黑" w:hAnsi="微软雅黑" w:cs="宋体"/>
            <w:kern w:val="0"/>
            <w:sz w:val="24"/>
            <w:szCs w:val="24"/>
            <w:u w:val="single"/>
            <w:vertAlign w:val="superscript"/>
          </w:rPr>
          <w:t>&lt;sup&gt;21</w:t>
        </w:r>
      </w:hyperlink>
      <w:r w:rsidRPr="00BF1A4E">
        <w:rPr>
          <w:rFonts w:ascii="微软雅黑" w:eastAsia="微软雅黑" w:hAnsi="微软雅黑" w:cs="宋体"/>
          <w:kern w:val="0"/>
          <w:sz w:val="24"/>
          <w:szCs w:val="24"/>
        </w:rPr>
        <w:t> </w:t>
      </w:r>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rPr>
        <w:t>可诱导对帕博西尼的耐药性（图 </w:t>
      </w:r>
      <w:hyperlink r:id="rId20" w:anchor="Fig1" w:history="1">
        <w:r w:rsidRPr="00BF1A4E">
          <w:rPr>
            <w:rFonts w:ascii="微软雅黑" w:eastAsia="微软雅黑" w:hAnsi="微软雅黑" w:cs="宋体"/>
            <w:kern w:val="0"/>
            <w:sz w:val="24"/>
            <w:szCs w:val="24"/>
            <w:u w:val="single"/>
          </w:rPr>
          <w:t>1C、D</w:t>
        </w:r>
      </w:hyperlink>
      <w:r w:rsidRPr="00BF1A4E">
        <w:rPr>
          <w:rFonts w:ascii="微软雅黑" w:eastAsia="微软雅黑" w:hAnsi="微软雅黑" w:cs="宋体"/>
          <w:kern w:val="0"/>
          <w:sz w:val="24"/>
          <w:szCs w:val="24"/>
        </w:rPr>
        <w:t>）。CRISPR-Cas9靶向PI3K/AKT/mTOR生长通路抑制因子</w:t>
      </w:r>
      <w:r w:rsidRPr="00BF1A4E">
        <w:rPr>
          <w:rFonts w:ascii="微软雅黑" w:eastAsia="微软雅黑" w:hAnsi="微软雅黑" w:cs="宋体"/>
          <w:i/>
          <w:iCs/>
          <w:kern w:val="0"/>
          <w:sz w:val="24"/>
          <w:szCs w:val="24"/>
        </w:rPr>
        <w:t>PTEN</w:t>
      </w:r>
      <w:r w:rsidRPr="00BF1A4E">
        <w:rPr>
          <w:rFonts w:ascii="微软雅黑" w:eastAsia="微软雅黑" w:hAnsi="微软雅黑" w:cs="宋体"/>
          <w:kern w:val="0"/>
          <w:sz w:val="24"/>
          <w:szCs w:val="24"/>
          <w:u w:val="single"/>
          <w:vertAlign w:val="superscript"/>
        </w:rPr>
        <w:t>&lt;sup&gt; </w:t>
      </w:r>
      <w:hyperlink r:id="rId21" w:anchor="CR19" w:history="1">
        <w:r w:rsidRPr="00BF1A4E">
          <w:rPr>
            <w:rFonts w:ascii="微软雅黑" w:eastAsia="微软雅黑" w:hAnsi="微软雅黑" w:cs="宋体"/>
            <w:kern w:val="0"/>
            <w:sz w:val="24"/>
            <w:szCs w:val="24"/>
            <w:u w:val="single"/>
            <w:vertAlign w:val="superscript"/>
          </w:rPr>
          <w:t>19&lt;/sup&gt;</w:t>
        </w:r>
      </w:hyperlink>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STK11</w:t>
      </w:r>
      <w:r w:rsidRPr="00BF1A4E">
        <w:rPr>
          <w:rFonts w:ascii="微软雅黑" w:eastAsia="微软雅黑" w:hAnsi="微软雅黑" w:cs="宋体"/>
          <w:kern w:val="0"/>
          <w:sz w:val="24"/>
          <w:szCs w:val="24"/>
        </w:rPr>
        <w:t>可诱导耐药性，而通路激活因子</w:t>
      </w:r>
      <w:r w:rsidRPr="00BF1A4E">
        <w:rPr>
          <w:rFonts w:ascii="微软雅黑" w:eastAsia="微软雅黑" w:hAnsi="微软雅黑" w:cs="宋体"/>
          <w:i/>
          <w:iCs/>
          <w:kern w:val="0"/>
          <w:sz w:val="24"/>
          <w:szCs w:val="24"/>
        </w:rPr>
        <w:t>GAB2</w:t>
      </w:r>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LAMTOR5</w:t>
      </w:r>
      <w:r w:rsidRPr="00BF1A4E">
        <w:rPr>
          <w:rFonts w:ascii="微软雅黑" w:eastAsia="微软雅黑" w:hAnsi="微软雅黑" w:cs="宋体"/>
          <w:kern w:val="0"/>
          <w:sz w:val="24"/>
          <w:szCs w:val="24"/>
        </w:rPr>
        <w:t>的缺失则会增加敏感性（图 </w:t>
      </w:r>
      <w:hyperlink r:id="rId22" w:anchor="Fig1" w:history="1">
        <w:r w:rsidRPr="00BF1A4E">
          <w:rPr>
            <w:rFonts w:ascii="微软雅黑" w:eastAsia="微软雅黑" w:hAnsi="微软雅黑" w:cs="宋体"/>
            <w:kern w:val="0"/>
            <w:sz w:val="24"/>
            <w:szCs w:val="24"/>
            <w:u w:val="single"/>
          </w:rPr>
          <w:t>1C、D ），</w:t>
        </w:r>
      </w:hyperlink>
      <w:r w:rsidRPr="00BF1A4E">
        <w:rPr>
          <w:rFonts w:ascii="微软雅黑" w:eastAsia="微软雅黑" w:hAnsi="微软雅黑" w:cs="宋体"/>
          <w:kern w:val="0"/>
          <w:sz w:val="24"/>
          <w:szCs w:val="24"/>
        </w:rPr>
        <w:t>这与先前的数据相符，即该通路的激活会导致对CDK4/ </w:t>
      </w:r>
      <w:hyperlink r:id="rId23" w:anchor="CR19" w:history="1">
        <w:r w:rsidRPr="00BF1A4E">
          <w:rPr>
            <w:rFonts w:ascii="微软雅黑" w:eastAsia="微软雅黑" w:hAnsi="微软雅黑" w:cs="宋体"/>
            <w:kern w:val="0"/>
            <w:sz w:val="24"/>
            <w:szCs w:val="24"/>
          </w:rPr>
          <w:t>6</w:t>
        </w:r>
      </w:hyperlink>
      <w:r w:rsidRPr="00BF1A4E">
        <w:rPr>
          <w:rFonts w:ascii="微软雅黑" w:eastAsia="微软雅黑" w:hAnsi="微软雅黑" w:cs="宋体"/>
          <w:kern w:val="0"/>
          <w:sz w:val="24"/>
          <w:szCs w:val="24"/>
        </w:rPr>
        <w:t>抑制剂的耐药性</w:t>
      </w:r>
      <w:r w:rsidRPr="00BF1A4E">
        <w:rPr>
          <w:rFonts w:ascii="微软雅黑" w:eastAsia="微软雅黑" w:hAnsi="微软雅黑" w:cs="宋体"/>
          <w:kern w:val="0"/>
          <w:sz w:val="24"/>
          <w:szCs w:val="24"/>
          <w:u w:val="single"/>
          <w:vertAlign w:val="superscript"/>
        </w:rPr>
        <w:fldChar w:fldCharType="begin"/>
      </w:r>
      <w:r w:rsidRPr="00BF1A4E">
        <w:rPr>
          <w:rFonts w:ascii="微软雅黑" w:eastAsia="微软雅黑" w:hAnsi="微软雅黑" w:cs="宋体"/>
          <w:kern w:val="0"/>
          <w:sz w:val="24"/>
          <w:szCs w:val="24"/>
          <w:u w:val="single"/>
          <w:vertAlign w:val="superscript"/>
        </w:rPr>
        <w:instrText xml:space="preserve"> HYPERLINK "https://pmc.ncbi.nlm.nih.gov/articles/PMC11538343/" \l "CR18" </w:instrText>
      </w:r>
      <w:r w:rsidRPr="00BF1A4E">
        <w:rPr>
          <w:rFonts w:ascii="微软雅黑" w:eastAsia="微软雅黑" w:hAnsi="微软雅黑" w:cs="宋体"/>
          <w:kern w:val="0"/>
          <w:sz w:val="24"/>
          <w:szCs w:val="24"/>
          <w:u w:val="single"/>
          <w:vertAlign w:val="superscript"/>
        </w:rPr>
        <w:fldChar w:fldCharType="separate"/>
      </w:r>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u w:val="single"/>
          <w:vertAlign w:val="superscript"/>
        </w:rPr>
        <w:fldChar w:fldCharType="end"/>
      </w:r>
      <w:r w:rsidRPr="00BF1A4E">
        <w:rPr>
          <w:rFonts w:ascii="微软雅黑" w:eastAsia="微软雅黑" w:hAnsi="微软雅黑" w:cs="宋体"/>
          <w:kern w:val="0"/>
          <w:sz w:val="24"/>
          <w:szCs w:val="24"/>
          <w:u w:val="single"/>
          <w:vertAlign w:val="superscript"/>
        </w:rPr>
        <w:t> 18,19,22-24 </w:t>
      </w:r>
      <w:hyperlink r:id="rId24" w:anchor="CR22" w:history="1">
        <w:r w:rsidRPr="00BF1A4E">
          <w:rPr>
            <w:rFonts w:ascii="微软雅黑" w:eastAsia="微软雅黑" w:hAnsi="微软雅黑" w:cs="宋体"/>
            <w:kern w:val="0"/>
            <w:sz w:val="24"/>
            <w:szCs w:val="24"/>
            <w:u w:val="single"/>
            <w:vertAlign w:val="superscript"/>
          </w:rPr>
          <w:t>&lt;/sup&gt; </w:t>
        </w:r>
      </w:hyperlink>
      <w:hyperlink r:id="rId25" w:anchor="CR24" w:history="1">
        <w:r w:rsidRPr="00BF1A4E">
          <w:rPr>
            <w:rFonts w:ascii="微软雅黑" w:eastAsia="微软雅黑" w:hAnsi="微软雅黑" w:cs="宋体"/>
            <w:kern w:val="0"/>
            <w:sz w:val="24"/>
            <w:szCs w:val="24"/>
            <w:u w:val="single"/>
            <w:vertAlign w:val="superscript"/>
          </w:rPr>
          <w:t>。</w:t>
        </w:r>
      </w:hyperlink>
      <w:r w:rsidRPr="00BF1A4E">
        <w:rPr>
          <w:rFonts w:ascii="微软雅黑" w:eastAsia="微软雅黑" w:hAnsi="微软雅黑" w:cs="宋体"/>
          <w:kern w:val="0"/>
          <w:sz w:val="24"/>
          <w:szCs w:val="24"/>
        </w:rPr>
        <w:t>我们的筛选还证实，耗竭细胞周期进程激活因子（如</w:t>
      </w:r>
      <w:r w:rsidRPr="00BF1A4E">
        <w:rPr>
          <w:rFonts w:ascii="微软雅黑" w:eastAsia="微软雅黑" w:hAnsi="微软雅黑" w:cs="宋体"/>
          <w:i/>
          <w:iCs/>
          <w:kern w:val="0"/>
          <w:sz w:val="24"/>
          <w:szCs w:val="24"/>
        </w:rPr>
        <w:t>CDK2</w:t>
      </w:r>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CCNE1）</w:t>
      </w:r>
      <w:r w:rsidRPr="00BF1A4E">
        <w:rPr>
          <w:rFonts w:ascii="微软雅黑" w:eastAsia="微软雅黑" w:hAnsi="微软雅黑" w:cs="宋体"/>
          <w:kern w:val="0"/>
          <w:sz w:val="24"/>
          <w:szCs w:val="24"/>
        </w:rPr>
        <w:t xml:space="preserve">可提高对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的敏感性</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"CR18"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18</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vertAlign w:val="superscript"/>
        </w:rPr>
        <w:t> , </w:t>
      </w:r>
      <w:hyperlink r:id="rId26" w:anchor="CR25" w:history="1">
        <w:r w:rsidRPr="00BF1A4E">
          <w:rPr>
            <w:rFonts w:ascii="微软雅黑" w:eastAsia="微软雅黑" w:hAnsi="微软雅黑" w:cs="宋体"/>
            <w:kern w:val="0"/>
            <w:sz w:val="24"/>
            <w:szCs w:val="24"/>
            <w:u w:val="single"/>
            <w:vertAlign w:val="superscript"/>
          </w:rPr>
          <w:t>25</w:t>
        </w:r>
      </w:hyperlink>
      <w:r w:rsidRPr="00BF1A4E">
        <w:rPr>
          <w:rFonts w:ascii="微软雅黑" w:eastAsia="微软雅黑" w:hAnsi="微软雅黑" w:cs="宋体"/>
          <w:kern w:val="0"/>
          <w:sz w:val="24"/>
          <w:szCs w:val="24"/>
          <w:vertAlign w:val="superscript"/>
        </w:rPr>
        <w:t> , </w:t>
      </w:r>
      <w:hyperlink r:id="rId27" w:anchor="CR26" w:history="1">
        <w:r w:rsidRPr="00BF1A4E">
          <w:rPr>
            <w:rFonts w:ascii="微软雅黑" w:eastAsia="微软雅黑" w:hAnsi="微软雅黑" w:cs="宋体"/>
            <w:kern w:val="0"/>
            <w:sz w:val="24"/>
            <w:szCs w:val="24"/>
            <w:u w:val="single"/>
            <w:vertAlign w:val="superscript"/>
          </w:rPr>
          <w:t>26</w:t>
        </w:r>
      </w:hyperlink>
      <w:r w:rsidRPr="00BF1A4E">
        <w:rPr>
          <w:rFonts w:ascii="微软雅黑" w:eastAsia="微软雅黑" w:hAnsi="微软雅黑" w:cs="宋体"/>
          <w:kern w:val="0"/>
          <w:sz w:val="24"/>
          <w:szCs w:val="24"/>
        </w:rPr>
        <w:t>。在类似的 CRISPR 筛选中，AMBRA1 已被证明可导致细胞周期蛋白 D1 稳定和 CDK4/6i 耐药性</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"CR27"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27</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，它也是我们在 CRISPR 筛选中发现的耐药基因（图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"Fig1"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1C</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），这表明该筛选方法的稳健性。</w:t>
      </w:r>
    </w:p>
    <w:p w14:paraId="75468A86"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图 1. ER+ 乳腺癌全基因组 CRISPR 筛选发现</w:t>
      </w:r>
      <w:proofErr w:type="gramStart"/>
      <w:r w:rsidRPr="00BF1A4E">
        <w:rPr>
          <w:rFonts w:ascii="微软雅黑" w:eastAsia="微软雅黑" w:hAnsi="微软雅黑" w:cs="宋体"/>
          <w:kern w:val="0"/>
          <w:sz w:val="30"/>
          <w:szCs w:val="30"/>
        </w:rPr>
        <w:t>铁死亡</w:t>
      </w:r>
      <w:proofErr w:type="gramEnd"/>
      <w:r w:rsidRPr="00BF1A4E">
        <w:rPr>
          <w:rFonts w:ascii="微软雅黑" w:eastAsia="微软雅黑" w:hAnsi="微软雅黑" w:cs="宋体"/>
          <w:kern w:val="0"/>
          <w:sz w:val="30"/>
          <w:szCs w:val="30"/>
        </w:rPr>
        <w:t xml:space="preserve">是 </w:t>
      </w:r>
      <w:proofErr w:type="spellStart"/>
      <w:r w:rsidRPr="00BF1A4E">
        <w:rPr>
          <w:rFonts w:ascii="微软雅黑" w:eastAsia="微软雅黑" w:hAnsi="微软雅黑" w:cs="宋体"/>
          <w:kern w:val="0"/>
          <w:sz w:val="30"/>
          <w:szCs w:val="30"/>
        </w:rPr>
        <w:t>palbociclib</w:t>
      </w:r>
      <w:proofErr w:type="spellEnd"/>
      <w:r w:rsidRPr="00BF1A4E">
        <w:rPr>
          <w:rFonts w:ascii="微软雅黑" w:eastAsia="微软雅黑" w:hAnsi="微软雅黑" w:cs="宋体"/>
          <w:kern w:val="0"/>
          <w:sz w:val="30"/>
          <w:szCs w:val="30"/>
        </w:rPr>
        <w:t xml:space="preserve"> 敏感性的调节因子。</w:t>
      </w:r>
    </w:p>
    <w:p w14:paraId="7A6FD04D" w14:textId="096E2855" w:rsidR="00BF1A4E" w:rsidRPr="00BF1A4E" w:rsidRDefault="00BF1A4E" w:rsidP="00BF1A4E">
      <w:pPr>
        <w:widowControl/>
        <w:spacing w:before="450"/>
        <w:rPr>
          <w:rFonts w:ascii="微软雅黑" w:eastAsia="微软雅黑" w:hAnsi="微软雅黑" w:cs="宋体" w:hint="eastAsia"/>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4C999D3F" wp14:editId="07EF5B63">
            <wp:extent cx="5274310" cy="7299960"/>
            <wp:effectExtent l="0" t="0" r="2540" b="0"/>
            <wp:docPr id="7" name="图片 7" descr="图 1">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600" descr="图 1">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7299960"/>
                    </a:xfrm>
                    <a:prstGeom prst="rect">
                      <a:avLst/>
                    </a:prstGeom>
                    <a:noFill/>
                    <a:ln>
                      <a:noFill/>
                    </a:ln>
                  </pic:spPr>
                </pic:pic>
              </a:graphicData>
            </a:graphic>
          </wp:inline>
        </w:drawing>
      </w:r>
    </w:p>
    <w:p w14:paraId="2E970D83" w14:textId="620E0949"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A.</w:t>
      </w:r>
      <w:r w:rsidRPr="00BF1A4E">
        <w:rPr>
          <w:rFonts w:ascii="微软雅黑" w:eastAsia="微软雅黑" w:hAnsi="微软雅黑" w:cs="宋体"/>
          <w:kern w:val="0"/>
          <w:sz w:val="24"/>
          <w:szCs w:val="24"/>
        </w:rPr>
        <w:t>示意图展示了在MCF-7细胞系中进行的全基因组帕博西尼CRISPR/Cas9筛选。</w:t>
      </w:r>
      <w:proofErr w:type="gramStart"/>
      <w:r w:rsidRPr="00BF1A4E">
        <w:rPr>
          <w:rFonts w:ascii="微软雅黑" w:eastAsia="微软雅黑" w:hAnsi="微软雅黑" w:cs="宋体"/>
          <w:kern w:val="0"/>
          <w:sz w:val="24"/>
          <w:szCs w:val="24"/>
        </w:rPr>
        <w:t>B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kern w:val="0"/>
          <w:sz w:val="24"/>
          <w:szCs w:val="24"/>
        </w:rPr>
        <w:t> Western blot分析显示，MCF-7-iCas9细胞在强力霉素处理后表达Cas9。C.</w:t>
      </w:r>
      <w:r w:rsidRPr="00BF1A4E">
        <w:rPr>
          <w:rFonts w:ascii="微软雅黑" w:eastAsia="微软雅黑" w:hAnsi="微软雅黑" w:cs="宋体"/>
          <w:b/>
          <w:bCs/>
          <w:kern w:val="0"/>
          <w:sz w:val="24"/>
          <w:szCs w:val="24"/>
        </w:rPr>
        <w:t>散点图</w:t>
      </w:r>
      <w:r w:rsidRPr="00BF1A4E">
        <w:rPr>
          <w:rFonts w:ascii="微软雅黑" w:eastAsia="微软雅黑" w:hAnsi="微软雅黑" w:cs="宋体"/>
          <w:kern w:val="0"/>
          <w:sz w:val="24"/>
          <w:szCs w:val="24"/>
        </w:rPr>
        <w:t>展示了帕博西尼敏感性的sgRNA库的标准化Z评分。先前鉴定为帕博西尼敏感性调节因子的靶点以“蓝色”突出显示。</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调节因子的靶点以“红</w:t>
      </w:r>
      <w:r w:rsidRPr="00BF1A4E">
        <w:rPr>
          <w:rFonts w:ascii="微软雅黑" w:eastAsia="微软雅黑" w:hAnsi="微软雅黑" w:cs="宋体"/>
          <w:kern w:val="0"/>
          <w:sz w:val="24"/>
          <w:szCs w:val="24"/>
        </w:rPr>
        <w:lastRenderedPageBreak/>
        <w:t>色”突出显示。D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图表展示了已知参与细胞周期或PI3K-mTOR信号通路的靶点在帕博西尼处理的MCF-7细胞中各个sgRNA（每个基因4或5个不同的sgRNA）的Z评分</w:t>
      </w:r>
      <w:r w:rsidRPr="00BF1A4E">
        <w:rPr>
          <w:rFonts w:ascii="微软雅黑" w:eastAsia="微软雅黑" w:hAnsi="微软雅黑" w:cs="宋体"/>
          <w:i/>
          <w:iCs/>
          <w:kern w:val="0"/>
          <w:sz w:val="24"/>
          <w:szCs w:val="24"/>
        </w:rPr>
        <w:t>值</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图显示了</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参与</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的各个 sgRNA（每个基因</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xml:space="preserve"> = 3 至 5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不同的 sgRNA）的 Z 分数，</w:t>
      </w:r>
      <w:r w:rsidRPr="00BF1A4E">
        <w:rPr>
          <w:rFonts w:ascii="微软雅黑" w:eastAsia="微软雅黑" w:hAnsi="微软雅黑" w:cs="宋体"/>
          <w:b/>
          <w:bCs/>
          <w:kern w:val="0"/>
          <w:sz w:val="24"/>
          <w:szCs w:val="24"/>
        </w:rPr>
        <w:t>这些</w:t>
      </w:r>
      <w:r w:rsidRPr="00BF1A4E">
        <w:rPr>
          <w:rFonts w:ascii="微软雅黑" w:eastAsia="微软雅黑" w:hAnsi="微软雅黑" w:cs="宋体"/>
          <w:kern w:val="0"/>
          <w:sz w:val="24"/>
          <w:szCs w:val="24"/>
        </w:rPr>
        <w:t>sgRNA 可调节帕博西尼 (P) 的敏感性，但不影响未处理的细胞。F 、</w:t>
      </w:r>
      <w:r w:rsidRPr="00BF1A4E">
        <w:rPr>
          <w:rFonts w:ascii="微软雅黑" w:eastAsia="微软雅黑" w:hAnsi="微软雅黑" w:cs="宋体"/>
          <w:b/>
          <w:bCs/>
          <w:kern w:val="0"/>
          <w:sz w:val="24"/>
          <w:szCs w:val="24"/>
        </w:rPr>
        <w:t>J</w:t>
      </w:r>
      <w:r w:rsidRPr="00BF1A4E">
        <w:rPr>
          <w:rFonts w:ascii="微软雅黑" w:eastAsia="微软雅黑" w:hAnsi="微软雅黑" w:cs="宋体"/>
          <w:kern w:val="0"/>
          <w:sz w:val="24"/>
          <w:szCs w:val="24"/>
        </w:rPr>
        <w:t> Western blot 分析显示了 MCF-7 和 T47D 亲代细胞 ( </w:t>
      </w:r>
      <w:r w:rsidRPr="00BF1A4E">
        <w:rPr>
          <w:rFonts w:ascii="微软雅黑" w:eastAsia="微软雅黑" w:hAnsi="微软雅黑" w:cs="宋体"/>
          <w:b/>
          <w:bCs/>
          <w:kern w:val="0"/>
          <w:sz w:val="24"/>
          <w:szCs w:val="24"/>
        </w:rPr>
        <w:t>C</w:t>
      </w:r>
      <w:r w:rsidRPr="00BF1A4E">
        <w:rPr>
          <w:rFonts w:ascii="微软雅黑" w:eastAsia="微软雅黑" w:hAnsi="微软雅黑" w:cs="宋体"/>
          <w:kern w:val="0"/>
          <w:sz w:val="24"/>
          <w:szCs w:val="24"/>
        </w:rPr>
        <w:t> ) 以及通过 CRISPR Edit-R 系统构建的 GPX4 敲除克隆中 GPX4 的表达。G</w:t>
      </w:r>
      <w:r w:rsidRPr="00BF1A4E">
        <w:rPr>
          <w:rFonts w:ascii="微软雅黑" w:eastAsia="微软雅黑" w:hAnsi="微软雅黑" w:cs="宋体"/>
          <w:b/>
          <w:bCs/>
          <w:kern w:val="0"/>
          <w:sz w:val="24"/>
          <w:szCs w:val="24"/>
        </w:rPr>
        <w:t>用</w:t>
      </w:r>
      <w:r w:rsidRPr="00BF1A4E">
        <w:rPr>
          <w:rFonts w:ascii="微软雅黑" w:eastAsia="微软雅黑" w:hAnsi="微软雅黑" w:cs="宋体"/>
          <w:kern w:val="0"/>
          <w:sz w:val="24"/>
          <w:szCs w:val="24"/>
        </w:rPr>
        <w:t xml:space="preserve">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帕博西尼或载体处理指定细胞系 12 天后进行克隆形成实验。该图表示帕博西尼处理组的相对 SFB（磺基罗丹明</w:t>
      </w:r>
      <w:r w:rsidRPr="00BF1A4E">
        <w:rPr>
          <w:rFonts w:ascii="微软雅黑" w:eastAsia="微软雅黑" w:hAnsi="微软雅黑" w:cs="宋体"/>
          <w:b/>
          <w:bCs/>
          <w:kern w:val="0"/>
          <w:sz w:val="24"/>
          <w:szCs w:val="24"/>
        </w:rPr>
        <w:t>B ）吸光度，平均值 ± 标准差，来自三个生物学重复（ </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3，配对 t 检验，</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亲代细胞与帕博西尼处理的 GPX4 敲除细胞的</w:t>
      </w:r>
      <w:r w:rsidRPr="00BF1A4E">
        <w:rPr>
          <w:rFonts w:ascii="微软雅黑" w:eastAsia="微软雅黑" w:hAnsi="微软雅黑" w:cs="宋体"/>
          <w:i/>
          <w:iCs/>
          <w:kern w:val="0"/>
          <w:sz w:val="24"/>
          <w:szCs w:val="24"/>
        </w:rPr>
        <w:t>P = 0.0066）。 </w:t>
      </w:r>
      <w:r w:rsidRPr="00BF1A4E">
        <w:rPr>
          <w:rFonts w:ascii="微软雅黑" w:eastAsia="微软雅黑" w:hAnsi="微软雅黑" w:cs="宋体"/>
          <w:b/>
          <w:bCs/>
          <w:kern w:val="0"/>
          <w:sz w:val="24"/>
          <w:szCs w:val="24"/>
        </w:rPr>
        <w:t>H.</w:t>
      </w:r>
      <w:r w:rsidRPr="00BF1A4E">
        <w:rPr>
          <w:rFonts w:ascii="微软雅黑" w:eastAsia="微软雅黑" w:hAnsi="微软雅黑" w:cs="宋体"/>
          <w:kern w:val="0"/>
          <w:sz w:val="24"/>
          <w:szCs w:val="24"/>
        </w:rPr>
        <w:t>在MCF-7亲代细胞和MCF-7-GPX4缺失克隆2细胞中，以指定浓度的帕博西尼处理6天，进行剂量反应存活率测定。图表显示相对存活率，平均值±标准差，三个生物学重复（</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=3，</w:t>
      </w:r>
      <w:proofErr w:type="gramStart"/>
      <w:r w:rsidRPr="00BF1A4E">
        <w:rPr>
          <w:rFonts w:ascii="微软雅黑" w:eastAsia="微软雅黑" w:hAnsi="微软雅黑" w:cs="宋体"/>
          <w:kern w:val="0"/>
          <w:sz w:val="24"/>
          <w:szCs w:val="24"/>
        </w:rPr>
        <w:t>双因素</w:t>
      </w:r>
      <w:proofErr w:type="gramEnd"/>
      <w:r w:rsidRPr="00BF1A4E">
        <w:rPr>
          <w:rFonts w:ascii="微软雅黑" w:eastAsia="微软雅黑" w:hAnsi="微软雅黑" w:cs="宋体"/>
          <w:kern w:val="0"/>
          <w:sz w:val="24"/>
          <w:szCs w:val="24"/>
        </w:rPr>
        <w:t>方差分析，</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&lt;0.0001，亲代细胞与GPX4缺失细胞比较）。I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在转染了sgGPX4或</w:t>
      </w:r>
      <w:proofErr w:type="spellStart"/>
      <w:r w:rsidRPr="00BF1A4E">
        <w:rPr>
          <w:rFonts w:ascii="微软雅黑" w:eastAsia="微软雅黑" w:hAnsi="微软雅黑" w:cs="宋体"/>
          <w:kern w:val="0"/>
          <w:sz w:val="24"/>
          <w:szCs w:val="24"/>
        </w:rPr>
        <w:t>sgControl</w:t>
      </w:r>
      <w:proofErr w:type="spellEnd"/>
      <w:r w:rsidRPr="00BF1A4E">
        <w:rPr>
          <w:rFonts w:ascii="微软雅黑" w:eastAsia="微软雅黑" w:hAnsi="微软雅黑" w:cs="宋体"/>
          <w:kern w:val="0"/>
          <w:sz w:val="24"/>
          <w:szCs w:val="24"/>
        </w:rPr>
        <w:t xml:space="preserve">的T47D细胞中，用500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帕博西尼或载体处理12天后进行克隆形成测定。K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 xml:space="preserve">在指定细胞系中，用500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帕博西尼或载体处理12天后进行克隆形成测定。该图表示以载体为参照的相对SFB吸光度，数据为三个生物学重复的平均值±标准差（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3，配对t检验，</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亲代细胞与经帕博西尼处理的GPX4null细胞相比，</w:t>
      </w:r>
      <w:r w:rsidRPr="00BF1A4E">
        <w:rPr>
          <w:rFonts w:ascii="微软雅黑" w:eastAsia="微软雅黑" w:hAnsi="微软雅黑" w:cs="宋体"/>
          <w:i/>
          <w:iCs/>
          <w:kern w:val="0"/>
          <w:sz w:val="24"/>
          <w:szCs w:val="24"/>
        </w:rPr>
        <w:t>P = 0.0012；GPX4null细胞载体组与帕博西尼组相比， 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0.0042）。L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在T47D和T47D-GPX4 null（克隆9）细胞中，用载体或指定浓度的阿贝西利处理12天后进行克隆形成实验。该图表示相对SRB吸光度，数据为三个生物学重复的平均值±标准差（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3）。原始数据</w:t>
      </w:r>
      <w:proofErr w:type="gramStart"/>
      <w:r w:rsidRPr="00BF1A4E">
        <w:rPr>
          <w:rFonts w:ascii="微软雅黑" w:eastAsia="微软雅黑" w:hAnsi="微软雅黑" w:cs="宋体"/>
          <w:kern w:val="0"/>
          <w:sz w:val="24"/>
          <w:szCs w:val="24"/>
        </w:rPr>
        <w:t>以</w:t>
      </w:r>
      <w:proofErr w:type="gramEnd"/>
      <w:r w:rsidRPr="00BF1A4E">
        <w:rPr>
          <w:rFonts w:ascii="微软雅黑" w:eastAsia="微软雅黑" w:hAnsi="微软雅黑" w:cs="宋体"/>
          <w:kern w:val="0"/>
          <w:sz w:val="24"/>
          <w:szCs w:val="24"/>
        </w:rPr>
        <w:t>……形式提供。</w:t>
      </w:r>
    </w:p>
    <w:p w14:paraId="73EE380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lastRenderedPageBreak/>
        <w:t>最显著的增敏靶点是</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，一种脂质过氧化物酶，可保护细胞免受氧化损伤和铁死亡。同样，CRISPR-Cas9靶向</w:t>
      </w:r>
      <w:r w:rsidRPr="00BF1A4E">
        <w:rPr>
          <w:rFonts w:ascii="微软雅黑" w:eastAsia="微软雅黑" w:hAnsi="微软雅黑" w:cs="宋体"/>
          <w:i/>
          <w:iCs/>
          <w:kern w:val="0"/>
          <w:sz w:val="24"/>
          <w:szCs w:val="24"/>
        </w:rPr>
        <w:t>PCBP2</w:t>
      </w:r>
      <w:r w:rsidRPr="00BF1A4E">
        <w:rPr>
          <w:rFonts w:ascii="微软雅黑" w:eastAsia="微软雅黑" w:hAnsi="微软雅黑" w:cs="宋体"/>
          <w:kern w:val="0"/>
          <w:sz w:val="24"/>
          <w:szCs w:val="24"/>
        </w:rPr>
        <w:t>（一种铁伴侣蛋白，通过将Fe²</w:t>
      </w:r>
      <w:r w:rsidRPr="00BF1A4E">
        <w:rPr>
          <w:rFonts w:ascii="MS Gothic" w:eastAsia="MS Gothic" w:hAnsi="MS Gothic" w:cs="MS Gothic" w:hint="eastAsia"/>
          <w:kern w:val="0"/>
          <w:sz w:val="24"/>
          <w:szCs w:val="24"/>
        </w:rPr>
        <w:t>⁺</w:t>
      </w:r>
      <w:r w:rsidRPr="00BF1A4E">
        <w:rPr>
          <w:rFonts w:ascii="微软雅黑" w:eastAsia="微软雅黑" w:hAnsi="微软雅黑" w:cs="宋体"/>
          <w:kern w:val="0"/>
          <w:sz w:val="24"/>
          <w:szCs w:val="24"/>
        </w:rPr>
        <w:t>递送至铁转运蛋白来抑制铁死亡</w:t>
      </w:r>
      <w:r w:rsidRPr="00BF1A4E">
        <w:rPr>
          <w:rFonts w:ascii="微软雅黑" w:eastAsia="微软雅黑" w:hAnsi="微软雅黑" w:cs="宋体"/>
          <w:kern w:val="0"/>
          <w:sz w:val="24"/>
          <w:szCs w:val="24"/>
          <w:vertAlign w:val="superscript"/>
        </w:rPr>
        <w:t>）</w:t>
      </w:r>
      <w:r w:rsidRPr="00BF1A4E">
        <w:rPr>
          <w:rFonts w:ascii="微软雅黑" w:eastAsia="微软雅黑" w:hAnsi="微软雅黑" w:cs="宋体"/>
          <w:kern w:val="0"/>
          <w:sz w:val="24"/>
          <w:szCs w:val="24"/>
        </w:rPr>
        <w:t>也提高了细胞对帕博西尼的敏感性（图 </w:t>
      </w:r>
      <w:hyperlink r:id="rId30" w:anchor="Fig1" w:history="1">
        <w:r w:rsidRPr="00BF1A4E">
          <w:rPr>
            <w:rFonts w:ascii="微软雅黑" w:eastAsia="微软雅黑" w:hAnsi="微软雅黑" w:cs="宋体"/>
            <w:kern w:val="0"/>
            <w:sz w:val="24"/>
            <w:szCs w:val="24"/>
            <w:u w:val="single"/>
          </w:rPr>
          <w:t>1C、E</w:t>
        </w:r>
      </w:hyperlink>
      <w:r w:rsidRPr="00BF1A4E">
        <w:rPr>
          <w:rFonts w:ascii="微软雅黑" w:eastAsia="微软雅黑" w:hAnsi="微软雅黑" w:cs="宋体"/>
          <w:kern w:val="0"/>
          <w:sz w:val="24"/>
          <w:szCs w:val="24"/>
        </w:rPr>
        <w:t>和补充图 </w:t>
      </w:r>
      <w:hyperlink r:id="rId31" w:anchor="MOESM1" w:history="1">
        <w:r w:rsidRPr="00BF1A4E">
          <w:rPr>
            <w:rFonts w:ascii="微软雅黑" w:eastAsia="微软雅黑" w:hAnsi="微软雅黑" w:cs="宋体"/>
            <w:kern w:val="0"/>
            <w:sz w:val="24"/>
            <w:szCs w:val="24"/>
            <w:u w:val="single"/>
          </w:rPr>
          <w:t>1B</w:t>
        </w:r>
      </w:hyperlink>
      <w:r w:rsidRPr="00BF1A4E">
        <w:rPr>
          <w:rFonts w:ascii="微软雅黑" w:eastAsia="微软雅黑" w:hAnsi="微软雅黑" w:cs="宋体"/>
          <w:kern w:val="0"/>
          <w:sz w:val="24"/>
          <w:szCs w:val="24"/>
        </w:rPr>
        <w:t>）。最显著的耐药靶点之一是</w:t>
      </w:r>
      <w:r w:rsidRPr="00BF1A4E">
        <w:rPr>
          <w:rFonts w:ascii="微软雅黑" w:eastAsia="微软雅黑" w:hAnsi="微软雅黑" w:cs="宋体"/>
          <w:i/>
          <w:iCs/>
          <w:kern w:val="0"/>
          <w:sz w:val="24"/>
          <w:szCs w:val="24"/>
        </w:rPr>
        <w:t>AXTN7L3</w:t>
      </w:r>
      <w:r w:rsidRPr="00BF1A4E">
        <w:rPr>
          <w:rFonts w:ascii="微软雅黑" w:eastAsia="微软雅黑" w:hAnsi="微软雅黑" w:cs="宋体"/>
          <w:kern w:val="0"/>
          <w:sz w:val="24"/>
          <w:szCs w:val="24"/>
        </w:rPr>
        <w:t>，它最近被鉴定为</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的调节因子</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"CR15"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¹</w:t>
      </w:r>
      <w:r w:rsidRPr="00BF1A4E">
        <w:rPr>
          <w:rFonts w:ascii="微软雅黑" w:eastAsia="微软雅黑" w:hAnsi="微软雅黑" w:cs="微软雅黑" w:hint="eastAsia"/>
          <w:kern w:val="0"/>
          <w:sz w:val="24"/>
          <w:szCs w:val="24"/>
          <w:u w:val="single"/>
          <w:vertAlign w:val="superscript"/>
        </w:rPr>
        <w:t>⁵</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。此外，CRISPR-Cas9靶向</w:t>
      </w:r>
      <w:r w:rsidRPr="00BF1A4E">
        <w:rPr>
          <w:rFonts w:ascii="微软雅黑" w:eastAsia="微软雅黑" w:hAnsi="微软雅黑" w:cs="宋体"/>
          <w:i/>
          <w:iCs/>
          <w:kern w:val="0"/>
          <w:sz w:val="24"/>
          <w:szCs w:val="24"/>
        </w:rPr>
        <w:t>KEAP1</w:t>
      </w:r>
      <w:r w:rsidRPr="00BF1A4E">
        <w:rPr>
          <w:rFonts w:ascii="微软雅黑" w:eastAsia="微软雅黑" w:hAnsi="微软雅黑" w:cs="宋体"/>
          <w:kern w:val="0"/>
          <w:sz w:val="24"/>
          <w:szCs w:val="24"/>
        </w:rPr>
        <w:t> （NRF2抗氧化通路抑制剂）会导致对帕博西尼的耐药性，并且已被证明可诱导对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的耐药性</w:t>
      </w:r>
      <w:hyperlink r:id="rId32" w:anchor="CR28" w:history="1">
        <w:r w:rsidRPr="00BF1A4E">
          <w:rPr>
            <w:rFonts w:ascii="微软雅黑" w:eastAsia="微软雅黑" w:hAnsi="微软雅黑" w:cs="宋体"/>
            <w:kern w:val="0"/>
            <w:sz w:val="24"/>
            <w:szCs w:val="24"/>
            <w:u w:val="single"/>
            <w:vertAlign w:val="superscript"/>
          </w:rPr>
          <w:t>²</w:t>
        </w:r>
        <w:r w:rsidRPr="00BF1A4E">
          <w:rPr>
            <w:rFonts w:ascii="微软雅黑" w:eastAsia="微软雅黑" w:hAnsi="微软雅黑" w:cs="微软雅黑" w:hint="eastAsia"/>
            <w:kern w:val="0"/>
            <w:sz w:val="24"/>
            <w:szCs w:val="24"/>
            <w:u w:val="single"/>
            <w:vertAlign w:val="superscript"/>
          </w:rPr>
          <w:t>⁸</w:t>
        </w:r>
        <w:r w:rsidRPr="00BF1A4E">
          <w:rPr>
            <w:rFonts w:ascii="MS Gothic" w:eastAsia="MS Gothic" w:hAnsi="MS Gothic" w:cs="MS Gothic" w:hint="eastAsia"/>
            <w:kern w:val="0"/>
            <w:sz w:val="24"/>
            <w:szCs w:val="24"/>
            <w:u w:val="single"/>
            <w:vertAlign w:val="superscript"/>
          </w:rPr>
          <w:t>⁻</w:t>
        </w:r>
        <w:r w:rsidRPr="00BF1A4E">
          <w:rPr>
            <w:rFonts w:ascii="微软雅黑" w:eastAsia="微软雅黑" w:hAnsi="微软雅黑" w:cs="宋体" w:hint="eastAsia"/>
            <w:kern w:val="0"/>
            <w:sz w:val="24"/>
            <w:szCs w:val="24"/>
            <w:u w:val="single"/>
            <w:vertAlign w:val="superscript"/>
          </w:rPr>
          <w:t>³</w:t>
        </w:r>
        <w:r w:rsidRPr="00BF1A4E">
          <w:rPr>
            <w:rFonts w:ascii="MS Gothic" w:eastAsia="MS Gothic" w:hAnsi="MS Gothic" w:cs="MS Gothic" w:hint="eastAsia"/>
            <w:kern w:val="0"/>
            <w:sz w:val="24"/>
            <w:szCs w:val="24"/>
            <w:u w:val="single"/>
            <w:vertAlign w:val="superscript"/>
          </w:rPr>
          <w:t>⁰</w:t>
        </w:r>
        <w:r w:rsidRPr="00BF1A4E">
          <w:rPr>
            <w:rFonts w:ascii="微软雅黑" w:eastAsia="微软雅黑" w:hAnsi="微软雅黑" w:cs="宋体" w:hint="eastAsia"/>
            <w:kern w:val="0"/>
            <w:sz w:val="24"/>
            <w:szCs w:val="24"/>
            <w:u w:val="single"/>
            <w:vertAlign w:val="superscript"/>
          </w:rPr>
          <w:t> </w:t>
        </w:r>
      </w:hyperlink>
      <w:hyperlink r:id="rId33" w:anchor="CR30" w:history="1">
        <w:r w:rsidRPr="00BF1A4E">
          <w:rPr>
            <w:rFonts w:ascii="微软雅黑" w:eastAsia="微软雅黑" w:hAnsi="微软雅黑" w:cs="宋体"/>
            <w:kern w:val="0"/>
            <w:sz w:val="24"/>
            <w:szCs w:val="24"/>
            <w:u w:val="single"/>
            <w:vertAlign w:val="superscript"/>
          </w:rPr>
          <w:t>。</w:t>
        </w:r>
      </w:hyperlink>
    </w:p>
    <w:p w14:paraId="14E82B6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靶向 GPX4 可提高 ER+ 乳腺癌细胞系对帕博西尼的敏感性</w:t>
      </w:r>
    </w:p>
    <w:p w14:paraId="29D6C825"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筛选数据表明，CDK4/6抑制可能产生一种GPX4依赖状态，在这种状态下，细胞依赖GPX4来避免铁死亡。在筛选中，五个独立的靶向GPX4的sgRNA均提高了细胞对帕博西尼的敏感性（图 </w:t>
      </w:r>
      <w:hyperlink r:id="rId34" w:anchor="Fig1" w:history="1">
        <w:r w:rsidRPr="00BF1A4E">
          <w:rPr>
            <w:rFonts w:ascii="微软雅黑" w:eastAsia="微软雅黑" w:hAnsi="微软雅黑" w:cs="宋体"/>
            <w:kern w:val="0"/>
            <w:sz w:val="24"/>
            <w:szCs w:val="24"/>
            <w:u w:val="single"/>
          </w:rPr>
          <w:t>1E</w:t>
        </w:r>
      </w:hyperlink>
      <w:r w:rsidRPr="00BF1A4E">
        <w:rPr>
          <w:rFonts w:ascii="微软雅黑" w:eastAsia="微软雅黑" w:hAnsi="微软雅黑" w:cs="宋体"/>
          <w:kern w:val="0"/>
          <w:sz w:val="24"/>
          <w:szCs w:val="24"/>
        </w:rPr>
        <w:t>）。接下来，我们使用预先设计的sgGPX4（CM-011676）通过CRISPR Edit-R系统靶向</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。三个sgGPX4均使MCF-7细胞对帕博西尼的敏感性更高（补充图 </w:t>
      </w:r>
      <w:hyperlink r:id="rId35" w:anchor="MOESM1" w:history="1">
        <w:r w:rsidRPr="00BF1A4E">
          <w:rPr>
            <w:rFonts w:ascii="微软雅黑" w:eastAsia="微软雅黑" w:hAnsi="微软雅黑" w:cs="宋体"/>
            <w:kern w:val="0"/>
            <w:sz w:val="24"/>
            <w:szCs w:val="24"/>
            <w:u w:val="single"/>
          </w:rPr>
          <w:t>1C、D</w:t>
        </w:r>
      </w:hyperlink>
      <w:r w:rsidRPr="00BF1A4E">
        <w:rPr>
          <w:rFonts w:ascii="微软雅黑" w:eastAsia="微软雅黑" w:hAnsi="微软雅黑" w:cs="宋体"/>
          <w:kern w:val="0"/>
          <w:sz w:val="24"/>
          <w:szCs w:val="24"/>
        </w:rPr>
        <w:t>）。然后，我们从转染了sgGPX4-02的MCF-7细胞中构建了单细胞敲除克隆（图 </w:t>
      </w:r>
      <w:hyperlink r:id="rId36" w:anchor="Fig1" w:history="1">
        <w:r w:rsidRPr="00BF1A4E">
          <w:rPr>
            <w:rFonts w:ascii="微软雅黑" w:eastAsia="微软雅黑" w:hAnsi="微软雅黑" w:cs="宋体"/>
            <w:kern w:val="0"/>
            <w:sz w:val="24"/>
            <w:szCs w:val="24"/>
            <w:u w:val="single"/>
          </w:rPr>
          <w:t>1F</w:t>
        </w:r>
      </w:hyperlink>
      <w:r w:rsidRPr="00BF1A4E">
        <w:rPr>
          <w:rFonts w:ascii="微软雅黑" w:eastAsia="微软雅黑" w:hAnsi="微软雅黑" w:cs="宋体"/>
          <w:kern w:val="0"/>
          <w:sz w:val="24"/>
          <w:szCs w:val="24"/>
        </w:rPr>
        <w:t>）。MCF-7 </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敲除克隆的生长速度与亲代MCF-7细胞相似，但在克隆形成实验（图 </w:t>
      </w:r>
      <w:hyperlink r:id="rId37" w:anchor="Fig1" w:history="1">
        <w:r w:rsidRPr="00BF1A4E">
          <w:rPr>
            <w:rFonts w:ascii="微软雅黑" w:eastAsia="微软雅黑" w:hAnsi="微软雅黑" w:cs="宋体"/>
            <w:kern w:val="0"/>
            <w:sz w:val="24"/>
            <w:szCs w:val="24"/>
            <w:u w:val="single"/>
          </w:rPr>
          <w:t>1G</w:t>
        </w:r>
      </w:hyperlink>
      <w:r w:rsidRPr="00BF1A4E">
        <w:rPr>
          <w:rFonts w:ascii="微软雅黑" w:eastAsia="微软雅黑" w:hAnsi="微软雅黑" w:cs="宋体"/>
          <w:kern w:val="0"/>
          <w:sz w:val="24"/>
          <w:szCs w:val="24"/>
        </w:rPr>
        <w:t>）和细胞存活实验（图 </w:t>
      </w:r>
      <w:hyperlink r:id="rId38" w:anchor="Fig1" w:history="1">
        <w:r w:rsidRPr="00BF1A4E">
          <w:rPr>
            <w:rFonts w:ascii="微软雅黑" w:eastAsia="微软雅黑" w:hAnsi="微软雅黑" w:cs="宋体"/>
            <w:kern w:val="0"/>
            <w:sz w:val="24"/>
            <w:szCs w:val="24"/>
            <w:u w:val="single"/>
          </w:rPr>
          <w:t>1H</w:t>
        </w:r>
      </w:hyperlink>
      <w:r w:rsidRPr="00BF1A4E">
        <w:rPr>
          <w:rFonts w:ascii="微软雅黑" w:eastAsia="微软雅黑" w:hAnsi="微软雅黑" w:cs="宋体"/>
          <w:kern w:val="0"/>
          <w:sz w:val="24"/>
          <w:szCs w:val="24"/>
        </w:rPr>
        <w:t>）中均表现出对帕博西尼更高的敏感性。与</w:t>
      </w:r>
      <w:proofErr w:type="spellStart"/>
      <w:r w:rsidRPr="00BF1A4E">
        <w:rPr>
          <w:rFonts w:ascii="微软雅黑" w:eastAsia="微软雅黑" w:hAnsi="微软雅黑" w:cs="宋体"/>
          <w:kern w:val="0"/>
          <w:sz w:val="24"/>
          <w:szCs w:val="24"/>
        </w:rPr>
        <w:t>sgControl</w:t>
      </w:r>
      <w:proofErr w:type="spellEnd"/>
      <w:r w:rsidRPr="00BF1A4E">
        <w:rPr>
          <w:rFonts w:ascii="微软雅黑" w:eastAsia="微软雅黑" w:hAnsi="微软雅黑" w:cs="宋体"/>
          <w:kern w:val="0"/>
          <w:sz w:val="24"/>
          <w:szCs w:val="24"/>
        </w:rPr>
        <w:t>细胞相比，多克隆sgGPX4-02转染的T47D细胞生长减缓，且对帕博西尼（</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）高度敏感（图 </w:t>
      </w:r>
      <w:hyperlink r:id="rId39" w:anchor="Fig1" w:history="1">
        <w:r w:rsidRPr="00BF1A4E">
          <w:rPr>
            <w:rFonts w:ascii="微软雅黑" w:eastAsia="微软雅黑" w:hAnsi="微软雅黑" w:cs="宋体"/>
            <w:kern w:val="0"/>
            <w:sz w:val="24"/>
            <w:szCs w:val="24"/>
            <w:u w:val="single"/>
          </w:rPr>
          <w:t>1I</w:t>
        </w:r>
      </w:hyperlink>
      <w:r w:rsidRPr="00BF1A4E">
        <w:rPr>
          <w:rFonts w:ascii="微软雅黑" w:eastAsia="微软雅黑" w:hAnsi="微软雅黑" w:cs="宋体"/>
          <w:kern w:val="0"/>
          <w:sz w:val="24"/>
          <w:szCs w:val="24"/>
        </w:rPr>
        <w:t>）。接下来，我们在</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抑制剂ferrostatin-1存在的情况下构建了T47D </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敲除克隆（图 </w:t>
      </w:r>
      <w:hyperlink r:id="rId40" w:anchor="Fig1" w:history="1">
        <w:r w:rsidRPr="00BF1A4E">
          <w:rPr>
            <w:rFonts w:ascii="微软雅黑" w:eastAsia="微软雅黑" w:hAnsi="微软雅黑" w:cs="宋体"/>
            <w:kern w:val="0"/>
            <w:sz w:val="24"/>
            <w:szCs w:val="24"/>
            <w:u w:val="single"/>
          </w:rPr>
          <w:t>1J</w:t>
        </w:r>
      </w:hyperlink>
      <w:r w:rsidRPr="00BF1A4E">
        <w:rPr>
          <w:rFonts w:ascii="微软雅黑" w:eastAsia="微软雅黑" w:hAnsi="微软雅黑" w:cs="宋体"/>
          <w:kern w:val="0"/>
          <w:sz w:val="24"/>
          <w:szCs w:val="24"/>
        </w:rPr>
        <w:t>），因为T47D细胞对GPX4缺失更为敏感，而去除ferrostatin-1后，该克隆对帕博西尼也高度敏感（图 </w:t>
      </w:r>
      <w:hyperlink r:id="rId41" w:anchor="Fig1" w:history="1">
        <w:r w:rsidRPr="00BF1A4E">
          <w:rPr>
            <w:rFonts w:ascii="微软雅黑" w:eastAsia="微软雅黑" w:hAnsi="微软雅黑" w:cs="宋体"/>
            <w:kern w:val="0"/>
            <w:sz w:val="24"/>
            <w:szCs w:val="24"/>
            <w:u w:val="single"/>
          </w:rPr>
          <w:t>1K</w:t>
        </w:r>
      </w:hyperlink>
      <w:r w:rsidRPr="00BF1A4E">
        <w:rPr>
          <w:rFonts w:ascii="微软雅黑" w:eastAsia="微软雅黑" w:hAnsi="微软雅黑" w:cs="宋体"/>
          <w:kern w:val="0"/>
          <w:sz w:val="24"/>
          <w:szCs w:val="24"/>
        </w:rPr>
        <w:t>）。此外，该T47D GPX4敲除克隆对CDK4/6抑制剂阿贝西利（</w:t>
      </w:r>
      <w:proofErr w:type="spellStart"/>
      <w:r w:rsidRPr="00BF1A4E">
        <w:rPr>
          <w:rFonts w:ascii="微软雅黑" w:eastAsia="微软雅黑" w:hAnsi="微软雅黑" w:cs="宋体"/>
          <w:kern w:val="0"/>
          <w:sz w:val="24"/>
          <w:szCs w:val="24"/>
        </w:rPr>
        <w:t>abemaciclib</w:t>
      </w:r>
      <w:proofErr w:type="spellEnd"/>
      <w:r w:rsidRPr="00BF1A4E">
        <w:rPr>
          <w:rFonts w:ascii="微软雅黑" w:eastAsia="微软雅黑" w:hAnsi="微软雅黑" w:cs="宋体"/>
          <w:kern w:val="0"/>
          <w:sz w:val="24"/>
          <w:szCs w:val="24"/>
        </w:rPr>
        <w:t>）也高度敏</w:t>
      </w:r>
      <w:r w:rsidRPr="00BF1A4E">
        <w:rPr>
          <w:rFonts w:ascii="微软雅黑" w:eastAsia="微软雅黑" w:hAnsi="微软雅黑" w:cs="宋体"/>
          <w:kern w:val="0"/>
          <w:sz w:val="24"/>
          <w:szCs w:val="24"/>
        </w:rPr>
        <w:lastRenderedPageBreak/>
        <w:t>感（图 </w:t>
      </w:r>
      <w:hyperlink r:id="rId42" w:anchor="Fig1" w:history="1">
        <w:r w:rsidRPr="00BF1A4E">
          <w:rPr>
            <w:rFonts w:ascii="微软雅黑" w:eastAsia="微软雅黑" w:hAnsi="微软雅黑" w:cs="宋体"/>
            <w:kern w:val="0"/>
            <w:sz w:val="24"/>
            <w:szCs w:val="24"/>
            <w:u w:val="single"/>
          </w:rPr>
          <w:t>1L</w:t>
        </w:r>
      </w:hyperlink>
      <w:r w:rsidRPr="00BF1A4E">
        <w:rPr>
          <w:rFonts w:ascii="微软雅黑" w:eastAsia="微软雅黑" w:hAnsi="微软雅黑" w:cs="宋体"/>
          <w:kern w:val="0"/>
          <w:sz w:val="24"/>
          <w:szCs w:val="24"/>
        </w:rPr>
        <w:t>）。因此，ER+癌症模型对GPX4缺失的敏感性存在异质性，但GPX4缺失均能增强CDK4/6抑制剂的敏感性。</w:t>
      </w:r>
    </w:p>
    <w:p w14:paraId="2FC8FB39"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在ER阳性和三阴性乳腺癌模型中，GPX4和CDK4/6抑制剂联合用药比单一药物更有效。</w:t>
      </w:r>
    </w:p>
    <w:p w14:paraId="4C5A93F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为了进一步评估靶向 GPX4 增强 CDK4/6 抑制剂敏感性的潜力，我们研究了在 ER+ 和</w:t>
      </w:r>
      <w:r w:rsidRPr="00BF1A4E">
        <w:rPr>
          <w:rFonts w:ascii="微软雅黑" w:eastAsia="微软雅黑" w:hAnsi="微软雅黑" w:cs="宋体"/>
          <w:i/>
          <w:iCs/>
          <w:kern w:val="0"/>
          <w:sz w:val="24"/>
          <w:szCs w:val="24"/>
        </w:rPr>
        <w:t>RB1</w:t>
      </w:r>
      <w:r w:rsidRPr="00BF1A4E">
        <w:rPr>
          <w:rFonts w:ascii="微软雅黑" w:eastAsia="微软雅黑" w:hAnsi="微软雅黑" w:cs="宋体"/>
          <w:kern w:val="0"/>
          <w:sz w:val="24"/>
          <w:szCs w:val="24"/>
        </w:rPr>
        <w:t xml:space="preserve">野生型 TNBC 细胞系中，GPX4 抑制剂与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联合应用的效果。为了抑制 GPX4，我们使用了 RSL3 和 ML210，它们能与 GPX4 </w:t>
      </w:r>
      <w:proofErr w:type="gramStart"/>
      <w:r w:rsidRPr="00BF1A4E">
        <w:rPr>
          <w:rFonts w:ascii="微软雅黑" w:eastAsia="微软雅黑" w:hAnsi="微软雅黑" w:cs="宋体"/>
          <w:kern w:val="0"/>
          <w:sz w:val="24"/>
          <w:szCs w:val="24"/>
        </w:rPr>
        <w:t>的硒代半胱氨酸</w:t>
      </w:r>
      <w:proofErr w:type="gramEnd"/>
      <w:r w:rsidRPr="00BF1A4E">
        <w:rPr>
          <w:rFonts w:ascii="微软雅黑" w:eastAsia="微软雅黑" w:hAnsi="微软雅黑" w:cs="宋体"/>
          <w:kern w:val="0"/>
          <w:sz w:val="24"/>
          <w:szCs w:val="24"/>
        </w:rPr>
        <w:t>残基 (Sec46) 共价结合，导致 GPX4 失活和降解</w:t>
      </w:r>
      <w:r w:rsidRPr="00BF1A4E">
        <w:rPr>
          <w:rFonts w:ascii="微软雅黑" w:eastAsia="微软雅黑" w:hAnsi="微软雅黑" w:cs="宋体"/>
          <w:kern w:val="0"/>
          <w:sz w:val="24"/>
          <w:szCs w:val="24"/>
          <w:u w:val="single"/>
          <w:vertAlign w:val="superscript"/>
        </w:rPr>
        <w:t>&lt;sup&gt; </w:t>
      </w:r>
      <w:hyperlink r:id="rId43" w:anchor="CR31" w:history="1">
        <w:r w:rsidRPr="00BF1A4E">
          <w:rPr>
            <w:rFonts w:ascii="微软雅黑" w:eastAsia="微软雅黑" w:hAnsi="微软雅黑" w:cs="宋体"/>
            <w:kern w:val="0"/>
            <w:sz w:val="24"/>
            <w:szCs w:val="24"/>
            <w:u w:val="single"/>
            <w:vertAlign w:val="superscript"/>
          </w:rPr>
          <w:t>31&lt;/sup&gt;</w:t>
        </w:r>
      </w:hyperlink>
      <w:r w:rsidRPr="00BF1A4E">
        <w:rPr>
          <w:rFonts w:ascii="微软雅黑" w:eastAsia="微软雅黑" w:hAnsi="微软雅黑" w:cs="宋体"/>
          <w:kern w:val="0"/>
          <w:sz w:val="24"/>
          <w:szCs w:val="24"/>
        </w:rPr>
        <w:t>。不同乳腺癌细胞系对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诱导剂 RSL3 的反应存在高度异质性，TNBC 细胞系比 ER+ 细胞系更敏感，这与之前的报道一致</w:t>
      </w:r>
      <w:r w:rsidRPr="00BF1A4E">
        <w:rPr>
          <w:rFonts w:ascii="微软雅黑" w:eastAsia="微软雅黑" w:hAnsi="微软雅黑" w:cs="宋体"/>
          <w:kern w:val="0"/>
          <w:sz w:val="24"/>
          <w:szCs w:val="24"/>
          <w:u w:val="single"/>
          <w:vertAlign w:val="superscript"/>
        </w:rPr>
        <w:t>&lt;sup&gt; </w:t>
      </w:r>
      <w:hyperlink r:id="rId44" w:anchor="CR14" w:history="1">
        <w:r w:rsidRPr="00BF1A4E">
          <w:rPr>
            <w:rFonts w:ascii="微软雅黑" w:eastAsia="微软雅黑" w:hAnsi="微软雅黑" w:cs="宋体"/>
            <w:kern w:val="0"/>
            <w:sz w:val="24"/>
            <w:szCs w:val="24"/>
            <w:u w:val="single"/>
            <w:vertAlign w:val="superscript"/>
          </w:rPr>
          <w:t>14&lt;/sup&gt;</w:t>
        </w:r>
      </w:hyperlink>
      <w:r w:rsidRPr="00BF1A4E">
        <w:rPr>
          <w:rFonts w:ascii="微软雅黑" w:eastAsia="微软雅黑" w:hAnsi="微软雅黑" w:cs="宋体"/>
          <w:kern w:val="0"/>
          <w:sz w:val="24"/>
          <w:szCs w:val="24"/>
        </w:rPr>
        <w:t>（图 </w:t>
      </w:r>
      <w:hyperlink r:id="rId45" w:anchor="Fig2" w:history="1">
        <w:r w:rsidRPr="00BF1A4E">
          <w:rPr>
            <w:rFonts w:ascii="微软雅黑" w:eastAsia="微软雅黑" w:hAnsi="微软雅黑" w:cs="宋体"/>
            <w:kern w:val="0"/>
            <w:sz w:val="24"/>
            <w:szCs w:val="24"/>
            <w:u w:val="single"/>
          </w:rPr>
          <w:t>2A</w:t>
        </w:r>
      </w:hyperlink>
      <w:r w:rsidRPr="00BF1A4E">
        <w:rPr>
          <w:rFonts w:ascii="微软雅黑" w:eastAsia="微软雅黑" w:hAnsi="微软雅黑" w:cs="宋体"/>
          <w:kern w:val="0"/>
          <w:sz w:val="24"/>
          <w:szCs w:val="24"/>
        </w:rPr>
        <w:t xml:space="preserve">），相反，ER+ 细胞对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的敏感性高于 TNBC 细胞系（图 </w:t>
      </w:r>
      <w:hyperlink r:id="rId46" w:anchor="Fig2" w:history="1">
        <w:r w:rsidRPr="00BF1A4E">
          <w:rPr>
            <w:rFonts w:ascii="微软雅黑" w:eastAsia="微软雅黑" w:hAnsi="微软雅黑" w:cs="宋体"/>
            <w:kern w:val="0"/>
            <w:sz w:val="24"/>
            <w:szCs w:val="24"/>
            <w:u w:val="single"/>
          </w:rPr>
          <w:t>2B</w:t>
        </w:r>
      </w:hyperlink>
      <w:r w:rsidRPr="00BF1A4E">
        <w:rPr>
          <w:rFonts w:ascii="微软雅黑" w:eastAsia="微软雅黑" w:hAnsi="微软雅黑" w:cs="宋体"/>
          <w:kern w:val="0"/>
          <w:sz w:val="24"/>
          <w:szCs w:val="24"/>
        </w:rPr>
        <w:t>）。在ER+模型中，MCF-7细胞对RSL3的耐药性高于T47D细胞（图 </w:t>
      </w:r>
      <w:hyperlink r:id="rId47" w:anchor="Fig2" w:history="1">
        <w:r w:rsidRPr="00BF1A4E">
          <w:rPr>
            <w:rFonts w:ascii="微软雅黑" w:eastAsia="微软雅黑" w:hAnsi="微软雅黑" w:cs="宋体"/>
            <w:kern w:val="0"/>
            <w:sz w:val="24"/>
            <w:szCs w:val="24"/>
            <w:u w:val="single"/>
          </w:rPr>
          <w:t>2A</w:t>
        </w:r>
      </w:hyperlink>
      <w:r w:rsidRPr="00BF1A4E">
        <w:rPr>
          <w:rFonts w:ascii="微软雅黑" w:eastAsia="微软雅黑" w:hAnsi="微软雅黑" w:cs="宋体"/>
          <w:kern w:val="0"/>
          <w:sz w:val="24"/>
          <w:szCs w:val="24"/>
        </w:rPr>
        <w:t>和补充图 </w:t>
      </w:r>
      <w:hyperlink r:id="rId48" w:anchor="MOESM1" w:history="1">
        <w:r w:rsidRPr="00BF1A4E">
          <w:rPr>
            <w:rFonts w:ascii="微软雅黑" w:eastAsia="微软雅黑" w:hAnsi="微软雅黑" w:cs="宋体"/>
            <w:kern w:val="0"/>
            <w:sz w:val="24"/>
            <w:szCs w:val="24"/>
            <w:u w:val="single"/>
          </w:rPr>
          <w:t>2A</w:t>
        </w:r>
      </w:hyperlink>
      <w:r w:rsidRPr="00BF1A4E">
        <w:rPr>
          <w:rFonts w:ascii="微软雅黑" w:eastAsia="微软雅黑" w:hAnsi="微软雅黑" w:cs="宋体"/>
          <w:kern w:val="0"/>
          <w:sz w:val="24"/>
          <w:szCs w:val="24"/>
        </w:rPr>
        <w:t>），这与</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 CRISPR</w:t>
      </w:r>
      <w:proofErr w:type="gramStart"/>
      <w:r w:rsidRPr="00BF1A4E">
        <w:rPr>
          <w:rFonts w:ascii="微软雅黑" w:eastAsia="微软雅黑" w:hAnsi="微软雅黑" w:cs="宋体"/>
          <w:kern w:val="0"/>
          <w:sz w:val="24"/>
          <w:szCs w:val="24"/>
        </w:rPr>
        <w:t>敲低实验</w:t>
      </w:r>
      <w:proofErr w:type="gramEnd"/>
      <w:r w:rsidRPr="00BF1A4E">
        <w:rPr>
          <w:rFonts w:ascii="微软雅黑" w:eastAsia="微软雅黑" w:hAnsi="微软雅黑" w:cs="宋体"/>
          <w:kern w:val="0"/>
          <w:sz w:val="24"/>
          <w:szCs w:val="24"/>
        </w:rPr>
        <w:t>结果一致（图 </w:t>
      </w:r>
      <w:hyperlink r:id="rId49" w:anchor="Fig1" w:history="1">
        <w:r w:rsidRPr="00BF1A4E">
          <w:rPr>
            <w:rFonts w:ascii="微软雅黑" w:eastAsia="微软雅黑" w:hAnsi="微软雅黑" w:cs="宋体"/>
            <w:kern w:val="0"/>
            <w:sz w:val="24"/>
            <w:szCs w:val="24"/>
            <w:u w:val="single"/>
          </w:rPr>
          <w:t>1G、K</w:t>
        </w:r>
      </w:hyperlink>
      <w:r w:rsidRPr="00BF1A4E">
        <w:rPr>
          <w:rFonts w:ascii="微软雅黑" w:eastAsia="微软雅黑" w:hAnsi="微软雅黑" w:cs="宋体"/>
          <w:kern w:val="0"/>
          <w:sz w:val="24"/>
          <w:szCs w:val="24"/>
        </w:rPr>
        <w:t>）。RSL3与帕博西尼联合用药在T47D细胞和TNBC细胞系Cal51中表现出高度协同作用（蓝色）（图 </w:t>
      </w:r>
      <w:hyperlink r:id="rId50" w:anchor="Fig2" w:history="1">
        <w:r w:rsidRPr="00BF1A4E">
          <w:rPr>
            <w:rFonts w:ascii="微软雅黑" w:eastAsia="微软雅黑" w:hAnsi="微软雅黑" w:cs="宋体"/>
            <w:kern w:val="0"/>
            <w:sz w:val="24"/>
            <w:szCs w:val="24"/>
            <w:u w:val="single"/>
          </w:rPr>
          <w:t>2C</w:t>
        </w:r>
      </w:hyperlink>
      <w:r w:rsidRPr="00BF1A4E">
        <w:rPr>
          <w:rFonts w:ascii="微软雅黑" w:eastAsia="微软雅黑" w:hAnsi="微软雅黑" w:cs="宋体"/>
          <w:kern w:val="0"/>
          <w:sz w:val="24"/>
          <w:szCs w:val="24"/>
        </w:rPr>
        <w:t>）。在MCF-7细胞中，仅在较高浓度的RSL3下才能观察到联合协同作用（图 </w:t>
      </w:r>
      <w:hyperlink r:id="rId51" w:anchor="Fig2" w:history="1">
        <w:r w:rsidRPr="00BF1A4E">
          <w:rPr>
            <w:rFonts w:ascii="微软雅黑" w:eastAsia="微软雅黑" w:hAnsi="微软雅黑" w:cs="宋体"/>
            <w:kern w:val="0"/>
            <w:sz w:val="24"/>
            <w:szCs w:val="24"/>
            <w:u w:val="single"/>
          </w:rPr>
          <w:t>2C</w:t>
        </w:r>
      </w:hyperlink>
      <w:r w:rsidRPr="00BF1A4E">
        <w:rPr>
          <w:rFonts w:ascii="微软雅黑" w:eastAsia="微软雅黑" w:hAnsi="微软雅黑" w:cs="宋体"/>
          <w:kern w:val="0"/>
          <w:sz w:val="24"/>
          <w:szCs w:val="24"/>
        </w:rPr>
        <w:t>），这可能是为了完全抑制GPX4，因为在GPX4</w:t>
      </w:r>
      <w:proofErr w:type="gramStart"/>
      <w:r w:rsidRPr="00BF1A4E">
        <w:rPr>
          <w:rFonts w:ascii="微软雅黑" w:eastAsia="微软雅黑" w:hAnsi="微软雅黑" w:cs="宋体"/>
          <w:kern w:val="0"/>
          <w:sz w:val="24"/>
          <w:szCs w:val="24"/>
        </w:rPr>
        <w:t>完全敲低的</w:t>
      </w:r>
      <w:proofErr w:type="gramEnd"/>
      <w:r w:rsidRPr="00BF1A4E">
        <w:rPr>
          <w:rFonts w:ascii="微软雅黑" w:eastAsia="微软雅黑" w:hAnsi="微软雅黑" w:cs="宋体"/>
          <w:kern w:val="0"/>
          <w:sz w:val="24"/>
          <w:szCs w:val="24"/>
        </w:rPr>
        <w:t>MCF-7克隆中，协同作用更为明显（图 </w:t>
      </w:r>
      <w:hyperlink r:id="rId52" w:anchor="Fig1" w:history="1">
        <w:r w:rsidRPr="00BF1A4E">
          <w:rPr>
            <w:rFonts w:ascii="微软雅黑" w:eastAsia="微软雅黑" w:hAnsi="微软雅黑" w:cs="宋体"/>
            <w:kern w:val="0"/>
            <w:sz w:val="24"/>
            <w:szCs w:val="24"/>
            <w:u w:val="single"/>
          </w:rPr>
          <w:t>1C、H</w:t>
        </w:r>
      </w:hyperlink>
      <w:r w:rsidRPr="00BF1A4E">
        <w:rPr>
          <w:rFonts w:ascii="微软雅黑" w:eastAsia="微软雅黑" w:hAnsi="微软雅黑" w:cs="宋体"/>
          <w:kern w:val="0"/>
          <w:sz w:val="24"/>
          <w:szCs w:val="24"/>
        </w:rPr>
        <w:t>）。阿贝西利和瑞博西尼与RSL3联合用药时也表现出类似的协同作用（图 </w:t>
      </w:r>
      <w:hyperlink r:id="rId53" w:anchor="Fig2" w:history="1">
        <w:r w:rsidRPr="00BF1A4E">
          <w:rPr>
            <w:rFonts w:ascii="微软雅黑" w:eastAsia="微软雅黑" w:hAnsi="微软雅黑" w:cs="宋体"/>
            <w:kern w:val="0"/>
            <w:sz w:val="24"/>
            <w:szCs w:val="24"/>
            <w:u w:val="single"/>
          </w:rPr>
          <w:t>2D</w:t>
        </w:r>
      </w:hyperlink>
      <w:r w:rsidRPr="00BF1A4E">
        <w:rPr>
          <w:rFonts w:ascii="微软雅黑" w:eastAsia="微软雅黑" w:hAnsi="微软雅黑" w:cs="宋体"/>
          <w:kern w:val="0"/>
          <w:sz w:val="24"/>
          <w:szCs w:val="24"/>
        </w:rPr>
        <w:t>和补充图 </w:t>
      </w:r>
      <w:hyperlink r:id="rId54" w:anchor="MOESM1" w:history="1">
        <w:r w:rsidRPr="00BF1A4E">
          <w:rPr>
            <w:rFonts w:ascii="微软雅黑" w:eastAsia="微软雅黑" w:hAnsi="微软雅黑" w:cs="宋体"/>
            <w:kern w:val="0"/>
            <w:sz w:val="24"/>
            <w:szCs w:val="24"/>
            <w:u w:val="single"/>
          </w:rPr>
          <w:t>2B</w:t>
        </w:r>
      </w:hyperlink>
      <w:r w:rsidRPr="00BF1A4E">
        <w:rPr>
          <w:rFonts w:ascii="微软雅黑" w:eastAsia="微软雅黑" w:hAnsi="微软雅黑" w:cs="宋体"/>
          <w:kern w:val="0"/>
          <w:sz w:val="24"/>
          <w:szCs w:val="24"/>
        </w:rPr>
        <w:t>）。碘化丙</w:t>
      </w:r>
      <w:proofErr w:type="gramStart"/>
      <w:r w:rsidRPr="00BF1A4E">
        <w:rPr>
          <w:rFonts w:ascii="微软雅黑" w:eastAsia="微软雅黑" w:hAnsi="微软雅黑" w:cs="宋体"/>
          <w:kern w:val="0"/>
          <w:sz w:val="24"/>
          <w:szCs w:val="24"/>
        </w:rPr>
        <w:t>啶</w:t>
      </w:r>
      <w:proofErr w:type="gramEnd"/>
      <w:r w:rsidRPr="00BF1A4E">
        <w:rPr>
          <w:rFonts w:ascii="微软雅黑" w:eastAsia="微软雅黑" w:hAnsi="微软雅黑" w:cs="宋体"/>
          <w:kern w:val="0"/>
          <w:sz w:val="24"/>
          <w:szCs w:val="24"/>
        </w:rPr>
        <w:t xml:space="preserve"> (PI) 染色显示，在 MCF-7 和 T47D 细胞中，帕博西尼联合 RSL3 可显著提高细胞死亡率（补充图 </w:t>
      </w:r>
      <w:hyperlink r:id="rId55" w:anchor="MOESM1" w:history="1">
        <w:r w:rsidRPr="00BF1A4E">
          <w:rPr>
            <w:rFonts w:ascii="微软雅黑" w:eastAsia="微软雅黑" w:hAnsi="微软雅黑" w:cs="宋体"/>
            <w:kern w:val="0"/>
            <w:sz w:val="24"/>
            <w:szCs w:val="24"/>
            <w:u w:val="single"/>
          </w:rPr>
          <w:t>2C</w:t>
        </w:r>
      </w:hyperlink>
      <w:r w:rsidRPr="00BF1A4E">
        <w:rPr>
          <w:rFonts w:ascii="微软雅黑" w:eastAsia="微软雅黑" w:hAnsi="微软雅黑" w:cs="宋体"/>
          <w:kern w:val="0"/>
          <w:sz w:val="24"/>
          <w:szCs w:val="24"/>
        </w:rPr>
        <w:t xml:space="preserve">）。我们进一步在一系列乳腺癌细胞系中观察到这一现象，并进行了克隆形成实验，治疗时间为 12-14 天。在 ER+ 和 TNBC 细胞系模型中，帕博西尼联合 RSL3 </w:t>
      </w:r>
      <w:r w:rsidRPr="00BF1A4E">
        <w:rPr>
          <w:rFonts w:ascii="微软雅黑" w:eastAsia="微软雅黑" w:hAnsi="微软雅黑" w:cs="宋体"/>
          <w:kern w:val="0"/>
          <w:sz w:val="24"/>
          <w:szCs w:val="24"/>
        </w:rPr>
        <w:lastRenderedPageBreak/>
        <w:t>均显示出疗效（图 </w:t>
      </w:r>
      <w:hyperlink r:id="rId56" w:anchor="Fig2" w:history="1">
        <w:r w:rsidRPr="00BF1A4E">
          <w:rPr>
            <w:rFonts w:ascii="微软雅黑" w:eastAsia="微软雅黑" w:hAnsi="微软雅黑" w:cs="宋体"/>
            <w:kern w:val="0"/>
            <w:sz w:val="24"/>
            <w:szCs w:val="24"/>
            <w:u w:val="single"/>
          </w:rPr>
          <w:t>2E</w:t>
        </w:r>
      </w:hyperlink>
      <w:r w:rsidRPr="00BF1A4E">
        <w:rPr>
          <w:rFonts w:ascii="微软雅黑" w:eastAsia="微软雅黑" w:hAnsi="微软雅黑" w:cs="宋体"/>
          <w:kern w:val="0"/>
          <w:sz w:val="24"/>
          <w:szCs w:val="24"/>
        </w:rPr>
        <w:t>和补充图 </w:t>
      </w:r>
      <w:hyperlink r:id="rId57" w:anchor="MOESM1" w:history="1">
        <w:r w:rsidRPr="00BF1A4E">
          <w:rPr>
            <w:rFonts w:ascii="微软雅黑" w:eastAsia="微软雅黑" w:hAnsi="微软雅黑" w:cs="宋体"/>
            <w:kern w:val="0"/>
            <w:sz w:val="24"/>
            <w:szCs w:val="24"/>
            <w:u w:val="single"/>
          </w:rPr>
          <w:t>2D</w:t>
        </w:r>
      </w:hyperlink>
      <w:r w:rsidRPr="00BF1A4E">
        <w:rPr>
          <w:rFonts w:ascii="微软雅黑" w:eastAsia="微软雅黑" w:hAnsi="微软雅黑" w:cs="宋体"/>
          <w:kern w:val="0"/>
          <w:sz w:val="24"/>
          <w:szCs w:val="24"/>
        </w:rPr>
        <w:t>），且与细胞对单一药物的敏感性无关。一些 TNBC 细胞对 RSL3 单药治疗高度敏感，例如 Sum149、Sum159、Sum185PE 和 BT20（图 </w:t>
      </w:r>
      <w:hyperlink r:id="rId58" w:anchor="Fig2" w:history="1">
        <w:r w:rsidRPr="00BF1A4E">
          <w:rPr>
            <w:rFonts w:ascii="微软雅黑" w:eastAsia="微软雅黑" w:hAnsi="微软雅黑" w:cs="宋体"/>
            <w:kern w:val="0"/>
            <w:sz w:val="24"/>
            <w:szCs w:val="24"/>
            <w:u w:val="single"/>
          </w:rPr>
          <w:t>2E</w:t>
        </w:r>
      </w:hyperlink>
      <w:r w:rsidRPr="00BF1A4E">
        <w:rPr>
          <w:rFonts w:ascii="微软雅黑" w:eastAsia="微软雅黑" w:hAnsi="微软雅黑" w:cs="宋体"/>
          <w:kern w:val="0"/>
          <w:sz w:val="24"/>
          <w:szCs w:val="24"/>
        </w:rPr>
        <w:t>和补充图 </w:t>
      </w:r>
      <w:hyperlink r:id="rId59" w:anchor="MOESM1" w:history="1">
        <w:r w:rsidRPr="00BF1A4E">
          <w:rPr>
            <w:rFonts w:ascii="微软雅黑" w:eastAsia="微软雅黑" w:hAnsi="微软雅黑" w:cs="宋体"/>
            <w:kern w:val="0"/>
            <w:sz w:val="24"/>
            <w:szCs w:val="24"/>
            <w:u w:val="single"/>
          </w:rPr>
          <w:t>2C</w:t>
        </w:r>
      </w:hyperlink>
      <w:r w:rsidRPr="00BF1A4E">
        <w:rPr>
          <w:rFonts w:ascii="微软雅黑" w:eastAsia="微软雅黑" w:hAnsi="微软雅黑" w:cs="宋体"/>
          <w:kern w:val="0"/>
          <w:sz w:val="24"/>
          <w:szCs w:val="24"/>
        </w:rPr>
        <w:t>）。因此，GPX4 的抑制增强了 CDK4/6 抑制剂在 ER+ 和 TNBC 模型中的活性。</w:t>
      </w:r>
    </w:p>
    <w:p w14:paraId="49EC72C1"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图 2. GPX4 和 CDK4/6 抑制剂的联合应用克服了乳腺癌细胞系对单一药物的耐药性。</w:t>
      </w:r>
    </w:p>
    <w:p w14:paraId="0EFB3D25" w14:textId="777715C0"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3C324B8F" wp14:editId="36BC78E7">
            <wp:extent cx="5274310" cy="7110095"/>
            <wp:effectExtent l="0" t="0" r="2540" b="0"/>
            <wp:docPr id="6" name="图片 6" descr="图 2">
              <a:hlinkClick xmlns:a="http://schemas.openxmlformats.org/drawingml/2006/main" r:id="rId6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789" descr="图 2">
                      <a:hlinkClick r:id="rId60" tgtFrame="&quot;_blank&quot;"/>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74310" cy="7110095"/>
                    </a:xfrm>
                    <a:prstGeom prst="rect">
                      <a:avLst/>
                    </a:prstGeom>
                    <a:noFill/>
                    <a:ln>
                      <a:noFill/>
                    </a:ln>
                  </pic:spPr>
                </pic:pic>
              </a:graphicData>
            </a:graphic>
          </wp:inline>
        </w:drawing>
      </w:r>
    </w:p>
    <w:p w14:paraId="66E92435" w14:textId="4F872F81"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图A和图B</w:t>
      </w:r>
      <w:r w:rsidRPr="00BF1A4E">
        <w:rPr>
          <w:rFonts w:ascii="微软雅黑" w:eastAsia="微软雅黑" w:hAnsi="微软雅黑" w:cs="宋体"/>
          <w:kern w:val="0"/>
          <w:sz w:val="24"/>
          <w:szCs w:val="24"/>
        </w:rPr>
        <w:t>分别展示了ER+（黑色）和TNBC（红色）乳腺癌细胞系经不同剂量RSL3或</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处理后的剂量-反应生存曲线。图中显示的是相对生存率，以3至4个生物学重复（ </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=3或4）的平均值±标准差表示，</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并包含两次技术重复。</w:t>
      </w:r>
      <w:r w:rsidRPr="00BF1A4E">
        <w:rPr>
          <w:rFonts w:ascii="微软雅黑" w:eastAsia="微软雅黑" w:hAnsi="微软雅黑" w:cs="宋体"/>
          <w:b/>
          <w:bCs/>
          <w:kern w:val="0"/>
          <w:sz w:val="24"/>
          <w:szCs w:val="24"/>
        </w:rPr>
        <w:t>图C</w:t>
      </w:r>
      <w:r w:rsidRPr="00BF1A4E">
        <w:rPr>
          <w:rFonts w:ascii="微软雅黑" w:eastAsia="微软雅黑" w:hAnsi="微软雅黑" w:cs="宋体"/>
          <w:kern w:val="0"/>
          <w:sz w:val="24"/>
          <w:szCs w:val="24"/>
        </w:rPr>
        <w:t>和</w:t>
      </w:r>
      <w:r w:rsidRPr="00BF1A4E">
        <w:rPr>
          <w:rFonts w:ascii="微软雅黑" w:eastAsia="微软雅黑" w:hAnsi="微软雅黑" w:cs="宋体"/>
          <w:b/>
          <w:bCs/>
          <w:kern w:val="0"/>
          <w:sz w:val="24"/>
          <w:szCs w:val="24"/>
        </w:rPr>
        <w:t>图D</w:t>
      </w:r>
      <w:r w:rsidRPr="00BF1A4E">
        <w:rPr>
          <w:rFonts w:ascii="微软雅黑" w:eastAsia="微软雅黑" w:hAnsi="微软雅黑" w:cs="宋体"/>
          <w:kern w:val="0"/>
          <w:sz w:val="24"/>
          <w:szCs w:val="24"/>
        </w:rPr>
        <w:t>展示了在384孔板中进行的药物组合生存实验，实验中</w:t>
      </w:r>
      <w:r w:rsidRPr="00BF1A4E">
        <w:rPr>
          <w:rFonts w:ascii="微软雅黑" w:eastAsia="微软雅黑" w:hAnsi="微软雅黑" w:cs="宋体"/>
          <w:kern w:val="0"/>
          <w:sz w:val="24"/>
          <w:szCs w:val="24"/>
        </w:rPr>
        <w:lastRenderedPageBreak/>
        <w:t>将不同剂量的</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w:t>
      </w:r>
      <w:proofErr w:type="spellStart"/>
      <w:r w:rsidRPr="00BF1A4E">
        <w:rPr>
          <w:rFonts w:ascii="微软雅黑" w:eastAsia="微软雅黑" w:hAnsi="微软雅黑" w:cs="宋体"/>
          <w:kern w:val="0"/>
          <w:sz w:val="24"/>
          <w:szCs w:val="24"/>
        </w:rPr>
        <w:t>abemaciclib</w:t>
      </w:r>
      <w:proofErr w:type="spellEnd"/>
      <w:r w:rsidRPr="00BF1A4E">
        <w:rPr>
          <w:rFonts w:ascii="微软雅黑" w:eastAsia="微软雅黑" w:hAnsi="微软雅黑" w:cs="宋体"/>
          <w:kern w:val="0"/>
          <w:sz w:val="24"/>
          <w:szCs w:val="24"/>
        </w:rPr>
        <w:t>或</w:t>
      </w:r>
      <w:proofErr w:type="spellStart"/>
      <w:r w:rsidRPr="00BF1A4E">
        <w:rPr>
          <w:rFonts w:ascii="微软雅黑" w:eastAsia="微软雅黑" w:hAnsi="微软雅黑" w:cs="宋体"/>
          <w:kern w:val="0"/>
          <w:sz w:val="24"/>
          <w:szCs w:val="24"/>
        </w:rPr>
        <w:t>ribociclib</w:t>
      </w:r>
      <w:proofErr w:type="spellEnd"/>
      <w:r w:rsidRPr="00BF1A4E">
        <w:rPr>
          <w:rFonts w:ascii="微软雅黑" w:eastAsia="微软雅黑" w:hAnsi="微软雅黑" w:cs="宋体"/>
          <w:kern w:val="0"/>
          <w:sz w:val="24"/>
          <w:szCs w:val="24"/>
        </w:rPr>
        <w:t>与RSL3联合使用（7天，</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=3至4个生物学重复）。图中还展示了使用</w:t>
      </w:r>
      <w:proofErr w:type="spellStart"/>
      <w:r w:rsidRPr="00BF1A4E">
        <w:rPr>
          <w:rFonts w:ascii="微软雅黑" w:eastAsia="微软雅黑" w:hAnsi="微软雅黑" w:cs="宋体"/>
          <w:kern w:val="0"/>
          <w:sz w:val="24"/>
          <w:szCs w:val="24"/>
        </w:rPr>
        <w:t>Combenefit</w:t>
      </w:r>
      <w:proofErr w:type="spellEnd"/>
      <w:r w:rsidRPr="00BF1A4E">
        <w:rPr>
          <w:rFonts w:ascii="微软雅黑" w:eastAsia="微软雅黑" w:hAnsi="微软雅黑" w:cs="宋体"/>
          <w:kern w:val="0"/>
          <w:sz w:val="24"/>
          <w:szCs w:val="24"/>
        </w:rPr>
        <w:t>软件生成的Bliss评分表面图，该图代表RSL3和</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之间的协同作用（蓝色）和拮抗作用（橙色或黄色）的百分比。</w:t>
      </w:r>
      <w:r w:rsidRPr="00BF1A4E">
        <w:rPr>
          <w:rFonts w:ascii="微软雅黑" w:eastAsia="微软雅黑" w:hAnsi="微软雅黑" w:cs="宋体"/>
          <w:b/>
          <w:bCs/>
          <w:kern w:val="0"/>
          <w:sz w:val="24"/>
          <w:szCs w:val="24"/>
        </w:rPr>
        <w:t>C</w:t>
      </w:r>
      <w:r w:rsidRPr="00BF1A4E">
        <w:rPr>
          <w:rFonts w:ascii="微软雅黑" w:eastAsia="微软雅黑" w:hAnsi="微软雅黑" w:cs="宋体"/>
          <w:kern w:val="0"/>
          <w:sz w:val="24"/>
          <w:szCs w:val="24"/>
        </w:rPr>
        <w:t>（下方）剂量反应生存曲线显示，与帕博西尼组相比，联合用药组的生存率降低，平均值±标准差（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=3或4个生物学重复，</w:t>
      </w:r>
      <w:proofErr w:type="gramStart"/>
      <w:r w:rsidRPr="00BF1A4E">
        <w:rPr>
          <w:rFonts w:ascii="微软雅黑" w:eastAsia="微软雅黑" w:hAnsi="微软雅黑" w:cs="宋体"/>
          <w:kern w:val="0"/>
          <w:sz w:val="24"/>
          <w:szCs w:val="24"/>
        </w:rPr>
        <w:t>双因素</w:t>
      </w:r>
      <w:proofErr w:type="gramEnd"/>
      <w:r w:rsidRPr="00BF1A4E">
        <w:rPr>
          <w:rFonts w:ascii="微软雅黑" w:eastAsia="微软雅黑" w:hAnsi="微软雅黑" w:cs="宋体"/>
          <w:kern w:val="0"/>
          <w:sz w:val="24"/>
          <w:szCs w:val="24"/>
        </w:rPr>
        <w:t>方差分析，</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值显示为帕博西尼组与帕博西尼+RSL3组的比较）。E在ER+和TNBC细胞系中，</w:t>
      </w:r>
      <w:r w:rsidRPr="00BF1A4E">
        <w:rPr>
          <w:rFonts w:ascii="微软雅黑" w:eastAsia="微软雅黑" w:hAnsi="微软雅黑" w:cs="宋体"/>
          <w:b/>
          <w:bCs/>
          <w:kern w:val="0"/>
          <w:sz w:val="24"/>
          <w:szCs w:val="24"/>
        </w:rPr>
        <w:t>分别</w:t>
      </w:r>
      <w:r w:rsidRPr="00BF1A4E">
        <w:rPr>
          <w:rFonts w:ascii="微软雅黑" w:eastAsia="微软雅黑" w:hAnsi="微软雅黑" w:cs="宋体"/>
          <w:kern w:val="0"/>
          <w:sz w:val="24"/>
          <w:szCs w:val="24"/>
        </w:rPr>
        <w:t xml:space="preserve">用载体、RSL3、帕博西尼（500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）或所示剂量的联合用药处理12天后进行克隆形成实验。该图表示帕博西尼处理组的相对SFB（克隆形成染色）吸光度，平均值±标准差（</w:t>
      </w:r>
      <w:r w:rsidRPr="00BF1A4E">
        <w:rPr>
          <w:rFonts w:ascii="微软雅黑" w:eastAsia="微软雅黑" w:hAnsi="微软雅黑" w:cs="宋体"/>
          <w:i/>
          <w:iCs/>
          <w:kern w:val="0"/>
          <w:sz w:val="24"/>
          <w:szCs w:val="24"/>
        </w:rPr>
        <w:t>n =3，三个生物学重复）。</w:t>
      </w:r>
    </w:p>
    <w:p w14:paraId="191EEF0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CDK4/6抑制剂诱导的细胞停滞会增加脂质过氧化，从而导致GPX4依赖性状态</w:t>
      </w:r>
    </w:p>
    <w:p w14:paraId="52C5B1D8" w14:textId="77777777" w:rsidR="00BF1A4E" w:rsidRPr="00BF1A4E" w:rsidRDefault="00BF1A4E" w:rsidP="00BF1A4E">
      <w:pPr>
        <w:widowControl/>
        <w:spacing w:before="450"/>
        <w:rPr>
          <w:rFonts w:ascii="微软雅黑" w:eastAsia="微软雅黑" w:hAnsi="微软雅黑" w:cs="宋体"/>
          <w:kern w:val="0"/>
          <w:sz w:val="24"/>
          <w:szCs w:val="24"/>
        </w:rPr>
      </w:pP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可由多不饱和脂肪酸（PUFA）的铁依赖性脂质过氧化触发，</w:t>
      </w:r>
      <w:proofErr w:type="gramStart"/>
      <w:r w:rsidRPr="00BF1A4E">
        <w:rPr>
          <w:rFonts w:ascii="微软雅黑" w:eastAsia="微软雅黑" w:hAnsi="微软雅黑" w:cs="宋体"/>
          <w:kern w:val="0"/>
          <w:sz w:val="24"/>
          <w:szCs w:val="24"/>
        </w:rPr>
        <w:t>若抗铁死亡</w:t>
      </w:r>
      <w:proofErr w:type="gramEnd"/>
      <w:r w:rsidRPr="00BF1A4E">
        <w:rPr>
          <w:rFonts w:ascii="微软雅黑" w:eastAsia="微软雅黑" w:hAnsi="微软雅黑" w:cs="宋体"/>
          <w:kern w:val="0"/>
          <w:sz w:val="24"/>
          <w:szCs w:val="24"/>
        </w:rPr>
        <w:t>防御机制（如GPX4）无法阻止，则会破坏细胞膜的完整性</w:t>
      </w:r>
      <w:r w:rsidRPr="00BF1A4E">
        <w:rPr>
          <w:rFonts w:ascii="微软雅黑" w:eastAsia="微软雅黑" w:hAnsi="微软雅黑" w:cs="宋体"/>
          <w:kern w:val="0"/>
          <w:sz w:val="24"/>
          <w:szCs w:val="24"/>
          <w:vertAlign w:val="superscript"/>
        </w:rPr>
        <w:t>&lt;sup&gt; 13,32 </w:t>
      </w:r>
      <w:hyperlink r:id="rId62" w:anchor="CR13" w:history="1">
        <w:r w:rsidRPr="00BF1A4E">
          <w:rPr>
            <w:rFonts w:ascii="微软雅黑" w:eastAsia="微软雅黑" w:hAnsi="微软雅黑" w:cs="宋体"/>
            <w:kern w:val="0"/>
            <w:sz w:val="24"/>
            <w:szCs w:val="24"/>
            <w:vertAlign w:val="superscript"/>
          </w:rPr>
          <w:t>&lt;/sup&gt; </w:t>
        </w:r>
      </w:hyperlink>
      <w:hyperlink r:id="rId63" w:anchor="CR32" w:history="1">
        <w:r w:rsidRPr="00BF1A4E">
          <w:rPr>
            <w:rFonts w:ascii="微软雅黑" w:eastAsia="微软雅黑" w:hAnsi="微软雅黑" w:cs="宋体"/>
            <w:kern w:val="0"/>
            <w:sz w:val="24"/>
            <w:szCs w:val="24"/>
            <w:u w:val="single"/>
            <w:vertAlign w:val="superscript"/>
          </w:rPr>
          <w:t>。</w:t>
        </w:r>
      </w:hyperlink>
      <w:r w:rsidRPr="00BF1A4E">
        <w:rPr>
          <w:rFonts w:ascii="微软雅黑" w:eastAsia="微软雅黑" w:hAnsi="微软雅黑" w:cs="宋体"/>
          <w:kern w:val="0"/>
          <w:sz w:val="24"/>
          <w:szCs w:val="24"/>
        </w:rPr>
        <w:t>我们研究了帕博西尼是否能诱导脂质过氧化，以此作为</w:t>
      </w:r>
      <w:proofErr w:type="gramStart"/>
      <w:r w:rsidRPr="00BF1A4E">
        <w:rPr>
          <w:rFonts w:ascii="微软雅黑" w:eastAsia="微软雅黑" w:hAnsi="微软雅黑" w:cs="宋体"/>
          <w:kern w:val="0"/>
          <w:sz w:val="24"/>
          <w:szCs w:val="24"/>
        </w:rPr>
        <w:t>铁死亡易</w:t>
      </w:r>
      <w:proofErr w:type="gramEnd"/>
      <w:r w:rsidRPr="00BF1A4E">
        <w:rPr>
          <w:rFonts w:ascii="微软雅黑" w:eastAsia="微软雅黑" w:hAnsi="微软雅黑" w:cs="宋体"/>
          <w:kern w:val="0"/>
          <w:sz w:val="24"/>
          <w:szCs w:val="24"/>
        </w:rPr>
        <w:t>感性的标志。我们分别使用C11-BODIPY（581/591）和Mito-</w:t>
      </w:r>
      <w:proofErr w:type="spellStart"/>
      <w:r w:rsidRPr="00BF1A4E">
        <w:rPr>
          <w:rFonts w:ascii="微软雅黑" w:eastAsia="微软雅黑" w:hAnsi="微软雅黑" w:cs="宋体"/>
          <w:kern w:val="0"/>
          <w:sz w:val="24"/>
          <w:szCs w:val="24"/>
        </w:rPr>
        <w:t>PerOx</w:t>
      </w:r>
      <w:proofErr w:type="spellEnd"/>
      <w:r w:rsidRPr="00BF1A4E">
        <w:rPr>
          <w:rFonts w:ascii="微软雅黑" w:eastAsia="微软雅黑" w:hAnsi="微软雅黑" w:cs="宋体"/>
          <w:kern w:val="0"/>
          <w:sz w:val="24"/>
          <w:szCs w:val="24"/>
        </w:rPr>
        <w:t>（581/591）传感器检测了一般脂质过氧化和线粒体脂质过氧化。当这些传感器被氧化时，其荧光会从红色（590 nm）变为绿色（510 nm）。在MCF-7、T47D和Cal51细胞中，通过流式细胞术和显微镜分析发现，帕博西尼可导致BODIPY和Mito-</w:t>
      </w:r>
      <w:proofErr w:type="spellStart"/>
      <w:r w:rsidRPr="00BF1A4E">
        <w:rPr>
          <w:rFonts w:ascii="微软雅黑" w:eastAsia="微软雅黑" w:hAnsi="微软雅黑" w:cs="宋体"/>
          <w:kern w:val="0"/>
          <w:sz w:val="24"/>
          <w:szCs w:val="24"/>
        </w:rPr>
        <w:t>PerOx</w:t>
      </w:r>
      <w:proofErr w:type="spellEnd"/>
      <w:r w:rsidRPr="00BF1A4E">
        <w:rPr>
          <w:rFonts w:ascii="微软雅黑" w:eastAsia="微软雅黑" w:hAnsi="微软雅黑" w:cs="宋体"/>
          <w:kern w:val="0"/>
          <w:sz w:val="24"/>
          <w:szCs w:val="24"/>
        </w:rPr>
        <w:t>的氧化（图 </w:t>
      </w:r>
      <w:hyperlink r:id="rId64" w:anchor="Fig3" w:history="1">
        <w:r w:rsidRPr="00BF1A4E">
          <w:rPr>
            <w:rFonts w:ascii="微软雅黑" w:eastAsia="微软雅黑" w:hAnsi="微软雅黑" w:cs="宋体"/>
            <w:kern w:val="0"/>
            <w:sz w:val="24"/>
            <w:szCs w:val="24"/>
            <w:u w:val="single"/>
          </w:rPr>
          <w:t>3A-C</w:t>
        </w:r>
      </w:hyperlink>
      <w:r w:rsidRPr="00BF1A4E">
        <w:rPr>
          <w:rFonts w:ascii="微软雅黑" w:eastAsia="微软雅黑" w:hAnsi="微软雅黑" w:cs="宋体"/>
          <w:kern w:val="0"/>
          <w:sz w:val="24"/>
          <w:szCs w:val="24"/>
        </w:rPr>
        <w:t>和补充图 </w:t>
      </w:r>
      <w:hyperlink r:id="rId65" w:anchor="MOESM1" w:history="1">
        <w:r w:rsidRPr="00BF1A4E">
          <w:rPr>
            <w:rFonts w:ascii="微软雅黑" w:eastAsia="微软雅黑" w:hAnsi="微软雅黑" w:cs="宋体"/>
            <w:kern w:val="0"/>
            <w:sz w:val="24"/>
            <w:szCs w:val="24"/>
            <w:u w:val="single"/>
          </w:rPr>
          <w:t>3A-C</w:t>
        </w:r>
      </w:hyperlink>
      <w:r w:rsidRPr="00BF1A4E">
        <w:rPr>
          <w:rFonts w:ascii="微软雅黑" w:eastAsia="微软雅黑" w:hAnsi="微软雅黑" w:cs="宋体"/>
          <w:kern w:val="0"/>
          <w:sz w:val="24"/>
          <w:szCs w:val="24"/>
        </w:rPr>
        <w:t>）。帕博西尼与 GPX4 抑制剂 RSL3 和 ML210 联合使用会导致脂质过氧化作用进一步增强。</w:t>
      </w:r>
    </w:p>
    <w:p w14:paraId="0544896F"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lastRenderedPageBreak/>
        <w:t>图 3. GPX4 和 CDK4/6 抑制的联合作用导致脂质过氧化增加和 GPX4 水平降低。</w:t>
      </w:r>
    </w:p>
    <w:p w14:paraId="31591242" w14:textId="566C3DD1"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drawing>
          <wp:inline distT="0" distB="0" distL="0" distR="0" wp14:anchorId="70898656" wp14:editId="469B7F37">
            <wp:extent cx="5274310" cy="7617460"/>
            <wp:effectExtent l="0" t="0" r="2540" b="2540"/>
            <wp:docPr id="5" name="图片 5" descr="图 3">
              <a:hlinkClick xmlns:a="http://schemas.openxmlformats.org/drawingml/2006/main" r:id="rId6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855" descr="图 3">
                      <a:hlinkClick r:id="rId66" tgtFrame="&quot;_blank&quot;"/>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74310" cy="7617460"/>
                    </a:xfrm>
                    <a:prstGeom prst="rect">
                      <a:avLst/>
                    </a:prstGeom>
                    <a:noFill/>
                    <a:ln>
                      <a:noFill/>
                    </a:ln>
                  </pic:spPr>
                </pic:pic>
              </a:graphicData>
            </a:graphic>
          </wp:inline>
        </w:drawing>
      </w:r>
    </w:p>
    <w:p w14:paraId="422BC94C" w14:textId="77777777"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lastRenderedPageBreak/>
        <w:t>A</w:t>
      </w:r>
      <w:r w:rsidRPr="00BF1A4E">
        <w:rPr>
          <w:rFonts w:ascii="微软雅黑" w:eastAsia="微软雅黑" w:hAnsi="微软雅黑" w:cs="宋体"/>
          <w:kern w:val="0"/>
          <w:sz w:val="24"/>
          <w:szCs w:val="24"/>
        </w:rPr>
        <w:t> – </w:t>
      </w:r>
      <w:r w:rsidRPr="00BF1A4E">
        <w:rPr>
          <w:rFonts w:ascii="微软雅黑" w:eastAsia="微软雅黑" w:hAnsi="微软雅黑" w:cs="宋体"/>
          <w:b/>
          <w:bCs/>
          <w:kern w:val="0"/>
          <w:sz w:val="24"/>
          <w:szCs w:val="24"/>
        </w:rPr>
        <w:t>C</w:t>
      </w:r>
      <w:r w:rsidRPr="00BF1A4E">
        <w:rPr>
          <w:rFonts w:ascii="微软雅黑" w:eastAsia="微软雅黑" w:hAnsi="微软雅黑" w:cs="宋体"/>
          <w:kern w:val="0"/>
          <w:sz w:val="24"/>
          <w:szCs w:val="24"/>
        </w:rPr>
        <w:t>将 MCF-7、T47D 和 T47DpR 细胞用指定浓度的 RSL3、ML210、</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或其组合处理 5 天，然后分别用 C11-BODIPY (581/591) 或 </w:t>
      </w:r>
      <w:proofErr w:type="spellStart"/>
      <w:r w:rsidRPr="00BF1A4E">
        <w:rPr>
          <w:rFonts w:ascii="微软雅黑" w:eastAsia="微软雅黑" w:hAnsi="微软雅黑" w:cs="宋体"/>
          <w:kern w:val="0"/>
          <w:sz w:val="24"/>
          <w:szCs w:val="24"/>
        </w:rPr>
        <w:t>MitoPerOXI</w:t>
      </w:r>
      <w:proofErr w:type="spellEnd"/>
      <w:r w:rsidRPr="00BF1A4E">
        <w:rPr>
          <w:rFonts w:ascii="微软雅黑" w:eastAsia="微软雅黑" w:hAnsi="微软雅黑" w:cs="宋体"/>
          <w:kern w:val="0"/>
          <w:sz w:val="24"/>
          <w:szCs w:val="24"/>
        </w:rPr>
        <w:t xml:space="preserve"> (581/591) 处理，以通过流式细胞术 (FACS) 检测细胞整体或线粒体脂质过氧化水平。每个组检测 10,000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细胞。对活细胞进行设门，并使用 </w:t>
      </w:r>
      <w:proofErr w:type="spellStart"/>
      <w:r w:rsidRPr="00BF1A4E">
        <w:rPr>
          <w:rFonts w:ascii="微软雅黑" w:eastAsia="微软雅黑" w:hAnsi="微软雅黑" w:cs="宋体"/>
          <w:kern w:val="0"/>
          <w:sz w:val="24"/>
          <w:szCs w:val="24"/>
        </w:rPr>
        <w:t>FlowJo</w:t>
      </w:r>
      <w:proofErr w:type="spellEnd"/>
      <w:r w:rsidRPr="00BF1A4E">
        <w:rPr>
          <w:rFonts w:ascii="微软雅黑" w:eastAsia="微软雅黑" w:hAnsi="微软雅黑" w:cs="宋体"/>
          <w:kern w:val="0"/>
          <w:sz w:val="24"/>
          <w:szCs w:val="24"/>
        </w:rPr>
        <w:t xml:space="preserve"> 软件生成 B530_30A (FITC) 滤光片的流式细胞术直方图，右移表示氧化 (</w:t>
      </w:r>
      <w:proofErr w:type="spellStart"/>
      <w:r w:rsidRPr="00BF1A4E">
        <w:rPr>
          <w:rFonts w:ascii="微软雅黑" w:eastAsia="微软雅黑" w:hAnsi="微软雅黑" w:cs="宋体"/>
          <w:kern w:val="0"/>
          <w:sz w:val="24"/>
          <w:szCs w:val="24"/>
        </w:rPr>
        <w:t>oxi</w:t>
      </w:r>
      <w:proofErr w:type="spellEnd"/>
      <w:r w:rsidRPr="00BF1A4E">
        <w:rPr>
          <w:rFonts w:ascii="微软雅黑" w:eastAsia="微软雅黑" w:hAnsi="微软雅黑" w:cs="宋体"/>
          <w:kern w:val="0"/>
          <w:sz w:val="24"/>
          <w:szCs w:val="24"/>
        </w:rPr>
        <w:t>)。图中显示了处理组与对照组（溶剂对照组）相比的偏移百分比（= 脂质过氧化水平）（以相同颜色表示）。</w:t>
      </w:r>
      <w:r w:rsidRPr="00BF1A4E">
        <w:rPr>
          <w:rFonts w:ascii="微软雅黑" w:eastAsia="微软雅黑" w:hAnsi="微软雅黑" w:cs="宋体"/>
          <w:b/>
          <w:bCs/>
          <w:kern w:val="0"/>
          <w:sz w:val="24"/>
          <w:szCs w:val="24"/>
        </w:rPr>
        <w:t>D.</w:t>
      </w:r>
      <w:r w:rsidRPr="00BF1A4E">
        <w:rPr>
          <w:rFonts w:ascii="微软雅黑" w:eastAsia="微软雅黑" w:hAnsi="微软雅黑" w:cs="宋体"/>
          <w:kern w:val="0"/>
          <w:sz w:val="24"/>
          <w:szCs w:val="24"/>
        </w:rPr>
        <w:t xml:space="preserve">在用指定浓度的RSL3加载体或帕博西尼（500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）处理12天后，对T47D、T47DpR（RB1缺失）和T47pR-B（RB1缺失）细胞进行克隆形成实验。图表显示了以载体标准化的相对SFB（克隆形成染色）吸光度，数据为三个技术重复的平均值±标准差（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3）。E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 xml:space="preserve">在用载体、帕博西尼（500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）、ML210（3 µM）或上述药物组合处理12天后，对T47D细胞进行克隆形成实验，并分别在有或无TEMPO（10 µM）或liproxstatin-1（0.5 µM）的情况下进行分析。图表显示了以载体为对照的相对SFB吸光度，数据为三个生物学重复的平均值±标准差（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=3，</w:t>
      </w:r>
      <w:proofErr w:type="gramStart"/>
      <w:r w:rsidRPr="00BF1A4E">
        <w:rPr>
          <w:rFonts w:ascii="微软雅黑" w:eastAsia="微软雅黑" w:hAnsi="微软雅黑" w:cs="宋体"/>
          <w:kern w:val="0"/>
          <w:sz w:val="24"/>
          <w:szCs w:val="24"/>
        </w:rPr>
        <w:t>多重非</w:t>
      </w:r>
      <w:proofErr w:type="gramEnd"/>
      <w:r w:rsidRPr="00BF1A4E">
        <w:rPr>
          <w:rFonts w:ascii="微软雅黑" w:eastAsia="微软雅黑" w:hAnsi="微软雅黑" w:cs="宋体"/>
          <w:kern w:val="0"/>
          <w:sz w:val="24"/>
          <w:szCs w:val="24"/>
        </w:rPr>
        <w:t>配对t检验，*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&lt;0.0001，帕博西尼组与帕博西尼+ML210组比较；添加利普罗司他</w:t>
      </w:r>
      <w:proofErr w:type="gramStart"/>
      <w:r w:rsidRPr="00BF1A4E">
        <w:rPr>
          <w:rFonts w:ascii="微软雅黑" w:eastAsia="微软雅黑" w:hAnsi="微软雅黑" w:cs="宋体"/>
          <w:kern w:val="0"/>
          <w:sz w:val="24"/>
          <w:szCs w:val="24"/>
        </w:rPr>
        <w:t>汀</w:t>
      </w:r>
      <w:proofErr w:type="gramEnd"/>
      <w:r w:rsidRPr="00BF1A4E">
        <w:rPr>
          <w:rFonts w:ascii="微软雅黑" w:eastAsia="微软雅黑" w:hAnsi="微软雅黑" w:cs="宋体"/>
          <w:kern w:val="0"/>
          <w:sz w:val="24"/>
          <w:szCs w:val="24"/>
        </w:rPr>
        <w:t>和TEMPO后无显著性差异）。F</w:t>
      </w:r>
      <w:r w:rsidRPr="00BF1A4E">
        <w:rPr>
          <w:rFonts w:ascii="微软雅黑" w:eastAsia="微软雅黑" w:hAnsi="微软雅黑" w:cs="宋体"/>
          <w:b/>
          <w:bCs/>
          <w:kern w:val="0"/>
          <w:sz w:val="24"/>
          <w:szCs w:val="24"/>
        </w:rPr>
        <w:t>图</w:t>
      </w:r>
      <w:r w:rsidRPr="00BF1A4E">
        <w:rPr>
          <w:rFonts w:ascii="微软雅黑" w:eastAsia="微软雅黑" w:hAnsi="微软雅黑" w:cs="宋体"/>
          <w:kern w:val="0"/>
          <w:sz w:val="24"/>
          <w:szCs w:val="24"/>
        </w:rPr>
        <w:t xml:space="preserve">显示了T47D细胞经载体、帕博西尼（500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）、RSL3（250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）或上述药物组合处理6天后，在有或无铁抑制剂-1（5 µM）存在的情况下，进行碘化丙</w:t>
      </w:r>
      <w:proofErr w:type="gramStart"/>
      <w:r w:rsidRPr="00BF1A4E">
        <w:rPr>
          <w:rFonts w:ascii="微软雅黑" w:eastAsia="微软雅黑" w:hAnsi="微软雅黑" w:cs="宋体"/>
          <w:kern w:val="0"/>
          <w:sz w:val="24"/>
          <w:szCs w:val="24"/>
        </w:rPr>
        <w:t>啶</w:t>
      </w:r>
      <w:proofErr w:type="gramEnd"/>
      <w:r w:rsidRPr="00BF1A4E">
        <w:rPr>
          <w:rFonts w:ascii="微软雅黑" w:eastAsia="微软雅黑" w:hAnsi="微软雅黑" w:cs="宋体"/>
          <w:kern w:val="0"/>
          <w:sz w:val="24"/>
          <w:szCs w:val="24"/>
        </w:rPr>
        <w:t>（PI）染色的结果。图表显示了细胞死亡百分比，数据为两个生物学重复的平均值±标准差（</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=2）。G</w:t>
      </w:r>
      <w:r w:rsidRPr="00BF1A4E">
        <w:rPr>
          <w:rFonts w:ascii="微软雅黑" w:eastAsia="微软雅黑" w:hAnsi="微软雅黑" w:cs="宋体"/>
          <w:b/>
          <w:bCs/>
          <w:kern w:val="0"/>
          <w:sz w:val="24"/>
          <w:szCs w:val="24"/>
        </w:rPr>
        <w:t>图</w:t>
      </w:r>
      <w:r w:rsidRPr="00BF1A4E">
        <w:rPr>
          <w:rFonts w:ascii="微软雅黑" w:eastAsia="微软雅黑" w:hAnsi="微软雅黑" w:cs="宋体"/>
          <w:kern w:val="0"/>
          <w:sz w:val="24"/>
          <w:szCs w:val="24"/>
        </w:rPr>
        <w:t>显示了Western blot检测结果，比较了ER阳性和三阴性乳腺癌（TNBC）细胞系以及帕博西尼耐药细胞系MCF-7pR（CCNE1扩增）中GPX4的表达水平。</w:t>
      </w:r>
      <w:r w:rsidRPr="00BF1A4E">
        <w:rPr>
          <w:rFonts w:ascii="微软雅黑" w:eastAsia="微软雅黑" w:hAnsi="微软雅黑" w:cs="宋体"/>
          <w:b/>
          <w:bCs/>
          <w:kern w:val="0"/>
          <w:sz w:val="24"/>
          <w:szCs w:val="24"/>
        </w:rPr>
        <w:t>H</w:t>
      </w:r>
      <w:r w:rsidRPr="00BF1A4E">
        <w:rPr>
          <w:rFonts w:ascii="微软雅黑" w:eastAsia="微软雅黑" w:hAnsi="微软雅黑" w:cs="宋体"/>
          <w:kern w:val="0"/>
          <w:sz w:val="24"/>
          <w:szCs w:val="24"/>
        </w:rPr>
        <w:t> – </w:t>
      </w:r>
      <w:r w:rsidRPr="00BF1A4E">
        <w:rPr>
          <w:rFonts w:ascii="微软雅黑" w:eastAsia="微软雅黑" w:hAnsi="微软雅黑" w:cs="宋体"/>
          <w:b/>
          <w:bCs/>
          <w:kern w:val="0"/>
          <w:sz w:val="24"/>
          <w:szCs w:val="24"/>
        </w:rPr>
        <w:t>K：</w:t>
      </w:r>
      <w:r w:rsidRPr="00BF1A4E">
        <w:rPr>
          <w:rFonts w:ascii="微软雅黑" w:eastAsia="微软雅黑" w:hAnsi="微软雅黑" w:cs="宋体"/>
          <w:kern w:val="0"/>
          <w:sz w:val="24"/>
          <w:szCs w:val="24"/>
        </w:rPr>
        <w:t>对按所示方法</w:t>
      </w:r>
      <w:r w:rsidRPr="00BF1A4E">
        <w:rPr>
          <w:rFonts w:ascii="微软雅黑" w:eastAsia="微软雅黑" w:hAnsi="微软雅黑" w:cs="宋体"/>
          <w:kern w:val="0"/>
          <w:sz w:val="24"/>
          <w:szCs w:val="24"/>
        </w:rPr>
        <w:lastRenderedPageBreak/>
        <w:t>处理 5-7 天的 MCF-7 或 T47D 细胞进行蛋白质印迹分析，检测所示总蛋白或磷酸化蛋白（P=磷酸化特异性抗体）。原始数据以</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"MOESM8" </w:instrText>
      </w:r>
      <w:r w:rsidRPr="00BF1A4E">
        <w:rPr>
          <w:rFonts w:ascii="微软雅黑" w:eastAsia="微软雅黑" w:hAnsi="微软雅黑" w:cs="宋体"/>
          <w:kern w:val="0"/>
          <w:sz w:val="24"/>
          <w:szCs w:val="24"/>
        </w:rPr>
        <w:fldChar w:fldCharType="separate"/>
      </w:r>
      <w:proofErr w:type="gramStart"/>
      <w:r w:rsidRPr="00BF1A4E">
        <w:rPr>
          <w:rFonts w:ascii="微软雅黑" w:eastAsia="微软雅黑" w:hAnsi="微软雅黑" w:cs="宋体"/>
          <w:kern w:val="0"/>
          <w:sz w:val="24"/>
          <w:szCs w:val="24"/>
          <w:u w:val="single"/>
        </w:rPr>
        <w:t>源数据</w:t>
      </w:r>
      <w:proofErr w:type="gramEnd"/>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文件的形式提供。</w:t>
      </w:r>
    </w:p>
    <w:p w14:paraId="24D6327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在因RB1缺失而无法发生细胞周期阻滞的 帕博西尼耐药细胞系T47DpR</w:t>
      </w:r>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rPr>
        <w:t> </w:t>
      </w:r>
      <w:hyperlink r:id="rId68" w:anchor="CR18" w:history="1">
        <w:r w:rsidRPr="00BF1A4E">
          <w:rPr>
            <w:rFonts w:ascii="微软雅黑" w:eastAsia="微软雅黑" w:hAnsi="微软雅黑" w:cs="宋体"/>
            <w:kern w:val="0"/>
            <w:sz w:val="24"/>
            <w:szCs w:val="24"/>
            <w:u w:val="single"/>
            <w:vertAlign w:val="superscript"/>
          </w:rPr>
          <w:t>18</w:t>
        </w:r>
      </w:hyperlink>
      <w:hyperlink r:id="rId69" w:anchor="Fig3" w:history="1">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u w:val="single"/>
          </w:rPr>
          <w:t>中，帕博西尼并未诱导脂质过氧化（图3C</w:t>
        </w:r>
      </w:hyperlink>
      <w:r w:rsidRPr="00BF1A4E">
        <w:rPr>
          <w:rFonts w:ascii="微软雅黑" w:eastAsia="微软雅黑" w:hAnsi="微软雅黑" w:cs="宋体"/>
          <w:kern w:val="0"/>
          <w:sz w:val="24"/>
          <w:szCs w:val="24"/>
        </w:rPr>
        <w:t>）。此外，在T47DpR、T47DpR-B（RB1缺失）（图 </w:t>
      </w:r>
      <w:hyperlink r:id="rId70" w:anchor="Fig3" w:history="1">
        <w:r w:rsidRPr="00BF1A4E">
          <w:rPr>
            <w:rFonts w:ascii="微软雅黑" w:eastAsia="微软雅黑" w:hAnsi="微软雅黑" w:cs="宋体"/>
            <w:kern w:val="0"/>
            <w:sz w:val="24"/>
            <w:szCs w:val="24"/>
            <w:u w:val="single"/>
          </w:rPr>
          <w:t>3D</w:t>
        </w:r>
      </w:hyperlink>
      <w:r w:rsidRPr="00BF1A4E">
        <w:rPr>
          <w:rFonts w:ascii="微软雅黑" w:eastAsia="微软雅黑" w:hAnsi="微软雅黑" w:cs="宋体"/>
          <w:kern w:val="0"/>
          <w:sz w:val="24"/>
          <w:szCs w:val="24"/>
        </w:rPr>
        <w:t>）和MCF-7pR（细胞周期蛋白E1扩增）</w:t>
      </w:r>
      <w:r w:rsidRPr="00BF1A4E">
        <w:rPr>
          <w:rFonts w:ascii="微软雅黑" w:eastAsia="微软雅黑" w:hAnsi="微软雅黑" w:cs="宋体"/>
          <w:kern w:val="0"/>
          <w:sz w:val="24"/>
          <w:szCs w:val="24"/>
          <w:u w:val="single"/>
          <w:vertAlign w:val="superscript"/>
        </w:rPr>
        <w:t>&lt;sup&gt; </w:t>
      </w:r>
      <w:hyperlink r:id="rId71" w:anchor="CR18" w:history="1">
        <w:r w:rsidRPr="00BF1A4E">
          <w:rPr>
            <w:rFonts w:ascii="微软雅黑" w:eastAsia="微软雅黑" w:hAnsi="微软雅黑" w:cs="宋体"/>
            <w:kern w:val="0"/>
            <w:sz w:val="24"/>
            <w:szCs w:val="24"/>
            <w:u w:val="single"/>
            <w:vertAlign w:val="superscript"/>
          </w:rPr>
          <w:t>18&lt;/sup&gt;</w:t>
        </w:r>
      </w:hyperlink>
      <w:r w:rsidRPr="00BF1A4E">
        <w:rPr>
          <w:rFonts w:ascii="微软雅黑" w:eastAsia="微软雅黑" w:hAnsi="微软雅黑" w:cs="宋体"/>
          <w:kern w:val="0"/>
          <w:sz w:val="24"/>
          <w:szCs w:val="24"/>
        </w:rPr>
        <w:t>细胞的克隆形成实验中，我们未观察到帕博西尼联合RSL3的疗效（补充图 </w:t>
      </w:r>
      <w:hyperlink r:id="rId72" w:anchor="MOESM1" w:history="1">
        <w:r w:rsidRPr="00BF1A4E">
          <w:rPr>
            <w:rFonts w:ascii="微软雅黑" w:eastAsia="微软雅黑" w:hAnsi="微软雅黑" w:cs="宋体"/>
            <w:kern w:val="0"/>
            <w:sz w:val="24"/>
            <w:szCs w:val="24"/>
            <w:u w:val="single"/>
          </w:rPr>
          <w:t>3D</w:t>
        </w:r>
      </w:hyperlink>
      <w:r w:rsidRPr="00BF1A4E">
        <w:rPr>
          <w:rFonts w:ascii="微软雅黑" w:eastAsia="微软雅黑" w:hAnsi="微软雅黑" w:cs="宋体"/>
          <w:kern w:val="0"/>
          <w:sz w:val="24"/>
          <w:szCs w:val="24"/>
        </w:rPr>
        <w:t>）。这些结果表明，促进易发生铁死亡的细胞阶段可能依赖于细胞周期阻滞，而非CDK4/6抑制本身。</w:t>
      </w:r>
    </w:p>
    <w:p w14:paraId="485BC2F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TEMPO、liproxstatin-1 和 ferrostatin-1 等</w:t>
      </w:r>
      <w:proofErr w:type="gramStart"/>
      <w:r w:rsidRPr="00BF1A4E">
        <w:rPr>
          <w:rFonts w:ascii="微软雅黑" w:eastAsia="微软雅黑" w:hAnsi="微软雅黑" w:cs="宋体"/>
          <w:kern w:val="0"/>
          <w:sz w:val="24"/>
          <w:szCs w:val="24"/>
        </w:rPr>
        <w:t>抗铁死亡</w:t>
      </w:r>
      <w:proofErr w:type="gramEnd"/>
      <w:r w:rsidRPr="00BF1A4E">
        <w:rPr>
          <w:rFonts w:ascii="微软雅黑" w:eastAsia="微软雅黑" w:hAnsi="微软雅黑" w:cs="宋体"/>
          <w:kern w:val="0"/>
          <w:sz w:val="24"/>
          <w:szCs w:val="24"/>
        </w:rPr>
        <w:t xml:space="preserve">化合物未能逆转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引起的克隆形成能力下降，表明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单独使用不会诱导铁死亡（图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"Fig3"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3E</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和补充图 </w:t>
      </w:r>
      <w:hyperlink r:id="rId73" w:anchor="MOESM1" w:history="1">
        <w:r w:rsidRPr="00BF1A4E">
          <w:rPr>
            <w:rFonts w:ascii="微软雅黑" w:eastAsia="微软雅黑" w:hAnsi="微软雅黑" w:cs="宋体"/>
            <w:kern w:val="0"/>
            <w:sz w:val="24"/>
            <w:szCs w:val="24"/>
            <w:u w:val="single"/>
          </w:rPr>
          <w:t>3E</w:t>
        </w:r>
      </w:hyperlink>
      <w:r w:rsidRPr="00BF1A4E">
        <w:rPr>
          <w:rFonts w:ascii="微软雅黑" w:eastAsia="微软雅黑" w:hAnsi="微软雅黑" w:cs="宋体"/>
          <w:kern w:val="0"/>
          <w:sz w:val="24"/>
          <w:szCs w:val="24"/>
        </w:rPr>
        <w:t>及图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"Fig3"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3F</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w:t>
      </w:r>
      <w:proofErr w:type="gramStart"/>
      <w:r w:rsidRPr="00BF1A4E">
        <w:rPr>
          <w:rFonts w:ascii="微软雅黑" w:eastAsia="微软雅黑" w:hAnsi="微软雅黑" w:cs="宋体"/>
          <w:kern w:val="0"/>
          <w:sz w:val="24"/>
          <w:szCs w:val="24"/>
        </w:rPr>
        <w:t>抗铁死亡</w:t>
      </w:r>
      <w:proofErr w:type="gramEnd"/>
      <w:r w:rsidRPr="00BF1A4E">
        <w:rPr>
          <w:rFonts w:ascii="微软雅黑" w:eastAsia="微软雅黑" w:hAnsi="微软雅黑" w:cs="宋体"/>
          <w:kern w:val="0"/>
          <w:sz w:val="24"/>
          <w:szCs w:val="24"/>
        </w:rPr>
        <w:t xml:space="preserve">化合物能够逆转抑制或耗竭 GPX4 的作用，并将联合用药的效果恢复到与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单药治疗相似的水平。同样，ferrostatin-1 能够阻止 RSL3 单独或与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联合诱导的细胞死亡（图 </w:t>
      </w:r>
      <w:hyperlink r:id="rId74" w:anchor="Fig3" w:history="1">
        <w:r w:rsidRPr="00BF1A4E">
          <w:rPr>
            <w:rFonts w:ascii="微软雅黑" w:eastAsia="微软雅黑" w:hAnsi="微软雅黑" w:cs="宋体"/>
            <w:kern w:val="0"/>
            <w:sz w:val="24"/>
            <w:szCs w:val="24"/>
            <w:u w:val="single"/>
          </w:rPr>
          <w:t>3F</w:t>
        </w:r>
      </w:hyperlink>
      <w:r w:rsidRPr="00BF1A4E">
        <w:rPr>
          <w:rFonts w:ascii="微软雅黑" w:eastAsia="微软雅黑" w:hAnsi="微软雅黑" w:cs="宋体"/>
          <w:kern w:val="0"/>
          <w:sz w:val="24"/>
          <w:szCs w:val="24"/>
        </w:rPr>
        <w:t xml:space="preserve">）。这些实验证实，GPX4 抑制剂与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联合使用诱导的细胞死亡机制是铁死亡，其导致的细胞死亡程度高于单药治疗。总之，我们的结果表明，帕博西尼可诱导脂质过氧化，使细胞对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敏感，而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只有在 GPX4 发挥的保护作用受到抑制时才会发生。</w:t>
      </w:r>
    </w:p>
    <w:p w14:paraId="0354857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蛋白质组学分析显示，帕博西尼治疗导致GPX4水平降低，我们进一步探讨了这一现象（补充图 </w:t>
      </w:r>
      <w:hyperlink r:id="rId75" w:anchor="MOESM1" w:history="1">
        <w:r w:rsidRPr="00BF1A4E">
          <w:rPr>
            <w:rFonts w:ascii="微软雅黑" w:eastAsia="微软雅黑" w:hAnsi="微软雅黑" w:cs="宋体"/>
            <w:kern w:val="0"/>
            <w:sz w:val="24"/>
            <w:szCs w:val="24"/>
            <w:u w:val="single"/>
          </w:rPr>
          <w:t>4A</w:t>
        </w:r>
      </w:hyperlink>
      <w:r w:rsidRPr="00BF1A4E">
        <w:rPr>
          <w:rFonts w:ascii="微软雅黑" w:eastAsia="微软雅黑" w:hAnsi="微软雅黑" w:cs="宋体"/>
          <w:kern w:val="0"/>
          <w:sz w:val="24"/>
          <w:szCs w:val="24"/>
        </w:rPr>
        <w:t>）。ER+细胞的GPX4水平显著高于对RSL3高度敏感的TNBC细胞系Sum149、Sum159和BT20（图 </w:t>
      </w:r>
      <w:hyperlink r:id="rId76" w:anchor="Fig3" w:history="1">
        <w:r w:rsidRPr="00BF1A4E">
          <w:rPr>
            <w:rFonts w:ascii="微软雅黑" w:eastAsia="微软雅黑" w:hAnsi="微软雅黑" w:cs="宋体"/>
            <w:kern w:val="0"/>
            <w:sz w:val="24"/>
            <w:szCs w:val="24"/>
            <w:u w:val="single"/>
          </w:rPr>
          <w:t>3G</w:t>
        </w:r>
      </w:hyperlink>
      <w:r w:rsidRPr="00BF1A4E">
        <w:rPr>
          <w:rFonts w:ascii="微软雅黑" w:eastAsia="微软雅黑" w:hAnsi="微软雅黑" w:cs="宋体"/>
          <w:kern w:val="0"/>
          <w:sz w:val="24"/>
          <w:szCs w:val="24"/>
        </w:rPr>
        <w:t>），这可能与未分化的ER+细胞系</w:t>
      </w:r>
      <w:r w:rsidRPr="00BF1A4E">
        <w:rPr>
          <w:rFonts w:ascii="微软雅黑" w:eastAsia="微软雅黑" w:hAnsi="微软雅黑" w:cs="宋体"/>
          <w:kern w:val="0"/>
          <w:sz w:val="24"/>
          <w:szCs w:val="24"/>
        </w:rPr>
        <w:lastRenderedPageBreak/>
        <w:t>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诱导的普遍抵抗性相一致</w:t>
      </w:r>
      <w:r w:rsidRPr="00BF1A4E">
        <w:rPr>
          <w:rFonts w:ascii="微软雅黑" w:eastAsia="微软雅黑" w:hAnsi="微软雅黑" w:cs="宋体"/>
          <w:kern w:val="0"/>
          <w:sz w:val="24"/>
          <w:szCs w:val="24"/>
          <w:u w:val="single"/>
          <w:vertAlign w:val="superscript"/>
        </w:rPr>
        <w:t>&lt;sup&gt; </w:t>
      </w:r>
      <w:hyperlink r:id="rId77" w:anchor="CR14" w:history="1">
        <w:r w:rsidRPr="00BF1A4E">
          <w:rPr>
            <w:rFonts w:ascii="微软雅黑" w:eastAsia="微软雅黑" w:hAnsi="微软雅黑" w:cs="宋体"/>
            <w:kern w:val="0"/>
            <w:sz w:val="24"/>
            <w:szCs w:val="24"/>
            <w:u w:val="single"/>
            <w:vertAlign w:val="superscript"/>
          </w:rPr>
          <w:t>14</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。相应地，与T47D细胞相比，对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诱导剂RSL3具有更强抵抗性的ER+ MCF-7细胞的GPX4水平更高（图 </w:t>
      </w:r>
      <w:hyperlink r:id="rId78" w:anchor="Fig3" w:history="1">
        <w:r w:rsidRPr="00BF1A4E">
          <w:rPr>
            <w:rFonts w:ascii="微软雅黑" w:eastAsia="微软雅黑" w:hAnsi="微软雅黑" w:cs="宋体"/>
            <w:kern w:val="0"/>
            <w:sz w:val="24"/>
            <w:szCs w:val="24"/>
            <w:u w:val="single"/>
          </w:rPr>
          <w:t>3G、H</w:t>
        </w:r>
      </w:hyperlink>
      <w:r w:rsidRPr="00BF1A4E">
        <w:rPr>
          <w:rFonts w:ascii="微软雅黑" w:eastAsia="微软雅黑" w:hAnsi="微软雅黑" w:cs="宋体"/>
          <w:kern w:val="0"/>
          <w:sz w:val="24"/>
          <w:szCs w:val="24"/>
        </w:rPr>
        <w:t>）。帕博西尼抑制CDK4/6可显著降低GPX4和铁蛋白水平（图 </w:t>
      </w:r>
      <w:hyperlink r:id="rId79" w:anchor="Fig3" w:history="1">
        <w:r w:rsidRPr="00BF1A4E">
          <w:rPr>
            <w:rFonts w:ascii="微软雅黑" w:eastAsia="微软雅黑" w:hAnsi="微软雅黑" w:cs="宋体"/>
            <w:kern w:val="0"/>
            <w:sz w:val="24"/>
            <w:szCs w:val="24"/>
            <w:u w:val="single"/>
          </w:rPr>
          <w:t>3H-K</w:t>
        </w:r>
      </w:hyperlink>
      <w:r w:rsidRPr="00BF1A4E">
        <w:rPr>
          <w:rFonts w:ascii="微软雅黑" w:eastAsia="微软雅黑" w:hAnsi="微软雅黑" w:cs="宋体"/>
          <w:kern w:val="0"/>
          <w:sz w:val="24"/>
          <w:szCs w:val="24"/>
        </w:rPr>
        <w:t>）。研究表明，GPX4 的耗竭会显著增强细胞对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诱导的敏感性</w:t>
      </w:r>
      <w:r w:rsidRPr="00BF1A4E">
        <w:rPr>
          <w:rFonts w:ascii="微软雅黑" w:eastAsia="微软雅黑" w:hAnsi="微软雅黑" w:cs="宋体"/>
          <w:kern w:val="0"/>
          <w:sz w:val="24"/>
          <w:szCs w:val="24"/>
          <w:u w:val="single"/>
          <w:vertAlign w:val="superscript"/>
        </w:rPr>
        <w:t>&lt;sup&gt; </w:t>
      </w:r>
      <w:hyperlink r:id="rId80" w:anchor="CR11" w:history="1">
        <w:r w:rsidRPr="00BF1A4E">
          <w:rPr>
            <w:rFonts w:ascii="微软雅黑" w:eastAsia="微软雅黑" w:hAnsi="微软雅黑" w:cs="宋体"/>
            <w:kern w:val="0"/>
            <w:sz w:val="24"/>
            <w:szCs w:val="24"/>
            <w:u w:val="single"/>
            <w:vertAlign w:val="superscript"/>
          </w:rPr>
          <w:t>11&lt;/sup&gt;</w:t>
        </w:r>
      </w:hyperlink>
      <w:r w:rsidRPr="00BF1A4E">
        <w:rPr>
          <w:rFonts w:ascii="微软雅黑" w:eastAsia="微软雅黑" w:hAnsi="微软雅黑" w:cs="宋体"/>
          <w:kern w:val="0"/>
          <w:sz w:val="24"/>
          <w:szCs w:val="24"/>
        </w:rPr>
        <w:t>，而铁蛋白的降解可能增加游离 Fe&lt;sup&gt;2+&lt;/sup&gt; 的产生，从而导致细胞易</w:t>
      </w:r>
      <w:proofErr w:type="gramStart"/>
      <w:r w:rsidRPr="00BF1A4E">
        <w:rPr>
          <w:rFonts w:ascii="微软雅黑" w:eastAsia="微软雅黑" w:hAnsi="微软雅黑" w:cs="宋体"/>
          <w:kern w:val="0"/>
          <w:sz w:val="24"/>
          <w:szCs w:val="24"/>
        </w:rPr>
        <w:t>感铁死亡</w:t>
      </w:r>
      <w:proofErr w:type="gramEnd"/>
      <w:r w:rsidRPr="00BF1A4E">
        <w:rPr>
          <w:rFonts w:ascii="微软雅黑" w:eastAsia="微软雅黑" w:hAnsi="微软雅黑" w:cs="宋体"/>
          <w:kern w:val="0"/>
          <w:sz w:val="24"/>
          <w:szCs w:val="24"/>
          <w:vertAlign w:val="superscript"/>
        </w:rPr>
        <w:t>&lt;sup&gt; </w:t>
      </w:r>
      <w:hyperlink r:id="rId81" w:anchor="CR33" w:history="1">
        <w:r w:rsidRPr="00BF1A4E">
          <w:rPr>
            <w:rFonts w:ascii="微软雅黑" w:eastAsia="微软雅黑" w:hAnsi="微软雅黑" w:cs="宋体"/>
            <w:kern w:val="0"/>
            <w:sz w:val="24"/>
            <w:szCs w:val="24"/>
            <w:u w:val="single"/>
            <w:vertAlign w:val="superscript"/>
          </w:rPr>
          <w:t>33,34 </w:t>
        </w:r>
      </w:hyperlink>
      <w:hyperlink r:id="rId82" w:anchor="CR34"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。帕博西尼与 RSL3 的联合应用进一步抑制了 GPX4 的表达（图 </w:t>
      </w:r>
      <w:hyperlink r:id="rId83" w:anchor="Fig3" w:history="1">
        <w:r w:rsidRPr="00BF1A4E">
          <w:rPr>
            <w:rFonts w:ascii="微软雅黑" w:eastAsia="微软雅黑" w:hAnsi="微软雅黑" w:cs="宋体"/>
            <w:kern w:val="0"/>
            <w:sz w:val="24"/>
            <w:szCs w:val="24"/>
            <w:u w:val="single"/>
          </w:rPr>
          <w:t>3I</w:t>
        </w:r>
      </w:hyperlink>
      <w:r w:rsidRPr="00BF1A4E">
        <w:rPr>
          <w:rFonts w:ascii="微软雅黑" w:eastAsia="微软雅黑" w:hAnsi="微软雅黑" w:cs="宋体"/>
          <w:kern w:val="0"/>
          <w:sz w:val="24"/>
          <w:szCs w:val="24"/>
        </w:rPr>
        <w:t>和补充图 </w:t>
      </w:r>
      <w:hyperlink r:id="rId84" w:anchor="MOESM1" w:history="1">
        <w:r w:rsidRPr="00BF1A4E">
          <w:rPr>
            <w:rFonts w:ascii="微软雅黑" w:eastAsia="微软雅黑" w:hAnsi="微软雅黑" w:cs="宋体"/>
            <w:kern w:val="0"/>
            <w:sz w:val="24"/>
            <w:szCs w:val="24"/>
            <w:u w:val="single"/>
          </w:rPr>
          <w:t>4B</w:t>
        </w:r>
      </w:hyperlink>
      <w:r w:rsidRPr="00BF1A4E">
        <w:rPr>
          <w:rFonts w:ascii="微软雅黑" w:eastAsia="微软雅黑" w:hAnsi="微软雅黑" w:cs="宋体"/>
          <w:kern w:val="0"/>
          <w:sz w:val="24"/>
          <w:szCs w:val="24"/>
        </w:rPr>
        <w:t>）。帕博西尼并未降低 MCF-7pR 和 T47DpR 细胞中的 GPX4 水平（图 </w:t>
      </w:r>
      <w:hyperlink r:id="rId85" w:anchor="Fig3" w:history="1">
        <w:r w:rsidRPr="00BF1A4E">
          <w:rPr>
            <w:rFonts w:ascii="微软雅黑" w:eastAsia="微软雅黑" w:hAnsi="微软雅黑" w:cs="宋体"/>
            <w:kern w:val="0"/>
            <w:sz w:val="24"/>
            <w:szCs w:val="24"/>
            <w:u w:val="single"/>
          </w:rPr>
          <w:t>3J</w:t>
        </w:r>
      </w:hyperlink>
      <w:r w:rsidRPr="00BF1A4E">
        <w:rPr>
          <w:rFonts w:ascii="微软雅黑" w:eastAsia="微软雅黑" w:hAnsi="微软雅黑" w:cs="宋体"/>
          <w:kern w:val="0"/>
          <w:sz w:val="24"/>
          <w:szCs w:val="24"/>
        </w:rPr>
        <w:t>和补充图 </w:t>
      </w:r>
      <w:hyperlink r:id="rId86" w:anchor="MOESM1" w:history="1">
        <w:r w:rsidRPr="00BF1A4E">
          <w:rPr>
            <w:rFonts w:ascii="微软雅黑" w:eastAsia="微软雅黑" w:hAnsi="微软雅黑" w:cs="宋体"/>
            <w:kern w:val="0"/>
            <w:sz w:val="24"/>
            <w:szCs w:val="24"/>
            <w:u w:val="single"/>
          </w:rPr>
          <w:t>4C</w:t>
        </w:r>
      </w:hyperlink>
      <w:r w:rsidRPr="00BF1A4E">
        <w:rPr>
          <w:rFonts w:ascii="微软雅黑" w:eastAsia="微软雅黑" w:hAnsi="微软雅黑" w:cs="宋体"/>
          <w:kern w:val="0"/>
          <w:sz w:val="24"/>
          <w:szCs w:val="24"/>
        </w:rPr>
        <w:t>），而抗氧化剂如铁抑制剂-1、脂蛋白抑制剂-1 和 TEMPO 也未能逆转帕博西尼诱导的 GPX4 水平降低（图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"Fig3"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3K</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），这表明细胞周期阻滞是导致 GPX4 水平降低的主要机制。值得注意的是，帕博西尼治疗并未影响</w:t>
      </w:r>
      <w:r w:rsidRPr="00BF1A4E">
        <w:rPr>
          <w:rFonts w:ascii="微软雅黑" w:eastAsia="微软雅黑" w:hAnsi="微软雅黑" w:cs="宋体"/>
          <w:i/>
          <w:iCs/>
          <w:kern w:val="0"/>
          <w:sz w:val="24"/>
          <w:szCs w:val="24"/>
        </w:rPr>
        <w:t>GPX4的</w:t>
      </w:r>
      <w:r w:rsidRPr="00BF1A4E">
        <w:rPr>
          <w:rFonts w:ascii="微软雅黑" w:eastAsia="微软雅黑" w:hAnsi="微软雅黑" w:cs="宋体"/>
          <w:kern w:val="0"/>
          <w:sz w:val="24"/>
          <w:szCs w:val="24"/>
        </w:rPr>
        <w:t>转录，但在环己酰亚胺追踪实验中加速了GPX4的降解（补充图 </w:t>
      </w:r>
      <w:hyperlink r:id="rId87" w:anchor="MOESM1" w:history="1">
        <w:r w:rsidRPr="00BF1A4E">
          <w:rPr>
            <w:rFonts w:ascii="微软雅黑" w:eastAsia="微软雅黑" w:hAnsi="微软雅黑" w:cs="宋体"/>
            <w:kern w:val="0"/>
            <w:sz w:val="24"/>
            <w:szCs w:val="24"/>
            <w:u w:val="single"/>
          </w:rPr>
          <w:t>4D-F</w:t>
        </w:r>
      </w:hyperlink>
      <w:r w:rsidRPr="00BF1A4E">
        <w:rPr>
          <w:rFonts w:ascii="微软雅黑" w:eastAsia="微软雅黑" w:hAnsi="微软雅黑" w:cs="宋体"/>
          <w:kern w:val="0"/>
          <w:sz w:val="24"/>
          <w:szCs w:val="24"/>
        </w:rPr>
        <w:t>）。这表明观察到的GPX4蛋白水平降低很可能是由于翻译后修饰机制所致。</w:t>
      </w:r>
    </w:p>
    <w:p w14:paraId="5C90A4A8"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二氢乳清酸脱氢酶 (DHODH) 可独立于 GPX4 抑制线粒体</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rPr>
        <w:t> </w:t>
      </w:r>
      <w:hyperlink r:id="rId88" w:anchor="CR35" w:history="1">
        <w:r w:rsidRPr="00BF1A4E">
          <w:rPr>
            <w:rFonts w:ascii="微软雅黑" w:eastAsia="微软雅黑" w:hAnsi="微软雅黑" w:cs="宋体"/>
            <w:kern w:val="0"/>
            <w:sz w:val="24"/>
            <w:szCs w:val="24"/>
            <w:u w:val="single"/>
            <w:vertAlign w:val="superscript"/>
          </w:rPr>
          <w:t>35&lt;/sup&gt;</w:t>
        </w:r>
      </w:hyperlink>
      <w:r w:rsidRPr="00BF1A4E">
        <w:rPr>
          <w:rFonts w:ascii="微软雅黑" w:eastAsia="微软雅黑" w:hAnsi="微软雅黑" w:cs="宋体"/>
          <w:kern w:val="0"/>
          <w:sz w:val="24"/>
          <w:szCs w:val="24"/>
        </w:rPr>
        <w:t xml:space="preserve">。然而，用 DHODH 激活剂 DHO 处理 MCF-7 和 T47D 细胞并不能挽救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、RSL3 或二者联合用药诱导的细胞死亡。因此，在 CDK4/6 抑制的情况下观察到的对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的易感性似乎与 DHODH 激活无关（补充图 </w:t>
      </w:r>
      <w:hyperlink r:id="rId89" w:anchor="MOESM1" w:history="1">
        <w:r w:rsidRPr="00BF1A4E">
          <w:rPr>
            <w:rFonts w:ascii="微软雅黑" w:eastAsia="微软雅黑" w:hAnsi="微软雅黑" w:cs="宋体"/>
            <w:kern w:val="0"/>
            <w:sz w:val="24"/>
            <w:szCs w:val="24"/>
            <w:u w:val="single"/>
          </w:rPr>
          <w:t>4G</w:t>
        </w:r>
      </w:hyperlink>
      <w:r w:rsidRPr="00BF1A4E">
        <w:rPr>
          <w:rFonts w:ascii="微软雅黑" w:eastAsia="微软雅黑" w:hAnsi="微软雅黑" w:cs="宋体"/>
          <w:kern w:val="0"/>
          <w:sz w:val="24"/>
          <w:szCs w:val="24"/>
        </w:rPr>
        <w:t>）。</w:t>
      </w:r>
    </w:p>
    <w:p w14:paraId="3409A1F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 xml:space="preserve">全基因组 CRISPR 筛选显示，GPX4 缺失会增加对内质网拮抗剂和降解剂 </w:t>
      </w:r>
      <w:proofErr w:type="spellStart"/>
      <w:r w:rsidRPr="00BF1A4E">
        <w:rPr>
          <w:rFonts w:ascii="微软雅黑" w:eastAsia="微软雅黑" w:hAnsi="微软雅黑" w:cs="宋体"/>
          <w:kern w:val="0"/>
          <w:sz w:val="32"/>
          <w:szCs w:val="32"/>
        </w:rPr>
        <w:t>giredestrant</w:t>
      </w:r>
      <w:proofErr w:type="spellEnd"/>
      <w:r w:rsidRPr="00BF1A4E">
        <w:rPr>
          <w:rFonts w:ascii="微软雅黑" w:eastAsia="微软雅黑" w:hAnsi="微软雅黑" w:cs="宋体"/>
          <w:kern w:val="0"/>
          <w:sz w:val="32"/>
          <w:szCs w:val="32"/>
        </w:rPr>
        <w:t xml:space="preserve"> 的敏感性。</w:t>
      </w:r>
    </w:p>
    <w:p w14:paraId="7098596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lastRenderedPageBreak/>
        <w:t>临床上，帕博西尼和其他 CDK4/6 抑制剂通常与内分泌疗法联合使用，作为标准治疗方案。因此，我们扩大了 CRISPR 筛选范围，以鉴定吉瑞地</w:t>
      </w:r>
      <w:proofErr w:type="gramStart"/>
      <w:r w:rsidRPr="00BF1A4E">
        <w:rPr>
          <w:rFonts w:ascii="微软雅黑" w:eastAsia="微软雅黑" w:hAnsi="微软雅黑" w:cs="宋体"/>
          <w:kern w:val="0"/>
          <w:sz w:val="24"/>
          <w:szCs w:val="24"/>
        </w:rPr>
        <w:t>司群反应</w:t>
      </w:r>
      <w:proofErr w:type="gramEnd"/>
      <w:r w:rsidRPr="00BF1A4E">
        <w:rPr>
          <w:rFonts w:ascii="微软雅黑" w:eastAsia="微软雅黑" w:hAnsi="微软雅黑" w:cs="宋体"/>
          <w:kern w:val="0"/>
          <w:sz w:val="24"/>
          <w:szCs w:val="24"/>
        </w:rPr>
        <w:t>的决定因素（补充图 </w:t>
      </w:r>
      <w:hyperlink r:id="rId90" w:anchor="MOESM1" w:history="1">
        <w:r w:rsidRPr="00BF1A4E">
          <w:rPr>
            <w:rFonts w:ascii="微软雅黑" w:eastAsia="微软雅黑" w:hAnsi="微软雅黑" w:cs="宋体"/>
            <w:kern w:val="0"/>
            <w:sz w:val="24"/>
            <w:szCs w:val="24"/>
            <w:u w:val="single"/>
          </w:rPr>
          <w:t>5A</w:t>
        </w:r>
      </w:hyperlink>
      <w:r w:rsidRPr="00BF1A4E">
        <w:rPr>
          <w:rFonts w:ascii="微软雅黑" w:eastAsia="微软雅黑" w:hAnsi="微软雅黑" w:cs="宋体"/>
          <w:kern w:val="0"/>
          <w:sz w:val="24"/>
          <w:szCs w:val="24"/>
        </w:rPr>
        <w:t>）。我们观察到，在帕博西尼和</w:t>
      </w:r>
      <w:proofErr w:type="gramStart"/>
      <w:r w:rsidRPr="00BF1A4E">
        <w:rPr>
          <w:rFonts w:ascii="微软雅黑" w:eastAsia="微软雅黑" w:hAnsi="微软雅黑" w:cs="宋体"/>
          <w:kern w:val="0"/>
          <w:sz w:val="24"/>
          <w:szCs w:val="24"/>
        </w:rPr>
        <w:t>吉瑞地司群的</w:t>
      </w:r>
      <w:proofErr w:type="gramEnd"/>
      <w:r w:rsidRPr="00BF1A4E">
        <w:rPr>
          <w:rFonts w:ascii="微软雅黑" w:eastAsia="微软雅黑" w:hAnsi="微软雅黑" w:cs="宋体"/>
          <w:kern w:val="0"/>
          <w:sz w:val="24"/>
          <w:szCs w:val="24"/>
        </w:rPr>
        <w:t>筛选中，耐药性和敏感性结果均表现出显著的相似性，这与 ER 和 CDK4/6 信号通路在细胞周期调控中的汇聚作用相一致。特别是，我们发现</w:t>
      </w:r>
      <w:r w:rsidRPr="00BF1A4E">
        <w:rPr>
          <w:rFonts w:ascii="微软雅黑" w:eastAsia="微软雅黑" w:hAnsi="微软雅黑" w:cs="宋体"/>
          <w:i/>
          <w:iCs/>
          <w:kern w:val="0"/>
          <w:sz w:val="24"/>
          <w:szCs w:val="24"/>
        </w:rPr>
        <w:t>PTEN</w:t>
      </w:r>
      <w:r w:rsidRPr="00BF1A4E">
        <w:rPr>
          <w:rFonts w:ascii="微软雅黑" w:eastAsia="微软雅黑" w:hAnsi="微软雅黑" w:cs="宋体"/>
          <w:kern w:val="0"/>
          <w:sz w:val="24"/>
          <w:szCs w:val="24"/>
        </w:rPr>
        <w:t>、</w:t>
      </w:r>
      <w:r w:rsidRPr="00BF1A4E">
        <w:rPr>
          <w:rFonts w:ascii="微软雅黑" w:eastAsia="微软雅黑" w:hAnsi="微软雅黑" w:cs="宋体"/>
          <w:i/>
          <w:iCs/>
          <w:kern w:val="0"/>
          <w:sz w:val="24"/>
          <w:szCs w:val="24"/>
        </w:rPr>
        <w:t>CDKN1A</w:t>
      </w:r>
      <w:r w:rsidRPr="00BF1A4E">
        <w:rPr>
          <w:rFonts w:ascii="微软雅黑" w:eastAsia="微软雅黑" w:hAnsi="微软雅黑" w:cs="宋体"/>
          <w:kern w:val="0"/>
          <w:sz w:val="24"/>
          <w:szCs w:val="24"/>
        </w:rPr>
        <w:t>、</w:t>
      </w:r>
      <w:r w:rsidRPr="00BF1A4E">
        <w:rPr>
          <w:rFonts w:ascii="微软雅黑" w:eastAsia="微软雅黑" w:hAnsi="微软雅黑" w:cs="宋体"/>
          <w:i/>
          <w:iCs/>
          <w:kern w:val="0"/>
          <w:sz w:val="24"/>
          <w:szCs w:val="24"/>
        </w:rPr>
        <w:t>STK11</w:t>
      </w:r>
      <w:r w:rsidRPr="00BF1A4E">
        <w:rPr>
          <w:rFonts w:ascii="微软雅黑" w:eastAsia="微软雅黑" w:hAnsi="微软雅黑" w:cs="宋体"/>
          <w:kern w:val="0"/>
          <w:sz w:val="24"/>
          <w:szCs w:val="24"/>
        </w:rPr>
        <w:t>、</w:t>
      </w:r>
      <w:r w:rsidRPr="00BF1A4E">
        <w:rPr>
          <w:rFonts w:ascii="微软雅黑" w:eastAsia="微软雅黑" w:hAnsi="微软雅黑" w:cs="宋体"/>
          <w:i/>
          <w:iCs/>
          <w:kern w:val="0"/>
          <w:sz w:val="24"/>
          <w:szCs w:val="24"/>
        </w:rPr>
        <w:t>RB1</w:t>
      </w:r>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KEAP1</w:t>
      </w:r>
      <w:r w:rsidRPr="00BF1A4E">
        <w:rPr>
          <w:rFonts w:ascii="微软雅黑" w:eastAsia="微软雅黑" w:hAnsi="微软雅黑" w:cs="宋体"/>
          <w:kern w:val="0"/>
          <w:sz w:val="24"/>
          <w:szCs w:val="24"/>
        </w:rPr>
        <w:t>的功能缺失是</w:t>
      </w:r>
      <w:proofErr w:type="gramStart"/>
      <w:r w:rsidRPr="00BF1A4E">
        <w:rPr>
          <w:rFonts w:ascii="微软雅黑" w:eastAsia="微软雅黑" w:hAnsi="微软雅黑" w:cs="宋体"/>
          <w:kern w:val="0"/>
          <w:sz w:val="24"/>
          <w:szCs w:val="24"/>
        </w:rPr>
        <w:t>吉瑞地司群耐药性</w:t>
      </w:r>
      <w:proofErr w:type="gramEnd"/>
      <w:r w:rsidRPr="00BF1A4E">
        <w:rPr>
          <w:rFonts w:ascii="微软雅黑" w:eastAsia="微软雅黑" w:hAnsi="微软雅黑" w:cs="宋体"/>
          <w:kern w:val="0"/>
          <w:sz w:val="24"/>
          <w:szCs w:val="24"/>
        </w:rPr>
        <w:t>的</w:t>
      </w:r>
      <w:proofErr w:type="gramStart"/>
      <w:r w:rsidRPr="00BF1A4E">
        <w:rPr>
          <w:rFonts w:ascii="微软雅黑" w:eastAsia="微软雅黑" w:hAnsi="微软雅黑" w:cs="宋体"/>
          <w:kern w:val="0"/>
          <w:sz w:val="24"/>
          <w:szCs w:val="24"/>
        </w:rPr>
        <w:t>介</w:t>
      </w:r>
      <w:proofErr w:type="gramEnd"/>
      <w:r w:rsidRPr="00BF1A4E">
        <w:rPr>
          <w:rFonts w:ascii="微软雅黑" w:eastAsia="微软雅黑" w:hAnsi="微软雅黑" w:cs="宋体"/>
          <w:kern w:val="0"/>
          <w:sz w:val="24"/>
          <w:szCs w:val="24"/>
        </w:rPr>
        <w:t>导因素（图 </w:t>
      </w:r>
      <w:hyperlink r:id="rId91" w:anchor="Fig4" w:history="1">
        <w:r w:rsidRPr="00BF1A4E">
          <w:rPr>
            <w:rFonts w:ascii="微软雅黑" w:eastAsia="微软雅黑" w:hAnsi="微软雅黑" w:cs="宋体"/>
            <w:kern w:val="0"/>
            <w:sz w:val="24"/>
            <w:szCs w:val="24"/>
            <w:u w:val="single"/>
          </w:rPr>
          <w:t>4A</w:t>
        </w:r>
      </w:hyperlink>
      <w:r w:rsidRPr="00BF1A4E">
        <w:rPr>
          <w:rFonts w:ascii="微软雅黑" w:eastAsia="微软雅黑" w:hAnsi="微软雅黑" w:cs="宋体"/>
          <w:kern w:val="0"/>
          <w:sz w:val="24"/>
          <w:szCs w:val="24"/>
        </w:rPr>
        <w:t>，补充图 </w:t>
      </w:r>
      <w:hyperlink r:id="rId92" w:anchor="MOESM1" w:history="1">
        <w:r w:rsidRPr="00BF1A4E">
          <w:rPr>
            <w:rFonts w:ascii="微软雅黑" w:eastAsia="微软雅黑" w:hAnsi="微软雅黑" w:cs="宋体"/>
            <w:kern w:val="0"/>
            <w:sz w:val="24"/>
            <w:szCs w:val="24"/>
            <w:u w:val="single"/>
          </w:rPr>
          <w:t>5B</w:t>
        </w:r>
      </w:hyperlink>
      <w:r w:rsidRPr="00BF1A4E">
        <w:rPr>
          <w:rFonts w:ascii="微软雅黑" w:eastAsia="微软雅黑" w:hAnsi="微软雅黑" w:cs="宋体"/>
          <w:kern w:val="0"/>
          <w:sz w:val="24"/>
          <w:szCs w:val="24"/>
        </w:rPr>
        <w:t>）。这些耐药相关基因与另一项旨在识别雌激素非依赖性驱动因素的基因筛选中鉴定出的基因存在重叠——其中</w:t>
      </w:r>
      <w:r w:rsidRPr="00BF1A4E">
        <w:rPr>
          <w:rFonts w:ascii="微软雅黑" w:eastAsia="微软雅黑" w:hAnsi="微软雅黑" w:cs="宋体"/>
          <w:i/>
          <w:iCs/>
          <w:kern w:val="0"/>
          <w:sz w:val="24"/>
          <w:szCs w:val="24"/>
        </w:rPr>
        <w:t>CSK</w:t>
      </w:r>
      <w:r w:rsidRPr="00BF1A4E">
        <w:rPr>
          <w:rFonts w:ascii="微软雅黑" w:eastAsia="微软雅黑" w:hAnsi="微软雅黑" w:cs="宋体"/>
          <w:kern w:val="0"/>
          <w:sz w:val="24"/>
          <w:szCs w:val="24"/>
        </w:rPr>
        <w:t>也是共同的首要靶点——这表明所鉴定的基因与一般内分泌耐药性（或许还有G1期阻滞）相关，而</w:t>
      </w:r>
      <w:proofErr w:type="gramStart"/>
      <w:r w:rsidRPr="00BF1A4E">
        <w:rPr>
          <w:rFonts w:ascii="微软雅黑" w:eastAsia="微软雅黑" w:hAnsi="微软雅黑" w:cs="宋体"/>
          <w:kern w:val="0"/>
          <w:sz w:val="24"/>
          <w:szCs w:val="24"/>
        </w:rPr>
        <w:t>非代表</w:t>
      </w:r>
      <w:proofErr w:type="gramEnd"/>
      <w:r w:rsidRPr="00BF1A4E">
        <w:rPr>
          <w:rFonts w:ascii="微软雅黑" w:eastAsia="微软雅黑" w:hAnsi="微软雅黑" w:cs="宋体"/>
          <w:kern w:val="0"/>
          <w:sz w:val="24"/>
          <w:szCs w:val="24"/>
        </w:rPr>
        <w:t>吉瑞司他特异的耐药程序</w:t>
      </w:r>
      <w:r w:rsidRPr="00BF1A4E">
        <w:rPr>
          <w:rFonts w:ascii="微软雅黑" w:eastAsia="微软雅黑" w:hAnsi="微软雅黑" w:cs="宋体"/>
          <w:kern w:val="0"/>
          <w:sz w:val="24"/>
          <w:szCs w:val="24"/>
          <w:u w:val="single"/>
          <w:vertAlign w:val="superscript"/>
        </w:rPr>
        <w:t>&lt;sup&gt; </w:t>
      </w:r>
      <w:hyperlink r:id="rId93" w:anchor="CR36" w:history="1">
        <w:r w:rsidRPr="00BF1A4E">
          <w:rPr>
            <w:rFonts w:ascii="微软雅黑" w:eastAsia="微软雅黑" w:hAnsi="微软雅黑" w:cs="宋体"/>
            <w:kern w:val="0"/>
            <w:sz w:val="24"/>
            <w:szCs w:val="24"/>
            <w:u w:val="single"/>
            <w:vertAlign w:val="superscript"/>
          </w:rPr>
          <w:t>36&lt;/sup&gt;</w:t>
        </w:r>
      </w:hyperlink>
      <w:r w:rsidRPr="00BF1A4E">
        <w:rPr>
          <w:rFonts w:ascii="微软雅黑" w:eastAsia="微软雅黑" w:hAnsi="微软雅黑" w:cs="宋体"/>
          <w:i/>
          <w:iCs/>
          <w:kern w:val="0"/>
          <w:sz w:val="24"/>
          <w:szCs w:val="24"/>
        </w:rPr>
        <w:t> 。值得注意的是， GPX4</w:t>
      </w:r>
      <w:r w:rsidRPr="00BF1A4E">
        <w:rPr>
          <w:rFonts w:ascii="微软雅黑" w:eastAsia="微软雅黑" w:hAnsi="微软雅黑" w:cs="宋体"/>
          <w:kern w:val="0"/>
          <w:sz w:val="24"/>
          <w:szCs w:val="24"/>
        </w:rPr>
        <w:t>功能缺失是增强吉瑞司他敏感性的首要靶点，这与帕博西尼筛选的结果一致。编码磷脂酶A2激活蛋白</w:t>
      </w:r>
      <w:r w:rsidRPr="00BF1A4E">
        <w:rPr>
          <w:rFonts w:ascii="微软雅黑" w:eastAsia="微软雅黑" w:hAnsi="微软雅黑" w:cs="宋体"/>
          <w:i/>
          <w:iCs/>
          <w:kern w:val="0"/>
          <w:sz w:val="24"/>
          <w:szCs w:val="24"/>
        </w:rPr>
        <w:t>的PLAA</w:t>
      </w:r>
      <w:r w:rsidRPr="00BF1A4E">
        <w:rPr>
          <w:rFonts w:ascii="微软雅黑" w:eastAsia="微软雅黑" w:hAnsi="微软雅黑" w:cs="宋体"/>
          <w:kern w:val="0"/>
          <w:sz w:val="24"/>
          <w:szCs w:val="24"/>
        </w:rPr>
        <w:t>是另一个功能缺失显著增强吉瑞司他敏感性的基因。与GPX4类似，磷脂酶A2（</w:t>
      </w:r>
      <w:r w:rsidRPr="00BF1A4E">
        <w:rPr>
          <w:rFonts w:ascii="微软雅黑" w:eastAsia="微软雅黑" w:hAnsi="微软雅黑" w:cs="宋体"/>
          <w:kern w:val="0"/>
          <w:sz w:val="24"/>
          <w:szCs w:val="24"/>
          <w:u w:val="single"/>
          <w:vertAlign w:val="superscript"/>
        </w:rPr>
        <w:t>PLA&lt;sub&gt; 2&lt;/sub</w:t>
      </w:r>
      <w:r w:rsidRPr="00BF1A4E">
        <w:rPr>
          <w:rFonts w:ascii="微软雅黑" w:eastAsia="微软雅黑" w:hAnsi="微软雅黑" w:cs="宋体"/>
          <w:kern w:val="0"/>
          <w:sz w:val="24"/>
          <w:szCs w:val="24"/>
          <w:vertAlign w:val="subscript"/>
        </w:rPr>
        <w:t>&gt;</w:t>
      </w:r>
      <w:r w:rsidRPr="00BF1A4E">
        <w:rPr>
          <w:rFonts w:ascii="微软雅黑" w:eastAsia="微软雅黑" w:hAnsi="微软雅黑" w:cs="宋体"/>
          <w:kern w:val="0"/>
          <w:sz w:val="24"/>
          <w:szCs w:val="24"/>
        </w:rPr>
        <w:t>）家族成员也被认为参与调节</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敏感性。 PLA </w:t>
      </w:r>
      <w:r w:rsidRPr="00BF1A4E">
        <w:rPr>
          <w:rFonts w:ascii="微软雅黑" w:eastAsia="微软雅黑" w:hAnsi="微软雅黑" w:cs="宋体"/>
          <w:kern w:val="0"/>
          <w:sz w:val="24"/>
          <w:szCs w:val="24"/>
          <w:vertAlign w:val="subscript"/>
        </w:rPr>
        <w:t>2</w:t>
      </w:r>
      <w:r w:rsidRPr="00BF1A4E">
        <w:rPr>
          <w:rFonts w:ascii="微软雅黑" w:eastAsia="微软雅黑" w:hAnsi="微软雅黑" w:cs="宋体"/>
          <w:kern w:val="0"/>
          <w:sz w:val="24"/>
          <w:szCs w:val="24"/>
        </w:rPr>
        <w:t>蛋白的作用是水解磷脂的酯键，释放游离脂肪酸，包括花生四烯酸，花生四烯酸是磷脂过氧化的关键底物</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"CR37"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37</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vertAlign w:val="superscript"/>
        </w:rPr>
        <w:t> , </w:t>
      </w:r>
      <w:hyperlink r:id="rId94" w:anchor="CR38" w:history="1">
        <w:r w:rsidRPr="00BF1A4E">
          <w:rPr>
            <w:rFonts w:ascii="微软雅黑" w:eastAsia="微软雅黑" w:hAnsi="微软雅黑" w:cs="宋体"/>
            <w:kern w:val="0"/>
            <w:sz w:val="24"/>
            <w:szCs w:val="24"/>
            <w:u w:val="single"/>
            <w:vertAlign w:val="superscript"/>
          </w:rPr>
          <w:t>38</w:t>
        </w:r>
      </w:hyperlink>
      <w:r w:rsidRPr="00BF1A4E">
        <w:rPr>
          <w:rFonts w:ascii="微软雅黑" w:eastAsia="微软雅黑" w:hAnsi="微软雅黑" w:cs="宋体"/>
          <w:kern w:val="0"/>
          <w:sz w:val="24"/>
          <w:szCs w:val="24"/>
        </w:rPr>
        <w:t>。</w:t>
      </w:r>
    </w:p>
    <w:p w14:paraId="1FAA8CE0"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 xml:space="preserve">图 4. ER+ 乳腺癌全基因组 CRISPR 筛选发现 GPX4 是 </w:t>
      </w:r>
      <w:proofErr w:type="spellStart"/>
      <w:r w:rsidRPr="00BF1A4E">
        <w:rPr>
          <w:rFonts w:ascii="微软雅黑" w:eastAsia="微软雅黑" w:hAnsi="微软雅黑" w:cs="宋体"/>
          <w:kern w:val="0"/>
          <w:sz w:val="30"/>
          <w:szCs w:val="30"/>
        </w:rPr>
        <w:t>giredestrant</w:t>
      </w:r>
      <w:proofErr w:type="spellEnd"/>
      <w:r w:rsidRPr="00BF1A4E">
        <w:rPr>
          <w:rFonts w:ascii="微软雅黑" w:eastAsia="微软雅黑" w:hAnsi="微软雅黑" w:cs="宋体"/>
          <w:kern w:val="0"/>
          <w:sz w:val="30"/>
          <w:szCs w:val="30"/>
        </w:rPr>
        <w:t xml:space="preserve"> 敏感性的调节因子。</w:t>
      </w:r>
    </w:p>
    <w:p w14:paraId="6CEB39B9" w14:textId="5444DCAB"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66F385D4" wp14:editId="33E0DB2B">
            <wp:extent cx="5274310" cy="6585585"/>
            <wp:effectExtent l="0" t="0" r="2540" b="5715"/>
            <wp:docPr id="4" name="图片 4" descr="图 4">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052" descr="图 4">
                      <a:hlinkClick r:id="rId95" tgtFrame="&quot;_blank&quot;"/>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74310" cy="6585585"/>
                    </a:xfrm>
                    <a:prstGeom prst="rect">
                      <a:avLst/>
                    </a:prstGeom>
                    <a:noFill/>
                    <a:ln>
                      <a:noFill/>
                    </a:ln>
                  </pic:spPr>
                </pic:pic>
              </a:graphicData>
            </a:graphic>
          </wp:inline>
        </w:drawing>
      </w:r>
    </w:p>
    <w:p w14:paraId="39A99DE3" w14:textId="77777777"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A.</w:t>
      </w:r>
      <w:r w:rsidRPr="00BF1A4E">
        <w:rPr>
          <w:rFonts w:ascii="微软雅黑" w:eastAsia="微软雅黑" w:hAnsi="微软雅黑" w:cs="宋体"/>
          <w:kern w:val="0"/>
          <w:sz w:val="24"/>
          <w:szCs w:val="24"/>
        </w:rPr>
        <w:t> sgRNA丰度的标准化Z评分，每个基因的sgRNA均已合并。铁死亡调节因子以红色突出显示（</w:t>
      </w:r>
      <w:r w:rsidRPr="00BF1A4E">
        <w:rPr>
          <w:rFonts w:ascii="微软雅黑" w:eastAsia="微软雅黑" w:hAnsi="微软雅黑" w:cs="宋体"/>
          <w:b/>
          <w:bCs/>
          <w:kern w:val="0"/>
          <w:sz w:val="24"/>
          <w:szCs w:val="24"/>
        </w:rPr>
        <w:t>B</w:t>
      </w:r>
      <w:r w:rsidRPr="00BF1A4E">
        <w:rPr>
          <w:rFonts w:ascii="微软雅黑" w:eastAsia="微软雅黑" w:hAnsi="微软雅黑" w:cs="宋体"/>
          <w:kern w:val="0"/>
          <w:sz w:val="24"/>
          <w:szCs w:val="24"/>
        </w:rPr>
        <w:t>）。(a) 用指定浓度的RSL3、</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或二者组合处理ER+细胞系，在有或无Fer-1的情况下，通过7天</w:t>
      </w:r>
      <w:proofErr w:type="spellStart"/>
      <w:r w:rsidRPr="00BF1A4E">
        <w:rPr>
          <w:rFonts w:ascii="微软雅黑" w:eastAsia="微软雅黑" w:hAnsi="微软雅黑" w:cs="宋体"/>
          <w:kern w:val="0"/>
          <w:sz w:val="24"/>
          <w:szCs w:val="24"/>
        </w:rPr>
        <w:t>CellTiter</w:t>
      </w:r>
      <w:proofErr w:type="spellEnd"/>
      <w:r w:rsidRPr="00BF1A4E">
        <w:rPr>
          <w:rFonts w:ascii="微软雅黑" w:eastAsia="微软雅黑" w:hAnsi="微软雅黑" w:cs="宋体"/>
          <w:kern w:val="0"/>
          <w:sz w:val="24"/>
          <w:szCs w:val="24"/>
        </w:rPr>
        <w:t>-Glo检测测定的相对细胞活力（</w:t>
      </w:r>
      <w:proofErr w:type="gramStart"/>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w:t>
      </w:r>
      <w:proofErr w:type="gramEnd"/>
      <w:r w:rsidRPr="00BF1A4E">
        <w:rPr>
          <w:rFonts w:ascii="微软雅黑" w:eastAsia="微软雅黑" w:hAnsi="微软雅黑" w:cs="宋体"/>
          <w:kern w:val="0"/>
          <w:sz w:val="24"/>
          <w:szCs w:val="24"/>
        </w:rPr>
        <w:t xml:space="preserve"> 4个生物学重复）。C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与( </w:t>
      </w:r>
      <w:r w:rsidRPr="00BF1A4E">
        <w:rPr>
          <w:rFonts w:ascii="微软雅黑" w:eastAsia="微软雅黑" w:hAnsi="微软雅黑" w:cs="宋体"/>
          <w:b/>
          <w:bCs/>
          <w:kern w:val="0"/>
          <w:sz w:val="24"/>
          <w:szCs w:val="24"/>
        </w:rPr>
        <w:t>B</w:t>
      </w:r>
      <w:r w:rsidRPr="00BF1A4E">
        <w:rPr>
          <w:rFonts w:ascii="微软雅黑" w:eastAsia="微软雅黑" w:hAnsi="微软雅黑" w:cs="宋体"/>
          <w:kern w:val="0"/>
          <w:sz w:val="24"/>
          <w:szCs w:val="24"/>
        </w:rPr>
        <w:t> )相同，不同之处在于细胞预先用</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处理7天（</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4个生物学重复）。D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差异基因表达评估</w:t>
      </w:r>
      <w:r w:rsidRPr="00BF1A4E">
        <w:rPr>
          <w:rFonts w:ascii="微软雅黑" w:eastAsia="微软雅黑" w:hAnsi="微软雅黑" w:cs="宋体"/>
          <w:kern w:val="0"/>
          <w:sz w:val="24"/>
          <w:szCs w:val="24"/>
        </w:rPr>
        <w:lastRenderedPageBreak/>
        <w:t>DMSO处理的细胞中GPX4靶向sgRNA与对照sgRNA转导的影响（每个sgRNA </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2，其中2个为对照sgRNA，2个为GPX4靶向sgRNA）。</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 xml:space="preserve">差异基因表达分析，评估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处理细胞中 GPX4 与对照 sgRNA 转导的影响（</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每种 sgRNA </w:t>
      </w:r>
      <w:r w:rsidRPr="00BF1A4E">
        <w:rPr>
          <w:rFonts w:ascii="微软雅黑" w:eastAsia="微软雅黑" w:hAnsi="微软雅黑" w:cs="宋体"/>
          <w:i/>
          <w:iCs/>
          <w:kern w:val="0"/>
          <w:sz w:val="24"/>
          <w:szCs w:val="24"/>
        </w:rPr>
        <w:t>n = 2，其中 2 个为对照 sgRNA，2 个为 GPX4 靶向 sgRNA）。F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 2、7 或 14 天后，磷脂和甘油酯的相对丰度，以相同时间段内 DMSO 处理组为参照（</w:t>
      </w:r>
      <w:r w:rsidRPr="00BF1A4E">
        <w:rPr>
          <w:rFonts w:ascii="微软雅黑" w:eastAsia="微软雅黑" w:hAnsi="微软雅黑" w:cs="宋体"/>
          <w:i/>
          <w:iCs/>
          <w:kern w:val="0"/>
          <w:sz w:val="24"/>
          <w:szCs w:val="24"/>
        </w:rPr>
        <w:t xml:space="preserve">n = 4 </w:t>
      </w:r>
      <w:proofErr w:type="gramStart"/>
      <w:r w:rsidRPr="00BF1A4E">
        <w:rPr>
          <w:rFonts w:ascii="微软雅黑" w:eastAsia="微软雅黑" w:hAnsi="微软雅黑" w:cs="宋体"/>
          <w:i/>
          <w:iCs/>
          <w:kern w:val="0"/>
          <w:sz w:val="24"/>
          <w:szCs w:val="24"/>
        </w:rPr>
        <w:t>个</w:t>
      </w:r>
      <w:proofErr w:type="gramEnd"/>
      <w:r w:rsidRPr="00BF1A4E">
        <w:rPr>
          <w:rFonts w:ascii="微软雅黑" w:eastAsia="微软雅黑" w:hAnsi="微软雅黑" w:cs="宋体"/>
          <w:i/>
          <w:iCs/>
          <w:kern w:val="0"/>
          <w:sz w:val="24"/>
          <w:szCs w:val="24"/>
        </w:rPr>
        <w:t>生物学重复）。原始数据以</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"MOESM8" </w:instrText>
      </w:r>
      <w:r w:rsidRPr="00BF1A4E">
        <w:rPr>
          <w:rFonts w:ascii="微软雅黑" w:eastAsia="微软雅黑" w:hAnsi="微软雅黑" w:cs="宋体"/>
          <w:kern w:val="0"/>
          <w:sz w:val="24"/>
          <w:szCs w:val="24"/>
        </w:rPr>
        <w:fldChar w:fldCharType="separate"/>
      </w:r>
      <w:proofErr w:type="gramStart"/>
      <w:r w:rsidRPr="00BF1A4E">
        <w:rPr>
          <w:rFonts w:ascii="微软雅黑" w:eastAsia="微软雅黑" w:hAnsi="微软雅黑" w:cs="宋体"/>
          <w:kern w:val="0"/>
          <w:sz w:val="24"/>
          <w:szCs w:val="24"/>
          <w:u w:val="single"/>
        </w:rPr>
        <w:t>源数据</w:t>
      </w:r>
      <w:proofErr w:type="gramEnd"/>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文件的</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形式提供。</w:t>
      </w:r>
    </w:p>
    <w:p w14:paraId="3B1AF2EB"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接下来，我们试图探究吉瑞地司</w:t>
      </w:r>
      <w:proofErr w:type="gramStart"/>
      <w:r w:rsidRPr="00BF1A4E">
        <w:rPr>
          <w:rFonts w:ascii="微软雅黑" w:eastAsia="微软雅黑" w:hAnsi="微软雅黑" w:cs="宋体"/>
          <w:kern w:val="0"/>
          <w:sz w:val="24"/>
          <w:szCs w:val="24"/>
        </w:rPr>
        <w:t>坦是否</w:t>
      </w:r>
      <w:proofErr w:type="gramEnd"/>
      <w:r w:rsidRPr="00BF1A4E">
        <w:rPr>
          <w:rFonts w:ascii="微软雅黑" w:eastAsia="微软雅黑" w:hAnsi="微软雅黑" w:cs="宋体"/>
          <w:kern w:val="0"/>
          <w:sz w:val="24"/>
          <w:szCs w:val="24"/>
        </w:rPr>
        <w:t>会增加其他ER+乳腺癌细胞系对GPX4的依赖性。因此，我们对预先用载体（DMSO）或吉瑞地司</w:t>
      </w:r>
      <w:proofErr w:type="gramStart"/>
      <w:r w:rsidRPr="00BF1A4E">
        <w:rPr>
          <w:rFonts w:ascii="微软雅黑" w:eastAsia="微软雅黑" w:hAnsi="微软雅黑" w:cs="宋体"/>
          <w:kern w:val="0"/>
          <w:sz w:val="24"/>
          <w:szCs w:val="24"/>
        </w:rPr>
        <w:t>坦处理</w:t>
      </w:r>
      <w:proofErr w:type="gramEnd"/>
      <w:r w:rsidRPr="00BF1A4E">
        <w:rPr>
          <w:rFonts w:ascii="微软雅黑" w:eastAsia="微软雅黑" w:hAnsi="微软雅黑" w:cs="宋体"/>
          <w:kern w:val="0"/>
          <w:sz w:val="24"/>
          <w:szCs w:val="24"/>
        </w:rPr>
        <w:t>7天的ER+乳腺癌细胞系进行了吉瑞地司坦和RSL3的剂量反应矩阵分析。在DMSO预处理的T47D细胞中，单药吉瑞地司坦的最大饱和抑制率约为40%（图 </w:t>
      </w:r>
      <w:hyperlink r:id="rId97" w:anchor="Fig4" w:history="1">
        <w:r w:rsidRPr="00BF1A4E">
          <w:rPr>
            <w:rFonts w:ascii="微软雅黑" w:eastAsia="微软雅黑" w:hAnsi="微软雅黑" w:cs="宋体"/>
            <w:kern w:val="0"/>
            <w:sz w:val="24"/>
            <w:szCs w:val="24"/>
            <w:u w:val="single"/>
          </w:rPr>
          <w:t>4B</w:t>
        </w:r>
      </w:hyperlink>
      <w:r w:rsidRPr="00BF1A4E">
        <w:rPr>
          <w:rFonts w:ascii="微软雅黑" w:eastAsia="微软雅黑" w:hAnsi="微软雅黑" w:cs="宋体"/>
          <w:kern w:val="0"/>
          <w:sz w:val="24"/>
          <w:szCs w:val="24"/>
        </w:rPr>
        <w:t>）。与RSL3联合用药增强了吉瑞地司坦的抑制作用，二者具有协同作用，这与帕博西尼和RSL3联合用药的观察结果相似（图 </w:t>
      </w:r>
      <w:hyperlink r:id="rId98" w:anchor="Fig4" w:history="1">
        <w:r w:rsidRPr="00BF1A4E">
          <w:rPr>
            <w:rFonts w:ascii="微软雅黑" w:eastAsia="微软雅黑" w:hAnsi="微软雅黑" w:cs="宋体"/>
            <w:kern w:val="0"/>
            <w:sz w:val="24"/>
            <w:szCs w:val="24"/>
            <w:u w:val="single"/>
          </w:rPr>
          <w:t>4B</w:t>
        </w:r>
      </w:hyperlink>
      <w:r w:rsidRPr="00BF1A4E">
        <w:rPr>
          <w:rFonts w:ascii="微软雅黑" w:eastAsia="微软雅黑" w:hAnsi="微软雅黑" w:cs="宋体"/>
          <w:kern w:val="0"/>
          <w:sz w:val="24"/>
          <w:szCs w:val="24"/>
        </w:rPr>
        <w:t> ，完整的剂量反应矩阵和BLISS协同评分见补充数据 </w:t>
      </w:r>
      <w:hyperlink r:id="rId99" w:anchor="MOESM3" w:history="1">
        <w:r w:rsidRPr="00BF1A4E">
          <w:rPr>
            <w:rFonts w:ascii="微软雅黑" w:eastAsia="微软雅黑" w:hAnsi="微软雅黑" w:cs="宋体"/>
            <w:kern w:val="0"/>
            <w:sz w:val="24"/>
            <w:szCs w:val="24"/>
            <w:u w:val="single"/>
          </w:rPr>
          <w:t>1</w:t>
        </w:r>
      </w:hyperlink>
      <w:r w:rsidRPr="00BF1A4E">
        <w:rPr>
          <w:rFonts w:ascii="微软雅黑" w:eastAsia="微软雅黑" w:hAnsi="微软雅黑" w:cs="宋体"/>
          <w:kern w:val="0"/>
          <w:sz w:val="24"/>
          <w:szCs w:val="24"/>
        </w:rPr>
        <w:t> ）。此外，在用载体或帕博西尼处理的MCF-7-GPX4缺失细胞中，</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可减少集落形成（补充图 </w:t>
      </w:r>
      <w:hyperlink r:id="rId100" w:anchor="MOESM1" w:history="1">
        <w:r w:rsidRPr="00BF1A4E">
          <w:rPr>
            <w:rFonts w:ascii="微软雅黑" w:eastAsia="微软雅黑" w:hAnsi="微软雅黑" w:cs="宋体"/>
            <w:kern w:val="0"/>
            <w:sz w:val="24"/>
            <w:szCs w:val="24"/>
            <w:u w:val="single"/>
          </w:rPr>
          <w:t>5C</w:t>
        </w:r>
      </w:hyperlink>
      <w:r w:rsidRPr="00BF1A4E">
        <w:rPr>
          <w:rFonts w:ascii="微软雅黑" w:eastAsia="微软雅黑" w:hAnsi="微软雅黑" w:cs="宋体"/>
          <w:kern w:val="0"/>
          <w:sz w:val="24"/>
          <w:szCs w:val="24"/>
        </w:rPr>
        <w:t>）。合成抗氧化剂Ferrostatin-1 (Fer-1)可抑制RSL3的活性，无论RSL3是单独使用还是与</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联合使用，而单独使用</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的活性则得以维持，这表明RSL3可诱导易感细胞发生铁死亡。用</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预处理T47D细胞可显著提高T47D细胞对单独使用RSL3的敏感性，降低影响细胞活力所需的RSL3浓度（图 </w:t>
      </w:r>
      <w:hyperlink r:id="rId101" w:anchor="Fig4" w:history="1">
        <w:r w:rsidRPr="00BF1A4E">
          <w:rPr>
            <w:rFonts w:ascii="微软雅黑" w:eastAsia="微软雅黑" w:hAnsi="微软雅黑" w:cs="宋体"/>
            <w:kern w:val="0"/>
            <w:sz w:val="24"/>
            <w:szCs w:val="24"/>
            <w:u w:val="single"/>
          </w:rPr>
          <w:t>4C</w:t>
        </w:r>
      </w:hyperlink>
      <w:r w:rsidRPr="00BF1A4E">
        <w:rPr>
          <w:rFonts w:ascii="微软雅黑" w:eastAsia="微软雅黑" w:hAnsi="微软雅黑" w:cs="宋体"/>
          <w:kern w:val="0"/>
          <w:sz w:val="24"/>
          <w:szCs w:val="24"/>
        </w:rPr>
        <w:t>，补充数据 </w:t>
      </w:r>
      <w:hyperlink r:id="rId102" w:anchor="MOESM3" w:history="1">
        <w:r w:rsidRPr="00BF1A4E">
          <w:rPr>
            <w:rFonts w:ascii="微软雅黑" w:eastAsia="微软雅黑" w:hAnsi="微软雅黑" w:cs="宋体"/>
            <w:kern w:val="0"/>
            <w:sz w:val="24"/>
            <w:szCs w:val="24"/>
            <w:u w:val="single"/>
          </w:rPr>
          <w:t>1</w:t>
        </w:r>
      </w:hyperlink>
      <w:r w:rsidRPr="00BF1A4E">
        <w:rPr>
          <w:rFonts w:ascii="微软雅黑" w:eastAsia="微软雅黑" w:hAnsi="微软雅黑" w:cs="宋体"/>
          <w:kern w:val="0"/>
          <w:sz w:val="24"/>
          <w:szCs w:val="24"/>
        </w:rPr>
        <w:t>）。CAMA1和EFM-19细胞在DMSO预处理后对单独使用RSL3和RSL3联合</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的敏感性不同，但经</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预处理后，两者均</w:t>
      </w:r>
      <w:r w:rsidRPr="00BF1A4E">
        <w:rPr>
          <w:rFonts w:ascii="微软雅黑" w:eastAsia="微软雅黑" w:hAnsi="微软雅黑" w:cs="宋体"/>
          <w:kern w:val="0"/>
          <w:sz w:val="24"/>
          <w:szCs w:val="24"/>
        </w:rPr>
        <w:lastRenderedPageBreak/>
        <w:t>对RSL3敏感。在HCC1500细胞中，RSL3与</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的联合活性，无论是在DMSO处理还是</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预处理条件下，均表现为叠加效应而非协同效应（图 </w:t>
      </w:r>
      <w:hyperlink r:id="rId103" w:anchor="Fig4" w:history="1">
        <w:r w:rsidRPr="00BF1A4E">
          <w:rPr>
            <w:rFonts w:ascii="微软雅黑" w:eastAsia="微软雅黑" w:hAnsi="微软雅黑" w:cs="宋体"/>
            <w:kern w:val="0"/>
            <w:sz w:val="24"/>
            <w:szCs w:val="24"/>
            <w:u w:val="single"/>
          </w:rPr>
          <w:t>4C</w:t>
        </w:r>
      </w:hyperlink>
      <w:r w:rsidRPr="00BF1A4E">
        <w:rPr>
          <w:rFonts w:ascii="微软雅黑" w:eastAsia="微软雅黑" w:hAnsi="微软雅黑" w:cs="宋体"/>
          <w:kern w:val="0"/>
          <w:sz w:val="24"/>
          <w:szCs w:val="24"/>
        </w:rPr>
        <w:t>）。这些数据共同表明，</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与GPX4抑制剂的联合作用在多种ER+细胞系中均具有高度活性，与palbociclib-GPX4抑制剂的协同作用极为相似。</w:t>
      </w:r>
    </w:p>
    <w:p w14:paraId="13E5F8F7"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吉瑞地</w:t>
      </w:r>
      <w:proofErr w:type="gramStart"/>
      <w:r w:rsidRPr="00BF1A4E">
        <w:rPr>
          <w:rFonts w:ascii="微软雅黑" w:eastAsia="微软雅黑" w:hAnsi="微软雅黑" w:cs="宋体"/>
          <w:kern w:val="0"/>
          <w:sz w:val="32"/>
          <w:szCs w:val="32"/>
        </w:rPr>
        <w:t>特兰通过</w:t>
      </w:r>
      <w:proofErr w:type="gramEnd"/>
      <w:r w:rsidRPr="00BF1A4E">
        <w:rPr>
          <w:rFonts w:ascii="微软雅黑" w:eastAsia="微软雅黑" w:hAnsi="微软雅黑" w:cs="宋体"/>
          <w:kern w:val="0"/>
          <w:sz w:val="32"/>
          <w:szCs w:val="32"/>
        </w:rPr>
        <w:t>减少单不饱和脂肪酸磷脂的含量，增加多不饱和脂肪酸磷脂的含量。</w:t>
      </w:r>
    </w:p>
    <w:p w14:paraId="788CDC2A"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我们研究了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处理细胞中 GPX4 依赖性的机制，并对转染了对照 sgRNA（靶向嗅觉受体基因 OR51Q1 和 OR5M9）或 GPX4 sgRNA 的 MCF-7 细胞进行了</w:t>
      </w:r>
      <w:proofErr w:type="gramStart"/>
      <w:r w:rsidRPr="00BF1A4E">
        <w:rPr>
          <w:rFonts w:ascii="微软雅黑" w:eastAsia="微软雅黑" w:hAnsi="微软雅黑" w:cs="宋体"/>
          <w:kern w:val="0"/>
          <w:sz w:val="24"/>
          <w:szCs w:val="24"/>
        </w:rPr>
        <w:t>转录组</w:t>
      </w:r>
      <w:proofErr w:type="gramEnd"/>
      <w:r w:rsidRPr="00BF1A4E">
        <w:rPr>
          <w:rFonts w:ascii="微软雅黑" w:eastAsia="微软雅黑" w:hAnsi="微软雅黑" w:cs="宋体"/>
          <w:kern w:val="0"/>
          <w:sz w:val="24"/>
          <w:szCs w:val="24"/>
        </w:rPr>
        <w:t xml:space="preserve">分析。在用载体（DMSO）或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 10 天后收集细胞。在 DMSO 处理条件下， </w:t>
      </w:r>
      <w:r w:rsidRPr="00BF1A4E">
        <w:rPr>
          <w:rFonts w:ascii="微软雅黑" w:eastAsia="微软雅黑" w:hAnsi="微软雅黑" w:cs="宋体"/>
          <w:i/>
          <w:iCs/>
          <w:kern w:val="0"/>
          <w:sz w:val="24"/>
          <w:szCs w:val="24"/>
        </w:rPr>
        <w:t>GPX4</w:t>
      </w:r>
      <w:r w:rsidRPr="00BF1A4E">
        <w:rPr>
          <w:rFonts w:ascii="微软雅黑" w:eastAsia="微软雅黑" w:hAnsi="微软雅黑" w:cs="宋体"/>
          <w:kern w:val="0"/>
          <w:sz w:val="24"/>
          <w:szCs w:val="24"/>
        </w:rPr>
        <w:t>的扰动对</w:t>
      </w:r>
      <w:proofErr w:type="gramStart"/>
      <w:r w:rsidRPr="00BF1A4E">
        <w:rPr>
          <w:rFonts w:ascii="微软雅黑" w:eastAsia="微软雅黑" w:hAnsi="微软雅黑" w:cs="宋体"/>
          <w:kern w:val="0"/>
          <w:sz w:val="24"/>
          <w:szCs w:val="24"/>
        </w:rPr>
        <w:t>转录组</w:t>
      </w:r>
      <w:proofErr w:type="gramEnd"/>
      <w:r w:rsidRPr="00BF1A4E">
        <w:rPr>
          <w:rFonts w:ascii="微软雅黑" w:eastAsia="微软雅黑" w:hAnsi="微软雅黑" w:cs="宋体"/>
          <w:kern w:val="0"/>
          <w:sz w:val="24"/>
          <w:szCs w:val="24"/>
        </w:rPr>
        <w:t xml:space="preserve">的影响很小，而在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存在下，GPX4 的扰动对细胞产生了显著影响（图 </w:t>
      </w:r>
      <w:hyperlink r:id="rId104" w:anchor="Fig4" w:history="1">
        <w:r w:rsidRPr="00BF1A4E">
          <w:rPr>
            <w:rFonts w:ascii="微软雅黑" w:eastAsia="微软雅黑" w:hAnsi="微软雅黑" w:cs="宋体"/>
            <w:kern w:val="0"/>
            <w:sz w:val="24"/>
            <w:szCs w:val="24"/>
            <w:u w:val="single"/>
          </w:rPr>
          <w:t>4D、E</w:t>
        </w:r>
      </w:hyperlink>
      <w:r w:rsidRPr="00BF1A4E">
        <w:rPr>
          <w:rFonts w:ascii="微软雅黑" w:eastAsia="微软雅黑" w:hAnsi="微软雅黑" w:cs="宋体"/>
          <w:kern w:val="0"/>
          <w:sz w:val="24"/>
          <w:szCs w:val="24"/>
        </w:rPr>
        <w:t>）。特别是，反映氧化应激反应的基因，例如</w:t>
      </w:r>
      <w:r w:rsidRPr="00BF1A4E">
        <w:rPr>
          <w:rFonts w:ascii="微软雅黑" w:eastAsia="微软雅黑" w:hAnsi="微软雅黑" w:cs="宋体"/>
          <w:i/>
          <w:iCs/>
          <w:kern w:val="0"/>
          <w:sz w:val="24"/>
          <w:szCs w:val="24"/>
        </w:rPr>
        <w:t>SLC7A11</w:t>
      </w:r>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 xml:space="preserve">HMOX1 ，在 </w:t>
      </w:r>
      <w:proofErr w:type="spellStart"/>
      <w:r w:rsidRPr="00BF1A4E">
        <w:rPr>
          <w:rFonts w:ascii="微软雅黑" w:eastAsia="微软雅黑" w:hAnsi="微软雅黑" w:cs="宋体"/>
          <w:i/>
          <w:iCs/>
          <w:kern w:val="0"/>
          <w:sz w:val="24"/>
          <w:szCs w:val="24"/>
        </w:rPr>
        <w:t>giredestrant</w:t>
      </w:r>
      <w:proofErr w:type="spellEnd"/>
      <w:r w:rsidRPr="00BF1A4E">
        <w:rPr>
          <w:rFonts w:ascii="微软雅黑" w:eastAsia="微软雅黑" w:hAnsi="微软雅黑" w:cs="宋体"/>
          <w:i/>
          <w:iCs/>
          <w:kern w:val="0"/>
          <w:sz w:val="24"/>
          <w:szCs w:val="24"/>
        </w:rPr>
        <w:t xml:space="preserve"> 处理的细胞中， GPX4</w:t>
      </w:r>
      <w:r w:rsidRPr="00BF1A4E">
        <w:rPr>
          <w:rFonts w:ascii="微软雅黑" w:eastAsia="微软雅黑" w:hAnsi="微软雅黑" w:cs="宋体"/>
          <w:kern w:val="0"/>
          <w:sz w:val="24"/>
          <w:szCs w:val="24"/>
        </w:rPr>
        <w:t>扰动后显著上调，而在 DMSO 处理的细胞中，这些基因的上调程度很低。 HALLMARK基因集富集分析（GSEA）发现，雌激素反应基因、E2F靶基因和其他增殖相关基因</w:t>
      </w:r>
      <w:proofErr w:type="gramStart"/>
      <w:r w:rsidRPr="00BF1A4E">
        <w:rPr>
          <w:rFonts w:ascii="微软雅黑" w:eastAsia="微软雅黑" w:hAnsi="微软雅黑" w:cs="宋体"/>
          <w:kern w:val="0"/>
          <w:sz w:val="24"/>
          <w:szCs w:val="24"/>
        </w:rPr>
        <w:t>集受到</w:t>
      </w:r>
      <w:proofErr w:type="spellStart"/>
      <w:proofErr w:type="gramEnd"/>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的抑制，这与其作为ER拮抗剂的预期作用一致（补充图 </w:t>
      </w:r>
      <w:hyperlink r:id="rId105" w:anchor="MOESM1" w:history="1">
        <w:r w:rsidRPr="00BF1A4E">
          <w:rPr>
            <w:rFonts w:ascii="微软雅黑" w:eastAsia="微软雅黑" w:hAnsi="微软雅黑" w:cs="宋体"/>
            <w:kern w:val="0"/>
            <w:sz w:val="24"/>
            <w:szCs w:val="24"/>
            <w:u w:val="single"/>
          </w:rPr>
          <w:t>5D</w:t>
        </w:r>
      </w:hyperlink>
      <w:r w:rsidRPr="00BF1A4E">
        <w:rPr>
          <w:rFonts w:ascii="微软雅黑" w:eastAsia="微软雅黑" w:hAnsi="微软雅黑" w:cs="宋体"/>
          <w:kern w:val="0"/>
          <w:sz w:val="24"/>
          <w:szCs w:val="24"/>
        </w:rPr>
        <w:t>）。在同时用</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处理的细胞中扰乱</w:t>
      </w:r>
      <w:r w:rsidRPr="00BF1A4E">
        <w:rPr>
          <w:rFonts w:ascii="微软雅黑" w:eastAsia="微软雅黑" w:hAnsi="微软雅黑" w:cs="宋体"/>
          <w:i/>
          <w:iCs/>
          <w:kern w:val="0"/>
          <w:sz w:val="24"/>
          <w:szCs w:val="24"/>
        </w:rPr>
        <w:t>GPX4 ，揭示了一种独特的转录反应，其中包括“活性氧”和“脂肪酸代谢”基因集的诱导表达。在没有</w:t>
      </w:r>
      <w:proofErr w:type="spellStart"/>
      <w:r w:rsidRPr="00BF1A4E">
        <w:rPr>
          <w:rFonts w:ascii="微软雅黑" w:eastAsia="微软雅黑" w:hAnsi="微软雅黑" w:cs="宋体"/>
          <w:i/>
          <w:iCs/>
          <w:kern w:val="0"/>
          <w:sz w:val="24"/>
          <w:szCs w:val="24"/>
        </w:rPr>
        <w:t>giredestrant</w:t>
      </w:r>
      <w:proofErr w:type="spellEnd"/>
      <w:r w:rsidRPr="00BF1A4E">
        <w:rPr>
          <w:rFonts w:ascii="微软雅黑" w:eastAsia="微软雅黑" w:hAnsi="微软雅黑" w:cs="宋体"/>
          <w:i/>
          <w:iCs/>
          <w:kern w:val="0"/>
          <w:sz w:val="24"/>
          <w:szCs w:val="24"/>
        </w:rPr>
        <w:t>的情况下， GPX4</w:t>
      </w:r>
      <w:r w:rsidRPr="00BF1A4E">
        <w:rPr>
          <w:rFonts w:ascii="微软雅黑" w:eastAsia="微软雅黑" w:hAnsi="微软雅黑" w:cs="宋体"/>
          <w:kern w:val="0"/>
          <w:sz w:val="24"/>
          <w:szCs w:val="24"/>
        </w:rPr>
        <w:t>扰乱的细胞中这些基因集并未富集，这与筛选结果一致，即GPX4是</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依赖性的脆弱基因（补充图 </w:t>
      </w:r>
      <w:hyperlink r:id="rId106" w:anchor="MOESM1" w:history="1">
        <w:r w:rsidRPr="00BF1A4E">
          <w:rPr>
            <w:rFonts w:ascii="微软雅黑" w:eastAsia="微软雅黑" w:hAnsi="微软雅黑" w:cs="宋体"/>
            <w:kern w:val="0"/>
            <w:sz w:val="24"/>
            <w:szCs w:val="24"/>
            <w:u w:val="single"/>
          </w:rPr>
          <w:t>5D</w:t>
        </w:r>
      </w:hyperlink>
      <w:r w:rsidRPr="00BF1A4E">
        <w:rPr>
          <w:rFonts w:ascii="微软雅黑" w:eastAsia="微软雅黑" w:hAnsi="微软雅黑" w:cs="宋体"/>
          <w:kern w:val="0"/>
          <w:sz w:val="24"/>
          <w:szCs w:val="24"/>
        </w:rPr>
        <w:t>）。</w:t>
      </w:r>
    </w:p>
    <w:p w14:paraId="4EE73F8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lastRenderedPageBreak/>
        <w:t>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的敏感性源于多不饱和脂肪酸-磷脂（PUFA-PLs）的过氧化。因此，我们通过对MCF-7细胞脂质谱的时间进程分析，研究了</w:t>
      </w:r>
      <w:proofErr w:type="gramStart"/>
      <w:r w:rsidRPr="00BF1A4E">
        <w:rPr>
          <w:rFonts w:ascii="微软雅黑" w:eastAsia="微软雅黑" w:hAnsi="微软雅黑" w:cs="宋体"/>
          <w:kern w:val="0"/>
          <w:sz w:val="24"/>
          <w:szCs w:val="24"/>
        </w:rPr>
        <w:t>吉瑞地司他是否</w:t>
      </w:r>
      <w:proofErr w:type="gramEnd"/>
      <w:r w:rsidRPr="00BF1A4E">
        <w:rPr>
          <w:rFonts w:ascii="微软雅黑" w:eastAsia="微软雅黑" w:hAnsi="微软雅黑" w:cs="宋体"/>
          <w:kern w:val="0"/>
          <w:sz w:val="24"/>
          <w:szCs w:val="24"/>
        </w:rPr>
        <w:t>改变了磷脂的稳态。</w:t>
      </w:r>
      <w:proofErr w:type="gramStart"/>
      <w:r w:rsidRPr="00BF1A4E">
        <w:rPr>
          <w:rFonts w:ascii="微软雅黑" w:eastAsia="微软雅黑" w:hAnsi="微软雅黑" w:cs="宋体"/>
          <w:kern w:val="0"/>
          <w:sz w:val="24"/>
          <w:szCs w:val="24"/>
        </w:rPr>
        <w:t>吉瑞地司他处理</w:t>
      </w:r>
      <w:proofErr w:type="gramEnd"/>
      <w:r w:rsidRPr="00BF1A4E">
        <w:rPr>
          <w:rFonts w:ascii="微软雅黑" w:eastAsia="微软雅黑" w:hAnsi="微软雅黑" w:cs="宋体"/>
          <w:kern w:val="0"/>
          <w:sz w:val="24"/>
          <w:szCs w:val="24"/>
        </w:rPr>
        <w:t>48小时后，对磷脂种类的相对丰度影响甚微。然而，细胞在暴露于</w:t>
      </w:r>
      <w:proofErr w:type="gramStart"/>
      <w:r w:rsidRPr="00BF1A4E">
        <w:rPr>
          <w:rFonts w:ascii="微软雅黑" w:eastAsia="微软雅黑" w:hAnsi="微软雅黑" w:cs="宋体"/>
          <w:kern w:val="0"/>
          <w:sz w:val="24"/>
          <w:szCs w:val="24"/>
        </w:rPr>
        <w:t>吉瑞地司他</w:t>
      </w:r>
      <w:proofErr w:type="gramEnd"/>
      <w:r w:rsidRPr="00BF1A4E">
        <w:rPr>
          <w:rFonts w:ascii="微软雅黑" w:eastAsia="微软雅黑" w:hAnsi="微软雅黑" w:cs="宋体"/>
          <w:kern w:val="0"/>
          <w:sz w:val="24"/>
          <w:szCs w:val="24"/>
        </w:rPr>
        <w:t>7天后，磷脂和甘油酯中的脂肪酸饱和度发生了显著变化，并在处理后14天仍维持在这种变化（图 </w:t>
      </w:r>
      <w:hyperlink r:id="rId107" w:anchor="Fig4" w:history="1">
        <w:r w:rsidRPr="00BF1A4E">
          <w:rPr>
            <w:rFonts w:ascii="微软雅黑" w:eastAsia="微软雅黑" w:hAnsi="微软雅黑" w:cs="宋体"/>
            <w:kern w:val="0"/>
            <w:sz w:val="24"/>
            <w:szCs w:val="24"/>
            <w:u w:val="single"/>
          </w:rPr>
          <w:t>4F</w:t>
        </w:r>
      </w:hyperlink>
      <w:r w:rsidRPr="00BF1A4E">
        <w:rPr>
          <w:rFonts w:ascii="微软雅黑" w:eastAsia="微软雅黑" w:hAnsi="微软雅黑" w:cs="宋体"/>
          <w:kern w:val="0"/>
          <w:sz w:val="24"/>
          <w:szCs w:val="24"/>
        </w:rPr>
        <w:t>）。具体而言，与溶剂对照组相比，</w:t>
      </w:r>
      <w:proofErr w:type="gramStart"/>
      <w:r w:rsidRPr="00BF1A4E">
        <w:rPr>
          <w:rFonts w:ascii="微软雅黑" w:eastAsia="微软雅黑" w:hAnsi="微软雅黑" w:cs="宋体"/>
          <w:kern w:val="0"/>
          <w:sz w:val="24"/>
          <w:szCs w:val="24"/>
        </w:rPr>
        <w:t>吉瑞地司他处理</w:t>
      </w:r>
      <w:proofErr w:type="gramEnd"/>
      <w:r w:rsidRPr="00BF1A4E">
        <w:rPr>
          <w:rFonts w:ascii="微软雅黑" w:eastAsia="微软雅黑" w:hAnsi="微软雅黑" w:cs="宋体"/>
          <w:kern w:val="0"/>
          <w:sz w:val="24"/>
          <w:szCs w:val="24"/>
        </w:rPr>
        <w:t>后单不饱和脂肪酸-磷脂（MUFA-PLs）减少，而饱和脂肪酸-磷脂和多不饱和脂肪酸-磷脂均升高。增加的多不饱和脂肪酸-磷脂包括一些</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的主要底物，例如磷脂酰乙醇胺连接的花生四烯酸[PE(FA20:4)]&lt;sup&gt; </w:t>
      </w:r>
      <w:hyperlink r:id="rId108" w:anchor="CR39" w:history="1">
        <w:r w:rsidRPr="00BF1A4E">
          <w:rPr>
            <w:rFonts w:ascii="微软雅黑" w:eastAsia="微软雅黑" w:hAnsi="微软雅黑" w:cs="宋体"/>
            <w:kern w:val="0"/>
            <w:sz w:val="24"/>
            <w:szCs w:val="24"/>
            <w:u w:val="single"/>
            <w:vertAlign w:val="superscript"/>
          </w:rPr>
          <w:t>39</w:t>
        </w:r>
      </w:hyperlink>
      <w:r w:rsidRPr="00BF1A4E">
        <w:rPr>
          <w:rFonts w:ascii="微软雅黑" w:eastAsia="微软雅黑" w:hAnsi="微软雅黑" w:cs="宋体"/>
          <w:kern w:val="0"/>
          <w:sz w:val="24"/>
          <w:szCs w:val="24"/>
        </w:rPr>
        <w:t> &lt;/sup&gt; 。花生四烯酸（AA）连接的</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（又称缩醛磷脂）种类，例如PE(P-16:0/20:4)，在吉瑞地司</w:t>
      </w:r>
      <w:proofErr w:type="gramStart"/>
      <w:r w:rsidRPr="00BF1A4E">
        <w:rPr>
          <w:rFonts w:ascii="微软雅黑" w:eastAsia="微软雅黑" w:hAnsi="微软雅黑" w:cs="宋体"/>
          <w:kern w:val="0"/>
          <w:sz w:val="24"/>
          <w:szCs w:val="24"/>
        </w:rPr>
        <w:t>坦处理</w:t>
      </w:r>
      <w:proofErr w:type="gramEnd"/>
      <w:r w:rsidRPr="00BF1A4E">
        <w:rPr>
          <w:rFonts w:ascii="微软雅黑" w:eastAsia="微软雅黑" w:hAnsi="微软雅黑" w:cs="宋体"/>
          <w:kern w:val="0"/>
          <w:sz w:val="24"/>
          <w:szCs w:val="24"/>
        </w:rPr>
        <w:t>后也会增加，多不饱和脂肪酸-三酰甘油（TAG）的含量也同样增加（图 </w:t>
      </w:r>
      <w:hyperlink r:id="rId109" w:anchor="Fig4" w:history="1">
        <w:r w:rsidRPr="00BF1A4E">
          <w:rPr>
            <w:rFonts w:ascii="微软雅黑" w:eastAsia="微软雅黑" w:hAnsi="微软雅黑" w:cs="宋体"/>
            <w:kern w:val="0"/>
            <w:sz w:val="24"/>
            <w:szCs w:val="24"/>
            <w:u w:val="single"/>
          </w:rPr>
          <w:t>4F</w:t>
        </w:r>
      </w:hyperlink>
      <w:r w:rsidRPr="00BF1A4E">
        <w:rPr>
          <w:rFonts w:ascii="微软雅黑" w:eastAsia="微软雅黑" w:hAnsi="微软雅黑" w:cs="宋体"/>
          <w:kern w:val="0"/>
          <w:sz w:val="24"/>
          <w:szCs w:val="24"/>
        </w:rPr>
        <w:t>，补充图 </w:t>
      </w:r>
      <w:hyperlink r:id="rId110" w:anchor="MOESM1" w:history="1">
        <w:r w:rsidRPr="00BF1A4E">
          <w:rPr>
            <w:rFonts w:ascii="微软雅黑" w:eastAsia="微软雅黑" w:hAnsi="微软雅黑" w:cs="宋体"/>
            <w:kern w:val="0"/>
            <w:sz w:val="24"/>
            <w:szCs w:val="24"/>
            <w:u w:val="single"/>
          </w:rPr>
          <w:t>5E</w:t>
        </w:r>
      </w:hyperlink>
      <w:r w:rsidRPr="00BF1A4E">
        <w:rPr>
          <w:rFonts w:ascii="微软雅黑" w:eastAsia="微软雅黑" w:hAnsi="微软雅黑" w:cs="宋体"/>
          <w:kern w:val="0"/>
          <w:sz w:val="24"/>
          <w:szCs w:val="24"/>
        </w:rPr>
        <w:t>）。因此，吉瑞地司</w:t>
      </w:r>
      <w:proofErr w:type="gramStart"/>
      <w:r w:rsidRPr="00BF1A4E">
        <w:rPr>
          <w:rFonts w:ascii="微软雅黑" w:eastAsia="微软雅黑" w:hAnsi="微软雅黑" w:cs="宋体"/>
          <w:kern w:val="0"/>
          <w:sz w:val="24"/>
          <w:szCs w:val="24"/>
        </w:rPr>
        <w:t>坦似乎</w:t>
      </w:r>
      <w:proofErr w:type="gramEnd"/>
      <w:r w:rsidRPr="00BF1A4E">
        <w:rPr>
          <w:rFonts w:ascii="微软雅黑" w:eastAsia="微软雅黑" w:hAnsi="微软雅黑" w:cs="宋体"/>
          <w:kern w:val="0"/>
          <w:sz w:val="24"/>
          <w:szCs w:val="24"/>
        </w:rPr>
        <w:t>在MCF-7细胞中诱导了脂质向含多不饱和脂肪酸种类的广泛重塑，尤其是在较长时间（7天和14天）处理后。除了</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和TAG饱和度的变化外，吉瑞地司</w:t>
      </w:r>
      <w:proofErr w:type="gramStart"/>
      <w:r w:rsidRPr="00BF1A4E">
        <w:rPr>
          <w:rFonts w:ascii="微软雅黑" w:eastAsia="微软雅黑" w:hAnsi="微软雅黑" w:cs="宋体"/>
          <w:kern w:val="0"/>
          <w:sz w:val="24"/>
          <w:szCs w:val="24"/>
        </w:rPr>
        <w:t>坦处理</w:t>
      </w:r>
      <w:proofErr w:type="gramEnd"/>
      <w:r w:rsidRPr="00BF1A4E">
        <w:rPr>
          <w:rFonts w:ascii="微软雅黑" w:eastAsia="微软雅黑" w:hAnsi="微软雅黑" w:cs="宋体"/>
          <w:kern w:val="0"/>
          <w:sz w:val="24"/>
          <w:szCs w:val="24"/>
        </w:rPr>
        <w:t>还导致二酰甘油（DAG）和己糖基神经酰胺（HCER）的整体减少，以及鞘磷脂（SM）的升高（补充图 </w:t>
      </w:r>
      <w:hyperlink r:id="rId111" w:anchor="MOESM1" w:history="1">
        <w:r w:rsidRPr="00BF1A4E">
          <w:rPr>
            <w:rFonts w:ascii="微软雅黑" w:eastAsia="微软雅黑" w:hAnsi="微软雅黑" w:cs="宋体"/>
            <w:kern w:val="0"/>
            <w:sz w:val="24"/>
            <w:szCs w:val="24"/>
            <w:u w:val="single"/>
          </w:rPr>
          <w:t>5F</w:t>
        </w:r>
      </w:hyperlink>
      <w:r w:rsidRPr="00BF1A4E">
        <w:rPr>
          <w:rFonts w:ascii="微软雅黑" w:eastAsia="微软雅黑" w:hAnsi="微软雅黑" w:cs="宋体"/>
          <w:kern w:val="0"/>
          <w:sz w:val="24"/>
          <w:szCs w:val="24"/>
        </w:rPr>
        <w:t>）。</w:t>
      </w:r>
    </w:p>
    <w:p w14:paraId="187DEDA6"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与单独使用相比，帕博西尼联合吉瑞地</w:t>
      </w:r>
      <w:proofErr w:type="gramStart"/>
      <w:r w:rsidRPr="00BF1A4E">
        <w:rPr>
          <w:rFonts w:ascii="微软雅黑" w:eastAsia="微软雅黑" w:hAnsi="微软雅黑" w:cs="宋体"/>
          <w:kern w:val="0"/>
          <w:sz w:val="32"/>
          <w:szCs w:val="32"/>
        </w:rPr>
        <w:t>司群治疗</w:t>
      </w:r>
      <w:proofErr w:type="gramEnd"/>
      <w:r w:rsidRPr="00BF1A4E">
        <w:rPr>
          <w:rFonts w:ascii="微软雅黑" w:eastAsia="微软雅黑" w:hAnsi="微软雅黑" w:cs="宋体"/>
          <w:kern w:val="0"/>
          <w:sz w:val="32"/>
          <w:szCs w:val="32"/>
        </w:rPr>
        <w:t>可增强多不饱和脂肪酸磷脂的积累。</w:t>
      </w:r>
    </w:p>
    <w:p w14:paraId="3212C29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鉴于GPX4抑制剂可增强细胞对帕博西尼和吉瑞地群的敏感性，我们研究了GPX4在吉瑞地群-帕博西尼联合用药中的作用。首先，我们评估了吉瑞地群和亚饱和浓度（200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）的帕博西尼（旨在模拟临床情况）作为单药和联合用药时，对MCF-7和T47D细胞在治疗7天后的脂质谱的影响。对整体脂质组进行</w:t>
      </w:r>
      <w:r w:rsidRPr="00BF1A4E">
        <w:rPr>
          <w:rFonts w:ascii="微软雅黑" w:eastAsia="微软雅黑" w:hAnsi="微软雅黑" w:cs="宋体"/>
          <w:kern w:val="0"/>
          <w:sz w:val="24"/>
          <w:szCs w:val="24"/>
        </w:rPr>
        <w:lastRenderedPageBreak/>
        <w:t>主成分分析表明，样本间约80%的差异可归因于两种细胞系在基线时不同的脂质谱（图 </w:t>
      </w:r>
      <w:hyperlink r:id="rId112" w:anchor="Fig5" w:history="1">
        <w:r w:rsidRPr="00BF1A4E">
          <w:rPr>
            <w:rFonts w:ascii="微软雅黑" w:eastAsia="微软雅黑" w:hAnsi="微软雅黑" w:cs="宋体"/>
            <w:kern w:val="0"/>
            <w:sz w:val="24"/>
            <w:szCs w:val="24"/>
            <w:u w:val="single"/>
          </w:rPr>
          <w:t>5A</w:t>
        </w:r>
      </w:hyperlink>
      <w:r w:rsidRPr="00BF1A4E">
        <w:rPr>
          <w:rFonts w:ascii="微软雅黑" w:eastAsia="微软雅黑" w:hAnsi="微软雅黑" w:cs="宋体"/>
          <w:kern w:val="0"/>
          <w:sz w:val="24"/>
          <w:szCs w:val="24"/>
        </w:rPr>
        <w:t xml:space="preserve">）。尽管MCF7和T47D细胞在基础条件下存在差异，但药物处理以类似的方式改变了它们的脂质谱。在第7天时间点，200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帕博西尼的作用不如吉瑞地群显著，而帕博西尼联合吉瑞地</w:t>
      </w:r>
      <w:proofErr w:type="gramStart"/>
      <w:r w:rsidRPr="00BF1A4E">
        <w:rPr>
          <w:rFonts w:ascii="微软雅黑" w:eastAsia="微软雅黑" w:hAnsi="微软雅黑" w:cs="宋体"/>
          <w:kern w:val="0"/>
          <w:sz w:val="24"/>
          <w:szCs w:val="24"/>
        </w:rPr>
        <w:t>群引起</w:t>
      </w:r>
      <w:proofErr w:type="gramEnd"/>
      <w:r w:rsidRPr="00BF1A4E">
        <w:rPr>
          <w:rFonts w:ascii="微软雅黑" w:eastAsia="微软雅黑" w:hAnsi="微软雅黑" w:cs="宋体"/>
          <w:kern w:val="0"/>
          <w:sz w:val="24"/>
          <w:szCs w:val="24"/>
        </w:rPr>
        <w:t>的脂质变化最为显著（图 </w:t>
      </w:r>
      <w:hyperlink r:id="rId113" w:anchor="Fig5" w:history="1">
        <w:r w:rsidRPr="00BF1A4E">
          <w:rPr>
            <w:rFonts w:ascii="微软雅黑" w:eastAsia="微软雅黑" w:hAnsi="微软雅黑" w:cs="宋体"/>
            <w:kern w:val="0"/>
            <w:sz w:val="24"/>
            <w:szCs w:val="24"/>
            <w:u w:val="single"/>
          </w:rPr>
          <w:t>5A</w:t>
        </w:r>
      </w:hyperlink>
      <w:r w:rsidRPr="00BF1A4E">
        <w:rPr>
          <w:rFonts w:ascii="微软雅黑" w:eastAsia="微软雅黑" w:hAnsi="微软雅黑" w:cs="宋体"/>
          <w:kern w:val="0"/>
          <w:sz w:val="24"/>
          <w:szCs w:val="24"/>
        </w:rPr>
        <w:t>）。该实验重复了我们之前的观察结果，即吉瑞地群可提高AA连接的磷脂酰胆碱[PC(FA20:4)]和PE(FA20:4)的水平，并将这一发现进一步扩展到T47D细胞，同时还表明吉瑞地群与帕博西尼联合用药可增强这种作用（图 </w:t>
      </w:r>
      <w:hyperlink r:id="rId114" w:anchor="Fig5" w:history="1">
        <w:r w:rsidRPr="00BF1A4E">
          <w:rPr>
            <w:rFonts w:ascii="微软雅黑" w:eastAsia="微软雅黑" w:hAnsi="微软雅黑" w:cs="宋体"/>
            <w:kern w:val="0"/>
            <w:sz w:val="24"/>
            <w:szCs w:val="24"/>
            <w:u w:val="single"/>
          </w:rPr>
          <w:t>5B</w:t>
        </w:r>
      </w:hyperlink>
      <w:r w:rsidRPr="00BF1A4E">
        <w:rPr>
          <w:rFonts w:ascii="微软雅黑" w:eastAsia="微软雅黑" w:hAnsi="微软雅黑" w:cs="宋体"/>
          <w:kern w:val="0"/>
          <w:sz w:val="24"/>
          <w:szCs w:val="24"/>
        </w:rPr>
        <w:t>）。在两种细胞系中，吉瑞地群和/或帕博西尼均能提高PUFA-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的水平，且两种药物联合使用通常能最大程度地提高特定PUFA连接的</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种类（图 </w:t>
      </w:r>
      <w:hyperlink r:id="rId115" w:anchor="Fig5" w:history="1">
        <w:r w:rsidRPr="00BF1A4E">
          <w:rPr>
            <w:rFonts w:ascii="微软雅黑" w:eastAsia="微软雅黑" w:hAnsi="微软雅黑" w:cs="宋体"/>
            <w:kern w:val="0"/>
            <w:sz w:val="24"/>
            <w:szCs w:val="24"/>
            <w:u w:val="single"/>
          </w:rPr>
          <w:t>5C</w:t>
        </w:r>
      </w:hyperlink>
      <w:r w:rsidRPr="00BF1A4E">
        <w:rPr>
          <w:rFonts w:ascii="微软雅黑" w:eastAsia="微软雅黑" w:hAnsi="微软雅黑" w:cs="宋体"/>
          <w:kern w:val="0"/>
          <w:sz w:val="24"/>
          <w:szCs w:val="24"/>
        </w:rPr>
        <w:t>）。用吉瑞地群和帕博西尼处理MCF-7和T47D细胞后，PC和PE的PUFA/MUFA比值均发生改变，PUFA含量增加（图 </w:t>
      </w:r>
      <w:hyperlink r:id="rId116" w:anchor="Fig5" w:history="1">
        <w:r w:rsidRPr="00BF1A4E">
          <w:rPr>
            <w:rFonts w:ascii="微软雅黑" w:eastAsia="微软雅黑" w:hAnsi="微软雅黑" w:cs="宋体"/>
            <w:kern w:val="0"/>
            <w:sz w:val="24"/>
            <w:szCs w:val="24"/>
            <w:u w:val="single"/>
          </w:rPr>
          <w:t>5D、E</w:t>
        </w:r>
      </w:hyperlink>
      <w:r w:rsidRPr="00BF1A4E">
        <w:rPr>
          <w:rFonts w:ascii="微软雅黑" w:eastAsia="微软雅黑" w:hAnsi="微软雅黑" w:cs="宋体"/>
          <w:kern w:val="0"/>
          <w:sz w:val="24"/>
          <w:szCs w:val="24"/>
        </w:rPr>
        <w:t>）。</w:t>
      </w:r>
    </w:p>
    <w:p w14:paraId="14BFC0B2"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 xml:space="preserve">图 5. </w:t>
      </w:r>
      <w:proofErr w:type="spellStart"/>
      <w:r w:rsidRPr="00BF1A4E">
        <w:rPr>
          <w:rFonts w:ascii="微软雅黑" w:eastAsia="微软雅黑" w:hAnsi="微软雅黑" w:cs="宋体"/>
          <w:kern w:val="0"/>
          <w:sz w:val="30"/>
          <w:szCs w:val="30"/>
        </w:rPr>
        <w:t>giredestrant</w:t>
      </w:r>
      <w:proofErr w:type="spellEnd"/>
      <w:r w:rsidRPr="00BF1A4E">
        <w:rPr>
          <w:rFonts w:ascii="微软雅黑" w:eastAsia="微软雅黑" w:hAnsi="微软雅黑" w:cs="宋体"/>
          <w:kern w:val="0"/>
          <w:sz w:val="30"/>
          <w:szCs w:val="30"/>
        </w:rPr>
        <w:t xml:space="preserve"> 和 </w:t>
      </w:r>
      <w:proofErr w:type="spellStart"/>
      <w:r w:rsidRPr="00BF1A4E">
        <w:rPr>
          <w:rFonts w:ascii="微软雅黑" w:eastAsia="微软雅黑" w:hAnsi="微软雅黑" w:cs="宋体"/>
          <w:kern w:val="0"/>
          <w:sz w:val="30"/>
          <w:szCs w:val="30"/>
        </w:rPr>
        <w:t>palbociclib</w:t>
      </w:r>
      <w:proofErr w:type="spellEnd"/>
      <w:r w:rsidRPr="00BF1A4E">
        <w:rPr>
          <w:rFonts w:ascii="微软雅黑" w:eastAsia="微软雅黑" w:hAnsi="微软雅黑" w:cs="宋体"/>
          <w:kern w:val="0"/>
          <w:sz w:val="30"/>
          <w:szCs w:val="30"/>
        </w:rPr>
        <w:t xml:space="preserve"> 的联合作用可提高 PUFA-(e)PLs 并释放细胞致命的 RSL3 敏感性。</w:t>
      </w:r>
    </w:p>
    <w:p w14:paraId="1B503C17" w14:textId="2E5FC024"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27620822" wp14:editId="332BB231">
            <wp:extent cx="5274310" cy="4175760"/>
            <wp:effectExtent l="0" t="0" r="2540" b="0"/>
            <wp:docPr id="3" name="图片 3" descr="图 5">
              <a:hlinkClick xmlns:a="http://schemas.openxmlformats.org/drawingml/2006/main" r:id="rId1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255" descr="图 5">
                      <a:hlinkClick r:id="rId117" tgtFrame="&quot;_blank&quot;"/>
                    </pic:cNvPr>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274310" cy="4175760"/>
                    </a:xfrm>
                    <a:prstGeom prst="rect">
                      <a:avLst/>
                    </a:prstGeom>
                    <a:noFill/>
                    <a:ln>
                      <a:noFill/>
                    </a:ln>
                  </pic:spPr>
                </pic:pic>
              </a:graphicData>
            </a:graphic>
          </wp:inline>
        </w:drawing>
      </w:r>
    </w:p>
    <w:p w14:paraId="4AECA65B" w14:textId="1036369E"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A</w:t>
      </w:r>
      <w:r w:rsidRPr="00BF1A4E">
        <w:rPr>
          <w:rFonts w:ascii="微软雅黑" w:eastAsia="微软雅黑" w:hAnsi="微软雅黑" w:cs="宋体"/>
          <w:kern w:val="0"/>
          <w:sz w:val="24"/>
          <w:szCs w:val="24"/>
        </w:rPr>
        <w:t> – </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脂质组学分析在单</w:t>
      </w:r>
      <w:proofErr w:type="gramStart"/>
      <w:r w:rsidRPr="00BF1A4E">
        <w:rPr>
          <w:rFonts w:ascii="微软雅黑" w:eastAsia="微软雅黑" w:hAnsi="微软雅黑" w:cs="宋体"/>
          <w:kern w:val="0"/>
          <w:sz w:val="24"/>
          <w:szCs w:val="24"/>
        </w:rPr>
        <w:t>次运行</w:t>
      </w:r>
      <w:proofErr w:type="gramEnd"/>
      <w:r w:rsidRPr="00BF1A4E">
        <w:rPr>
          <w:rFonts w:ascii="微软雅黑" w:eastAsia="微软雅黑" w:hAnsi="微软雅黑" w:cs="宋体"/>
          <w:kern w:val="0"/>
          <w:sz w:val="24"/>
          <w:szCs w:val="24"/>
        </w:rPr>
        <w:t>中进行，</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生物学重复，图表显示平均值±标准差，采用单因素方差分析计算</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值：*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0.05，**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0.01，***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0.001，****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&lt; 0.0001。A. 用 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和/或 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处理 7 天的 MCF-7 和 T47D 细胞的主成分分析。</w:t>
      </w:r>
      <w:proofErr w:type="gramStart"/>
      <w:r w:rsidRPr="00BF1A4E">
        <w:rPr>
          <w:rFonts w:ascii="微软雅黑" w:eastAsia="微软雅黑" w:hAnsi="微软雅黑" w:cs="宋体"/>
          <w:kern w:val="0"/>
          <w:sz w:val="24"/>
          <w:szCs w:val="24"/>
        </w:rPr>
        <w:t>B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kern w:val="0"/>
          <w:sz w:val="24"/>
          <w:szCs w:val="24"/>
        </w:rPr>
        <w:t> MCF-7 和 T47D 细胞中含 AA 的磷脂的相对丰度。</w:t>
      </w:r>
      <w:proofErr w:type="gramStart"/>
      <w:r w:rsidRPr="00BF1A4E">
        <w:rPr>
          <w:rFonts w:ascii="微软雅黑" w:eastAsia="微软雅黑" w:hAnsi="微软雅黑" w:cs="宋体"/>
          <w:kern w:val="0"/>
          <w:sz w:val="24"/>
          <w:szCs w:val="24"/>
        </w:rPr>
        <w:t>C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kern w:val="0"/>
          <w:sz w:val="24"/>
          <w:szCs w:val="24"/>
        </w:rPr>
        <w:t> MCF-7 和 T47D 细胞中含 AA 的内源性磷脂的相对丰度。D. MCF-7 和 T47D 细胞中含 PUFA 的内源性磷脂的相对丰度。</w:t>
      </w:r>
      <w:proofErr w:type="gramStart"/>
      <w:r w:rsidRPr="00BF1A4E">
        <w:rPr>
          <w:rFonts w:ascii="微软雅黑" w:eastAsia="微软雅黑" w:hAnsi="微软雅黑" w:cs="宋体"/>
          <w:kern w:val="0"/>
          <w:sz w:val="24"/>
          <w:szCs w:val="24"/>
        </w:rPr>
        <w:t>D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b/>
          <w:bCs/>
          <w:kern w:val="0"/>
          <w:sz w:val="24"/>
          <w:szCs w:val="24"/>
        </w:rPr>
        <w:t> MCF</w:t>
      </w:r>
      <w:r w:rsidRPr="00BF1A4E">
        <w:rPr>
          <w:rFonts w:ascii="微软雅黑" w:eastAsia="微软雅黑" w:hAnsi="微软雅黑" w:cs="宋体"/>
          <w:kern w:val="0"/>
          <w:sz w:val="24"/>
          <w:szCs w:val="24"/>
        </w:rPr>
        <w:t> -7 细胞中 PC 和 PE 的 PUFA/MUFA 比值的定量分析。 PC：****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0.0001，**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0.003；PE：****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0.0001，*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0.025；单因素方差分析，</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生物学重复。</w:t>
      </w:r>
      <w:proofErr w:type="gramStart"/>
      <w:r w:rsidRPr="00BF1A4E">
        <w:rPr>
          <w:rFonts w:ascii="微软雅黑" w:eastAsia="微软雅黑" w:hAnsi="微软雅黑" w:cs="宋体"/>
          <w:kern w:val="0"/>
          <w:sz w:val="24"/>
          <w:szCs w:val="24"/>
        </w:rPr>
        <w:t>E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kern w:val="0"/>
          <w:sz w:val="24"/>
          <w:szCs w:val="24"/>
        </w:rPr>
        <w:t> T47D 细胞中 PC 和 PE 的 PUFA/MUFA 比值定量分析。PC 和 PE：****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0.0001；单因素方差分析，</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生物学重复。F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细胞处理示意图。T47D 细胞预先分别用 DMSO、</w:t>
      </w:r>
      <w:proofErr w:type="spellStart"/>
      <w:r w:rsidRPr="00BF1A4E">
        <w:rPr>
          <w:rFonts w:ascii="微软雅黑" w:eastAsia="微软雅黑" w:hAnsi="微软雅黑" w:cs="宋体"/>
          <w:kern w:val="0"/>
          <w:sz w:val="24"/>
          <w:szCs w:val="24"/>
        </w:rPr>
        <w:lastRenderedPageBreak/>
        <w:t>giredestrant</w:t>
      </w:r>
      <w:proofErr w:type="spellEnd"/>
      <w:r w:rsidRPr="00BF1A4E">
        <w:rPr>
          <w:rFonts w:ascii="微软雅黑" w:eastAsia="微软雅黑" w:hAnsi="微软雅黑" w:cs="宋体"/>
          <w:kern w:val="0"/>
          <w:sz w:val="24"/>
          <w:szCs w:val="24"/>
        </w:rPr>
        <w:t>、</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或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联合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处理，然后将等量的细胞接种于 12 孔板中。左侧孔中的细胞接受持续处理；每 3-4 天更换一次药物和培养基。右侧孔中的细胞仅在前 3 天暴露于药物；每 3-4 天更换一次培养基。所有孔均使用</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细胞</w:t>
      </w:r>
      <w:proofErr w:type="gramStart"/>
      <w:r w:rsidRPr="00BF1A4E">
        <w:rPr>
          <w:rFonts w:ascii="微软雅黑" w:eastAsia="微软雅黑" w:hAnsi="微软雅黑" w:cs="宋体"/>
          <w:kern w:val="0"/>
          <w:sz w:val="24"/>
          <w:szCs w:val="24"/>
        </w:rPr>
        <w:t>汇合度仪评估</w:t>
      </w:r>
      <w:proofErr w:type="gramEnd"/>
      <w:r w:rsidRPr="00BF1A4E">
        <w:rPr>
          <w:rFonts w:ascii="微软雅黑" w:eastAsia="微软雅黑" w:hAnsi="微软雅黑" w:cs="宋体"/>
          <w:kern w:val="0"/>
          <w:sz w:val="24"/>
          <w:szCs w:val="24"/>
        </w:rPr>
        <w:t>汇合度，然后进行结晶紫染色（如图</w:t>
      </w:r>
      <w:r w:rsidRPr="00BF1A4E">
        <w:rPr>
          <w:rFonts w:ascii="微软雅黑" w:eastAsia="微软雅黑" w:hAnsi="微软雅黑" w:cs="宋体"/>
          <w:b/>
          <w:bCs/>
          <w:kern w:val="0"/>
          <w:sz w:val="24"/>
          <w:szCs w:val="24"/>
        </w:rPr>
        <w:t>G</w:t>
      </w:r>
      <w:r w:rsidRPr="00BF1A4E">
        <w:rPr>
          <w:rFonts w:ascii="微软雅黑" w:eastAsia="微软雅黑" w:hAnsi="微软雅黑" w:cs="宋体"/>
          <w:kern w:val="0"/>
          <w:sz w:val="24"/>
          <w:szCs w:val="24"/>
        </w:rPr>
        <w:t> - </w:t>
      </w:r>
      <w:r w:rsidRPr="00BF1A4E">
        <w:rPr>
          <w:rFonts w:ascii="微软雅黑" w:eastAsia="微软雅黑" w:hAnsi="微软雅黑" w:cs="宋体"/>
          <w:b/>
          <w:bCs/>
          <w:kern w:val="0"/>
          <w:sz w:val="24"/>
          <w:szCs w:val="24"/>
        </w:rPr>
        <w:t>J</w:t>
      </w:r>
      <w:r w:rsidRPr="00BF1A4E">
        <w:rPr>
          <w:rFonts w:ascii="微软雅黑" w:eastAsia="微软雅黑" w:hAnsi="微软雅黑" w:cs="宋体"/>
          <w:kern w:val="0"/>
          <w:sz w:val="24"/>
          <w:szCs w:val="24"/>
        </w:rPr>
        <w:t>所示）。实验重复2次（</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2个生物学重复）；数值以柱状图形式显示（均值±标准差）。K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按所示方法处理的细胞在18天时的汇合度读数，处理方式包括持续处理和仅在洗脱前处理3天。细胞预先用DMSO处理。L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与( </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 xml:space="preserve"> )相同，不同之处在于细胞在接种前用1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预处理1周。M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与( </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 xml:space="preserve"> )相同，不同之处在于细胞预先用200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处理。N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与( </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 xml:space="preserve"> )相同，不同之处在于细胞预先用1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和200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的组合处理。</w:t>
      </w:r>
    </w:p>
    <w:p w14:paraId="73B6D815"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吉瑞地司群、帕博西尼和GPX4抑制剂的三联疗法即使在短期治疗后也能阻止克隆增殖。</w:t>
      </w:r>
    </w:p>
    <w:p w14:paraId="488C9477"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CDK4/6抑制剂与内分泌疗法的联合应用已显著改善了ER阳性乳腺癌患者的治疗效果。然而，这两种靶向疗法均导致G1期细胞周期阻滞，且细胞死亡有限，提示需要持续的药物暴露才能维持肿瘤控制。鉴于我们观察到</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和</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能够增强细胞对铁死亡（一种细胞死亡途径）调节因子的敏感性，我们测试了RSL3短期暴露联合治疗方案是否能够根除肿瘤细胞。T47D细胞预先用DMSO、</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或它们的组合处理7天。预处理后的细胞重新接种，并分别进行18天的连续治疗或</w:t>
      </w:r>
      <w:proofErr w:type="gramStart"/>
      <w:r w:rsidRPr="00BF1A4E">
        <w:rPr>
          <w:rFonts w:ascii="微软雅黑" w:eastAsia="微软雅黑" w:hAnsi="微软雅黑" w:cs="宋体"/>
          <w:kern w:val="0"/>
          <w:sz w:val="24"/>
          <w:szCs w:val="24"/>
        </w:rPr>
        <w:t>仅治疗</w:t>
      </w:r>
      <w:proofErr w:type="gramEnd"/>
      <w:r w:rsidRPr="00BF1A4E">
        <w:rPr>
          <w:rFonts w:ascii="微软雅黑" w:eastAsia="微软雅黑" w:hAnsi="微软雅黑" w:cs="宋体"/>
          <w:kern w:val="0"/>
          <w:sz w:val="24"/>
          <w:szCs w:val="24"/>
        </w:rPr>
        <w:t>3天后洗脱药物；在相同的18天终点分析细胞汇合度（图 </w:t>
      </w:r>
      <w:hyperlink r:id="rId119" w:anchor="Fig5" w:history="1">
        <w:r w:rsidRPr="00BF1A4E">
          <w:rPr>
            <w:rFonts w:ascii="微软雅黑" w:eastAsia="微软雅黑" w:hAnsi="微软雅黑" w:cs="宋体"/>
            <w:kern w:val="0"/>
            <w:sz w:val="24"/>
            <w:szCs w:val="24"/>
            <w:u w:val="single"/>
          </w:rPr>
          <w:t>5F-M</w:t>
        </w:r>
      </w:hyperlink>
      <w:r w:rsidRPr="00BF1A4E">
        <w:rPr>
          <w:rFonts w:ascii="微软雅黑" w:eastAsia="微软雅黑" w:hAnsi="微软雅黑" w:cs="宋体"/>
          <w:kern w:val="0"/>
          <w:sz w:val="24"/>
          <w:szCs w:val="24"/>
        </w:rPr>
        <w:t>）。对于持续治疗，giredestrant-RSL3、</w:t>
      </w:r>
      <w:proofErr w:type="spellStart"/>
      <w:r w:rsidRPr="00BF1A4E">
        <w:rPr>
          <w:rFonts w:ascii="微软雅黑" w:eastAsia="微软雅黑" w:hAnsi="微软雅黑" w:cs="宋体"/>
          <w:kern w:val="0"/>
          <w:sz w:val="24"/>
          <w:szCs w:val="24"/>
        </w:rPr>
        <w:lastRenderedPageBreak/>
        <w:t>giredestrant-palbociclib</w:t>
      </w:r>
      <w:proofErr w:type="spellEnd"/>
      <w:r w:rsidRPr="00BF1A4E">
        <w:rPr>
          <w:rFonts w:ascii="微软雅黑" w:eastAsia="微软雅黑" w:hAnsi="微软雅黑" w:cs="宋体"/>
          <w:kern w:val="0"/>
          <w:sz w:val="24"/>
          <w:szCs w:val="24"/>
        </w:rPr>
        <w:t xml:space="preserve"> 和 giredestrant-palbociclib-RSL3 三联疗法均能抑制集落形成。相反，短期暴露于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或 </w:t>
      </w:r>
      <w:proofErr w:type="spellStart"/>
      <w:r w:rsidRPr="00BF1A4E">
        <w:rPr>
          <w:rFonts w:ascii="微软雅黑" w:eastAsia="微软雅黑" w:hAnsi="微软雅黑" w:cs="宋体"/>
          <w:kern w:val="0"/>
          <w:sz w:val="24"/>
          <w:szCs w:val="24"/>
        </w:rPr>
        <w:t>giredestrant-palbociclib</w:t>
      </w:r>
      <w:proofErr w:type="spellEnd"/>
      <w:r w:rsidRPr="00BF1A4E">
        <w:rPr>
          <w:rFonts w:ascii="微软雅黑" w:eastAsia="微软雅黑" w:hAnsi="微软雅黑" w:cs="宋体"/>
          <w:kern w:val="0"/>
          <w:sz w:val="24"/>
          <w:szCs w:val="24"/>
        </w:rPr>
        <w:t xml:space="preserve"> 组合并不能阻止洗脱后集落的形成（图 </w:t>
      </w:r>
      <w:hyperlink r:id="rId120" w:anchor="Fig5" w:history="1">
        <w:r w:rsidRPr="00BF1A4E">
          <w:rPr>
            <w:rFonts w:ascii="微软雅黑" w:eastAsia="微软雅黑" w:hAnsi="微软雅黑" w:cs="宋体"/>
            <w:kern w:val="0"/>
            <w:sz w:val="24"/>
            <w:szCs w:val="24"/>
            <w:u w:val="single"/>
          </w:rPr>
          <w:t>5G、K</w:t>
        </w:r>
      </w:hyperlink>
      <w:r w:rsidRPr="00BF1A4E">
        <w:rPr>
          <w:rFonts w:ascii="微软雅黑" w:eastAsia="微软雅黑" w:hAnsi="微软雅黑" w:cs="宋体"/>
          <w:kern w:val="0"/>
          <w:sz w:val="24"/>
          <w:szCs w:val="24"/>
        </w:rPr>
        <w:t>，右侧）。然而，重要的是，含 RSL3 的组合即使在药物洗脱后仍能控制细胞生长，其中三联疗法最为有效，且不受预处理方案的影响，这与 RSL3 具有细胞致死效应相符（图 </w:t>
      </w:r>
      <w:hyperlink r:id="rId121" w:anchor="Fig5" w:history="1">
        <w:r w:rsidRPr="00BF1A4E">
          <w:rPr>
            <w:rFonts w:ascii="微软雅黑" w:eastAsia="微软雅黑" w:hAnsi="微软雅黑" w:cs="宋体"/>
            <w:kern w:val="0"/>
            <w:sz w:val="24"/>
            <w:szCs w:val="24"/>
            <w:u w:val="single"/>
          </w:rPr>
          <w:t>5K</w:t>
        </w:r>
      </w:hyperlink>
      <w:r w:rsidRPr="00BF1A4E">
        <w:rPr>
          <w:rFonts w:ascii="微软雅黑" w:eastAsia="微软雅黑" w:hAnsi="微软雅黑" w:cs="宋体"/>
          <w:kern w:val="0"/>
          <w:sz w:val="24"/>
          <w:szCs w:val="24"/>
        </w:rPr>
        <w:t xml:space="preserve">）。值得注意的是，预先用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单独或 </w:t>
      </w:r>
      <w:proofErr w:type="spellStart"/>
      <w:r w:rsidRPr="00BF1A4E">
        <w:rPr>
          <w:rFonts w:ascii="微软雅黑" w:eastAsia="微软雅黑" w:hAnsi="微软雅黑" w:cs="宋体"/>
          <w:kern w:val="0"/>
          <w:sz w:val="24"/>
          <w:szCs w:val="24"/>
        </w:rPr>
        <w:t>giredestrant-palbociclib</w:t>
      </w:r>
      <w:proofErr w:type="spellEnd"/>
      <w:r w:rsidRPr="00BF1A4E">
        <w:rPr>
          <w:rFonts w:ascii="微软雅黑" w:eastAsia="微软雅黑" w:hAnsi="微软雅黑" w:cs="宋体"/>
          <w:kern w:val="0"/>
          <w:sz w:val="24"/>
          <w:szCs w:val="24"/>
        </w:rPr>
        <w:t xml:space="preserve"> 组合处理的细胞对短期暴露于 RSL3 单药尤为敏感（图 </w:t>
      </w:r>
      <w:hyperlink r:id="rId122" w:anchor="Fig5" w:history="1">
        <w:r w:rsidRPr="00BF1A4E">
          <w:rPr>
            <w:rFonts w:ascii="微软雅黑" w:eastAsia="微软雅黑" w:hAnsi="微软雅黑" w:cs="宋体"/>
            <w:kern w:val="0"/>
            <w:sz w:val="24"/>
            <w:szCs w:val="24"/>
            <w:u w:val="single"/>
          </w:rPr>
          <w:t>5H、L</w:t>
        </w:r>
      </w:hyperlink>
      <w:r w:rsidRPr="00BF1A4E">
        <w:rPr>
          <w:rFonts w:ascii="微软雅黑" w:eastAsia="微软雅黑" w:hAnsi="微软雅黑" w:cs="宋体"/>
          <w:kern w:val="0"/>
          <w:sz w:val="24"/>
          <w:szCs w:val="24"/>
        </w:rPr>
        <w:t xml:space="preserve">）。综上所述，在用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加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对细胞进行预处理后，通过短期 GPX4 阻断可持续抑制细胞生长，这与诱导</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表型一致。</w:t>
      </w:r>
    </w:p>
    <w:p w14:paraId="5428765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ER+乳腺癌细胞系中的脂质过氧化和</w:t>
      </w:r>
      <w:proofErr w:type="gramStart"/>
      <w:r w:rsidRPr="00BF1A4E">
        <w:rPr>
          <w:rFonts w:ascii="微软雅黑" w:eastAsia="微软雅黑" w:hAnsi="微软雅黑" w:cs="宋体"/>
          <w:kern w:val="0"/>
          <w:sz w:val="32"/>
          <w:szCs w:val="32"/>
        </w:rPr>
        <w:t>铁死亡</w:t>
      </w:r>
      <w:proofErr w:type="gramEnd"/>
      <w:r w:rsidRPr="00BF1A4E">
        <w:rPr>
          <w:rFonts w:ascii="微软雅黑" w:eastAsia="微软雅黑" w:hAnsi="微软雅黑" w:cs="宋体"/>
          <w:kern w:val="0"/>
          <w:sz w:val="32"/>
          <w:szCs w:val="32"/>
        </w:rPr>
        <w:t>不依赖于ACSL4，而是由FAR1和AGPAT3促进。</w:t>
      </w:r>
    </w:p>
    <w:p w14:paraId="2F51C58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接下来，我们通过对经载体或帕博西尼处理的MCF-7细胞进行</w:t>
      </w:r>
      <w:proofErr w:type="gramStart"/>
      <w:r w:rsidRPr="00BF1A4E">
        <w:rPr>
          <w:rFonts w:ascii="微软雅黑" w:eastAsia="微软雅黑" w:hAnsi="微软雅黑" w:cs="宋体"/>
          <w:kern w:val="0"/>
          <w:sz w:val="24"/>
          <w:szCs w:val="24"/>
        </w:rPr>
        <w:t>转录组</w:t>
      </w:r>
      <w:proofErr w:type="gramEnd"/>
      <w:r w:rsidRPr="00BF1A4E">
        <w:rPr>
          <w:rFonts w:ascii="微软雅黑" w:eastAsia="微软雅黑" w:hAnsi="微软雅黑" w:cs="宋体"/>
          <w:kern w:val="0"/>
          <w:sz w:val="24"/>
          <w:szCs w:val="24"/>
        </w:rPr>
        <w:t>和全蛋白质组分析，更详细地研究了帕博西尼在ER+细胞系中诱导</w:t>
      </w:r>
      <w:proofErr w:type="gramStart"/>
      <w:r w:rsidRPr="00BF1A4E">
        <w:rPr>
          <w:rFonts w:ascii="微软雅黑" w:eastAsia="微软雅黑" w:hAnsi="微软雅黑" w:cs="宋体"/>
          <w:kern w:val="0"/>
          <w:sz w:val="24"/>
          <w:szCs w:val="24"/>
        </w:rPr>
        <w:t>铁死亡易</w:t>
      </w:r>
      <w:proofErr w:type="gramEnd"/>
      <w:r w:rsidRPr="00BF1A4E">
        <w:rPr>
          <w:rFonts w:ascii="微软雅黑" w:eastAsia="微软雅黑" w:hAnsi="微软雅黑" w:cs="宋体"/>
          <w:kern w:val="0"/>
          <w:sz w:val="24"/>
          <w:szCs w:val="24"/>
        </w:rPr>
        <w:t>感性的潜在分子机制。RNA测序分析显示，帕博西尼处理诱导了先前在衰老细胞中报道的特征</w:t>
      </w:r>
      <w:r w:rsidRPr="00BF1A4E">
        <w:rPr>
          <w:rFonts w:ascii="微软雅黑" w:eastAsia="微软雅黑" w:hAnsi="微软雅黑" w:cs="宋体"/>
          <w:kern w:val="0"/>
          <w:sz w:val="24"/>
          <w:szCs w:val="24"/>
          <w:vertAlign w:val="superscript"/>
        </w:rPr>
        <w:t>&lt;sup&gt; </w:t>
      </w:r>
      <w:hyperlink r:id="rId123" w:anchor="CR40" w:history="1">
        <w:r w:rsidRPr="00BF1A4E">
          <w:rPr>
            <w:rFonts w:ascii="微软雅黑" w:eastAsia="微软雅黑" w:hAnsi="微软雅黑" w:cs="宋体"/>
            <w:kern w:val="0"/>
            <w:sz w:val="24"/>
            <w:szCs w:val="24"/>
            <w:vertAlign w:val="superscript"/>
          </w:rPr>
          <w:t>40&lt;/sup&gt;</w:t>
        </w:r>
      </w:hyperlink>
      <w:r w:rsidRPr="00BF1A4E">
        <w:rPr>
          <w:rFonts w:ascii="微软雅黑" w:eastAsia="微软雅黑" w:hAnsi="微软雅黑" w:cs="宋体"/>
          <w:kern w:val="0"/>
          <w:sz w:val="24"/>
          <w:szCs w:val="24"/>
        </w:rPr>
        <w:t>，其中上调最显著的富集术语包括“衰老和自噬”、“细胞因子和炎症反应”、“PI3K-AKT-mTOR生存通路”和“TGF-β对细胞外基质的调控”（图 </w:t>
      </w:r>
      <w:hyperlink r:id="rId124" w:anchor="Fig6" w:history="1">
        <w:r w:rsidRPr="00BF1A4E">
          <w:rPr>
            <w:rFonts w:ascii="微软雅黑" w:eastAsia="微软雅黑" w:hAnsi="微软雅黑" w:cs="宋体"/>
            <w:kern w:val="0"/>
            <w:sz w:val="24"/>
            <w:szCs w:val="24"/>
            <w:u w:val="single"/>
          </w:rPr>
          <w:t>6A</w:t>
        </w:r>
      </w:hyperlink>
      <w:r w:rsidRPr="00BF1A4E">
        <w:rPr>
          <w:rFonts w:ascii="微软雅黑" w:eastAsia="微软雅黑" w:hAnsi="微软雅黑" w:cs="宋体"/>
          <w:kern w:val="0"/>
          <w:sz w:val="24"/>
          <w:szCs w:val="24"/>
        </w:rPr>
        <w:t> ，补充图 </w:t>
      </w:r>
      <w:hyperlink r:id="rId125" w:anchor="MOESM1" w:history="1">
        <w:r w:rsidRPr="00BF1A4E">
          <w:rPr>
            <w:rFonts w:ascii="微软雅黑" w:eastAsia="微软雅黑" w:hAnsi="微软雅黑" w:cs="宋体"/>
            <w:kern w:val="0"/>
            <w:sz w:val="24"/>
            <w:szCs w:val="24"/>
            <w:u w:val="single"/>
          </w:rPr>
          <w:t>6A、B</w:t>
        </w:r>
      </w:hyperlink>
      <w:r w:rsidRPr="00BF1A4E">
        <w:rPr>
          <w:rFonts w:ascii="微软雅黑" w:eastAsia="微软雅黑" w:hAnsi="微软雅黑" w:cs="宋体"/>
          <w:kern w:val="0"/>
          <w:sz w:val="24"/>
          <w:szCs w:val="24"/>
        </w:rPr>
        <w:t>）。我们还观察到“生物氧化”、“氧化应激”和“铁死亡”等术语的富集，其中包括编码花生四烯酸5-脂氧合酶（ALOX5）和细胞色素P450单加氧酶（CYP家族）的基因，这</w:t>
      </w:r>
      <w:proofErr w:type="gramStart"/>
      <w:r w:rsidRPr="00BF1A4E">
        <w:rPr>
          <w:rFonts w:ascii="微软雅黑" w:eastAsia="微软雅黑" w:hAnsi="微软雅黑" w:cs="宋体"/>
          <w:kern w:val="0"/>
          <w:sz w:val="24"/>
          <w:szCs w:val="24"/>
        </w:rPr>
        <w:t>两种酶均可</w:t>
      </w:r>
      <w:proofErr w:type="gramEnd"/>
      <w:r w:rsidRPr="00BF1A4E">
        <w:rPr>
          <w:rFonts w:ascii="微软雅黑" w:eastAsia="微软雅黑" w:hAnsi="微软雅黑" w:cs="宋体"/>
          <w:kern w:val="0"/>
          <w:sz w:val="24"/>
          <w:szCs w:val="24"/>
        </w:rPr>
        <w:t>促进脂质过氧化</w:t>
      </w:r>
      <w:r w:rsidRPr="00BF1A4E">
        <w:rPr>
          <w:rFonts w:ascii="微软雅黑" w:eastAsia="微软雅黑" w:hAnsi="微软雅黑" w:cs="宋体"/>
          <w:kern w:val="0"/>
          <w:sz w:val="24"/>
          <w:szCs w:val="24"/>
          <w:vertAlign w:val="superscript"/>
        </w:rPr>
        <w:t>&lt;sup&gt; </w:t>
      </w:r>
      <w:hyperlink r:id="rId126" w:anchor="CR10" w:history="1">
        <w:r w:rsidRPr="00BF1A4E">
          <w:rPr>
            <w:rFonts w:ascii="微软雅黑" w:eastAsia="微软雅黑" w:hAnsi="微软雅黑" w:cs="宋体"/>
            <w:kern w:val="0"/>
            <w:sz w:val="24"/>
            <w:szCs w:val="24"/>
            <w:vertAlign w:val="superscript"/>
          </w:rPr>
          <w:t>10</w:t>
        </w:r>
      </w:hyperlink>
      <w:r w:rsidRPr="00BF1A4E">
        <w:rPr>
          <w:rFonts w:ascii="微软雅黑" w:eastAsia="微软雅黑" w:hAnsi="微软雅黑" w:cs="宋体"/>
          <w:kern w:val="0"/>
          <w:sz w:val="24"/>
          <w:szCs w:val="24"/>
          <w:vertAlign w:val="superscript"/>
        </w:rPr>
        <w:t> , </w:t>
      </w:r>
      <w:hyperlink r:id="rId127" w:anchor="CR39" w:history="1">
        <w:r w:rsidRPr="00BF1A4E">
          <w:rPr>
            <w:rFonts w:ascii="微软雅黑" w:eastAsia="微软雅黑" w:hAnsi="微软雅黑" w:cs="宋体"/>
            <w:kern w:val="0"/>
            <w:sz w:val="24"/>
            <w:szCs w:val="24"/>
            <w:vertAlign w:val="superscript"/>
          </w:rPr>
          <w:t>39</w:t>
        </w:r>
      </w:hyperlink>
      <w:r w:rsidRPr="00BF1A4E">
        <w:rPr>
          <w:rFonts w:ascii="微软雅黑" w:eastAsia="微软雅黑" w:hAnsi="微软雅黑" w:cs="宋体"/>
          <w:kern w:val="0"/>
          <w:sz w:val="24"/>
          <w:szCs w:val="24"/>
          <w:vertAlign w:val="superscript"/>
        </w:rPr>
        <w:t> , </w:t>
      </w:r>
      <w:hyperlink r:id="rId128" w:anchor="CR41" w:history="1">
        <w:r w:rsidRPr="00BF1A4E">
          <w:rPr>
            <w:rFonts w:ascii="微软雅黑" w:eastAsia="微软雅黑" w:hAnsi="微软雅黑" w:cs="宋体"/>
            <w:kern w:val="0"/>
            <w:sz w:val="24"/>
            <w:szCs w:val="24"/>
            <w:vertAlign w:val="superscript"/>
          </w:rPr>
          <w:t>41</w:t>
        </w:r>
      </w:hyperlink>
      <w:r w:rsidRPr="00BF1A4E">
        <w:rPr>
          <w:rFonts w:ascii="微软雅黑" w:eastAsia="微软雅黑" w:hAnsi="微软雅黑" w:cs="宋体"/>
          <w:kern w:val="0"/>
          <w:sz w:val="24"/>
          <w:szCs w:val="24"/>
          <w:vertAlign w:val="superscript"/>
        </w:rPr>
        <w:t> , </w:t>
      </w:r>
      <w:hyperlink r:id="rId129" w:anchor="CR42" w:history="1">
        <w:r w:rsidRPr="00BF1A4E">
          <w:rPr>
            <w:rFonts w:ascii="微软雅黑" w:eastAsia="微软雅黑" w:hAnsi="微软雅黑" w:cs="宋体"/>
            <w:kern w:val="0"/>
            <w:sz w:val="24"/>
            <w:szCs w:val="24"/>
            <w:vertAlign w:val="superscript"/>
          </w:rPr>
          <w:t>42&lt;/sup&gt;</w:t>
        </w:r>
      </w:hyperlink>
      <w:r w:rsidRPr="00BF1A4E">
        <w:rPr>
          <w:rFonts w:ascii="微软雅黑" w:eastAsia="微软雅黑" w:hAnsi="微软雅黑" w:cs="宋体"/>
          <w:kern w:val="0"/>
          <w:sz w:val="24"/>
          <w:szCs w:val="24"/>
        </w:rPr>
        <w:t>（图 </w:t>
      </w:r>
      <w:hyperlink r:id="rId130" w:anchor="Fig6" w:history="1">
        <w:r w:rsidRPr="00BF1A4E">
          <w:rPr>
            <w:rFonts w:ascii="微软雅黑" w:eastAsia="微软雅黑" w:hAnsi="微软雅黑" w:cs="宋体"/>
            <w:kern w:val="0"/>
            <w:sz w:val="24"/>
            <w:szCs w:val="24"/>
            <w:u w:val="single"/>
          </w:rPr>
          <w:t>6A</w:t>
        </w:r>
      </w:hyperlink>
      <w:r w:rsidRPr="00BF1A4E">
        <w:rPr>
          <w:rFonts w:ascii="微软雅黑" w:eastAsia="微软雅黑" w:hAnsi="微软雅黑" w:cs="宋体"/>
          <w:kern w:val="0"/>
          <w:sz w:val="24"/>
          <w:szCs w:val="24"/>
        </w:rPr>
        <w:t>和补充图 </w:t>
      </w:r>
      <w:hyperlink r:id="rId131" w:anchor="MOESM1" w:history="1">
        <w:r w:rsidRPr="00BF1A4E">
          <w:rPr>
            <w:rFonts w:ascii="微软雅黑" w:eastAsia="微软雅黑" w:hAnsi="微软雅黑" w:cs="宋体"/>
            <w:kern w:val="0"/>
            <w:sz w:val="24"/>
            <w:szCs w:val="24"/>
            <w:u w:val="single"/>
          </w:rPr>
          <w:t>6A、B</w:t>
        </w:r>
      </w:hyperlink>
      <w:r w:rsidRPr="00BF1A4E">
        <w:rPr>
          <w:rFonts w:ascii="微软雅黑" w:eastAsia="微软雅黑" w:hAnsi="微软雅黑" w:cs="宋体"/>
          <w:kern w:val="0"/>
          <w:sz w:val="24"/>
          <w:szCs w:val="24"/>
        </w:rPr>
        <w:t>）。与之相关的是，参与脂肪酸过氧化物酶体β-氧化的蛋白质，例如乙酰辅酶氧化酶（ACOX）和CROT，在蛋</w:t>
      </w:r>
      <w:r w:rsidRPr="00BF1A4E">
        <w:rPr>
          <w:rFonts w:ascii="微软雅黑" w:eastAsia="微软雅黑" w:hAnsi="微软雅黑" w:cs="宋体"/>
          <w:kern w:val="0"/>
          <w:sz w:val="24"/>
          <w:szCs w:val="24"/>
        </w:rPr>
        <w:lastRenderedPageBreak/>
        <w:t>白质组学数据中表达上调（图 </w:t>
      </w:r>
      <w:hyperlink r:id="rId132" w:anchor="Fig6" w:history="1">
        <w:r w:rsidRPr="00BF1A4E">
          <w:rPr>
            <w:rFonts w:ascii="微软雅黑" w:eastAsia="微软雅黑" w:hAnsi="微软雅黑" w:cs="宋体"/>
            <w:kern w:val="0"/>
            <w:sz w:val="24"/>
            <w:szCs w:val="24"/>
            <w:u w:val="single"/>
          </w:rPr>
          <w:t>6B</w:t>
        </w:r>
      </w:hyperlink>
      <w:r w:rsidRPr="00BF1A4E">
        <w:rPr>
          <w:rFonts w:ascii="微软雅黑" w:eastAsia="微软雅黑" w:hAnsi="微软雅黑" w:cs="宋体"/>
          <w:kern w:val="0"/>
          <w:sz w:val="24"/>
          <w:szCs w:val="24"/>
        </w:rPr>
        <w:t>和补充图 </w:t>
      </w:r>
      <w:hyperlink r:id="rId133" w:anchor="MOESM1" w:history="1">
        <w:r w:rsidRPr="00BF1A4E">
          <w:rPr>
            <w:rFonts w:ascii="微软雅黑" w:eastAsia="微软雅黑" w:hAnsi="微软雅黑" w:cs="宋体"/>
            <w:kern w:val="0"/>
            <w:sz w:val="24"/>
            <w:szCs w:val="24"/>
            <w:u w:val="single"/>
          </w:rPr>
          <w:t>6C、D</w:t>
        </w:r>
      </w:hyperlink>
      <w:r w:rsidRPr="00BF1A4E">
        <w:rPr>
          <w:rFonts w:ascii="微软雅黑" w:eastAsia="微软雅黑" w:hAnsi="微软雅黑" w:cs="宋体"/>
          <w:kern w:val="0"/>
          <w:sz w:val="24"/>
          <w:szCs w:val="24"/>
        </w:rPr>
        <w:t>）</w:t>
      </w:r>
      <w:hyperlink r:id="rId134" w:anchor="CR16" w:history="1">
        <w:r w:rsidRPr="00BF1A4E">
          <w:rPr>
            <w:rFonts w:ascii="微软雅黑" w:eastAsia="微软雅黑" w:hAnsi="微软雅黑" w:cs="宋体"/>
            <w:kern w:val="0"/>
            <w:sz w:val="24"/>
            <w:szCs w:val="24"/>
            <w:u w:val="single"/>
            <w:vertAlign w:val="superscript"/>
          </w:rPr>
          <w:t>&lt;sup&gt;16</w:t>
        </w:r>
      </w:hyperlink>
      <w:r w:rsidRPr="00BF1A4E">
        <w:rPr>
          <w:rFonts w:ascii="微软雅黑" w:eastAsia="微软雅黑" w:hAnsi="微软雅黑" w:cs="宋体"/>
          <w:kern w:val="0"/>
          <w:sz w:val="24"/>
          <w:szCs w:val="24"/>
          <w:vertAlign w:val="superscript"/>
        </w:rPr>
        <w:t> , </w:t>
      </w:r>
      <w:hyperlink r:id="rId135" w:anchor="CR39" w:history="1">
        <w:r w:rsidRPr="00BF1A4E">
          <w:rPr>
            <w:rFonts w:ascii="微软雅黑" w:eastAsia="微软雅黑" w:hAnsi="微软雅黑" w:cs="宋体"/>
            <w:kern w:val="0"/>
            <w:sz w:val="24"/>
            <w:szCs w:val="24"/>
            <w:u w:val="single"/>
            <w:vertAlign w:val="superscript"/>
          </w:rPr>
          <w:t>39</w:t>
        </w:r>
      </w:hyperlink>
      <w:r w:rsidRPr="00BF1A4E">
        <w:rPr>
          <w:rFonts w:ascii="微软雅黑" w:eastAsia="微软雅黑" w:hAnsi="微软雅黑" w:cs="宋体"/>
          <w:kern w:val="0"/>
          <w:sz w:val="24"/>
          <w:szCs w:val="24"/>
        </w:rPr>
        <w:t> </w:t>
      </w:r>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rPr>
        <w:t xml:space="preserve"> 。参与抗氧化或解毒防御的基因在“NRF2通路”和“谷胱甘肽代谢”相关术语中也显著富集</w:t>
      </w:r>
      <w:r w:rsidRPr="00BF1A4E">
        <w:rPr>
          <w:rFonts w:ascii="微软雅黑" w:eastAsia="微软雅黑" w:hAnsi="微软雅黑" w:cs="宋体"/>
          <w:kern w:val="0"/>
          <w:sz w:val="24"/>
          <w:szCs w:val="24"/>
          <w:u w:val="single"/>
          <w:vertAlign w:val="superscript"/>
        </w:rPr>
        <w:t>&lt;sup&gt; </w:t>
      </w:r>
      <w:hyperlink r:id="rId136" w:anchor="CR10" w:history="1">
        <w:r w:rsidRPr="00BF1A4E">
          <w:rPr>
            <w:rFonts w:ascii="微软雅黑" w:eastAsia="微软雅黑" w:hAnsi="微软雅黑" w:cs="宋体"/>
            <w:kern w:val="0"/>
            <w:sz w:val="24"/>
            <w:szCs w:val="24"/>
            <w:u w:val="single"/>
            <w:vertAlign w:val="superscript"/>
          </w:rPr>
          <w:t>10&lt;/sup&gt;</w:t>
        </w:r>
      </w:hyperlink>
      <w:r w:rsidRPr="00BF1A4E">
        <w:rPr>
          <w:rFonts w:ascii="微软雅黑" w:eastAsia="微软雅黑" w:hAnsi="微软雅黑" w:cs="宋体"/>
          <w:kern w:val="0"/>
          <w:sz w:val="24"/>
          <w:szCs w:val="24"/>
        </w:rPr>
        <w:t>，证实了帕博西尼治疗后氧化还原失衡（图 </w:t>
      </w:r>
      <w:hyperlink r:id="rId137" w:anchor="Fig6" w:history="1">
        <w:r w:rsidRPr="00BF1A4E">
          <w:rPr>
            <w:rFonts w:ascii="微软雅黑" w:eastAsia="微软雅黑" w:hAnsi="微软雅黑" w:cs="宋体"/>
            <w:kern w:val="0"/>
            <w:sz w:val="24"/>
            <w:szCs w:val="24"/>
            <w:u w:val="single"/>
          </w:rPr>
          <w:t>6A</w:t>
        </w:r>
      </w:hyperlink>
      <w:r w:rsidRPr="00BF1A4E">
        <w:rPr>
          <w:rFonts w:ascii="微软雅黑" w:eastAsia="微软雅黑" w:hAnsi="微软雅黑" w:cs="宋体"/>
          <w:kern w:val="0"/>
          <w:sz w:val="24"/>
          <w:szCs w:val="24"/>
        </w:rPr>
        <w:t>和补充图 </w:t>
      </w:r>
      <w:hyperlink r:id="rId138" w:anchor="MOESM1" w:history="1">
        <w:r w:rsidRPr="00BF1A4E">
          <w:rPr>
            <w:rFonts w:ascii="微软雅黑" w:eastAsia="微软雅黑" w:hAnsi="微软雅黑" w:cs="宋体"/>
            <w:kern w:val="0"/>
            <w:sz w:val="24"/>
            <w:szCs w:val="24"/>
            <w:u w:val="single"/>
          </w:rPr>
          <w:t>6A、B</w:t>
        </w:r>
      </w:hyperlink>
      <w:r w:rsidRPr="00BF1A4E">
        <w:rPr>
          <w:rFonts w:ascii="微软雅黑" w:eastAsia="微软雅黑" w:hAnsi="微软雅黑" w:cs="宋体"/>
          <w:kern w:val="0"/>
          <w:sz w:val="24"/>
          <w:szCs w:val="24"/>
        </w:rPr>
        <w:t>）。正如先前报道，我们也在蛋白质组学数据中观察到GPX4水平降低（图 </w:t>
      </w:r>
      <w:hyperlink r:id="rId139" w:anchor="Fig6" w:history="1">
        <w:r w:rsidRPr="00BF1A4E">
          <w:rPr>
            <w:rFonts w:ascii="微软雅黑" w:eastAsia="微软雅黑" w:hAnsi="微软雅黑" w:cs="宋体"/>
            <w:kern w:val="0"/>
            <w:sz w:val="24"/>
            <w:szCs w:val="24"/>
            <w:u w:val="single"/>
          </w:rPr>
          <w:t>6D</w:t>
        </w:r>
      </w:hyperlink>
      <w:r w:rsidRPr="00BF1A4E">
        <w:rPr>
          <w:rFonts w:ascii="微软雅黑" w:eastAsia="微软雅黑" w:hAnsi="微软雅黑" w:cs="宋体"/>
          <w:kern w:val="0"/>
          <w:sz w:val="24"/>
          <w:szCs w:val="24"/>
        </w:rPr>
        <w:t>）。</w:t>
      </w:r>
    </w:p>
    <w:p w14:paraId="6F136331"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 xml:space="preserve">图 6. </w:t>
      </w:r>
      <w:proofErr w:type="gramStart"/>
      <w:r w:rsidRPr="00BF1A4E">
        <w:rPr>
          <w:rFonts w:ascii="微软雅黑" w:eastAsia="微软雅黑" w:hAnsi="微软雅黑" w:cs="宋体"/>
          <w:kern w:val="0"/>
          <w:sz w:val="30"/>
          <w:szCs w:val="30"/>
        </w:rPr>
        <w:t>转录组</w:t>
      </w:r>
      <w:proofErr w:type="gramEnd"/>
      <w:r w:rsidRPr="00BF1A4E">
        <w:rPr>
          <w:rFonts w:ascii="微软雅黑" w:eastAsia="微软雅黑" w:hAnsi="微软雅黑" w:cs="宋体"/>
          <w:kern w:val="0"/>
          <w:sz w:val="30"/>
          <w:szCs w:val="30"/>
        </w:rPr>
        <w:t>和蛋白质组数据揭示了氧化应激和脂质代谢的关键调节因子。</w:t>
      </w:r>
    </w:p>
    <w:p w14:paraId="55D153DF" w14:textId="46D2BB41"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76DECC53" wp14:editId="22F5B2A2">
            <wp:extent cx="5274310" cy="7802880"/>
            <wp:effectExtent l="0" t="0" r="2540" b="7620"/>
            <wp:docPr id="2" name="图片 2" descr="图 6">
              <a:hlinkClick xmlns:a="http://schemas.openxmlformats.org/drawingml/2006/main" r:id="rId1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381" descr="图 6">
                      <a:hlinkClick r:id="rId140" tgtFrame="&quot;_blank&quot;"/>
                    </pic:cNvPr>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274310" cy="7802880"/>
                    </a:xfrm>
                    <a:prstGeom prst="rect">
                      <a:avLst/>
                    </a:prstGeom>
                    <a:noFill/>
                    <a:ln>
                      <a:noFill/>
                    </a:ln>
                  </pic:spPr>
                </pic:pic>
              </a:graphicData>
            </a:graphic>
          </wp:inline>
        </w:drawing>
      </w:r>
    </w:p>
    <w:p w14:paraId="351F348E" w14:textId="0AD9FB35"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b/>
          <w:bCs/>
          <w:kern w:val="0"/>
          <w:sz w:val="24"/>
          <w:szCs w:val="24"/>
        </w:rPr>
        <w:t>A. 将MCF</w:t>
      </w:r>
      <w:r w:rsidRPr="00BF1A4E">
        <w:rPr>
          <w:rFonts w:ascii="微软雅黑" w:eastAsia="微软雅黑" w:hAnsi="微软雅黑" w:cs="宋体"/>
          <w:kern w:val="0"/>
          <w:sz w:val="24"/>
          <w:szCs w:val="24"/>
        </w:rPr>
        <w:t xml:space="preserve"> -7细胞用500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或载体处理12天，并进行RNA测序（</w:t>
      </w:r>
      <w:proofErr w:type="gramStart"/>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w:t>
      </w:r>
      <w:proofErr w:type="gramEnd"/>
      <w:r w:rsidRPr="00BF1A4E">
        <w:rPr>
          <w:rFonts w:ascii="微软雅黑" w:eastAsia="微软雅黑" w:hAnsi="微软雅黑" w:cs="宋体"/>
          <w:kern w:val="0"/>
          <w:sz w:val="24"/>
          <w:szCs w:val="24"/>
        </w:rPr>
        <w:t xml:space="preserve"> 2个生物学重复）。图中展示了在</w:t>
      </w:r>
      <w:proofErr w:type="spellStart"/>
      <w:r w:rsidRPr="00BF1A4E">
        <w:rPr>
          <w:rFonts w:ascii="微软雅黑" w:eastAsia="微软雅黑" w:hAnsi="微软雅黑" w:cs="宋体"/>
          <w:kern w:val="0"/>
          <w:sz w:val="24"/>
          <w:szCs w:val="24"/>
        </w:rPr>
        <w:t>Enrichr</w:t>
      </w:r>
      <w:proofErr w:type="spellEnd"/>
      <w:r w:rsidRPr="00BF1A4E">
        <w:rPr>
          <w:rFonts w:ascii="微软雅黑" w:eastAsia="微软雅黑" w:hAnsi="微软雅黑" w:cs="宋体"/>
          <w:kern w:val="0"/>
          <w:sz w:val="24"/>
          <w:szCs w:val="24"/>
        </w:rPr>
        <w:t>中以“脂质代谢和生物氧</w:t>
      </w:r>
      <w:r w:rsidRPr="00BF1A4E">
        <w:rPr>
          <w:rFonts w:ascii="微软雅黑" w:eastAsia="微软雅黑" w:hAnsi="微软雅黑" w:cs="宋体"/>
          <w:kern w:val="0"/>
          <w:sz w:val="24"/>
          <w:szCs w:val="24"/>
        </w:rPr>
        <w:lastRenderedPageBreak/>
        <w:t>化”为关键词聚类的上调基因的String网络。KEGG和</w:t>
      </w:r>
      <w:proofErr w:type="spellStart"/>
      <w:r w:rsidRPr="00BF1A4E">
        <w:rPr>
          <w:rFonts w:ascii="微软雅黑" w:eastAsia="微软雅黑" w:hAnsi="微软雅黑" w:cs="宋体"/>
          <w:kern w:val="0"/>
          <w:sz w:val="24"/>
          <w:szCs w:val="24"/>
        </w:rPr>
        <w:t>Reactome</w:t>
      </w:r>
      <w:proofErr w:type="spellEnd"/>
      <w:r w:rsidRPr="00BF1A4E">
        <w:rPr>
          <w:rFonts w:ascii="微软雅黑" w:eastAsia="微软雅黑" w:hAnsi="微软雅黑" w:cs="宋体"/>
          <w:kern w:val="0"/>
          <w:sz w:val="24"/>
          <w:szCs w:val="24"/>
        </w:rPr>
        <w:t>相关术语以颜色标示。B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 xml:space="preserve">将MCF-7细胞用500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或载体处理7天，并进行蛋白质组学分析（</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 3个生物学重复）。图中展示了在</w:t>
      </w:r>
      <w:proofErr w:type="spellStart"/>
      <w:r w:rsidRPr="00BF1A4E">
        <w:rPr>
          <w:rFonts w:ascii="微软雅黑" w:eastAsia="微软雅黑" w:hAnsi="微软雅黑" w:cs="宋体"/>
          <w:kern w:val="0"/>
          <w:sz w:val="24"/>
          <w:szCs w:val="24"/>
        </w:rPr>
        <w:t>Enrichr</w:t>
      </w:r>
      <w:proofErr w:type="spellEnd"/>
      <w:r w:rsidRPr="00BF1A4E">
        <w:rPr>
          <w:rFonts w:ascii="微软雅黑" w:eastAsia="微软雅黑" w:hAnsi="微软雅黑" w:cs="宋体"/>
          <w:kern w:val="0"/>
          <w:sz w:val="24"/>
          <w:szCs w:val="24"/>
        </w:rPr>
        <w:t>中以“脂质代谢和生物氧化”</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为关键词聚类的上调蛋白质的String网络。生物过程以颜色标示。红色圆圈标示的是参与PUFA-PL生物合成的蛋白质。C </w:t>
      </w:r>
      <w:r w:rsidRPr="00BF1A4E">
        <w:rPr>
          <w:rFonts w:ascii="微软雅黑" w:eastAsia="微软雅黑" w:hAnsi="微软雅黑" w:cs="宋体"/>
          <w:b/>
          <w:bCs/>
          <w:kern w:val="0"/>
          <w:sz w:val="24"/>
          <w:szCs w:val="24"/>
        </w:rPr>
        <w:t>、D图显示了用载体或</w:t>
      </w:r>
      <w:proofErr w:type="spellStart"/>
      <w:r w:rsidRPr="00BF1A4E">
        <w:rPr>
          <w:rFonts w:ascii="微软雅黑" w:eastAsia="微软雅黑" w:hAnsi="微软雅黑" w:cs="宋体"/>
          <w:b/>
          <w:bCs/>
          <w:kern w:val="0"/>
          <w:sz w:val="24"/>
          <w:szCs w:val="24"/>
        </w:rPr>
        <w:t>palbociclib</w:t>
      </w:r>
      <w:proofErr w:type="spellEnd"/>
      <w:r w:rsidRPr="00BF1A4E">
        <w:rPr>
          <w:rFonts w:ascii="微软雅黑" w:eastAsia="微软雅黑" w:hAnsi="微软雅黑" w:cs="宋体"/>
          <w:b/>
          <w:bCs/>
          <w:kern w:val="0"/>
          <w:sz w:val="24"/>
          <w:szCs w:val="24"/>
        </w:rPr>
        <w:t>处理的MCF-7细胞中蛋白质的丰度。图表显示了三个生物学重复（ </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3）的平均值±标准差。 </w:t>
      </w:r>
      <w:r w:rsidRPr="00BF1A4E">
        <w:rPr>
          <w:rFonts w:ascii="微软雅黑" w:eastAsia="微软雅黑" w:hAnsi="微软雅黑" w:cs="宋体"/>
          <w:b/>
          <w:bCs/>
          <w:kern w:val="0"/>
          <w:sz w:val="24"/>
          <w:szCs w:val="24"/>
        </w:rPr>
        <w:t>E.</w:t>
      </w:r>
      <w:r w:rsidRPr="00BF1A4E">
        <w:rPr>
          <w:rFonts w:ascii="微软雅黑" w:eastAsia="微软雅黑" w:hAnsi="微软雅黑" w:cs="宋体"/>
          <w:kern w:val="0"/>
          <w:sz w:val="24"/>
          <w:szCs w:val="24"/>
        </w:rPr>
        <w:t> Western blot 显示所示 ER+ 或 TNBC 细胞系中 ACSL4 和肌动蛋白的表达。</w:t>
      </w:r>
      <w:proofErr w:type="gramStart"/>
      <w:r w:rsidRPr="00BF1A4E">
        <w:rPr>
          <w:rFonts w:ascii="微软雅黑" w:eastAsia="微软雅黑" w:hAnsi="微软雅黑" w:cs="宋体"/>
          <w:kern w:val="0"/>
          <w:sz w:val="24"/>
          <w:szCs w:val="24"/>
        </w:rPr>
        <w:t>F </w:t>
      </w:r>
      <w:r w:rsidRPr="00BF1A4E">
        <w:rPr>
          <w:rFonts w:ascii="微软雅黑" w:eastAsia="微软雅黑" w:hAnsi="微软雅黑" w:cs="宋体"/>
          <w:b/>
          <w:bCs/>
          <w:kern w:val="0"/>
          <w:sz w:val="24"/>
          <w:szCs w:val="24"/>
        </w:rPr>
        <w:t>.</w:t>
      </w:r>
      <w:proofErr w:type="gramEnd"/>
      <w:r w:rsidRPr="00BF1A4E">
        <w:rPr>
          <w:rFonts w:ascii="微软雅黑" w:eastAsia="微软雅黑" w:hAnsi="微软雅黑" w:cs="宋体"/>
          <w:kern w:val="0"/>
          <w:sz w:val="24"/>
          <w:szCs w:val="24"/>
        </w:rPr>
        <w:t xml:space="preserve"> T47D、MCF-7 和 Cal51 细胞用 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(P1) 或 1000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(P2) 帕博西尼处理 7 天后进行 ACSL4 和肌动蛋白的表达分析。G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 xml:space="preserve">细胞用 siACSL4 或 siControl2 (siCON2) </w:t>
      </w:r>
      <w:proofErr w:type="spellStart"/>
      <w:r w:rsidRPr="00BF1A4E">
        <w:rPr>
          <w:rFonts w:ascii="微软雅黑" w:eastAsia="微软雅黑" w:hAnsi="微软雅黑" w:cs="宋体"/>
          <w:kern w:val="0"/>
          <w:sz w:val="24"/>
          <w:szCs w:val="24"/>
        </w:rPr>
        <w:t>SMARTpool</w:t>
      </w:r>
      <w:proofErr w:type="spellEnd"/>
      <w:r w:rsidRPr="00BF1A4E">
        <w:rPr>
          <w:rFonts w:ascii="微软雅黑" w:eastAsia="微软雅黑" w:hAnsi="微软雅黑" w:cs="宋体"/>
          <w:kern w:val="0"/>
          <w:sz w:val="24"/>
          <w:szCs w:val="24"/>
        </w:rPr>
        <w:t xml:space="preserve"> 转染 48 小时后进行克隆形成实验，并用所示浓度的帕博西尼、RSL3 或二者组合处理 12 天。（右图）图表显示 SFB 吸光度相对于 siCON2-vehicle 的比值，三个生物学重复的平均值±标准差（n = 3，</w:t>
      </w:r>
      <w:proofErr w:type="gramStart"/>
      <w:r w:rsidRPr="00BF1A4E">
        <w:rPr>
          <w:rFonts w:ascii="微软雅黑" w:eastAsia="微软雅黑" w:hAnsi="微软雅黑" w:cs="宋体"/>
          <w:kern w:val="0"/>
          <w:sz w:val="24"/>
          <w:szCs w:val="24"/>
        </w:rPr>
        <w:t>多重非</w:t>
      </w:r>
      <w:proofErr w:type="gramEnd"/>
      <w:r w:rsidRPr="00BF1A4E">
        <w:rPr>
          <w:rFonts w:ascii="微软雅黑" w:eastAsia="微软雅黑" w:hAnsi="微软雅黑" w:cs="宋体"/>
          <w:kern w:val="0"/>
          <w:sz w:val="24"/>
          <w:szCs w:val="24"/>
        </w:rPr>
        <w:t>配对 t 检验，*P &lt; 0.0001，表示 Cal120 细胞中所有处理组的 siCON2 与 siACSL4 相比）。</w:t>
      </w:r>
      <w:r w:rsidRPr="00BF1A4E">
        <w:rPr>
          <w:rFonts w:ascii="微软雅黑" w:eastAsia="微软雅黑" w:hAnsi="微软雅黑" w:cs="宋体"/>
          <w:b/>
          <w:bCs/>
          <w:kern w:val="0"/>
          <w:sz w:val="24"/>
          <w:szCs w:val="24"/>
        </w:rPr>
        <w:t>将</w:t>
      </w:r>
      <w:r w:rsidRPr="00BF1A4E">
        <w:rPr>
          <w:rFonts w:ascii="微软雅黑" w:eastAsia="微软雅黑" w:hAnsi="微软雅黑" w:cs="宋体"/>
          <w:kern w:val="0"/>
          <w:sz w:val="24"/>
          <w:szCs w:val="24"/>
        </w:rPr>
        <w:t xml:space="preserve">T47D 和 Cal120 细胞用指定的 siRNA 转染 48 小时后，用载体或 250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RSL3 处理 6 天。流式细胞术直方图显示用 BODIPY-C11 染色的细胞（测量 10,000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细胞），图中标记了活细胞。向右偏移表示脂质过氧化。“R”表示 siRNA 逆转了 RSL3 的作用。（下方）散点图显示了滤光片 B530_30A（氧化型 BODIPY）与 YG610_20-A（还原型 BODIPY）的对比。图中显示了 RSL3 处理组与载体处理组相比的偏移百分比（脂质过氧化）和细胞死亡率。</w:t>
      </w:r>
      <w:r w:rsidRPr="00BF1A4E">
        <w:rPr>
          <w:rFonts w:ascii="微软雅黑" w:eastAsia="微软雅黑" w:hAnsi="微软雅黑" w:cs="宋体"/>
          <w:b/>
          <w:bCs/>
          <w:kern w:val="0"/>
          <w:sz w:val="24"/>
          <w:szCs w:val="24"/>
        </w:rPr>
        <w:t>将T47D 和 Cal120 细胞用 siACSL4 或 siCON1 和 siCON2 转染 48 小时后，用指定的抗体进行免疫印迹分析。</w:t>
      </w:r>
    </w:p>
    <w:p w14:paraId="092FEBC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lastRenderedPageBreak/>
        <w:t>此外，帕博西尼导致参与脂质代谢的基因和蛋白质表达上调，包括“甘油磷脂和三酰甘油（TAG）生物合成”、“鞘脂合成”、“花生四烯酸代谢”和“过氧化物酶体脂质代谢”，这与脂质组</w:t>
      </w:r>
      <w:proofErr w:type="gramStart"/>
      <w:r w:rsidRPr="00BF1A4E">
        <w:rPr>
          <w:rFonts w:ascii="微软雅黑" w:eastAsia="微软雅黑" w:hAnsi="微软雅黑" w:cs="宋体"/>
          <w:kern w:val="0"/>
          <w:sz w:val="24"/>
          <w:szCs w:val="24"/>
        </w:rPr>
        <w:t>学结果</w:t>
      </w:r>
      <w:proofErr w:type="gramEnd"/>
      <w:r w:rsidRPr="00BF1A4E">
        <w:rPr>
          <w:rFonts w:ascii="微软雅黑" w:eastAsia="微软雅黑" w:hAnsi="微软雅黑" w:cs="宋体"/>
          <w:kern w:val="0"/>
          <w:sz w:val="24"/>
          <w:szCs w:val="24"/>
        </w:rPr>
        <w:t>相符（补充图 </w:t>
      </w:r>
      <w:hyperlink r:id="rId142" w:anchor="MOESM1" w:history="1">
        <w:r w:rsidRPr="00BF1A4E">
          <w:rPr>
            <w:rFonts w:ascii="微软雅黑" w:eastAsia="微软雅黑" w:hAnsi="微软雅黑" w:cs="宋体"/>
            <w:kern w:val="0"/>
            <w:sz w:val="24"/>
            <w:szCs w:val="24"/>
            <w:u w:val="single"/>
          </w:rPr>
          <w:t>6A-D</w:t>
        </w:r>
      </w:hyperlink>
      <w:r w:rsidRPr="00BF1A4E">
        <w:rPr>
          <w:rFonts w:ascii="微软雅黑" w:eastAsia="微软雅黑" w:hAnsi="微软雅黑" w:cs="宋体"/>
          <w:kern w:val="0"/>
          <w:sz w:val="24"/>
          <w:szCs w:val="24"/>
        </w:rPr>
        <w:t>）。具体而言，帕博西尼治疗导致DGAT1和AGPAT3蛋白表达上调，这两种蛋白调控TAG的合成&lt;sup&gt; </w:t>
      </w:r>
      <w:hyperlink r:id="rId143" w:anchor="CR43" w:history="1">
        <w:r w:rsidRPr="00BF1A4E">
          <w:rPr>
            <w:rFonts w:ascii="微软雅黑" w:eastAsia="微软雅黑" w:hAnsi="微软雅黑" w:cs="宋体"/>
            <w:kern w:val="0"/>
            <w:sz w:val="24"/>
            <w:szCs w:val="24"/>
            <w:u w:val="single"/>
            <w:vertAlign w:val="superscript"/>
          </w:rPr>
          <w:t>43</w:t>
        </w:r>
      </w:hyperlink>
      <w:r w:rsidRPr="00BF1A4E">
        <w:rPr>
          <w:rFonts w:ascii="微软雅黑" w:eastAsia="微软雅黑" w:hAnsi="微软雅黑" w:cs="宋体"/>
          <w:kern w:val="0"/>
          <w:sz w:val="24"/>
          <w:szCs w:val="24"/>
        </w:rPr>
        <w:t> &lt;/sup&gt; ，TAG是甘油酯的主要成分，可导致PUFA-TAG或PUFA-PL的积累（图 </w:t>
      </w:r>
      <w:hyperlink r:id="rId144" w:anchor="Fig6" w:history="1">
        <w:r w:rsidRPr="00BF1A4E">
          <w:rPr>
            <w:rFonts w:ascii="微软雅黑" w:eastAsia="微软雅黑" w:hAnsi="微软雅黑" w:cs="宋体"/>
            <w:kern w:val="0"/>
            <w:sz w:val="24"/>
            <w:szCs w:val="24"/>
            <w:u w:val="single"/>
          </w:rPr>
          <w:t>6B、C</w:t>
        </w:r>
      </w:hyperlink>
      <w:r w:rsidRPr="00BF1A4E">
        <w:rPr>
          <w:rFonts w:ascii="微软雅黑" w:eastAsia="微软雅黑" w:hAnsi="微软雅黑" w:cs="宋体"/>
          <w:kern w:val="0"/>
          <w:sz w:val="24"/>
          <w:szCs w:val="24"/>
        </w:rPr>
        <w:t>）。FAR1和AGPAT3已被证明可通过过氧化物酶体依赖性途径调控含PUFA的缩醛磷脂（醚甘油磷脂）（PUFA-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）的合成，从而促进</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"CR15"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&lt;sup&gt;15</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 </w:t>
      </w:r>
      <w:r w:rsidRPr="00BF1A4E">
        <w:rPr>
          <w:rFonts w:ascii="微软雅黑" w:eastAsia="微软雅黑" w:hAnsi="微软雅黑" w:cs="宋体"/>
          <w:kern w:val="0"/>
          <w:sz w:val="24"/>
          <w:szCs w:val="24"/>
          <w:u w:val="single"/>
          <w:vertAlign w:val="superscript"/>
        </w:rPr>
        <w:t xml:space="preserve">&lt;/sup&gt; </w:t>
      </w:r>
      <w:r w:rsidRPr="00BF1A4E">
        <w:rPr>
          <w:rFonts w:ascii="微软雅黑" w:eastAsia="微软雅黑" w:hAnsi="微软雅黑" w:cs="宋体"/>
          <w:kern w:val="0"/>
          <w:sz w:val="24"/>
          <w:szCs w:val="24"/>
        </w:rPr>
        <w:t>。</w:t>
      </w:r>
    </w:p>
    <w:p w14:paraId="0E75E481"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磷脂中的多不饱和脂肪酸（PUFA-PL）含量通常由ACSL4通路催化</w:t>
      </w:r>
      <w:r w:rsidRPr="00BF1A4E">
        <w:rPr>
          <w:rFonts w:ascii="微软雅黑" w:eastAsia="微软雅黑" w:hAnsi="微软雅黑" w:cs="宋体"/>
          <w:kern w:val="0"/>
          <w:sz w:val="24"/>
          <w:szCs w:val="24"/>
          <w:vertAlign w:val="superscript"/>
        </w:rPr>
        <w:t>&lt;sup&gt; </w:t>
      </w:r>
      <w:hyperlink r:id="rId145" w:anchor="CR10" w:history="1">
        <w:r w:rsidRPr="00BF1A4E">
          <w:rPr>
            <w:rFonts w:ascii="微软雅黑" w:eastAsia="微软雅黑" w:hAnsi="微软雅黑" w:cs="宋体"/>
            <w:kern w:val="0"/>
            <w:sz w:val="24"/>
            <w:szCs w:val="24"/>
            <w:u w:val="single"/>
            <w:vertAlign w:val="superscript"/>
          </w:rPr>
          <w:t>10,14 </w:t>
        </w:r>
      </w:hyperlink>
      <w:hyperlink r:id="rId146" w:anchor="CR14"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。然而，与TNBC细胞系相比，我们构建的ER+细胞系中ACSL4水平较低（图 </w:t>
      </w:r>
      <w:hyperlink r:id="rId147" w:anchor="Fig6" w:history="1">
        <w:r w:rsidRPr="00BF1A4E">
          <w:rPr>
            <w:rFonts w:ascii="微软雅黑" w:eastAsia="微软雅黑" w:hAnsi="微软雅黑" w:cs="宋体"/>
            <w:kern w:val="0"/>
            <w:sz w:val="24"/>
            <w:szCs w:val="24"/>
            <w:u w:val="single"/>
          </w:rPr>
          <w:t>6E</w:t>
        </w:r>
      </w:hyperlink>
      <w:r w:rsidRPr="00BF1A4E">
        <w:rPr>
          <w:rFonts w:ascii="微软雅黑" w:eastAsia="微软雅黑" w:hAnsi="微软雅黑" w:cs="宋体"/>
          <w:kern w:val="0"/>
          <w:sz w:val="24"/>
          <w:szCs w:val="24"/>
        </w:rPr>
        <w:t>）。此外，帕博西尼进一步降低了MCF-7和T47D细胞系中的ACSL4水平（图 </w:t>
      </w:r>
      <w:hyperlink r:id="rId148" w:anchor="Fig6" w:history="1">
        <w:r w:rsidRPr="00BF1A4E">
          <w:rPr>
            <w:rFonts w:ascii="微软雅黑" w:eastAsia="微软雅黑" w:hAnsi="微软雅黑" w:cs="宋体"/>
            <w:kern w:val="0"/>
            <w:sz w:val="24"/>
            <w:szCs w:val="24"/>
            <w:u w:val="single"/>
          </w:rPr>
          <w:t>6F</w:t>
        </w:r>
      </w:hyperlink>
      <w:r w:rsidRPr="00BF1A4E">
        <w:rPr>
          <w:rFonts w:ascii="微软雅黑" w:eastAsia="微软雅黑" w:hAnsi="微软雅黑" w:cs="宋体"/>
          <w:kern w:val="0"/>
          <w:sz w:val="24"/>
          <w:szCs w:val="24"/>
        </w:rPr>
        <w:t>）。在TNBC细胞系Cal120中，沉默ACSL4（图 </w:t>
      </w:r>
      <w:hyperlink r:id="rId149" w:anchor="Fig6" w:history="1">
        <w:r w:rsidRPr="00BF1A4E">
          <w:rPr>
            <w:rFonts w:ascii="微软雅黑" w:eastAsia="微软雅黑" w:hAnsi="微软雅黑" w:cs="宋体"/>
            <w:kern w:val="0"/>
            <w:sz w:val="24"/>
            <w:szCs w:val="24"/>
            <w:u w:val="single"/>
          </w:rPr>
          <w:t>6I</w:t>
        </w:r>
      </w:hyperlink>
      <w:r w:rsidRPr="00BF1A4E">
        <w:rPr>
          <w:rFonts w:ascii="微软雅黑" w:eastAsia="微软雅黑" w:hAnsi="微软雅黑" w:cs="宋体"/>
          <w:kern w:val="0"/>
          <w:sz w:val="24"/>
          <w:szCs w:val="24"/>
        </w:rPr>
        <w:t>）可挽救RSL3或二者联合诱导的克隆形成能力（图 </w:t>
      </w:r>
      <w:hyperlink r:id="rId150" w:anchor="Fig6" w:history="1">
        <w:r w:rsidRPr="00BF1A4E">
          <w:rPr>
            <w:rFonts w:ascii="微软雅黑" w:eastAsia="微软雅黑" w:hAnsi="微软雅黑" w:cs="宋体"/>
            <w:kern w:val="0"/>
            <w:sz w:val="24"/>
            <w:szCs w:val="24"/>
            <w:u w:val="single"/>
          </w:rPr>
          <w:t>6G</w:t>
        </w:r>
      </w:hyperlink>
      <w:r w:rsidRPr="00BF1A4E">
        <w:rPr>
          <w:rFonts w:ascii="微软雅黑" w:eastAsia="微软雅黑" w:hAnsi="微软雅黑" w:cs="宋体"/>
          <w:kern w:val="0"/>
          <w:sz w:val="24"/>
          <w:szCs w:val="24"/>
        </w:rPr>
        <w:t>）和脂质过氧化作用（图 </w:t>
      </w:r>
      <w:hyperlink r:id="rId151" w:anchor="Fig6" w:history="1">
        <w:r w:rsidRPr="00BF1A4E">
          <w:rPr>
            <w:rFonts w:ascii="微软雅黑" w:eastAsia="微软雅黑" w:hAnsi="微软雅黑" w:cs="宋体"/>
            <w:kern w:val="0"/>
            <w:sz w:val="24"/>
            <w:szCs w:val="24"/>
            <w:u w:val="single"/>
          </w:rPr>
          <w:t>6H</w:t>
        </w:r>
      </w:hyperlink>
      <w:r w:rsidRPr="00BF1A4E">
        <w:rPr>
          <w:rFonts w:ascii="微软雅黑" w:eastAsia="微软雅黑" w:hAnsi="微软雅黑" w:cs="宋体"/>
          <w:kern w:val="0"/>
          <w:sz w:val="24"/>
          <w:szCs w:val="24"/>
        </w:rPr>
        <w:t>），但对ER+细胞系T47D的影响甚微。因此，ACSL4-PUFA通路可能不参与ER+细胞系中的脂质过氧化作用，而参与ACSL4水平较高的TNBC细胞系中的脂质过氧化作用。</w:t>
      </w:r>
    </w:p>
    <w:p w14:paraId="5BCBD1D9" w14:textId="77777777" w:rsidR="00BF1A4E" w:rsidRPr="00BF1A4E" w:rsidRDefault="00BF1A4E" w:rsidP="00BF1A4E">
      <w:pPr>
        <w:widowControl/>
        <w:spacing w:before="450"/>
        <w:rPr>
          <w:rFonts w:ascii="微软雅黑" w:eastAsia="微软雅黑" w:hAnsi="微软雅黑" w:cs="宋体"/>
          <w:kern w:val="0"/>
          <w:sz w:val="24"/>
          <w:szCs w:val="24"/>
        </w:rPr>
      </w:pPr>
      <w:proofErr w:type="gramStart"/>
      <w:r w:rsidRPr="00BF1A4E">
        <w:rPr>
          <w:rFonts w:ascii="微软雅黑" w:eastAsia="微软雅黑" w:hAnsi="微软雅黑" w:cs="宋体"/>
          <w:kern w:val="0"/>
          <w:sz w:val="24"/>
          <w:szCs w:val="24"/>
        </w:rPr>
        <w:t>转录组</w:t>
      </w:r>
      <w:proofErr w:type="gramEnd"/>
      <w:r w:rsidRPr="00BF1A4E">
        <w:rPr>
          <w:rFonts w:ascii="微软雅黑" w:eastAsia="微软雅黑" w:hAnsi="微软雅黑" w:cs="宋体"/>
          <w:kern w:val="0"/>
          <w:sz w:val="24"/>
          <w:szCs w:val="24"/>
        </w:rPr>
        <w:t>和蛋白质组学数据表明，ER+细胞中PUFA-PLs的生成可能由过氧化物酶体依赖性途径催化（图 </w:t>
      </w:r>
      <w:hyperlink r:id="rId152" w:anchor="Fig6" w:history="1">
        <w:r w:rsidRPr="00BF1A4E">
          <w:rPr>
            <w:rFonts w:ascii="微软雅黑" w:eastAsia="微软雅黑" w:hAnsi="微软雅黑" w:cs="宋体"/>
            <w:kern w:val="0"/>
            <w:sz w:val="24"/>
            <w:szCs w:val="24"/>
            <w:u w:val="single"/>
          </w:rPr>
          <w:t>6B</w:t>
        </w:r>
      </w:hyperlink>
      <w:r w:rsidRPr="00BF1A4E">
        <w:rPr>
          <w:rFonts w:ascii="微软雅黑" w:eastAsia="微软雅黑" w:hAnsi="微软雅黑" w:cs="宋体"/>
          <w:kern w:val="0"/>
          <w:sz w:val="24"/>
          <w:szCs w:val="24"/>
        </w:rPr>
        <w:t>）。在</w:t>
      </w:r>
      <w:proofErr w:type="gramStart"/>
      <w:r w:rsidRPr="00BF1A4E">
        <w:rPr>
          <w:rFonts w:ascii="微软雅黑" w:eastAsia="微软雅黑" w:hAnsi="微软雅黑" w:cs="宋体"/>
          <w:kern w:val="0"/>
          <w:sz w:val="24"/>
          <w:szCs w:val="24"/>
        </w:rPr>
        <w:t>该途径</w:t>
      </w:r>
      <w:proofErr w:type="gramEnd"/>
      <w:r w:rsidRPr="00BF1A4E">
        <w:rPr>
          <w:rFonts w:ascii="微软雅黑" w:eastAsia="微软雅黑" w:hAnsi="微软雅黑" w:cs="宋体"/>
          <w:kern w:val="0"/>
          <w:sz w:val="24"/>
          <w:szCs w:val="24"/>
        </w:rPr>
        <w:t>中，过氧化物酶体酶（包括FAR1）</w:t>
      </w:r>
      <w:proofErr w:type="gramStart"/>
      <w:r w:rsidRPr="00BF1A4E">
        <w:rPr>
          <w:rFonts w:ascii="微软雅黑" w:eastAsia="微软雅黑" w:hAnsi="微软雅黑" w:cs="宋体"/>
          <w:kern w:val="0"/>
          <w:sz w:val="24"/>
          <w:szCs w:val="24"/>
        </w:rPr>
        <w:t>合成醚脂前体</w:t>
      </w:r>
      <w:proofErr w:type="gramEnd"/>
      <w:r w:rsidRPr="00BF1A4E">
        <w:rPr>
          <w:rFonts w:ascii="微软雅黑" w:eastAsia="微软雅黑" w:hAnsi="微软雅黑" w:cs="宋体"/>
          <w:kern w:val="0"/>
          <w:sz w:val="24"/>
          <w:szCs w:val="24"/>
        </w:rPr>
        <w:t>，而内质网酶（例如AGPAT3）催化PUFA-</w:t>
      </w:r>
      <w:proofErr w:type="spellStart"/>
      <w:r w:rsidRPr="00BF1A4E">
        <w:rPr>
          <w:rFonts w:ascii="微软雅黑" w:eastAsia="微软雅黑" w:hAnsi="微软雅黑" w:cs="宋体"/>
          <w:kern w:val="0"/>
          <w:sz w:val="24"/>
          <w:szCs w:val="24"/>
        </w:rPr>
        <w:t>ePLs</w:t>
      </w:r>
      <w:proofErr w:type="spellEnd"/>
      <w:r w:rsidRPr="00BF1A4E">
        <w:rPr>
          <w:rFonts w:ascii="微软雅黑" w:eastAsia="微软雅黑" w:hAnsi="微软雅黑" w:cs="宋体"/>
          <w:kern w:val="0"/>
          <w:sz w:val="24"/>
          <w:szCs w:val="24"/>
        </w:rPr>
        <w:t>（或PUFA-缩醛磷脂）的合成</w:t>
      </w:r>
      <w:r w:rsidRPr="00BF1A4E">
        <w:rPr>
          <w:rFonts w:ascii="微软雅黑" w:eastAsia="微软雅黑" w:hAnsi="微软雅黑" w:cs="宋体"/>
          <w:kern w:val="0"/>
          <w:sz w:val="24"/>
          <w:szCs w:val="24"/>
          <w:u w:val="single"/>
          <w:vertAlign w:val="superscript"/>
        </w:rPr>
        <w:t>&lt;sup&gt; </w:t>
      </w:r>
      <w:hyperlink r:id="rId153" w:anchor="CR15" w:history="1">
        <w:r w:rsidRPr="00BF1A4E">
          <w:rPr>
            <w:rFonts w:ascii="微软雅黑" w:eastAsia="微软雅黑" w:hAnsi="微软雅黑" w:cs="宋体"/>
            <w:kern w:val="0"/>
            <w:sz w:val="24"/>
            <w:szCs w:val="24"/>
            <w:u w:val="single"/>
            <w:vertAlign w:val="superscript"/>
          </w:rPr>
          <w:t>15&lt;/sup&gt;</w:t>
        </w:r>
      </w:hyperlink>
      <w:r w:rsidRPr="00BF1A4E">
        <w:rPr>
          <w:rFonts w:ascii="微软雅黑" w:eastAsia="微软雅黑" w:hAnsi="微软雅黑" w:cs="宋体"/>
          <w:kern w:val="0"/>
          <w:sz w:val="24"/>
          <w:szCs w:val="24"/>
        </w:rPr>
        <w:t>。为了研究它们在ER+乳腺癌模型中</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 xml:space="preserve">中的作用，我们使用siRNA </w:t>
      </w:r>
      <w:proofErr w:type="spellStart"/>
      <w:r w:rsidRPr="00BF1A4E">
        <w:rPr>
          <w:rFonts w:ascii="微软雅黑" w:eastAsia="微软雅黑" w:hAnsi="微软雅黑" w:cs="宋体"/>
          <w:kern w:val="0"/>
          <w:sz w:val="24"/>
          <w:szCs w:val="24"/>
        </w:rPr>
        <w:t>SMARTpools</w:t>
      </w:r>
      <w:proofErr w:type="spellEnd"/>
      <w:r w:rsidRPr="00BF1A4E">
        <w:rPr>
          <w:rFonts w:ascii="微软雅黑" w:eastAsia="微软雅黑" w:hAnsi="微软雅黑" w:cs="宋体"/>
          <w:kern w:val="0"/>
          <w:sz w:val="24"/>
          <w:szCs w:val="24"/>
        </w:rPr>
        <w:t>或CRISPR sgRNA</w:t>
      </w:r>
      <w:proofErr w:type="gramStart"/>
      <w:r w:rsidRPr="00BF1A4E">
        <w:rPr>
          <w:rFonts w:ascii="微软雅黑" w:eastAsia="微软雅黑" w:hAnsi="微软雅黑" w:cs="宋体"/>
          <w:kern w:val="0"/>
          <w:sz w:val="24"/>
          <w:szCs w:val="24"/>
        </w:rPr>
        <w:t>方法敲低了</w:t>
      </w:r>
      <w:proofErr w:type="gramEnd"/>
      <w:r w:rsidRPr="00BF1A4E">
        <w:rPr>
          <w:rFonts w:ascii="微软雅黑" w:eastAsia="微软雅黑" w:hAnsi="微软雅黑" w:cs="宋体"/>
          <w:kern w:val="0"/>
          <w:sz w:val="24"/>
          <w:szCs w:val="24"/>
        </w:rPr>
        <w:t>AGPAT3和FAR1，</w:t>
      </w:r>
      <w:r w:rsidRPr="00BF1A4E">
        <w:rPr>
          <w:rFonts w:ascii="微软雅黑" w:eastAsia="微软雅黑" w:hAnsi="微软雅黑" w:cs="宋体"/>
          <w:kern w:val="0"/>
          <w:sz w:val="24"/>
          <w:szCs w:val="24"/>
        </w:rPr>
        <w:lastRenderedPageBreak/>
        <w:t>并在克隆形成实验（图 </w:t>
      </w:r>
      <w:hyperlink r:id="rId154" w:anchor="Fig7" w:history="1">
        <w:r w:rsidRPr="00BF1A4E">
          <w:rPr>
            <w:rFonts w:ascii="微软雅黑" w:eastAsia="微软雅黑" w:hAnsi="微软雅黑" w:cs="宋体"/>
            <w:kern w:val="0"/>
            <w:sz w:val="24"/>
            <w:szCs w:val="24"/>
            <w:u w:val="single"/>
          </w:rPr>
          <w:t>7A</w:t>
        </w:r>
      </w:hyperlink>
      <w:r w:rsidRPr="00BF1A4E">
        <w:rPr>
          <w:rFonts w:ascii="微软雅黑" w:eastAsia="微软雅黑" w:hAnsi="微软雅黑" w:cs="宋体"/>
          <w:kern w:val="0"/>
          <w:sz w:val="24"/>
          <w:szCs w:val="24"/>
        </w:rPr>
        <w:t>和补充图 </w:t>
      </w:r>
      <w:hyperlink r:id="rId155" w:anchor="MOESM1" w:history="1">
        <w:r w:rsidRPr="00BF1A4E">
          <w:rPr>
            <w:rFonts w:ascii="微软雅黑" w:eastAsia="微软雅黑" w:hAnsi="微软雅黑" w:cs="宋体"/>
            <w:kern w:val="0"/>
            <w:sz w:val="24"/>
            <w:szCs w:val="24"/>
            <w:u w:val="single"/>
          </w:rPr>
          <w:t>7C</w:t>
        </w:r>
      </w:hyperlink>
      <w:r w:rsidRPr="00BF1A4E">
        <w:rPr>
          <w:rFonts w:ascii="微软雅黑" w:eastAsia="微软雅黑" w:hAnsi="微软雅黑" w:cs="宋体"/>
          <w:kern w:val="0"/>
          <w:sz w:val="24"/>
          <w:szCs w:val="24"/>
        </w:rPr>
        <w:t>）和细胞存活实验（补充图 </w:t>
      </w:r>
      <w:hyperlink r:id="rId156" w:anchor="MOESM1" w:history="1">
        <w:r w:rsidRPr="00BF1A4E">
          <w:rPr>
            <w:rFonts w:ascii="微软雅黑" w:eastAsia="微软雅黑" w:hAnsi="微软雅黑" w:cs="宋体"/>
            <w:kern w:val="0"/>
            <w:sz w:val="24"/>
            <w:szCs w:val="24"/>
            <w:u w:val="single"/>
          </w:rPr>
          <w:t>7A、B</w:t>
        </w:r>
      </w:hyperlink>
      <w:r w:rsidRPr="00BF1A4E">
        <w:rPr>
          <w:rFonts w:ascii="微软雅黑" w:eastAsia="微软雅黑" w:hAnsi="微软雅黑" w:cs="宋体"/>
          <w:kern w:val="0"/>
          <w:sz w:val="24"/>
          <w:szCs w:val="24"/>
        </w:rPr>
        <w:t>）中用</w:t>
      </w:r>
      <w:proofErr w:type="spellStart"/>
      <w:r w:rsidRPr="00BF1A4E">
        <w:rPr>
          <w:rFonts w:ascii="微软雅黑" w:eastAsia="微软雅黑" w:hAnsi="微软雅黑" w:cs="宋体"/>
          <w:kern w:val="0"/>
          <w:sz w:val="24"/>
          <w:szCs w:val="24"/>
        </w:rPr>
        <w:t>palbocicilib</w:t>
      </w:r>
      <w:proofErr w:type="spellEnd"/>
      <w:r w:rsidRPr="00BF1A4E">
        <w:rPr>
          <w:rFonts w:ascii="微软雅黑" w:eastAsia="微软雅黑" w:hAnsi="微软雅黑" w:cs="宋体"/>
          <w:kern w:val="0"/>
          <w:sz w:val="24"/>
          <w:szCs w:val="24"/>
        </w:rPr>
        <w:t>、RSL3或二者联合处理MCF-7和T47D细胞。</w:t>
      </w:r>
      <w:proofErr w:type="gramStart"/>
      <w:r w:rsidRPr="00BF1A4E">
        <w:rPr>
          <w:rFonts w:ascii="微软雅黑" w:eastAsia="微软雅黑" w:hAnsi="微软雅黑" w:cs="宋体"/>
          <w:kern w:val="0"/>
          <w:sz w:val="24"/>
          <w:szCs w:val="24"/>
        </w:rPr>
        <w:t>敲低</w:t>
      </w:r>
      <w:proofErr w:type="gramEnd"/>
      <w:r w:rsidRPr="00BF1A4E">
        <w:rPr>
          <w:rFonts w:ascii="微软雅黑" w:eastAsia="微软雅黑" w:hAnsi="微软雅黑" w:cs="宋体"/>
          <w:kern w:val="0"/>
          <w:sz w:val="24"/>
          <w:szCs w:val="24"/>
        </w:rPr>
        <w:t>AGPAT3可降低ER+细胞系MCF-7和T47D对RSL3的敏感性（图 </w:t>
      </w:r>
      <w:hyperlink r:id="rId157" w:anchor="Fig7" w:history="1">
        <w:r w:rsidRPr="00BF1A4E">
          <w:rPr>
            <w:rFonts w:ascii="微软雅黑" w:eastAsia="微软雅黑" w:hAnsi="微软雅黑" w:cs="宋体"/>
            <w:kern w:val="0"/>
            <w:sz w:val="24"/>
            <w:szCs w:val="24"/>
            <w:u w:val="single"/>
          </w:rPr>
          <w:t>7A</w:t>
        </w:r>
      </w:hyperlink>
      <w:r w:rsidRPr="00BF1A4E">
        <w:rPr>
          <w:rFonts w:ascii="微软雅黑" w:eastAsia="微软雅黑" w:hAnsi="微软雅黑" w:cs="宋体"/>
          <w:kern w:val="0"/>
          <w:sz w:val="24"/>
          <w:szCs w:val="24"/>
        </w:rPr>
        <w:t>和补充图 </w:t>
      </w:r>
      <w:hyperlink r:id="rId158" w:anchor="MOESM1" w:history="1">
        <w:r w:rsidRPr="00BF1A4E">
          <w:rPr>
            <w:rFonts w:ascii="微软雅黑" w:eastAsia="微软雅黑" w:hAnsi="微软雅黑" w:cs="宋体"/>
            <w:kern w:val="0"/>
            <w:sz w:val="24"/>
            <w:szCs w:val="24"/>
            <w:u w:val="single"/>
          </w:rPr>
          <w:t>7A</w:t>
        </w:r>
      </w:hyperlink>
      <w:r w:rsidRPr="00BF1A4E">
        <w:rPr>
          <w:rFonts w:ascii="微软雅黑" w:eastAsia="微软雅黑" w:hAnsi="微软雅黑" w:cs="宋体"/>
          <w:kern w:val="0"/>
          <w:sz w:val="24"/>
          <w:szCs w:val="24"/>
        </w:rPr>
        <w:t>），但对TNBC细胞系Cal51无影响（补充图 </w:t>
      </w:r>
      <w:hyperlink r:id="rId159" w:anchor="MOESM1" w:history="1">
        <w:r w:rsidRPr="00BF1A4E">
          <w:rPr>
            <w:rFonts w:ascii="微软雅黑" w:eastAsia="微软雅黑" w:hAnsi="微软雅黑" w:cs="宋体"/>
            <w:kern w:val="0"/>
            <w:sz w:val="24"/>
            <w:szCs w:val="24"/>
            <w:u w:val="single"/>
          </w:rPr>
          <w:t>7B</w:t>
        </w:r>
      </w:hyperlink>
      <w:r w:rsidRPr="00BF1A4E">
        <w:rPr>
          <w:rFonts w:ascii="微软雅黑" w:eastAsia="微软雅黑" w:hAnsi="微软雅黑" w:cs="宋体"/>
          <w:kern w:val="0"/>
          <w:sz w:val="24"/>
          <w:szCs w:val="24"/>
        </w:rPr>
        <w:t>）。靶向FAR1同样可诱导T47D细胞对RSL3产生耐药性，但对MCF-7细胞无影响（图 </w:t>
      </w:r>
      <w:hyperlink r:id="rId160" w:anchor="Fig7" w:history="1">
        <w:r w:rsidRPr="00BF1A4E">
          <w:rPr>
            <w:rFonts w:ascii="微软雅黑" w:eastAsia="微软雅黑" w:hAnsi="微软雅黑" w:cs="宋体"/>
            <w:kern w:val="0"/>
            <w:sz w:val="24"/>
            <w:szCs w:val="24"/>
            <w:u w:val="single"/>
          </w:rPr>
          <w:t>7A</w:t>
        </w:r>
      </w:hyperlink>
      <w:r w:rsidRPr="00BF1A4E">
        <w:rPr>
          <w:rFonts w:ascii="微软雅黑" w:eastAsia="微软雅黑" w:hAnsi="微软雅黑" w:cs="宋体"/>
          <w:kern w:val="0"/>
          <w:sz w:val="24"/>
          <w:szCs w:val="24"/>
        </w:rPr>
        <w:t>和补充图 </w:t>
      </w:r>
      <w:hyperlink r:id="rId161" w:anchor="MOESM1" w:history="1">
        <w:r w:rsidRPr="00BF1A4E">
          <w:rPr>
            <w:rFonts w:ascii="微软雅黑" w:eastAsia="微软雅黑" w:hAnsi="微软雅黑" w:cs="宋体"/>
            <w:kern w:val="0"/>
            <w:sz w:val="24"/>
            <w:szCs w:val="24"/>
            <w:u w:val="single"/>
          </w:rPr>
          <w:t>7C</w:t>
        </w:r>
      </w:hyperlink>
      <w:r w:rsidRPr="00BF1A4E">
        <w:rPr>
          <w:rFonts w:ascii="微软雅黑" w:eastAsia="微软雅黑" w:hAnsi="微软雅黑" w:cs="宋体"/>
          <w:kern w:val="0"/>
          <w:sz w:val="24"/>
          <w:szCs w:val="24"/>
        </w:rPr>
        <w:t>）。此外，在BODIPY-C11荧光测定中，</w:t>
      </w:r>
      <w:proofErr w:type="gramStart"/>
      <w:r w:rsidRPr="00BF1A4E">
        <w:rPr>
          <w:rFonts w:ascii="微软雅黑" w:eastAsia="微软雅黑" w:hAnsi="微软雅黑" w:cs="宋体"/>
          <w:kern w:val="0"/>
          <w:sz w:val="24"/>
          <w:szCs w:val="24"/>
        </w:rPr>
        <w:t>敲低</w:t>
      </w:r>
      <w:proofErr w:type="gramEnd"/>
      <w:r w:rsidRPr="00BF1A4E">
        <w:rPr>
          <w:rFonts w:ascii="微软雅黑" w:eastAsia="微软雅黑" w:hAnsi="微软雅黑" w:cs="宋体"/>
          <w:kern w:val="0"/>
          <w:sz w:val="24"/>
          <w:szCs w:val="24"/>
        </w:rPr>
        <w:t>MCF-7细胞中的AGPAT3可降低RSL3诱导的脂质过氧化，</w:t>
      </w:r>
      <w:proofErr w:type="gramStart"/>
      <w:r w:rsidRPr="00BF1A4E">
        <w:rPr>
          <w:rFonts w:ascii="微软雅黑" w:eastAsia="微软雅黑" w:hAnsi="微软雅黑" w:cs="宋体"/>
          <w:kern w:val="0"/>
          <w:sz w:val="24"/>
          <w:szCs w:val="24"/>
        </w:rPr>
        <w:t>而敲低</w:t>
      </w:r>
      <w:proofErr w:type="gramEnd"/>
      <w:r w:rsidRPr="00BF1A4E">
        <w:rPr>
          <w:rFonts w:ascii="微软雅黑" w:eastAsia="微软雅黑" w:hAnsi="微软雅黑" w:cs="宋体"/>
          <w:kern w:val="0"/>
          <w:sz w:val="24"/>
          <w:szCs w:val="24"/>
        </w:rPr>
        <w:t>T47D细胞中的AGPAT3和FAR1均可降低RSL3诱导的脂质过氧化（图 </w:t>
      </w:r>
      <w:hyperlink r:id="rId162" w:anchor="Fig7" w:history="1">
        <w:r w:rsidRPr="00BF1A4E">
          <w:rPr>
            <w:rFonts w:ascii="微软雅黑" w:eastAsia="微软雅黑" w:hAnsi="微软雅黑" w:cs="宋体"/>
            <w:kern w:val="0"/>
            <w:sz w:val="24"/>
            <w:szCs w:val="24"/>
            <w:u w:val="single"/>
          </w:rPr>
          <w:t>7B</w:t>
        </w:r>
      </w:hyperlink>
      <w:r w:rsidRPr="00BF1A4E">
        <w:rPr>
          <w:rFonts w:ascii="微软雅黑" w:eastAsia="微软雅黑" w:hAnsi="微软雅黑" w:cs="宋体"/>
          <w:kern w:val="0"/>
          <w:sz w:val="24"/>
          <w:szCs w:val="24"/>
        </w:rPr>
        <w:t>）。因此，MCF-7 细胞中的脂质过氧化和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依赖于 AGPAT3，而 T47D 细胞中的脂质过氧化和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依赖于 FAR1-AGPAT3，这表明过氧化物酶体途径，而不是经典的 ACSL4 途径，与</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的脆弱性有关。</w:t>
      </w:r>
    </w:p>
    <w:p w14:paraId="353E5962"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图 7. AGPAT3/FAR1 调节 ER+ 细胞系中的 PUFA 过氧化。</w:t>
      </w:r>
    </w:p>
    <w:p w14:paraId="33F7DF7E" w14:textId="017E7655" w:rsidR="00BF1A4E" w:rsidRPr="00BF1A4E" w:rsidRDefault="00BF1A4E" w:rsidP="00BF1A4E">
      <w:pPr>
        <w:widowControl/>
        <w:spacing w:before="450"/>
        <w:rPr>
          <w:rFonts w:ascii="微软雅黑" w:eastAsia="微软雅黑" w:hAnsi="微软雅黑" w:cs="宋体"/>
          <w:kern w:val="0"/>
          <w:sz w:val="24"/>
          <w:szCs w:val="24"/>
        </w:rPr>
      </w:pPr>
      <w:r w:rsidRPr="0092390F">
        <w:rPr>
          <w:rFonts w:ascii="微软雅黑" w:eastAsia="微软雅黑" w:hAnsi="微软雅黑" w:cs="宋体"/>
          <w:noProof/>
          <w:kern w:val="0"/>
          <w:sz w:val="24"/>
          <w:szCs w:val="24"/>
        </w:rPr>
        <w:lastRenderedPageBreak/>
        <w:drawing>
          <wp:inline distT="0" distB="0" distL="0" distR="0" wp14:anchorId="5C519366" wp14:editId="4BE3E96A">
            <wp:extent cx="5274310" cy="6978015"/>
            <wp:effectExtent l="0" t="0" r="2540" b="0"/>
            <wp:docPr id="1" name="图片 1" descr="图 7">
              <a:hlinkClick xmlns:a="http://schemas.openxmlformats.org/drawingml/2006/main" r:id="rId1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531" descr="图 7">
                      <a:hlinkClick r:id="rId163" tgtFrame="&quot;_blank&quot;"/>
                    </pic:cNvPr>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274310" cy="6978015"/>
                    </a:xfrm>
                    <a:prstGeom prst="rect">
                      <a:avLst/>
                    </a:prstGeom>
                    <a:noFill/>
                    <a:ln>
                      <a:noFill/>
                    </a:ln>
                  </pic:spPr>
                </pic:pic>
              </a:graphicData>
            </a:graphic>
          </wp:inline>
        </w:drawing>
      </w:r>
    </w:p>
    <w:p w14:paraId="55D46B11" w14:textId="77777777" w:rsidR="00BF1A4E" w:rsidRPr="00BF1A4E" w:rsidRDefault="00BF1A4E" w:rsidP="00BF1A4E">
      <w:pPr>
        <w:widowControl/>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将细胞用指定的 siRNA 或 siControl2 (siCON2) </w:t>
      </w:r>
      <w:proofErr w:type="spellStart"/>
      <w:r w:rsidRPr="00BF1A4E">
        <w:rPr>
          <w:rFonts w:ascii="微软雅黑" w:eastAsia="微软雅黑" w:hAnsi="微软雅黑" w:cs="宋体"/>
          <w:kern w:val="0"/>
          <w:sz w:val="24"/>
          <w:szCs w:val="24"/>
        </w:rPr>
        <w:t>SMARTpool</w:t>
      </w:r>
      <w:proofErr w:type="spellEnd"/>
      <w:r w:rsidRPr="00BF1A4E">
        <w:rPr>
          <w:rFonts w:ascii="微软雅黑" w:eastAsia="微软雅黑" w:hAnsi="微软雅黑" w:cs="宋体"/>
          <w:kern w:val="0"/>
          <w:sz w:val="24"/>
          <w:szCs w:val="24"/>
        </w:rPr>
        <w:t xml:space="preserve"> 转染 48 小时，然后用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、RSL3 或二者联合处理 12 天，检测其克隆形成存活率。（右图）SFB 相对吸光度值，以 siCON2-vehicle 为基准进行标准化，三个生物学重复的平均值±标准差（</w:t>
      </w:r>
      <w:r w:rsidRPr="00BF1A4E">
        <w:rPr>
          <w:rFonts w:ascii="微软雅黑" w:eastAsia="微软雅黑" w:hAnsi="微软雅黑" w:cs="宋体"/>
          <w:b/>
          <w:bCs/>
          <w:kern w:val="0"/>
          <w:sz w:val="24"/>
          <w:szCs w:val="24"/>
        </w:rPr>
        <w:t>n </w:t>
      </w:r>
      <w:r w:rsidRPr="00BF1A4E">
        <w:rPr>
          <w:rFonts w:ascii="微软雅黑" w:eastAsia="微软雅黑" w:hAnsi="微软雅黑" w:cs="宋体"/>
          <w:i/>
          <w:iCs/>
          <w:kern w:val="0"/>
          <w:sz w:val="24"/>
          <w:szCs w:val="24"/>
        </w:rPr>
        <w:t>=</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3，</w:t>
      </w:r>
      <w:proofErr w:type="gramStart"/>
      <w:r w:rsidRPr="00BF1A4E">
        <w:rPr>
          <w:rFonts w:ascii="微软雅黑" w:eastAsia="微软雅黑" w:hAnsi="微软雅黑" w:cs="宋体"/>
          <w:kern w:val="0"/>
          <w:sz w:val="24"/>
          <w:szCs w:val="24"/>
        </w:rPr>
        <w:t>多重非</w:t>
      </w:r>
      <w:proofErr w:type="gramEnd"/>
      <w:r w:rsidRPr="00BF1A4E">
        <w:rPr>
          <w:rFonts w:ascii="微软雅黑" w:eastAsia="微软雅黑" w:hAnsi="微软雅黑" w:cs="宋体"/>
          <w:kern w:val="0"/>
          <w:sz w:val="24"/>
          <w:szCs w:val="24"/>
        </w:rPr>
        <w:t>配对 t 检验，*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0.0032，**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lastRenderedPageBreak/>
        <w:t>&lt; 0.0001，MCF-7 细胞中 siCON2 与 siAGPAT3 比较；*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0.001，**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0.0001，T47D 细胞中 siCON2 与 siAGPAT3 比较；*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0.0004，** </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 0.00001，T47D 细胞中 siCON2 与 siFAR1 比较）。将</w:t>
      </w:r>
      <w:r w:rsidRPr="00BF1A4E">
        <w:rPr>
          <w:rFonts w:ascii="微软雅黑" w:eastAsia="微软雅黑" w:hAnsi="微软雅黑" w:cs="宋体"/>
          <w:b/>
          <w:bCs/>
          <w:kern w:val="0"/>
          <w:sz w:val="24"/>
          <w:szCs w:val="24"/>
        </w:rPr>
        <w:t>B</w:t>
      </w:r>
      <w:r w:rsidRPr="00BF1A4E">
        <w:rPr>
          <w:rFonts w:ascii="微软雅黑" w:eastAsia="微软雅黑" w:hAnsi="微软雅黑" w:cs="宋体"/>
          <w:kern w:val="0"/>
          <w:sz w:val="24"/>
          <w:szCs w:val="24"/>
        </w:rPr>
        <w:t xml:space="preserve">细胞用指定的siRNA转染48小时后，用载体或RSL3（MCF-7细胞浓度为1.2 µM，T47D细胞浓度为250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处理6天。流式细胞术分析BODIPY-C11染色细胞（测量10,000个细胞）的直方图，图中显示了活细胞的门控情况。向右偏移表明发生了脂质过氧化。“R”表示siRNA逆转了RSL3的作用。（下方）散点图显示了滤光片B530_30A（氧化型BODIPY）与YG610_20-A（还原型BODIPY）的对比。图中显示了RSL3组与载体组相比的偏移百分比（脂质过氧化）和细胞死亡率。</w:t>
      </w:r>
      <w:r w:rsidRPr="00BF1A4E">
        <w:rPr>
          <w:rFonts w:ascii="微软雅黑" w:eastAsia="微软雅黑" w:hAnsi="微软雅黑" w:cs="宋体"/>
          <w:b/>
          <w:bCs/>
          <w:kern w:val="0"/>
          <w:sz w:val="24"/>
          <w:szCs w:val="24"/>
        </w:rPr>
        <w:t>C</w:t>
      </w:r>
      <w:r w:rsidRPr="00BF1A4E">
        <w:rPr>
          <w:rFonts w:ascii="微软雅黑" w:eastAsia="微软雅黑" w:hAnsi="微软雅黑" w:cs="宋体"/>
          <w:kern w:val="0"/>
          <w:sz w:val="24"/>
          <w:szCs w:val="24"/>
        </w:rPr>
        <w:t>、</w:t>
      </w:r>
      <w:r w:rsidRPr="00BF1A4E">
        <w:rPr>
          <w:rFonts w:ascii="微软雅黑" w:eastAsia="微软雅黑" w:hAnsi="微软雅黑" w:cs="宋体"/>
          <w:b/>
          <w:bCs/>
          <w:kern w:val="0"/>
          <w:sz w:val="24"/>
          <w:szCs w:val="24"/>
        </w:rPr>
        <w:t>D：</w:t>
      </w:r>
      <w:r w:rsidRPr="00BF1A4E">
        <w:rPr>
          <w:rFonts w:ascii="微软雅黑" w:eastAsia="微软雅黑" w:hAnsi="微软雅黑" w:cs="宋体"/>
          <w:kern w:val="0"/>
          <w:sz w:val="24"/>
          <w:szCs w:val="24"/>
        </w:rPr>
        <w:t xml:space="preserve"> MCF-7 和 T47D 细胞经指定 siRNA 转染 48 小时后，分别用载体或 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帕博西尼处理 5 天，进行蛋白质印迹分析。E </w:t>
      </w:r>
      <w:r w:rsidRPr="00BF1A4E">
        <w:rPr>
          <w:rFonts w:ascii="微软雅黑" w:eastAsia="微软雅黑" w:hAnsi="微软雅黑" w:cs="宋体"/>
          <w:b/>
          <w:bCs/>
          <w:kern w:val="0"/>
          <w:sz w:val="24"/>
          <w:szCs w:val="24"/>
        </w:rPr>
        <w:t>：</w:t>
      </w:r>
      <w:r w:rsidRPr="00BF1A4E">
        <w:rPr>
          <w:rFonts w:ascii="微软雅黑" w:eastAsia="微软雅黑" w:hAnsi="微软雅黑" w:cs="宋体"/>
          <w:kern w:val="0"/>
          <w:sz w:val="24"/>
          <w:szCs w:val="24"/>
        </w:rPr>
        <w:t>示意图展示了氧化还原平衡环境下多不饱和脂肪酸-磷脂</w:t>
      </w:r>
      <w:r w:rsidRPr="00BF1A4E">
        <w:rPr>
          <w:rFonts w:ascii="微软雅黑" w:eastAsia="微软雅黑" w:hAnsi="微软雅黑" w:cs="宋体"/>
          <w:b/>
          <w:bCs/>
          <w:kern w:val="0"/>
          <w:sz w:val="24"/>
          <w:szCs w:val="24"/>
        </w:rPr>
        <w:t>( PUFA-PLs) 的合成和过氧化过程，以及（下方）帕博西尼/吉雷司坦诱导的</w:t>
      </w:r>
      <w:proofErr w:type="gramStart"/>
      <w:r w:rsidRPr="00BF1A4E">
        <w:rPr>
          <w:rFonts w:ascii="微软雅黑" w:eastAsia="微软雅黑" w:hAnsi="微软雅黑" w:cs="宋体"/>
          <w:b/>
          <w:bCs/>
          <w:kern w:val="0"/>
          <w:sz w:val="24"/>
          <w:szCs w:val="24"/>
        </w:rPr>
        <w:t>铁死亡易</w:t>
      </w:r>
      <w:proofErr w:type="gramEnd"/>
      <w:r w:rsidRPr="00BF1A4E">
        <w:rPr>
          <w:rFonts w:ascii="微软雅黑" w:eastAsia="微软雅黑" w:hAnsi="微软雅黑" w:cs="宋体"/>
          <w:b/>
          <w:bCs/>
          <w:kern w:val="0"/>
          <w:sz w:val="24"/>
          <w:szCs w:val="24"/>
        </w:rPr>
        <w:t>感性。F ：</w:t>
      </w:r>
      <w:r w:rsidRPr="00BF1A4E">
        <w:rPr>
          <w:rFonts w:ascii="微软雅黑" w:eastAsia="微软雅黑" w:hAnsi="微软雅黑" w:cs="宋体"/>
          <w:kern w:val="0"/>
          <w:sz w:val="24"/>
          <w:szCs w:val="24"/>
        </w:rPr>
        <w:t> MCF-7 细胞和 MCF-7 GPX4 缺失克隆的</w:t>
      </w:r>
      <w:proofErr w:type="gramStart"/>
      <w:r w:rsidRPr="00BF1A4E">
        <w:rPr>
          <w:rFonts w:ascii="微软雅黑" w:eastAsia="微软雅黑" w:hAnsi="微软雅黑" w:cs="宋体"/>
          <w:kern w:val="0"/>
          <w:sz w:val="24"/>
          <w:szCs w:val="24"/>
        </w:rPr>
        <w:t>异种移植瘤经载体</w:t>
      </w:r>
      <w:proofErr w:type="gramEnd"/>
      <w:r w:rsidRPr="00BF1A4E">
        <w:rPr>
          <w:rFonts w:ascii="微软雅黑" w:eastAsia="微软雅黑" w:hAnsi="微软雅黑" w:cs="宋体"/>
          <w:kern w:val="0"/>
          <w:sz w:val="24"/>
          <w:szCs w:val="24"/>
        </w:rPr>
        <w:t xml:space="preserve">或帕博西尼 (25 mg/kg) 处理。在指定时间点测量的肿瘤体积 (mm³) 以 T0 时的肿瘤体积进行标准化。图中显示了每组 5-7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肿瘤的平均值和误差线 (SEM)。</w:t>
      </w:r>
      <w:r w:rsidRPr="00BF1A4E">
        <w:rPr>
          <w:rFonts w:ascii="微软雅黑" w:eastAsia="微软雅黑" w:hAnsi="微软雅黑" w:cs="宋体"/>
          <w:b/>
          <w:bCs/>
          <w:kern w:val="0"/>
          <w:sz w:val="24"/>
          <w:szCs w:val="24"/>
        </w:rPr>
        <w:t>G</w:t>
      </w:r>
      <w:r w:rsidRPr="00BF1A4E">
        <w:rPr>
          <w:rFonts w:ascii="微软雅黑" w:eastAsia="微软雅黑" w:hAnsi="微软雅黑" w:cs="宋体"/>
          <w:kern w:val="0"/>
          <w:sz w:val="24"/>
          <w:szCs w:val="24"/>
        </w:rPr>
        <w:t xml:space="preserve">点代表各时间点相对肿瘤生长（5-7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肿瘤）的平均值（</w:t>
      </w:r>
      <w:r w:rsidRPr="00BF1A4E">
        <w:rPr>
          <w:rFonts w:ascii="微软雅黑" w:eastAsia="微软雅黑" w:hAnsi="微软雅黑" w:cs="宋体"/>
          <w:i/>
          <w:iCs/>
          <w:kern w:val="0"/>
          <w:sz w:val="24"/>
          <w:szCs w:val="24"/>
        </w:rPr>
        <w:t>n</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5 至 7，非配对 t 检验，</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MCF-7-GPX4null 细胞载体组与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组比较，</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xml:space="preserve"> = 0.0025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xml:space="preserve">；MCF-7 亲代细胞与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 处理的 GPX4null 细胞比较， </w:t>
      </w:r>
      <w:r w:rsidRPr="00BF1A4E">
        <w:rPr>
          <w:rFonts w:ascii="微软雅黑" w:eastAsia="微软雅黑" w:hAnsi="微软雅黑" w:cs="宋体"/>
          <w:i/>
          <w:iCs/>
          <w:kern w:val="0"/>
          <w:sz w:val="24"/>
          <w:szCs w:val="24"/>
        </w:rPr>
        <w:t>P = 0.0088） </w:t>
      </w:r>
      <w:r w:rsidRPr="00BF1A4E">
        <w:rPr>
          <w:rFonts w:ascii="微软雅黑" w:eastAsia="微软雅黑" w:hAnsi="微软雅黑" w:cs="宋体"/>
          <w:b/>
          <w:bCs/>
          <w:kern w:val="0"/>
          <w:sz w:val="24"/>
          <w:szCs w:val="24"/>
        </w:rPr>
        <w:t>。H为治疗结束时（34 天）收集的异种移植瘤样本的蛋白质印迹分析。原始数据以</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"MOESM8" </w:instrText>
      </w:r>
      <w:r w:rsidRPr="00BF1A4E">
        <w:rPr>
          <w:rFonts w:ascii="微软雅黑" w:eastAsia="微软雅黑" w:hAnsi="微软雅黑" w:cs="宋体"/>
          <w:kern w:val="0"/>
          <w:sz w:val="24"/>
          <w:szCs w:val="24"/>
        </w:rPr>
        <w:fldChar w:fldCharType="separate"/>
      </w:r>
      <w:proofErr w:type="gramStart"/>
      <w:r w:rsidRPr="00BF1A4E">
        <w:rPr>
          <w:rFonts w:ascii="微软雅黑" w:eastAsia="微软雅黑" w:hAnsi="微软雅黑" w:cs="宋体"/>
          <w:kern w:val="0"/>
          <w:sz w:val="24"/>
          <w:szCs w:val="24"/>
          <w:u w:val="single"/>
        </w:rPr>
        <w:t>源数据</w:t>
      </w:r>
      <w:proofErr w:type="gramEnd"/>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文件的形式提供。</w:t>
      </w:r>
    </w:p>
    <w:p w14:paraId="511C3EA5"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lastRenderedPageBreak/>
        <w:t>在帕博西尼MCF-7 CRISPR筛选中，ATXN7L3是一个重要的耐药基因（图 </w:t>
      </w:r>
      <w:hyperlink r:id="rId165" w:anchor="Fig1" w:history="1">
        <w:r w:rsidRPr="00BF1A4E">
          <w:rPr>
            <w:rFonts w:ascii="微软雅黑" w:eastAsia="微软雅黑" w:hAnsi="微软雅黑" w:cs="宋体"/>
            <w:kern w:val="0"/>
            <w:sz w:val="24"/>
            <w:szCs w:val="24"/>
            <w:u w:val="single"/>
          </w:rPr>
          <w:t>1B</w:t>
        </w:r>
      </w:hyperlink>
      <w:r w:rsidRPr="00BF1A4E">
        <w:rPr>
          <w:rFonts w:ascii="微软雅黑" w:eastAsia="微软雅黑" w:hAnsi="微软雅黑" w:cs="宋体"/>
          <w:kern w:val="0"/>
          <w:sz w:val="24"/>
          <w:szCs w:val="24"/>
        </w:rPr>
        <w:t>）。研究表明，ATXN7L3作为组蛋白乙酰化（HAT）复合物SAGA的组成部分，能够调控整体转录，SAGA可重塑染色质并</w:t>
      </w:r>
      <w:proofErr w:type="gramStart"/>
      <w:r w:rsidRPr="00BF1A4E">
        <w:rPr>
          <w:rFonts w:ascii="微软雅黑" w:eastAsia="微软雅黑" w:hAnsi="微软雅黑" w:cs="宋体"/>
          <w:kern w:val="0"/>
          <w:sz w:val="24"/>
          <w:szCs w:val="24"/>
        </w:rPr>
        <w:t>介</w:t>
      </w:r>
      <w:proofErr w:type="gramEnd"/>
      <w:r w:rsidRPr="00BF1A4E">
        <w:rPr>
          <w:rFonts w:ascii="微软雅黑" w:eastAsia="微软雅黑" w:hAnsi="微软雅黑" w:cs="宋体"/>
          <w:kern w:val="0"/>
          <w:sz w:val="24"/>
          <w:szCs w:val="24"/>
        </w:rPr>
        <w:t>导组蛋白乙酰化和</w:t>
      </w:r>
      <w:proofErr w:type="gramStart"/>
      <w:r w:rsidRPr="00BF1A4E">
        <w:rPr>
          <w:rFonts w:ascii="微软雅黑" w:eastAsia="微软雅黑" w:hAnsi="微软雅黑" w:cs="宋体"/>
          <w:kern w:val="0"/>
          <w:sz w:val="24"/>
          <w:szCs w:val="24"/>
        </w:rPr>
        <w:t>去泛素化</w:t>
      </w:r>
      <w:proofErr w:type="gramEnd"/>
      <w:r w:rsidRPr="00BF1A4E">
        <w:rPr>
          <w:rFonts w:ascii="微软雅黑" w:eastAsia="微软雅黑" w:hAnsi="微软雅黑" w:cs="宋体"/>
          <w:kern w:val="0"/>
          <w:sz w:val="24"/>
          <w:szCs w:val="24"/>
          <w:vertAlign w:val="superscript"/>
        </w:rPr>
        <w:t>&lt;sup&gt; </w:t>
      </w:r>
      <w:hyperlink r:id="rId166" w:anchor="CR44" w:history="1">
        <w:r w:rsidRPr="00BF1A4E">
          <w:rPr>
            <w:rFonts w:ascii="微软雅黑" w:eastAsia="微软雅黑" w:hAnsi="微软雅黑" w:cs="宋体"/>
            <w:kern w:val="0"/>
            <w:sz w:val="24"/>
            <w:szCs w:val="24"/>
            <w:u w:val="single"/>
            <w:vertAlign w:val="superscript"/>
          </w:rPr>
          <w:t>44,45 </w:t>
        </w:r>
      </w:hyperlink>
      <w:hyperlink r:id="rId167" w:anchor="CR45"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。蛋白酶体复合物的组成部分PSDM4也能够调控对帕博西尼的敏感性（补充图 </w:t>
      </w:r>
      <w:hyperlink r:id="rId168" w:anchor="MOESM1" w:history="1">
        <w:r w:rsidRPr="00BF1A4E">
          <w:rPr>
            <w:rFonts w:ascii="微软雅黑" w:eastAsia="微软雅黑" w:hAnsi="微软雅黑" w:cs="宋体"/>
            <w:kern w:val="0"/>
            <w:sz w:val="24"/>
            <w:szCs w:val="24"/>
            <w:u w:val="single"/>
          </w:rPr>
          <w:t>7D</w:t>
        </w:r>
      </w:hyperlink>
      <w:r w:rsidRPr="00BF1A4E">
        <w:rPr>
          <w:rFonts w:ascii="微软雅黑" w:eastAsia="微软雅黑" w:hAnsi="微软雅黑" w:cs="宋体"/>
          <w:kern w:val="0"/>
          <w:sz w:val="24"/>
          <w:szCs w:val="24"/>
        </w:rPr>
        <w:t>）。ATXN7L3的缺失诱导了对RSL3和帕博西尼的耐药性，降低了RSL3诱导的脂质过氧化，并导致GPX4和铁蛋白的表达上调（补充图 </w:t>
      </w:r>
      <w:hyperlink r:id="rId169" w:anchor="MOESM1" w:history="1">
        <w:r w:rsidRPr="00BF1A4E">
          <w:rPr>
            <w:rFonts w:ascii="微软雅黑" w:eastAsia="微软雅黑" w:hAnsi="微软雅黑" w:cs="宋体"/>
            <w:kern w:val="0"/>
            <w:sz w:val="24"/>
            <w:szCs w:val="24"/>
            <w:u w:val="single"/>
          </w:rPr>
          <w:t>7E-G</w:t>
        </w:r>
      </w:hyperlink>
      <w:r w:rsidRPr="00BF1A4E">
        <w:rPr>
          <w:rFonts w:ascii="微软雅黑" w:eastAsia="微软雅黑" w:hAnsi="微软雅黑" w:cs="宋体"/>
          <w:kern w:val="0"/>
          <w:sz w:val="24"/>
          <w:szCs w:val="24"/>
        </w:rPr>
        <w:t>）。这些数据表明，ATXN7L3是乳腺癌细胞中一种</w:t>
      </w:r>
      <w:proofErr w:type="gramStart"/>
      <w:r w:rsidRPr="00BF1A4E">
        <w:rPr>
          <w:rFonts w:ascii="微软雅黑" w:eastAsia="微软雅黑" w:hAnsi="微软雅黑" w:cs="宋体"/>
          <w:kern w:val="0"/>
          <w:sz w:val="24"/>
          <w:szCs w:val="24"/>
        </w:rPr>
        <w:t>促铁死亡</w:t>
      </w:r>
      <w:proofErr w:type="gramEnd"/>
      <w:r w:rsidRPr="00BF1A4E">
        <w:rPr>
          <w:rFonts w:ascii="微软雅黑" w:eastAsia="微软雅黑" w:hAnsi="微软雅黑" w:cs="宋体"/>
          <w:kern w:val="0"/>
          <w:sz w:val="24"/>
          <w:szCs w:val="24"/>
        </w:rPr>
        <w:t>的调节因子，并将其他筛选结果与</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调控联系起来。</w:t>
      </w:r>
    </w:p>
    <w:p w14:paraId="439C271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MCF-7 GPX4 缺失的异种移植瘤对帕博西尼表现出更高的敏感性</w:t>
      </w:r>
    </w:p>
    <w:p w14:paraId="5895884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最后，我们研究了GPX4的缺失是否会增加MCF-7异种移植瘤对帕博西尼的敏感性。将MCF-7细胞和MCF-7 GPX4敲除细胞皮下注射到小鼠侧腹部，待肿瘤体积达到150-200 mm³时，随机分为载体组和帕博西尼治疗组。我们使用的帕博西尼剂量为25 mg/kg，该剂量对MCF-7细胞的生长有中等程度的影响，但与载体组相比，该剂量显著缩小了MCF-7 GPX4敲除异种移植瘤的体积（图 </w:t>
      </w:r>
      <w:hyperlink r:id="rId170" w:anchor="Fig7" w:history="1">
        <w:r w:rsidRPr="00BF1A4E">
          <w:rPr>
            <w:rFonts w:ascii="微软雅黑" w:eastAsia="微软雅黑" w:hAnsi="微软雅黑" w:cs="宋体"/>
            <w:kern w:val="0"/>
            <w:sz w:val="24"/>
            <w:szCs w:val="24"/>
            <w:u w:val="single"/>
          </w:rPr>
          <w:t>7F、G</w:t>
        </w:r>
      </w:hyperlink>
      <w:r w:rsidRPr="00BF1A4E">
        <w:rPr>
          <w:rFonts w:ascii="微软雅黑" w:eastAsia="微软雅黑" w:hAnsi="微软雅黑" w:cs="宋体"/>
          <w:kern w:val="0"/>
          <w:sz w:val="24"/>
          <w:szCs w:val="24"/>
        </w:rPr>
        <w:t>），证实帕博西尼在体内诱导了对GPX4的依赖性。治疗34天后残余肿瘤样本的Western blot分析（图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"Fig7"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7H</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）显示，与单独使用帕博西尼相比，帕博西尼联合GPX4</w:t>
      </w:r>
      <w:proofErr w:type="gramStart"/>
      <w:r w:rsidRPr="00BF1A4E">
        <w:rPr>
          <w:rFonts w:ascii="微软雅黑" w:eastAsia="微软雅黑" w:hAnsi="微软雅黑" w:cs="宋体"/>
          <w:kern w:val="0"/>
          <w:sz w:val="24"/>
          <w:szCs w:val="24"/>
        </w:rPr>
        <w:t>敲低显著</w:t>
      </w:r>
      <w:proofErr w:type="gramEnd"/>
      <w:r w:rsidRPr="00BF1A4E">
        <w:rPr>
          <w:rFonts w:ascii="微软雅黑" w:eastAsia="微软雅黑" w:hAnsi="微软雅黑" w:cs="宋体"/>
          <w:kern w:val="0"/>
          <w:sz w:val="24"/>
          <w:szCs w:val="24"/>
        </w:rPr>
        <w:t>降低了磷酸化RB1、磷酸化CDK2、p21和细胞周期蛋白D1的表达，表明肿瘤细胞发生急性阻滞。帕博西尼联合GPX4</w:t>
      </w:r>
      <w:proofErr w:type="gramStart"/>
      <w:r w:rsidRPr="00BF1A4E">
        <w:rPr>
          <w:rFonts w:ascii="微软雅黑" w:eastAsia="微软雅黑" w:hAnsi="微软雅黑" w:cs="宋体"/>
          <w:kern w:val="0"/>
          <w:sz w:val="24"/>
          <w:szCs w:val="24"/>
        </w:rPr>
        <w:t>敲低还</w:t>
      </w:r>
      <w:proofErr w:type="gramEnd"/>
      <w:r w:rsidRPr="00BF1A4E">
        <w:rPr>
          <w:rFonts w:ascii="微软雅黑" w:eastAsia="微软雅黑" w:hAnsi="微软雅黑" w:cs="宋体"/>
          <w:kern w:val="0"/>
          <w:sz w:val="24"/>
          <w:szCs w:val="24"/>
        </w:rPr>
        <w:t>抑制了SLC7A11的表达并增加了ALOX5的表达，而SLC7A11和ALOX5是铁死亡的标志物&lt;sup&gt; </w:t>
      </w:r>
      <w:r w:rsidRPr="00BF1A4E">
        <w:rPr>
          <w:rFonts w:ascii="微软雅黑" w:eastAsia="微软雅黑" w:hAnsi="微软雅黑" w:cs="宋体"/>
          <w:kern w:val="0"/>
          <w:sz w:val="24"/>
          <w:szCs w:val="24"/>
          <w:vertAlign w:val="superscript"/>
        </w:rPr>
        <w:t>33,46 </w:t>
      </w:r>
      <w:hyperlink r:id="rId171" w:anchor="CR33" w:history="1">
        <w:r w:rsidRPr="00BF1A4E">
          <w:rPr>
            <w:rFonts w:ascii="微软雅黑" w:eastAsia="微软雅黑" w:hAnsi="微软雅黑" w:cs="宋体"/>
            <w:kern w:val="0"/>
            <w:sz w:val="24"/>
            <w:szCs w:val="24"/>
            <w:u w:val="single"/>
            <w:vertAlign w:val="superscript"/>
          </w:rPr>
          <w:t>&lt;/sup&gt; </w:t>
        </w:r>
      </w:hyperlink>
      <w:hyperlink r:id="rId172" w:anchor="CR46" w:history="1">
        <w:r w:rsidRPr="00BF1A4E">
          <w:rPr>
            <w:rFonts w:ascii="微软雅黑" w:eastAsia="微软雅黑" w:hAnsi="微软雅黑" w:cs="宋体"/>
            <w:kern w:val="0"/>
            <w:sz w:val="24"/>
            <w:szCs w:val="24"/>
            <w:u w:val="single"/>
            <w:vertAlign w:val="superscript"/>
          </w:rPr>
          <w:t>。SLC7A11</w:t>
        </w:r>
      </w:hyperlink>
      <w:r w:rsidRPr="00BF1A4E">
        <w:rPr>
          <w:rFonts w:ascii="微软雅黑" w:eastAsia="微软雅黑" w:hAnsi="微软雅黑" w:cs="宋体"/>
          <w:kern w:val="0"/>
          <w:sz w:val="24"/>
          <w:szCs w:val="24"/>
        </w:rPr>
        <w:t>是谷胱甘肽（GSH）-谷胱甘肽过氧化物</w:t>
      </w:r>
      <w:r w:rsidRPr="00BF1A4E">
        <w:rPr>
          <w:rFonts w:ascii="微软雅黑" w:eastAsia="微软雅黑" w:hAnsi="微软雅黑" w:cs="宋体"/>
          <w:kern w:val="0"/>
          <w:sz w:val="24"/>
          <w:szCs w:val="24"/>
        </w:rPr>
        <w:lastRenderedPageBreak/>
        <w:t>酶4（GPX4）抗氧化系统的重要组成部分，该系统可防止铁死亡；而ALOX5是脂氧合酶家族的成员，与脂质过氧化和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的诱导密切相关</w:t>
      </w:r>
      <w:r w:rsidRPr="00BF1A4E">
        <w:rPr>
          <w:rFonts w:ascii="微软雅黑" w:eastAsia="微软雅黑" w:hAnsi="微软雅黑" w:cs="宋体"/>
          <w:kern w:val="0"/>
          <w:sz w:val="24"/>
          <w:szCs w:val="24"/>
          <w:vertAlign w:val="superscript"/>
        </w:rPr>
        <w:t>&lt;su</w:t>
      </w:r>
      <w:r w:rsidRPr="00BF1A4E">
        <w:rPr>
          <w:rFonts w:ascii="微软雅黑" w:eastAsia="微软雅黑" w:hAnsi="微软雅黑" w:cs="宋体"/>
          <w:kern w:val="0"/>
          <w:sz w:val="24"/>
          <w:szCs w:val="24"/>
          <w:u w:val="single"/>
          <w:vertAlign w:val="superscript"/>
        </w:rPr>
        <w:t>p&gt; </w:t>
      </w:r>
      <w:hyperlink r:id="rId173" w:anchor="CR10" w:history="1">
        <w:r w:rsidRPr="00BF1A4E">
          <w:rPr>
            <w:rFonts w:ascii="微软雅黑" w:eastAsia="微软雅黑" w:hAnsi="微软雅黑" w:cs="宋体"/>
            <w:kern w:val="0"/>
            <w:sz w:val="24"/>
            <w:szCs w:val="24"/>
            <w:u w:val="single"/>
            <w:vertAlign w:val="superscript"/>
          </w:rPr>
          <w:t>10,33 </w:t>
        </w:r>
      </w:hyperlink>
      <w:hyperlink r:id="rId174" w:anchor="CR33"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。细胞凋亡标志物如 PARP 裂解和 Caspase 3 可通过组合</w:t>
      </w:r>
      <w:hyperlink r:id="rId175" w:anchor="CR48" w:history="1">
        <w:r w:rsidRPr="00BF1A4E">
          <w:rPr>
            <w:rFonts w:ascii="微软雅黑" w:eastAsia="微软雅黑" w:hAnsi="微软雅黑" w:cs="宋体"/>
            <w:kern w:val="0"/>
            <w:sz w:val="24"/>
            <w:szCs w:val="24"/>
            <w:u w:val="single"/>
            <w:vertAlign w:val="superscript"/>
          </w:rPr>
          <w:t>47、48</w:t>
        </w:r>
      </w:hyperlink>
      <w:hyperlink r:id="rId176" w:anchor="CR47" w:history="1">
        <w:r w:rsidRPr="00BF1A4E">
          <w:rPr>
            <w:rFonts w:ascii="微软雅黑" w:eastAsia="微软雅黑" w:hAnsi="微软雅黑" w:cs="宋体"/>
            <w:kern w:val="0"/>
            <w:sz w:val="24"/>
            <w:szCs w:val="24"/>
          </w:rPr>
          <w:t>降低</w:t>
        </w:r>
      </w:hyperlink>
      <w:r w:rsidRPr="00BF1A4E">
        <w:rPr>
          <w:rFonts w:ascii="微软雅黑" w:eastAsia="微软雅黑" w:hAnsi="微软雅黑" w:cs="宋体"/>
          <w:kern w:val="0"/>
          <w:sz w:val="24"/>
          <w:szCs w:val="24"/>
        </w:rPr>
        <w:t>。</w:t>
      </w:r>
    </w:p>
    <w:p w14:paraId="7B9B1371" w14:textId="77777777" w:rsidR="00BF1A4E" w:rsidRPr="00BF1A4E" w:rsidRDefault="00BF1A4E" w:rsidP="00BF1A4E">
      <w:pPr>
        <w:widowControl/>
        <w:pBdr>
          <w:bottom w:val="single" w:sz="6" w:space="0" w:color="97B1C8"/>
        </w:pBdr>
        <w:spacing w:line="450" w:lineRule="atLeast"/>
        <w:outlineLvl w:val="1"/>
        <w:rPr>
          <w:rFonts w:ascii="微软雅黑" w:eastAsia="微软雅黑" w:hAnsi="微软雅黑" w:cs="宋体"/>
          <w:kern w:val="0"/>
          <w:sz w:val="34"/>
          <w:szCs w:val="34"/>
        </w:rPr>
      </w:pPr>
      <w:r w:rsidRPr="00BF1A4E">
        <w:rPr>
          <w:rFonts w:ascii="微软雅黑" w:eastAsia="微软雅黑" w:hAnsi="微软雅黑" w:cs="宋体"/>
          <w:kern w:val="0"/>
          <w:sz w:val="34"/>
          <w:szCs w:val="34"/>
        </w:rPr>
        <w:t>讨论</w:t>
      </w:r>
    </w:p>
    <w:p w14:paraId="0745C09A"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CDK4/6联合疗法在ER阳性乳腺癌中的应用已为患者带来巨大益处，但需要持续治疗才能维持肿瘤控制。ER和CDK4/6抑制导致的细胞死亡有限，这可能也使得细胞能够适应并获得耐药性。本研究表明，吉瑞地群、帕博西尼及其联合用药可诱导细胞进入易发生铁死亡的状态，并增强多不饱和脂肪酸（PUFA）的合成和脂质过氧化。与GPX4抑制剂联合使用可导致ER阳性乳腺癌模型中发生铁死亡，而帕博西尼、吉瑞地群和GPX4抑制剂的三联疗法在清除癌细胞和抑制克隆增殖方面具有显著疗效。此外，CDK4/6和GPX4抑制剂的联合应用可增强多种三阴性乳腺癌（TNBC）模型的疗效，提示该策略可能拓展CDK4/6抑制剂的靶</w:t>
      </w:r>
      <w:proofErr w:type="gramStart"/>
      <w:r w:rsidRPr="00BF1A4E">
        <w:rPr>
          <w:rFonts w:ascii="微软雅黑" w:eastAsia="微软雅黑" w:hAnsi="微软雅黑" w:cs="宋体"/>
          <w:kern w:val="0"/>
          <w:sz w:val="24"/>
          <w:szCs w:val="24"/>
        </w:rPr>
        <w:t>向治疗</w:t>
      </w:r>
      <w:proofErr w:type="gramEnd"/>
      <w:r w:rsidRPr="00BF1A4E">
        <w:rPr>
          <w:rFonts w:ascii="微软雅黑" w:eastAsia="微软雅黑" w:hAnsi="微软雅黑" w:cs="宋体"/>
          <w:kern w:val="0"/>
          <w:sz w:val="24"/>
          <w:szCs w:val="24"/>
        </w:rPr>
        <w:t>范围。 GPX4 和 CDK4/6 抑制的结合导致谷胱甘肽 (GSH)-谷胱甘肽过氧化物酶 4 (GPX4) 抗氧化系统的崩溃，无法防止铁死亡，并伴有细胞周期和凋亡标志物的大幅减少</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"CR33"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33</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vertAlign w:val="superscript"/>
        </w:rPr>
        <w:t> , </w:t>
      </w:r>
      <w:hyperlink r:id="rId177" w:anchor="CR47" w:history="1">
        <w:r w:rsidRPr="00BF1A4E">
          <w:rPr>
            <w:rFonts w:ascii="微软雅黑" w:eastAsia="微软雅黑" w:hAnsi="微软雅黑" w:cs="宋体"/>
            <w:kern w:val="0"/>
            <w:sz w:val="24"/>
            <w:szCs w:val="24"/>
            <w:u w:val="single"/>
            <w:vertAlign w:val="superscript"/>
          </w:rPr>
          <w:t>47</w:t>
        </w:r>
      </w:hyperlink>
      <w:r w:rsidRPr="00BF1A4E">
        <w:rPr>
          <w:rFonts w:ascii="微软雅黑" w:eastAsia="微软雅黑" w:hAnsi="微软雅黑" w:cs="宋体"/>
          <w:kern w:val="0"/>
          <w:sz w:val="24"/>
          <w:szCs w:val="24"/>
          <w:vertAlign w:val="superscript"/>
        </w:rPr>
        <w:t> , </w:t>
      </w:r>
      <w:hyperlink r:id="rId178" w:anchor="CR48" w:history="1">
        <w:r w:rsidRPr="00BF1A4E">
          <w:rPr>
            <w:rFonts w:ascii="微软雅黑" w:eastAsia="微软雅黑" w:hAnsi="微软雅黑" w:cs="宋体"/>
            <w:kern w:val="0"/>
            <w:sz w:val="24"/>
            <w:szCs w:val="24"/>
            <w:u w:val="single"/>
            <w:vertAlign w:val="superscript"/>
          </w:rPr>
          <w:t>48</w:t>
        </w:r>
      </w:hyperlink>
      <w:r w:rsidRPr="00BF1A4E">
        <w:rPr>
          <w:rFonts w:ascii="微软雅黑" w:eastAsia="微软雅黑" w:hAnsi="微软雅黑" w:cs="宋体"/>
          <w:kern w:val="0"/>
          <w:sz w:val="24"/>
          <w:szCs w:val="24"/>
        </w:rPr>
        <w:t>。</w:t>
      </w:r>
    </w:p>
    <w:p w14:paraId="19FA92D0"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我们的研究结果表明，CDK4/6 和 ER 抑制剂诱导的易发生铁死亡阶段的促进作用依赖于细胞周期阻滞，这导致氧化还原脂质失衡，表现为多不饱和脂肪酸 (PUFA) 生成增加、谷胱甘肽过氧化物酶 4 (GPX4) 和铁蛋白水平降低以及脂质过氧化作用增强（图 </w:t>
      </w:r>
      <w:hyperlink r:id="rId179" w:anchor="Fig7" w:history="1">
        <w:r w:rsidRPr="00BF1A4E">
          <w:rPr>
            <w:rFonts w:ascii="微软雅黑" w:eastAsia="微软雅黑" w:hAnsi="微软雅黑" w:cs="宋体"/>
            <w:kern w:val="0"/>
            <w:sz w:val="24"/>
            <w:szCs w:val="24"/>
            <w:u w:val="single"/>
          </w:rPr>
          <w:t>7E</w:t>
        </w:r>
      </w:hyperlink>
      <w:r w:rsidRPr="00BF1A4E">
        <w:rPr>
          <w:rFonts w:ascii="微软雅黑" w:eastAsia="微软雅黑" w:hAnsi="微软雅黑" w:cs="宋体"/>
          <w:kern w:val="0"/>
          <w:sz w:val="24"/>
          <w:szCs w:val="24"/>
        </w:rPr>
        <w:t>）。过氧化物酶体与内质网酶协同作用，近期研究表明其参与合成醚类甘油磷脂（称为缩醛磷脂），这类磷脂可与易在细胞膜上发生过氧化的 PUFA (PUFA-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 结合</w:t>
      </w:r>
      <w:r w:rsidRPr="00BF1A4E">
        <w:rPr>
          <w:rFonts w:ascii="微软雅黑" w:eastAsia="微软雅黑" w:hAnsi="微软雅黑" w:cs="宋体"/>
          <w:kern w:val="0"/>
          <w:sz w:val="24"/>
          <w:szCs w:val="24"/>
          <w:vertAlign w:val="superscript"/>
        </w:rPr>
        <w:t>&lt;sup&gt; </w:t>
      </w:r>
      <w:hyperlink r:id="rId180" w:anchor="CR15" w:history="1">
        <w:r w:rsidRPr="00BF1A4E">
          <w:rPr>
            <w:rFonts w:ascii="微软雅黑" w:eastAsia="微软雅黑" w:hAnsi="微软雅黑" w:cs="宋体"/>
            <w:kern w:val="0"/>
            <w:sz w:val="24"/>
            <w:szCs w:val="24"/>
            <w:vertAlign w:val="superscript"/>
          </w:rPr>
          <w:t>15</w:t>
        </w:r>
      </w:hyperlink>
      <w:r w:rsidRPr="00BF1A4E">
        <w:rPr>
          <w:rFonts w:ascii="微软雅黑" w:eastAsia="微软雅黑" w:hAnsi="微软雅黑" w:cs="宋体"/>
          <w:kern w:val="0"/>
          <w:sz w:val="24"/>
          <w:szCs w:val="24"/>
          <w:vertAlign w:val="superscript"/>
        </w:rPr>
        <w:t> , </w:t>
      </w:r>
      <w:hyperlink r:id="rId181" w:anchor="CR49" w:history="1">
        <w:r w:rsidRPr="00BF1A4E">
          <w:rPr>
            <w:rFonts w:ascii="微软雅黑" w:eastAsia="微软雅黑" w:hAnsi="微软雅黑" w:cs="宋体"/>
            <w:kern w:val="0"/>
            <w:sz w:val="24"/>
            <w:szCs w:val="24"/>
            <w:u w:val="single"/>
            <w:vertAlign w:val="superscript"/>
          </w:rPr>
          <w:t>49&lt;/sup&gt;</w:t>
        </w:r>
      </w:hyperlink>
      <w:r w:rsidRPr="00BF1A4E">
        <w:rPr>
          <w:rFonts w:ascii="微软雅黑" w:eastAsia="微软雅黑" w:hAnsi="微软雅黑" w:cs="宋体"/>
          <w:kern w:val="0"/>
          <w:sz w:val="24"/>
          <w:szCs w:val="24"/>
        </w:rPr>
        <w:t>。脂质组学分析显示，吉瑞地群</w:t>
      </w:r>
      <w:r w:rsidRPr="00BF1A4E">
        <w:rPr>
          <w:rFonts w:ascii="微软雅黑" w:eastAsia="微软雅黑" w:hAnsi="微软雅黑" w:cs="宋体"/>
          <w:kern w:val="0"/>
          <w:sz w:val="24"/>
          <w:szCs w:val="24"/>
        </w:rPr>
        <w:lastRenderedPageBreak/>
        <w:t>和帕博西尼可重塑脂质组，使其有利于 PUFA 磷脂（包括 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）的生成。蛋白质组学数据表明，在ER阳性模型中，帕博西尼可上调参与PUFA-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合成的酶，例如FAR1和AGPAT3。AGPAT3促进了ER阳性细胞系T47D和MCF-7中RSL3诱导的脂质过氧化和铁死亡，但在ACSL4水平较高的TNBC Cal51细胞系中则并非必需。ACSL4通路被认为是提高细胞膜PUFA含量的经典途径，在我们和其他研究者已证实，该通路在TNBC中更为显著，这被认为可以解释TNBC对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更高的敏感性</w:t>
      </w:r>
      <w:r w:rsidRPr="00BF1A4E">
        <w:rPr>
          <w:rFonts w:ascii="微软雅黑" w:eastAsia="微软雅黑" w:hAnsi="微软雅黑" w:cs="宋体"/>
          <w:kern w:val="0"/>
          <w:sz w:val="24"/>
          <w:szCs w:val="24"/>
          <w:u w:val="single"/>
          <w:vertAlign w:val="superscript"/>
        </w:rPr>
        <w:t>&lt;sup&gt; </w:t>
      </w:r>
      <w:hyperlink r:id="rId182" w:anchor="CR14" w:history="1">
        <w:r w:rsidRPr="00BF1A4E">
          <w:rPr>
            <w:rFonts w:ascii="微软雅黑" w:eastAsia="微软雅黑" w:hAnsi="微软雅黑" w:cs="宋体"/>
            <w:kern w:val="0"/>
            <w:sz w:val="24"/>
            <w:szCs w:val="24"/>
            <w:u w:val="single"/>
            <w:vertAlign w:val="superscript"/>
          </w:rPr>
          <w:t>14</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。本文研究表明，在ER阳性乳腺癌细胞系中，脂质过氧化不依赖于ACSL4，且需要AGPAT3的作用，这提示可能存在多种潜在的冗余机制来调控乳腺癌细胞中的PUFA-脂质含量和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敏感性。</w:t>
      </w:r>
    </w:p>
    <w:p w14:paraId="3CDEF840"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脂质组学数据表明，在特定细胞系（例如MCF-7）中观察到的先天性</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抵抗可能归因于其独特的脂质代谢谱。我们注意到，MCF-7细胞更有效地积累PUFA-TAG（图 </w:t>
      </w:r>
      <w:hyperlink r:id="rId183" w:anchor="Fig5" w:history="1">
        <w:r w:rsidRPr="00BF1A4E">
          <w:rPr>
            <w:rFonts w:ascii="微软雅黑" w:eastAsia="微软雅黑" w:hAnsi="微软雅黑" w:cs="宋体"/>
            <w:kern w:val="0"/>
            <w:sz w:val="24"/>
            <w:szCs w:val="24"/>
            <w:u w:val="single"/>
          </w:rPr>
          <w:t>5A、B</w:t>
        </w:r>
      </w:hyperlink>
      <w:r w:rsidRPr="00BF1A4E">
        <w:rPr>
          <w:rFonts w:ascii="微软雅黑" w:eastAsia="微软雅黑" w:hAnsi="微软雅黑" w:cs="宋体"/>
          <w:kern w:val="0"/>
          <w:sz w:val="24"/>
          <w:szCs w:val="24"/>
        </w:rPr>
        <w:t>）并上调DGAT1（图 </w:t>
      </w:r>
      <w:hyperlink r:id="rId184" w:anchor="Fig6" w:history="1">
        <w:r w:rsidRPr="00BF1A4E">
          <w:rPr>
            <w:rFonts w:ascii="微软雅黑" w:eastAsia="微软雅黑" w:hAnsi="微软雅黑" w:cs="宋体"/>
            <w:kern w:val="0"/>
            <w:sz w:val="24"/>
            <w:szCs w:val="24"/>
            <w:u w:val="single"/>
          </w:rPr>
          <w:t>6B</w:t>
        </w:r>
      </w:hyperlink>
      <w:r w:rsidRPr="00BF1A4E">
        <w:rPr>
          <w:rFonts w:ascii="微软雅黑" w:eastAsia="微软雅黑" w:hAnsi="微软雅黑" w:cs="宋体"/>
          <w:kern w:val="0"/>
          <w:sz w:val="24"/>
          <w:szCs w:val="24"/>
        </w:rPr>
        <w:t>）。已有研究表明，细胞周期阻滞诱导的DGAT可将PUFA隔离到TAG脂滴中，从而起到</w:t>
      </w:r>
      <w:proofErr w:type="gramStart"/>
      <w:r w:rsidRPr="00BF1A4E">
        <w:rPr>
          <w:rFonts w:ascii="微软雅黑" w:eastAsia="微软雅黑" w:hAnsi="微软雅黑" w:cs="宋体"/>
          <w:kern w:val="0"/>
          <w:sz w:val="24"/>
          <w:szCs w:val="24"/>
        </w:rPr>
        <w:t>抗铁死亡</w:t>
      </w:r>
      <w:proofErr w:type="gramEnd"/>
      <w:r w:rsidRPr="00BF1A4E">
        <w:rPr>
          <w:rFonts w:ascii="微软雅黑" w:eastAsia="微软雅黑" w:hAnsi="微软雅黑" w:cs="宋体"/>
          <w:kern w:val="0"/>
          <w:sz w:val="24"/>
          <w:szCs w:val="24"/>
        </w:rPr>
        <w:t>的作用</w:t>
      </w:r>
      <w:r w:rsidRPr="00BF1A4E">
        <w:rPr>
          <w:rFonts w:ascii="微软雅黑" w:eastAsia="微软雅黑" w:hAnsi="微软雅黑" w:cs="宋体"/>
          <w:kern w:val="0"/>
          <w:sz w:val="24"/>
          <w:szCs w:val="24"/>
          <w:u w:val="single"/>
          <w:vertAlign w:val="superscript"/>
        </w:rPr>
        <w:t>&lt;sup&gt; </w:t>
      </w:r>
      <w:hyperlink r:id="rId185" w:anchor="CR50" w:history="1">
        <w:r w:rsidRPr="00BF1A4E">
          <w:rPr>
            <w:rFonts w:ascii="微软雅黑" w:eastAsia="微软雅黑" w:hAnsi="微软雅黑" w:cs="宋体"/>
            <w:kern w:val="0"/>
            <w:sz w:val="24"/>
            <w:szCs w:val="24"/>
            <w:u w:val="single"/>
            <w:vertAlign w:val="superscript"/>
          </w:rPr>
          <w:t>50</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。因此，PUFA-TAG的平衡可能对MCF-7细胞具有保护作用。然而，使用CDK4/6抑制剂和ER抑制剂，特别是二者联合治疗，似乎会使这种平衡向PUFA-PL积累和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敏感性倾斜。</w:t>
      </w:r>
    </w:p>
    <w:p w14:paraId="50E67C0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脂质过氧化似乎受细胞周期阻滞的促进，因为在</w:t>
      </w:r>
      <w:r w:rsidRPr="00BF1A4E">
        <w:rPr>
          <w:rFonts w:ascii="微软雅黑" w:eastAsia="微软雅黑" w:hAnsi="微软雅黑" w:cs="宋体"/>
          <w:i/>
          <w:iCs/>
          <w:kern w:val="0"/>
          <w:sz w:val="24"/>
          <w:szCs w:val="24"/>
        </w:rPr>
        <w:t>RB1</w:t>
      </w:r>
      <w:r w:rsidRPr="00BF1A4E">
        <w:rPr>
          <w:rFonts w:ascii="微软雅黑" w:eastAsia="微软雅黑" w:hAnsi="微软雅黑" w:cs="宋体"/>
          <w:kern w:val="0"/>
          <w:sz w:val="24"/>
          <w:szCs w:val="24"/>
        </w:rPr>
        <w:t>缺失或</w:t>
      </w:r>
      <w:r w:rsidRPr="00BF1A4E">
        <w:rPr>
          <w:rFonts w:ascii="微软雅黑" w:eastAsia="微软雅黑" w:hAnsi="微软雅黑" w:cs="宋体"/>
          <w:i/>
          <w:iCs/>
          <w:kern w:val="0"/>
          <w:sz w:val="24"/>
          <w:szCs w:val="24"/>
        </w:rPr>
        <w:t>CCNE1</w:t>
      </w:r>
      <w:r w:rsidRPr="00BF1A4E">
        <w:rPr>
          <w:rFonts w:ascii="微软雅黑" w:eastAsia="微软雅黑" w:hAnsi="微软雅黑" w:cs="宋体"/>
          <w:kern w:val="0"/>
          <w:sz w:val="24"/>
          <w:szCs w:val="24"/>
        </w:rPr>
        <w:t>扩增的帕博西尼耐药细胞系中未观察到脂质过氧化。事实上，最近的研究也表明，由p53激活或CDK4/6抑制诱导的细胞周期阻滞可使纤维肉瘤细胞对GPX4抑制剂更加敏感</w:t>
      </w:r>
      <w:r w:rsidRPr="00BF1A4E">
        <w:rPr>
          <w:rFonts w:ascii="微软雅黑" w:eastAsia="微软雅黑" w:hAnsi="微软雅黑" w:cs="宋体"/>
          <w:kern w:val="0"/>
          <w:sz w:val="24"/>
          <w:szCs w:val="24"/>
          <w:u w:val="single"/>
          <w:vertAlign w:val="superscript"/>
        </w:rPr>
        <w:t>&lt;sup&gt; </w:t>
      </w:r>
      <w:hyperlink r:id="rId186" w:anchor="CR51" w:history="1">
        <w:r w:rsidRPr="00BF1A4E">
          <w:rPr>
            <w:rFonts w:ascii="微软雅黑" w:eastAsia="微软雅黑" w:hAnsi="微软雅黑" w:cs="宋体"/>
            <w:kern w:val="0"/>
            <w:sz w:val="24"/>
            <w:szCs w:val="24"/>
            <w:u w:val="single"/>
            <w:vertAlign w:val="superscript"/>
          </w:rPr>
          <w:t>51&lt;/sup&gt;</w:t>
        </w:r>
      </w:hyperlink>
      <w:r w:rsidRPr="00BF1A4E">
        <w:rPr>
          <w:rFonts w:ascii="微软雅黑" w:eastAsia="微软雅黑" w:hAnsi="微软雅黑" w:cs="宋体"/>
          <w:kern w:val="0"/>
          <w:sz w:val="24"/>
          <w:szCs w:val="24"/>
        </w:rPr>
        <w:t>。从机制上讲，有研究提出细胞周期阻滞导致MBOAT1和</w:t>
      </w:r>
      <w:r w:rsidRPr="00BF1A4E">
        <w:rPr>
          <w:rFonts w:ascii="微软雅黑" w:eastAsia="微软雅黑" w:hAnsi="微软雅黑" w:cs="宋体"/>
          <w:kern w:val="0"/>
          <w:sz w:val="24"/>
          <w:szCs w:val="24"/>
        </w:rPr>
        <w:lastRenderedPageBreak/>
        <w:t>EMP2的表达受到抑制，进而导致PUFA-</w:t>
      </w:r>
      <w:proofErr w:type="spellStart"/>
      <w:r w:rsidRPr="00BF1A4E">
        <w:rPr>
          <w:rFonts w:ascii="微软雅黑" w:eastAsia="微软雅黑" w:hAnsi="微软雅黑" w:cs="宋体"/>
          <w:kern w:val="0"/>
          <w:sz w:val="24"/>
          <w:szCs w:val="24"/>
        </w:rPr>
        <w:t>ePLs</w:t>
      </w:r>
      <w:proofErr w:type="spellEnd"/>
      <w:r w:rsidRPr="00BF1A4E">
        <w:rPr>
          <w:rFonts w:ascii="微软雅黑" w:eastAsia="微软雅黑" w:hAnsi="微软雅黑" w:cs="宋体"/>
          <w:kern w:val="0"/>
          <w:sz w:val="24"/>
          <w:szCs w:val="24"/>
        </w:rPr>
        <w:t>水平升高，从而使细胞处于易发生铁死亡的状态。MBOAT1也在最近一项针对</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抑制因子的基因筛选中被鉴定出来，并被证实其在ER阳性乳腺癌细胞中受ER信号通路的正向调控</w:t>
      </w:r>
      <w:r w:rsidRPr="00BF1A4E">
        <w:rPr>
          <w:rFonts w:ascii="微软雅黑" w:eastAsia="微软雅黑" w:hAnsi="微软雅黑" w:cs="宋体"/>
          <w:kern w:val="0"/>
          <w:sz w:val="24"/>
          <w:szCs w:val="24"/>
          <w:u w:val="single"/>
          <w:vertAlign w:val="superscript"/>
        </w:rPr>
        <w:t>&lt;sup&gt; </w:t>
      </w:r>
      <w:hyperlink r:id="rId187" w:anchor="CR52" w:history="1">
        <w:r w:rsidRPr="00BF1A4E">
          <w:rPr>
            <w:rFonts w:ascii="微软雅黑" w:eastAsia="微软雅黑" w:hAnsi="微软雅黑" w:cs="宋体"/>
            <w:kern w:val="0"/>
            <w:sz w:val="24"/>
            <w:szCs w:val="24"/>
            <w:u w:val="single"/>
            <w:vertAlign w:val="superscript"/>
          </w:rPr>
          <w:t>52&lt;/sup&gt;</w:t>
        </w:r>
      </w:hyperlink>
      <w:r w:rsidRPr="00BF1A4E">
        <w:rPr>
          <w:rFonts w:ascii="微软雅黑" w:eastAsia="微软雅黑" w:hAnsi="微软雅黑" w:cs="宋体"/>
          <w:kern w:val="0"/>
          <w:sz w:val="24"/>
          <w:szCs w:val="24"/>
        </w:rPr>
        <w:t>。与我们报道的结果类似，用ER拮抗剂和降解</w:t>
      </w:r>
      <w:proofErr w:type="gramStart"/>
      <w:r w:rsidRPr="00BF1A4E">
        <w:rPr>
          <w:rFonts w:ascii="微软雅黑" w:eastAsia="微软雅黑" w:hAnsi="微软雅黑" w:cs="宋体"/>
          <w:kern w:val="0"/>
          <w:sz w:val="24"/>
          <w:szCs w:val="24"/>
        </w:rPr>
        <w:t>剂氟维司群</w:t>
      </w:r>
      <w:proofErr w:type="gramEnd"/>
      <w:r w:rsidRPr="00BF1A4E">
        <w:rPr>
          <w:rFonts w:ascii="微软雅黑" w:eastAsia="微软雅黑" w:hAnsi="微软雅黑" w:cs="宋体"/>
          <w:kern w:val="0"/>
          <w:sz w:val="24"/>
          <w:szCs w:val="24"/>
        </w:rPr>
        <w:t>处理ER阳性乳腺癌细胞可使其对GPX4抑制剂更加敏感。</w:t>
      </w:r>
    </w:p>
    <w:p w14:paraId="3531DF88"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治疗5-14天后，PUFA积累/脂质过氧化诱导的</w:t>
      </w:r>
      <w:proofErr w:type="gramStart"/>
      <w:r w:rsidRPr="00BF1A4E">
        <w:rPr>
          <w:rFonts w:ascii="微软雅黑" w:eastAsia="微软雅黑" w:hAnsi="微软雅黑" w:cs="宋体"/>
          <w:kern w:val="0"/>
          <w:sz w:val="24"/>
          <w:szCs w:val="24"/>
        </w:rPr>
        <w:t>铁死亡易</w:t>
      </w:r>
      <w:proofErr w:type="gramEnd"/>
      <w:r w:rsidRPr="00BF1A4E">
        <w:rPr>
          <w:rFonts w:ascii="微软雅黑" w:eastAsia="微软雅黑" w:hAnsi="微软雅黑" w:cs="宋体"/>
          <w:kern w:val="0"/>
          <w:sz w:val="24"/>
          <w:szCs w:val="24"/>
        </w:rPr>
        <w:t>感状态更为明显，这与建立静止/衰老表型所需的时间相吻合</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"CR53"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&lt;sup&gt;53</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vertAlign w:val="superscript"/>
        </w:rPr>
        <w:t> , </w:t>
      </w:r>
      <w:hyperlink r:id="rId188" w:anchor="CR54" w:history="1">
        <w:r w:rsidRPr="00BF1A4E">
          <w:rPr>
            <w:rFonts w:ascii="微软雅黑" w:eastAsia="微软雅黑" w:hAnsi="微软雅黑" w:cs="宋体"/>
            <w:kern w:val="0"/>
            <w:sz w:val="24"/>
            <w:szCs w:val="24"/>
            <w:u w:val="single"/>
            <w:vertAlign w:val="superscript"/>
          </w:rPr>
          <w:t>54&lt;/sup&gt;</w:t>
        </w:r>
      </w:hyperlink>
      <w:r w:rsidRPr="00BF1A4E">
        <w:rPr>
          <w:rFonts w:ascii="微软雅黑" w:eastAsia="微软雅黑" w:hAnsi="微软雅黑" w:cs="宋体"/>
          <w:kern w:val="0"/>
          <w:sz w:val="24"/>
          <w:szCs w:val="24"/>
        </w:rPr>
        <w:t>。氧化应激和脂质重塑是衰老细胞的已知特征</w:t>
      </w:r>
      <w:r w:rsidRPr="00BF1A4E">
        <w:rPr>
          <w:rFonts w:ascii="微软雅黑" w:eastAsia="微软雅黑" w:hAnsi="微软雅黑" w:cs="宋体"/>
          <w:kern w:val="0"/>
          <w:sz w:val="24"/>
          <w:szCs w:val="24"/>
          <w:u w:val="single"/>
          <w:vertAlign w:val="superscript"/>
        </w:rPr>
        <w:t>&lt;sup&gt; </w:t>
      </w:r>
      <w:hyperlink r:id="rId189" w:anchor="CR55" w:history="1">
        <w:r w:rsidRPr="00BF1A4E">
          <w:rPr>
            <w:rFonts w:ascii="微软雅黑" w:eastAsia="微软雅黑" w:hAnsi="微软雅黑" w:cs="宋体"/>
            <w:kern w:val="0"/>
            <w:sz w:val="24"/>
            <w:szCs w:val="24"/>
            <w:u w:val="single"/>
            <w:vertAlign w:val="superscript"/>
          </w:rPr>
          <w:t>55&lt;/sup&gt;</w:t>
        </w:r>
      </w:hyperlink>
      <w:r w:rsidRPr="00BF1A4E">
        <w:rPr>
          <w:rFonts w:ascii="微软雅黑" w:eastAsia="微软雅黑" w:hAnsi="微软雅黑" w:cs="宋体"/>
          <w:kern w:val="0"/>
          <w:sz w:val="24"/>
          <w:szCs w:val="24"/>
        </w:rPr>
        <w:t>。目前帕博西尼的临床给药方案为癌细胞达到这种</w:t>
      </w:r>
      <w:proofErr w:type="gramStart"/>
      <w:r w:rsidRPr="00BF1A4E">
        <w:rPr>
          <w:rFonts w:ascii="微软雅黑" w:eastAsia="微软雅黑" w:hAnsi="微软雅黑" w:cs="宋体"/>
          <w:kern w:val="0"/>
          <w:sz w:val="24"/>
          <w:szCs w:val="24"/>
        </w:rPr>
        <w:t>铁死亡易</w:t>
      </w:r>
      <w:proofErr w:type="gramEnd"/>
      <w:r w:rsidRPr="00BF1A4E">
        <w:rPr>
          <w:rFonts w:ascii="微软雅黑" w:eastAsia="微软雅黑" w:hAnsi="微软雅黑" w:cs="宋体"/>
          <w:kern w:val="0"/>
          <w:sz w:val="24"/>
          <w:szCs w:val="24"/>
        </w:rPr>
        <w:t>感状态提供了足够的时间，因为该方案基于三周的给药和一周的停药期</w:t>
      </w:r>
      <w:r w:rsidRPr="00BF1A4E">
        <w:rPr>
          <w:rFonts w:ascii="微软雅黑" w:eastAsia="微软雅黑" w:hAnsi="微软雅黑" w:cs="宋体"/>
          <w:kern w:val="0"/>
          <w:sz w:val="24"/>
          <w:szCs w:val="24"/>
          <w:u w:val="single"/>
          <w:vertAlign w:val="superscript"/>
        </w:rPr>
        <w:t>&lt;sup&gt; </w:t>
      </w:r>
      <w:hyperlink r:id="rId190" w:anchor="CR56" w:history="1">
        <w:r w:rsidRPr="00BF1A4E">
          <w:rPr>
            <w:rFonts w:ascii="微软雅黑" w:eastAsia="微软雅黑" w:hAnsi="微软雅黑" w:cs="宋体"/>
            <w:kern w:val="0"/>
            <w:sz w:val="24"/>
            <w:szCs w:val="24"/>
            <w:u w:val="single"/>
            <w:vertAlign w:val="superscript"/>
          </w:rPr>
          <w:t>56&lt;/sup&gt;</w:t>
        </w:r>
      </w:hyperlink>
      <w:r w:rsidRPr="00BF1A4E">
        <w:rPr>
          <w:rFonts w:ascii="微软雅黑" w:eastAsia="微软雅黑" w:hAnsi="微软雅黑" w:cs="宋体"/>
          <w:kern w:val="0"/>
          <w:sz w:val="24"/>
          <w:szCs w:val="24"/>
        </w:rPr>
        <w:t>。</w:t>
      </w:r>
    </w:p>
    <w:p w14:paraId="555931F5"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我们的研究观察到吉瑞地群和帕博西尼在PUFA-PL生成方面可能存在差异。吉瑞地</w:t>
      </w:r>
      <w:proofErr w:type="gramStart"/>
      <w:r w:rsidRPr="00BF1A4E">
        <w:rPr>
          <w:rFonts w:ascii="微软雅黑" w:eastAsia="微软雅黑" w:hAnsi="微软雅黑" w:cs="宋体"/>
          <w:kern w:val="0"/>
          <w:sz w:val="24"/>
          <w:szCs w:val="24"/>
        </w:rPr>
        <w:t>群治疗</w:t>
      </w:r>
      <w:proofErr w:type="gramEnd"/>
      <w:r w:rsidRPr="00BF1A4E">
        <w:rPr>
          <w:rFonts w:ascii="微软雅黑" w:eastAsia="微软雅黑" w:hAnsi="微软雅黑" w:cs="宋体"/>
          <w:kern w:val="0"/>
          <w:sz w:val="24"/>
          <w:szCs w:val="24"/>
        </w:rPr>
        <w:t>7天后，PUFA-</w:t>
      </w:r>
      <w:proofErr w:type="spellStart"/>
      <w:r w:rsidRPr="00BF1A4E">
        <w:rPr>
          <w:rFonts w:ascii="微软雅黑" w:eastAsia="微软雅黑" w:hAnsi="微软雅黑" w:cs="宋体"/>
          <w:kern w:val="0"/>
          <w:sz w:val="24"/>
          <w:szCs w:val="24"/>
        </w:rPr>
        <w:t>ePL</w:t>
      </w:r>
      <w:proofErr w:type="spellEnd"/>
      <w:r w:rsidRPr="00BF1A4E">
        <w:rPr>
          <w:rFonts w:ascii="微软雅黑" w:eastAsia="微软雅黑" w:hAnsi="微软雅黑" w:cs="宋体"/>
          <w:kern w:val="0"/>
          <w:sz w:val="24"/>
          <w:szCs w:val="24"/>
        </w:rPr>
        <w:t>的诱导作用强于帕博西尼（图 </w:t>
      </w:r>
      <w:hyperlink r:id="rId191" w:anchor="Fig5" w:history="1">
        <w:r w:rsidRPr="00BF1A4E">
          <w:rPr>
            <w:rFonts w:ascii="微软雅黑" w:eastAsia="微软雅黑" w:hAnsi="微软雅黑" w:cs="宋体"/>
            <w:kern w:val="0"/>
            <w:sz w:val="24"/>
            <w:szCs w:val="24"/>
            <w:u w:val="single"/>
          </w:rPr>
          <w:t>5A-E</w:t>
        </w:r>
      </w:hyperlink>
      <w:r w:rsidRPr="00BF1A4E">
        <w:rPr>
          <w:rFonts w:ascii="微软雅黑" w:eastAsia="微软雅黑" w:hAnsi="微软雅黑" w:cs="宋体"/>
          <w:kern w:val="0"/>
          <w:sz w:val="24"/>
          <w:szCs w:val="24"/>
        </w:rPr>
        <w:t>），并且其对GPX4抑制剂的预敏感性也高于帕博西尼（图 </w:t>
      </w:r>
      <w:hyperlink r:id="rId192" w:anchor="Fig5" w:history="1">
        <w:r w:rsidRPr="00BF1A4E">
          <w:rPr>
            <w:rFonts w:ascii="微软雅黑" w:eastAsia="微软雅黑" w:hAnsi="微软雅黑" w:cs="宋体"/>
            <w:kern w:val="0"/>
            <w:sz w:val="24"/>
            <w:szCs w:val="24"/>
            <w:u w:val="single"/>
          </w:rPr>
          <w:t>5G-N</w:t>
        </w:r>
      </w:hyperlink>
      <w:r w:rsidRPr="00BF1A4E">
        <w:rPr>
          <w:rFonts w:ascii="微软雅黑" w:eastAsia="微软雅黑" w:hAnsi="微软雅黑" w:cs="宋体"/>
          <w:kern w:val="0"/>
          <w:sz w:val="24"/>
          <w:szCs w:val="24"/>
        </w:rPr>
        <w:t>）。然而，这些差异可能反映了帕博西尼和吉瑞地群诱导细胞周期阻滞和衰老的时间和程度不同，这可能是由于药物作用动力学或药物浓度不同所致。</w:t>
      </w:r>
    </w:p>
    <w:p w14:paraId="59DE5DC4"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我们的数据揭示了未来研究的若干潜在方向。对</w:t>
      </w:r>
      <w:proofErr w:type="gramStart"/>
      <w:r w:rsidRPr="00BF1A4E">
        <w:rPr>
          <w:rFonts w:ascii="微软雅黑" w:eastAsia="微软雅黑" w:hAnsi="微软雅黑" w:cs="宋体"/>
          <w:kern w:val="0"/>
          <w:sz w:val="24"/>
          <w:szCs w:val="24"/>
        </w:rPr>
        <w:t>吉瑞地司群和</w:t>
      </w:r>
      <w:proofErr w:type="gramEnd"/>
      <w:r w:rsidRPr="00BF1A4E">
        <w:rPr>
          <w:rFonts w:ascii="微软雅黑" w:eastAsia="微软雅黑" w:hAnsi="微软雅黑" w:cs="宋体"/>
          <w:kern w:val="0"/>
          <w:sz w:val="24"/>
          <w:szCs w:val="24"/>
        </w:rPr>
        <w:t>帕博西尼处理的细胞进行RNA测序，以及对帕博西尼处理的细胞进行蛋白质组学分析，均发现了与氧化应激和脂质过氧化增加相一致的通路（图 </w:t>
      </w:r>
      <w:hyperlink r:id="rId193" w:anchor="Fig6" w:history="1">
        <w:r w:rsidRPr="00BF1A4E">
          <w:rPr>
            <w:rFonts w:ascii="微软雅黑" w:eastAsia="微软雅黑" w:hAnsi="微软雅黑" w:cs="宋体"/>
            <w:kern w:val="0"/>
            <w:sz w:val="24"/>
            <w:szCs w:val="24"/>
            <w:u w:val="single"/>
          </w:rPr>
          <w:t>6A</w:t>
        </w:r>
      </w:hyperlink>
      <w:r w:rsidRPr="00BF1A4E">
        <w:rPr>
          <w:rFonts w:ascii="微软雅黑" w:eastAsia="微软雅黑" w:hAnsi="微软雅黑" w:cs="宋体"/>
          <w:kern w:val="0"/>
          <w:sz w:val="24"/>
          <w:szCs w:val="24"/>
        </w:rPr>
        <w:t>）。帕博西尼处理后，MCF-7细胞中ALOX5的表达增加，ALOX5是一种铁依赖性酶，可促进脂质过氧化和</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u w:val="single"/>
          <w:vertAlign w:val="superscript"/>
        </w:rPr>
        <w:t>&lt;sup&gt; </w:t>
      </w:r>
      <w:hyperlink r:id="rId194" w:anchor="CR10" w:history="1">
        <w:r w:rsidRPr="00BF1A4E">
          <w:rPr>
            <w:rFonts w:ascii="微软雅黑" w:eastAsia="微软雅黑" w:hAnsi="微软雅黑" w:cs="宋体"/>
            <w:kern w:val="0"/>
            <w:sz w:val="24"/>
            <w:szCs w:val="24"/>
            <w:u w:val="single"/>
            <w:vertAlign w:val="superscript"/>
          </w:rPr>
          <w:t>10</w:t>
        </w:r>
      </w:hyperlink>
      <w:r w:rsidRPr="00BF1A4E">
        <w:rPr>
          <w:rFonts w:ascii="微软雅黑" w:eastAsia="微软雅黑" w:hAnsi="微软雅黑" w:cs="宋体"/>
          <w:kern w:val="0"/>
          <w:sz w:val="24"/>
          <w:szCs w:val="24"/>
          <w:u w:val="single"/>
          <w:vertAlign w:val="superscript"/>
        </w:rPr>
        <w:t> , </w:t>
      </w:r>
      <w:hyperlink r:id="rId195" w:anchor="CR39" w:history="1">
        <w:r w:rsidRPr="00BF1A4E">
          <w:rPr>
            <w:rFonts w:ascii="微软雅黑" w:eastAsia="微软雅黑" w:hAnsi="微软雅黑" w:cs="宋体"/>
            <w:kern w:val="0"/>
            <w:sz w:val="24"/>
            <w:szCs w:val="24"/>
            <w:u w:val="single"/>
            <w:vertAlign w:val="superscript"/>
          </w:rPr>
          <w:t>39</w:t>
        </w:r>
      </w:hyperlink>
      <w:r w:rsidRPr="00BF1A4E">
        <w:rPr>
          <w:rFonts w:ascii="微软雅黑" w:eastAsia="微软雅黑" w:hAnsi="微软雅黑" w:cs="宋体"/>
          <w:kern w:val="0"/>
          <w:sz w:val="24"/>
          <w:szCs w:val="24"/>
          <w:u w:val="single"/>
          <w:vertAlign w:val="superscript"/>
        </w:rPr>
        <w:t> , </w:t>
      </w:r>
      <w:hyperlink r:id="rId196" w:anchor="CR41" w:history="1">
        <w:r w:rsidRPr="00BF1A4E">
          <w:rPr>
            <w:rFonts w:ascii="微软雅黑" w:eastAsia="微软雅黑" w:hAnsi="微软雅黑" w:cs="宋体"/>
            <w:kern w:val="0"/>
            <w:sz w:val="24"/>
            <w:szCs w:val="24"/>
            <w:u w:val="single"/>
            <w:vertAlign w:val="superscript"/>
          </w:rPr>
          <w:t>41</w:t>
        </w:r>
      </w:hyperlink>
      <w:r w:rsidRPr="00BF1A4E">
        <w:rPr>
          <w:rFonts w:ascii="微软雅黑" w:eastAsia="微软雅黑" w:hAnsi="微软雅黑" w:cs="宋体"/>
          <w:kern w:val="0"/>
          <w:sz w:val="24"/>
          <w:szCs w:val="24"/>
          <w:u w:val="single"/>
          <w:vertAlign w:val="superscript"/>
        </w:rPr>
        <w:t> , </w:t>
      </w:r>
      <w:hyperlink r:id="rId197" w:anchor="CR42" w:history="1">
        <w:r w:rsidRPr="00BF1A4E">
          <w:rPr>
            <w:rFonts w:ascii="微软雅黑" w:eastAsia="微软雅黑" w:hAnsi="微软雅黑" w:cs="宋体"/>
            <w:kern w:val="0"/>
            <w:sz w:val="24"/>
            <w:szCs w:val="24"/>
            <w:u w:val="single"/>
            <w:vertAlign w:val="superscript"/>
          </w:rPr>
          <w:t>42</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。由细胞色素P450单加氧酶（CYP）和醛脱氢酶</w:t>
      </w:r>
      <w:r w:rsidRPr="00BF1A4E">
        <w:rPr>
          <w:rFonts w:ascii="微软雅黑" w:eastAsia="微软雅黑" w:hAnsi="微软雅黑" w:cs="宋体"/>
          <w:kern w:val="0"/>
          <w:sz w:val="24"/>
          <w:szCs w:val="24"/>
        </w:rPr>
        <w:lastRenderedPageBreak/>
        <w:t>（ALDH）调控的氧化通路也上调（图 </w:t>
      </w:r>
      <w:hyperlink r:id="rId198" w:anchor="Fig6" w:history="1">
        <w:r w:rsidRPr="00BF1A4E">
          <w:rPr>
            <w:rFonts w:ascii="微软雅黑" w:eastAsia="微软雅黑" w:hAnsi="微软雅黑" w:cs="宋体"/>
            <w:kern w:val="0"/>
            <w:sz w:val="24"/>
            <w:szCs w:val="24"/>
            <w:u w:val="single"/>
          </w:rPr>
          <w:t>6A</w:t>
        </w:r>
      </w:hyperlink>
      <w:r w:rsidRPr="00BF1A4E">
        <w:rPr>
          <w:rFonts w:ascii="微软雅黑" w:eastAsia="微软雅黑" w:hAnsi="微软雅黑" w:cs="宋体"/>
          <w:kern w:val="0"/>
          <w:sz w:val="24"/>
          <w:szCs w:val="24"/>
        </w:rPr>
        <w:t>）。此外，蛋白质组学分析显示，乙酰辅酶氧化酶（ACOX）</w:t>
      </w:r>
      <w:proofErr w:type="gramStart"/>
      <w:r w:rsidRPr="00BF1A4E">
        <w:rPr>
          <w:rFonts w:ascii="微软雅黑" w:eastAsia="微软雅黑" w:hAnsi="微软雅黑" w:cs="宋体"/>
          <w:kern w:val="0"/>
          <w:sz w:val="24"/>
          <w:szCs w:val="24"/>
        </w:rPr>
        <w:t>介</w:t>
      </w:r>
      <w:proofErr w:type="gramEnd"/>
      <w:r w:rsidRPr="00BF1A4E">
        <w:rPr>
          <w:rFonts w:ascii="微软雅黑" w:eastAsia="微软雅黑" w:hAnsi="微软雅黑" w:cs="宋体"/>
          <w:kern w:val="0"/>
          <w:sz w:val="24"/>
          <w:szCs w:val="24"/>
        </w:rPr>
        <w:t>导的脂肪酸过氧化物酶体β-氧化上调，ACOX通过产生自由基，可引发非酶促</w:t>
      </w:r>
      <w:proofErr w:type="gramStart"/>
      <w:r w:rsidRPr="00BF1A4E">
        <w:rPr>
          <w:rFonts w:ascii="微软雅黑" w:eastAsia="微软雅黑" w:hAnsi="微软雅黑" w:cs="宋体"/>
          <w:kern w:val="0"/>
          <w:sz w:val="24"/>
          <w:szCs w:val="24"/>
        </w:rPr>
        <w:t>或芬顿反应</w:t>
      </w:r>
      <w:proofErr w:type="gramEnd"/>
      <w:r w:rsidRPr="00BF1A4E">
        <w:rPr>
          <w:rFonts w:ascii="微软雅黑" w:eastAsia="微软雅黑" w:hAnsi="微软雅黑" w:cs="宋体"/>
          <w:kern w:val="0"/>
          <w:sz w:val="24"/>
          <w:szCs w:val="24"/>
        </w:rPr>
        <w:t>中的脂质过氧化</w:t>
      </w:r>
      <w:r w:rsidRPr="00BF1A4E">
        <w:rPr>
          <w:rFonts w:ascii="微软雅黑" w:eastAsia="微软雅黑" w:hAnsi="微软雅黑" w:cs="宋体"/>
          <w:kern w:val="0"/>
          <w:sz w:val="24"/>
          <w:szCs w:val="24"/>
          <w:u w:val="single"/>
          <w:vertAlign w:val="superscript"/>
        </w:rPr>
        <w:t>&lt;sup&gt; </w:t>
      </w:r>
      <w:hyperlink r:id="rId199" w:anchor="CR10" w:history="1">
        <w:r w:rsidRPr="00BF1A4E">
          <w:rPr>
            <w:rFonts w:ascii="微软雅黑" w:eastAsia="微软雅黑" w:hAnsi="微软雅黑" w:cs="宋体"/>
            <w:kern w:val="0"/>
            <w:sz w:val="24"/>
            <w:szCs w:val="24"/>
            <w:u w:val="single"/>
            <w:vertAlign w:val="superscript"/>
          </w:rPr>
          <w:t>10</w:t>
        </w:r>
      </w:hyperlink>
      <w:r w:rsidRPr="00BF1A4E">
        <w:rPr>
          <w:rFonts w:ascii="微软雅黑" w:eastAsia="微软雅黑" w:hAnsi="微软雅黑" w:cs="宋体"/>
          <w:kern w:val="0"/>
          <w:sz w:val="24"/>
          <w:szCs w:val="24"/>
          <w:vertAlign w:val="superscript"/>
        </w:rPr>
        <w:t> , </w:t>
      </w:r>
      <w:hyperlink r:id="rId200" w:anchor="CR16" w:history="1">
        <w:r w:rsidRPr="00BF1A4E">
          <w:rPr>
            <w:rFonts w:ascii="微软雅黑" w:eastAsia="微软雅黑" w:hAnsi="微软雅黑" w:cs="宋体"/>
            <w:kern w:val="0"/>
            <w:sz w:val="24"/>
            <w:szCs w:val="24"/>
            <w:u w:val="single"/>
            <w:vertAlign w:val="superscript"/>
          </w:rPr>
          <w:t>16</w:t>
        </w:r>
      </w:hyperlink>
      <w:r w:rsidRPr="00BF1A4E">
        <w:rPr>
          <w:rFonts w:ascii="微软雅黑" w:eastAsia="微软雅黑" w:hAnsi="微软雅黑" w:cs="宋体"/>
          <w:kern w:val="0"/>
          <w:sz w:val="24"/>
          <w:szCs w:val="24"/>
          <w:vertAlign w:val="superscript"/>
        </w:rPr>
        <w:t> , </w:t>
      </w:r>
      <w:hyperlink r:id="rId201" w:anchor="CR39" w:history="1">
        <w:r w:rsidRPr="00BF1A4E">
          <w:rPr>
            <w:rFonts w:ascii="微软雅黑" w:eastAsia="微软雅黑" w:hAnsi="微软雅黑" w:cs="宋体"/>
            <w:kern w:val="0"/>
            <w:sz w:val="24"/>
            <w:szCs w:val="24"/>
            <w:u w:val="single"/>
            <w:vertAlign w:val="superscript"/>
          </w:rPr>
          <w:t>39</w:t>
        </w:r>
      </w:hyperlink>
      <w:r w:rsidRPr="00BF1A4E">
        <w:rPr>
          <w:rFonts w:ascii="微软雅黑" w:eastAsia="微软雅黑" w:hAnsi="微软雅黑" w:cs="宋体"/>
          <w:kern w:val="0"/>
          <w:sz w:val="24"/>
          <w:szCs w:val="24"/>
          <w:vertAlign w:val="superscript"/>
        </w:rPr>
        <w:t> , </w:t>
      </w:r>
      <w:hyperlink r:id="rId202" w:anchor="CR41" w:history="1">
        <w:r w:rsidRPr="00BF1A4E">
          <w:rPr>
            <w:rFonts w:ascii="微软雅黑" w:eastAsia="微软雅黑" w:hAnsi="微软雅黑" w:cs="宋体"/>
            <w:kern w:val="0"/>
            <w:sz w:val="24"/>
            <w:szCs w:val="24"/>
            <w:u w:val="single"/>
            <w:vertAlign w:val="superscript"/>
          </w:rPr>
          <w:t>41</w:t>
        </w:r>
      </w:hyperlink>
      <w:r w:rsidRPr="00BF1A4E">
        <w:rPr>
          <w:rFonts w:ascii="微软雅黑" w:eastAsia="微软雅黑" w:hAnsi="微软雅黑" w:cs="宋体"/>
          <w:kern w:val="0"/>
          <w:sz w:val="24"/>
          <w:szCs w:val="24"/>
          <w:vertAlign w:val="superscript"/>
        </w:rPr>
        <w:t> , </w:t>
      </w:r>
      <w:hyperlink r:id="rId203" w:anchor="CR42" w:history="1">
        <w:r w:rsidRPr="00BF1A4E">
          <w:rPr>
            <w:rFonts w:ascii="微软雅黑" w:eastAsia="微软雅黑" w:hAnsi="微软雅黑" w:cs="宋体"/>
            <w:kern w:val="0"/>
            <w:sz w:val="24"/>
            <w:szCs w:val="24"/>
            <w:u w:val="single"/>
            <w:vertAlign w:val="superscript"/>
          </w:rPr>
          <w:t>42&lt;/sup&gt;</w:t>
        </w:r>
      </w:hyperlink>
      <w:r w:rsidRPr="00BF1A4E">
        <w:rPr>
          <w:rFonts w:ascii="微软雅黑" w:eastAsia="微软雅黑" w:hAnsi="微软雅黑" w:cs="宋体"/>
          <w:kern w:val="0"/>
          <w:sz w:val="24"/>
          <w:szCs w:val="24"/>
        </w:rPr>
        <w:t>。此外，帕博西尼导致GPX4和铁蛋白水平降低，这可能增加了</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的易感性。既往研究表明，GPX4下调可增强细胞对GPX4抑制剂的敏感性</w:t>
      </w:r>
      <w:hyperlink r:id="rId204" w:anchor="CR11" w:history="1">
        <w:r w:rsidRPr="00BF1A4E">
          <w:rPr>
            <w:rFonts w:ascii="微软雅黑" w:eastAsia="微软雅黑" w:hAnsi="微软雅黑" w:cs="宋体"/>
            <w:kern w:val="0"/>
            <w:sz w:val="24"/>
            <w:szCs w:val="24"/>
            <w:u w:val="single"/>
            <w:vertAlign w:val="superscript"/>
          </w:rPr>
          <w:t>&lt;sup&gt;11&lt;/sup&gt;</w:t>
        </w:r>
      </w:hyperlink>
      <w:r w:rsidRPr="00BF1A4E">
        <w:rPr>
          <w:rFonts w:ascii="微软雅黑" w:eastAsia="微软雅黑" w:hAnsi="微软雅黑" w:cs="宋体"/>
          <w:kern w:val="0"/>
          <w:sz w:val="24"/>
          <w:szCs w:val="24"/>
        </w:rPr>
        <w:t>。GPX4的减少是由细胞周期阻滞促进的，并且可能通过转录</w:t>
      </w:r>
      <w:proofErr w:type="gramStart"/>
      <w:r w:rsidRPr="00BF1A4E">
        <w:rPr>
          <w:rFonts w:ascii="微软雅黑" w:eastAsia="微软雅黑" w:hAnsi="微软雅黑" w:cs="宋体"/>
          <w:kern w:val="0"/>
          <w:sz w:val="24"/>
          <w:szCs w:val="24"/>
        </w:rPr>
        <w:t>后机制</w:t>
      </w:r>
      <w:proofErr w:type="gramEnd"/>
      <w:r w:rsidRPr="00BF1A4E">
        <w:rPr>
          <w:rFonts w:ascii="微软雅黑" w:eastAsia="微软雅黑" w:hAnsi="微软雅黑" w:cs="宋体"/>
          <w:kern w:val="0"/>
          <w:sz w:val="24"/>
          <w:szCs w:val="24"/>
        </w:rPr>
        <w:t>实现。</w:t>
      </w:r>
    </w:p>
    <w:p w14:paraId="42C01945"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我们已确定一种策略，可增强 CDK4/6 和 ER 抑制剂的疗效，并拓展促进</w:t>
      </w:r>
      <w:proofErr w:type="gramStart"/>
      <w:r w:rsidRPr="00BF1A4E">
        <w:rPr>
          <w:rFonts w:ascii="微软雅黑" w:eastAsia="微软雅黑" w:hAnsi="微软雅黑" w:cs="宋体"/>
          <w:kern w:val="0"/>
          <w:sz w:val="24"/>
          <w:szCs w:val="24"/>
        </w:rPr>
        <w:t>铁死亡</w:t>
      </w:r>
      <w:proofErr w:type="gramEnd"/>
      <w:r w:rsidRPr="00BF1A4E">
        <w:rPr>
          <w:rFonts w:ascii="微软雅黑" w:eastAsia="微软雅黑" w:hAnsi="微软雅黑" w:cs="宋体"/>
          <w:kern w:val="0"/>
          <w:sz w:val="24"/>
          <w:szCs w:val="24"/>
        </w:rPr>
        <w:t>作为 ER+ 和潜在三阴性乳腺癌抗癌策略的作用。在 ER+ 乳腺癌的治疗中，CDK4/6 抑制剂（帕博西尼）、ER 抑制剂（吉瑞地群）和 GPX4 抑制剂的三联疗法疗效显著，可诱导细胞死亡并抑制克隆增殖。我们的研究强调了开发类药物 GPX4 抑制剂的重要性，以便探索在临床上利用这一弱点。</w:t>
      </w:r>
    </w:p>
    <w:p w14:paraId="5E964993" w14:textId="77777777" w:rsidR="00BF1A4E" w:rsidRPr="00BF1A4E" w:rsidRDefault="00BF1A4E" w:rsidP="00BF1A4E">
      <w:pPr>
        <w:widowControl/>
        <w:pBdr>
          <w:bottom w:val="single" w:sz="6" w:space="0" w:color="97B1C8"/>
        </w:pBdr>
        <w:spacing w:line="450" w:lineRule="atLeast"/>
        <w:outlineLvl w:val="1"/>
        <w:rPr>
          <w:rFonts w:ascii="微软雅黑" w:eastAsia="微软雅黑" w:hAnsi="微软雅黑" w:cs="宋体"/>
          <w:kern w:val="0"/>
          <w:sz w:val="34"/>
          <w:szCs w:val="34"/>
        </w:rPr>
      </w:pPr>
      <w:r w:rsidRPr="00BF1A4E">
        <w:rPr>
          <w:rFonts w:ascii="微软雅黑" w:eastAsia="微软雅黑" w:hAnsi="微软雅黑" w:cs="宋体"/>
          <w:kern w:val="0"/>
          <w:sz w:val="34"/>
          <w:szCs w:val="34"/>
        </w:rPr>
        <w:t>材料与方法</w:t>
      </w:r>
    </w:p>
    <w:p w14:paraId="4691809E"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细胞系</w:t>
      </w:r>
    </w:p>
    <w:p w14:paraId="56FFFCAC"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MCF-7 (HTB-22)、T47-D (HTB-133)、MDA-MB175VII (HTB-25)、HCC1428 (CRL-2327) 和 BT-483 (HTB-121) 细胞系购自美国典型培养物保藏中心 (ATCC)；MFM-223 (ACC 422)、Cal-519 (ACC 302) 和 Cal-120 (ACC 459) 细胞系购自德国莱布尼茨微生物菌种保藏中心 (DSMZ)；Sum149PT (HUMANSUM-0003004) 和 Sum159PT (HUMANSUM-0003006) 细胞系购自 </w:t>
      </w:r>
      <w:proofErr w:type="spellStart"/>
      <w:r w:rsidRPr="00BF1A4E">
        <w:rPr>
          <w:rFonts w:ascii="微软雅黑" w:eastAsia="微软雅黑" w:hAnsi="微软雅黑" w:cs="宋体"/>
          <w:kern w:val="0"/>
          <w:sz w:val="24"/>
          <w:szCs w:val="24"/>
        </w:rPr>
        <w:t>Bioivit</w:t>
      </w:r>
      <w:proofErr w:type="spellEnd"/>
      <w:r w:rsidRPr="00BF1A4E">
        <w:rPr>
          <w:rFonts w:ascii="微软雅黑" w:eastAsia="微软雅黑" w:hAnsi="微软雅黑" w:cs="宋体"/>
          <w:kern w:val="0"/>
          <w:sz w:val="24"/>
          <w:szCs w:val="24"/>
        </w:rPr>
        <w:t xml:space="preserve"> 公司。所有细胞系均按照供应商的说明进行培养。为降低表型漂移的风险，细胞系在收到后即被分装成多个等分试样进行保存，并使用 </w:t>
      </w:r>
      <w:proofErr w:type="spellStart"/>
      <w:r w:rsidRPr="00BF1A4E">
        <w:rPr>
          <w:rFonts w:ascii="微软雅黑" w:eastAsia="微软雅黑" w:hAnsi="微软雅黑" w:cs="宋体"/>
          <w:kern w:val="0"/>
          <w:sz w:val="24"/>
          <w:szCs w:val="24"/>
        </w:rPr>
        <w:t>PowerPlex</w:t>
      </w:r>
      <w:proofErr w:type="spellEnd"/>
      <w:r w:rsidRPr="00BF1A4E">
        <w:rPr>
          <w:rFonts w:ascii="微软雅黑" w:eastAsia="微软雅黑" w:hAnsi="微软雅黑" w:cs="宋体"/>
          <w:kern w:val="0"/>
          <w:sz w:val="24"/>
          <w:szCs w:val="24"/>
        </w:rPr>
        <w:t xml:space="preserve"> 1.2 系统 (Promega) 进行 STR 分型以确认其身份。 Genentech 使用 </w:t>
      </w:r>
      <w:proofErr w:type="spellStart"/>
      <w:r w:rsidRPr="00BF1A4E">
        <w:rPr>
          <w:rFonts w:ascii="微软雅黑" w:eastAsia="微软雅黑" w:hAnsi="微软雅黑" w:cs="宋体"/>
          <w:kern w:val="0"/>
          <w:sz w:val="24"/>
          <w:szCs w:val="24"/>
        </w:rPr>
        <w:lastRenderedPageBreak/>
        <w:t>PowerPlex</w:t>
      </w:r>
      <w:proofErr w:type="spellEnd"/>
      <w:r w:rsidRPr="00BF1A4E">
        <w:rPr>
          <w:rFonts w:ascii="微软雅黑" w:eastAsia="微软雅黑" w:hAnsi="微软雅黑" w:cs="宋体"/>
          <w:kern w:val="0"/>
          <w:sz w:val="24"/>
          <w:szCs w:val="24"/>
        </w:rPr>
        <w:t xml:space="preserve"> 16 系统（Promega）进行 STR 分型。所有细胞株在冷冻保存前后均进行支原体检测。为</w:t>
      </w:r>
      <w:proofErr w:type="gramStart"/>
      <w:r w:rsidRPr="00BF1A4E">
        <w:rPr>
          <w:rFonts w:ascii="微软雅黑" w:eastAsia="微软雅黑" w:hAnsi="微软雅黑" w:cs="宋体"/>
          <w:kern w:val="0"/>
          <w:sz w:val="24"/>
          <w:szCs w:val="24"/>
        </w:rPr>
        <w:t>避免假</w:t>
      </w:r>
      <w:proofErr w:type="gramEnd"/>
      <w:r w:rsidRPr="00BF1A4E">
        <w:rPr>
          <w:rFonts w:ascii="微软雅黑" w:eastAsia="微软雅黑" w:hAnsi="微软雅黑" w:cs="宋体"/>
          <w:kern w:val="0"/>
          <w:sz w:val="24"/>
          <w:szCs w:val="24"/>
        </w:rPr>
        <w:t xml:space="preserve">阳性/假阴性结果，采用两种方法：Lonza </w:t>
      </w:r>
      <w:proofErr w:type="spellStart"/>
      <w:r w:rsidRPr="00BF1A4E">
        <w:rPr>
          <w:rFonts w:ascii="微软雅黑" w:eastAsia="微软雅黑" w:hAnsi="微软雅黑" w:cs="宋体"/>
          <w:kern w:val="0"/>
          <w:sz w:val="24"/>
          <w:szCs w:val="24"/>
        </w:rPr>
        <w:t>Mycoalert</w:t>
      </w:r>
      <w:proofErr w:type="spellEnd"/>
      <w:r w:rsidRPr="00BF1A4E">
        <w:rPr>
          <w:rFonts w:ascii="微软雅黑" w:eastAsia="微软雅黑" w:hAnsi="微软雅黑" w:cs="宋体"/>
          <w:kern w:val="0"/>
          <w:sz w:val="24"/>
          <w:szCs w:val="24"/>
        </w:rPr>
        <w:t xml:space="preserve"> 和 </w:t>
      </w:r>
      <w:proofErr w:type="spellStart"/>
      <w:r w:rsidRPr="00BF1A4E">
        <w:rPr>
          <w:rFonts w:ascii="微软雅黑" w:eastAsia="微软雅黑" w:hAnsi="微软雅黑" w:cs="宋体"/>
          <w:kern w:val="0"/>
          <w:sz w:val="24"/>
          <w:szCs w:val="24"/>
        </w:rPr>
        <w:t>Stratagene</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Mycosensor</w:t>
      </w:r>
      <w:proofErr w:type="spellEnd"/>
      <w:r w:rsidRPr="00BF1A4E">
        <w:rPr>
          <w:rFonts w:ascii="微软雅黑" w:eastAsia="微软雅黑" w:hAnsi="微软雅黑" w:cs="宋体"/>
          <w:kern w:val="0"/>
          <w:sz w:val="24"/>
          <w:szCs w:val="24"/>
        </w:rPr>
        <w:t>。</w:t>
      </w:r>
    </w:p>
    <w:p w14:paraId="358D3311"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化合物来源和处理条件</w:t>
      </w:r>
    </w:p>
    <w:p w14:paraId="04ECF230"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Palbociclib (PD0332991)-异硫氰酸酯 (S1579)、RSL3 (S8155)、ML210 (S0788) 和 Liproxstatin-1 (S7699) 购自 </w:t>
      </w:r>
      <w:proofErr w:type="spellStart"/>
      <w:r w:rsidRPr="00BF1A4E">
        <w:rPr>
          <w:rFonts w:ascii="微软雅黑" w:eastAsia="微软雅黑" w:hAnsi="微软雅黑" w:cs="宋体"/>
          <w:kern w:val="0"/>
          <w:sz w:val="24"/>
          <w:szCs w:val="24"/>
        </w:rPr>
        <w:t>Selleckchem</w:t>
      </w:r>
      <w:proofErr w:type="spellEnd"/>
      <w:r w:rsidRPr="00BF1A4E">
        <w:rPr>
          <w:rFonts w:ascii="微软雅黑" w:eastAsia="微软雅黑" w:hAnsi="微软雅黑" w:cs="宋体"/>
          <w:kern w:val="0"/>
          <w:sz w:val="24"/>
          <w:szCs w:val="24"/>
        </w:rPr>
        <w:t xml:space="preserve"> 公司。Ferrostatin-1 (SML-0583)、L-二氢乳清酸 (DHO, D7128) 和 TEMPO (2564-83-2) 购自 Sigma-Aldrich 公司。C11-BODIPY581/591 染料 (D3861) 购自 </w:t>
      </w:r>
      <w:proofErr w:type="spellStart"/>
      <w:r w:rsidRPr="00BF1A4E">
        <w:rPr>
          <w:rFonts w:ascii="微软雅黑" w:eastAsia="微软雅黑" w:hAnsi="微软雅黑" w:cs="宋体"/>
          <w:kern w:val="0"/>
          <w:sz w:val="24"/>
          <w:szCs w:val="24"/>
        </w:rPr>
        <w:t>ThermoFisher</w:t>
      </w:r>
      <w:proofErr w:type="spellEnd"/>
      <w:r w:rsidRPr="00BF1A4E">
        <w:rPr>
          <w:rFonts w:ascii="微软雅黑" w:eastAsia="微软雅黑" w:hAnsi="微软雅黑" w:cs="宋体"/>
          <w:kern w:val="0"/>
          <w:sz w:val="24"/>
          <w:szCs w:val="24"/>
        </w:rPr>
        <w:t xml:space="preserve"> Scientific 公司，</w:t>
      </w:r>
      <w:proofErr w:type="spellStart"/>
      <w:r w:rsidRPr="00BF1A4E">
        <w:rPr>
          <w:rFonts w:ascii="微软雅黑" w:eastAsia="微软雅黑" w:hAnsi="微软雅黑" w:cs="宋体"/>
          <w:kern w:val="0"/>
          <w:sz w:val="24"/>
          <w:szCs w:val="24"/>
        </w:rPr>
        <w:t>MitoPerOx</w:t>
      </w:r>
      <w:proofErr w:type="spellEnd"/>
      <w:r w:rsidRPr="00BF1A4E">
        <w:rPr>
          <w:rFonts w:ascii="微软雅黑" w:eastAsia="微软雅黑" w:hAnsi="微软雅黑" w:cs="宋体"/>
          <w:kern w:val="0"/>
          <w:sz w:val="24"/>
          <w:szCs w:val="24"/>
        </w:rPr>
        <w:t xml:space="preserve"> 染料 (ab146820) 购自 Abcam 公司。</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的合成方法如前所述</w:t>
      </w:r>
      <w:r w:rsidRPr="00BF1A4E">
        <w:rPr>
          <w:rFonts w:ascii="微软雅黑" w:eastAsia="微软雅黑" w:hAnsi="微软雅黑" w:cs="宋体"/>
          <w:kern w:val="0"/>
          <w:sz w:val="24"/>
          <w:szCs w:val="24"/>
          <w:u w:val="single"/>
          <w:vertAlign w:val="superscript"/>
        </w:rPr>
        <w:t>&lt;sup&gt; </w:t>
      </w:r>
      <w:hyperlink r:id="rId205" w:anchor="CR7" w:history="1">
        <w:r w:rsidRPr="00BF1A4E">
          <w:rPr>
            <w:rFonts w:ascii="微软雅黑" w:eastAsia="微软雅黑" w:hAnsi="微软雅黑" w:cs="宋体"/>
            <w:kern w:val="0"/>
            <w:sz w:val="24"/>
            <w:szCs w:val="24"/>
            <w:u w:val="single"/>
            <w:vertAlign w:val="superscript"/>
          </w:rPr>
          <w:t>7&lt;/sup&gt;</w:t>
        </w:r>
      </w:hyperlink>
      <w:r w:rsidRPr="00BF1A4E">
        <w:rPr>
          <w:rFonts w:ascii="微软雅黑" w:eastAsia="微软雅黑" w:hAnsi="微软雅黑" w:cs="宋体"/>
          <w:kern w:val="0"/>
          <w:sz w:val="24"/>
          <w:szCs w:val="24"/>
        </w:rPr>
        <w:t>。</w:t>
      </w:r>
    </w:p>
    <w:p w14:paraId="1113DB34"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抗体</w:t>
      </w:r>
    </w:p>
    <w:p w14:paraId="41CD2378"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以下</w:t>
      </w:r>
      <w:proofErr w:type="gramStart"/>
      <w:r w:rsidRPr="00BF1A4E">
        <w:rPr>
          <w:rFonts w:ascii="微软雅黑" w:eastAsia="微软雅黑" w:hAnsi="微软雅黑" w:cs="宋体"/>
          <w:kern w:val="0"/>
          <w:sz w:val="24"/>
          <w:szCs w:val="24"/>
        </w:rPr>
        <w:t>一</w:t>
      </w:r>
      <w:proofErr w:type="gramEnd"/>
      <w:r w:rsidRPr="00BF1A4E">
        <w:rPr>
          <w:rFonts w:ascii="微软雅黑" w:eastAsia="微软雅黑" w:hAnsi="微软雅黑" w:cs="宋体"/>
          <w:kern w:val="0"/>
          <w:sz w:val="24"/>
          <w:szCs w:val="24"/>
        </w:rPr>
        <w:t>抗为Cell Signaling Technology公司生产的抗GPX4（#52455）、抗SLC7A11（#12691）、抗磷酸化SirT1（Ser47）（#2314）、抗磷酸化CDK2（Thr160）（#2561）、抗磷酸化RB1 S807/811（#8516）、抗裂解PARP（#5625）、抗裂解Casp3（#9664）、抗磷酸化p44/42 MAPK（Erk1/2）（Thr202/Tyr204）（#4370）、抗5-脂氧合酶（ALOX5）（#3289）抗体，稀释度为1:1000。抗FAR1抗体（Novus Biologicals, LLC，NBP1-89847，1:1000稀释）、抗AGPAT3抗体（</w:t>
      </w:r>
      <w:proofErr w:type="spellStart"/>
      <w:r w:rsidRPr="00BF1A4E">
        <w:rPr>
          <w:rFonts w:ascii="微软雅黑" w:eastAsia="微软雅黑" w:hAnsi="微软雅黑" w:cs="宋体"/>
          <w:kern w:val="0"/>
          <w:sz w:val="24"/>
          <w:szCs w:val="24"/>
        </w:rPr>
        <w:t>abcam</w:t>
      </w:r>
      <w:proofErr w:type="spellEnd"/>
      <w:r w:rsidRPr="00BF1A4E">
        <w:rPr>
          <w:rFonts w:ascii="微软雅黑" w:eastAsia="微软雅黑" w:hAnsi="微软雅黑" w:cs="宋体"/>
          <w:kern w:val="0"/>
          <w:sz w:val="24"/>
          <w:szCs w:val="24"/>
        </w:rPr>
        <w:t>，ab211435，1:500稀释）、单克隆抗β-肌动蛋白抗体（Sigma，A5441，1:5000稀释）、抗ACSL4抗体（Santa Cruz Biotechnology，sc-365230，1:1000稀释）、抗铁蛋白抗体（</w:t>
      </w:r>
      <w:proofErr w:type="spellStart"/>
      <w:r w:rsidRPr="00BF1A4E">
        <w:rPr>
          <w:rFonts w:ascii="微软雅黑" w:eastAsia="微软雅黑" w:hAnsi="微软雅黑" w:cs="宋体"/>
          <w:kern w:val="0"/>
          <w:sz w:val="24"/>
          <w:szCs w:val="24"/>
        </w:rPr>
        <w:t>abcam</w:t>
      </w:r>
      <w:proofErr w:type="spellEnd"/>
      <w:r w:rsidRPr="00BF1A4E">
        <w:rPr>
          <w:rFonts w:ascii="微软雅黑" w:eastAsia="微软雅黑" w:hAnsi="微软雅黑" w:cs="宋体"/>
          <w:kern w:val="0"/>
          <w:sz w:val="24"/>
          <w:szCs w:val="24"/>
        </w:rPr>
        <w:t>，ab75973，1:2000稀释）、抗ATXN7L3抗体（</w:t>
      </w:r>
      <w:proofErr w:type="spellStart"/>
      <w:r w:rsidRPr="00BF1A4E">
        <w:rPr>
          <w:rFonts w:ascii="微软雅黑" w:eastAsia="微软雅黑" w:hAnsi="微软雅黑" w:cs="宋体"/>
          <w:kern w:val="0"/>
          <w:sz w:val="24"/>
          <w:szCs w:val="24"/>
        </w:rPr>
        <w:t>abcam</w:t>
      </w:r>
      <w:proofErr w:type="spellEnd"/>
      <w:r w:rsidRPr="00BF1A4E">
        <w:rPr>
          <w:rFonts w:ascii="微软雅黑" w:eastAsia="微软雅黑" w:hAnsi="微软雅黑" w:cs="宋体"/>
          <w:kern w:val="0"/>
          <w:sz w:val="24"/>
          <w:szCs w:val="24"/>
        </w:rPr>
        <w:t>，ab99947，1:1000稀</w:t>
      </w:r>
      <w:r w:rsidRPr="00BF1A4E">
        <w:rPr>
          <w:rFonts w:ascii="微软雅黑" w:eastAsia="微软雅黑" w:hAnsi="微软雅黑" w:cs="宋体"/>
          <w:kern w:val="0"/>
          <w:sz w:val="24"/>
          <w:szCs w:val="24"/>
        </w:rPr>
        <w:lastRenderedPageBreak/>
        <w:t>释）。使用</w:t>
      </w:r>
      <w:proofErr w:type="gramStart"/>
      <w:r w:rsidRPr="00BF1A4E">
        <w:rPr>
          <w:rFonts w:ascii="微软雅黑" w:eastAsia="微软雅黑" w:hAnsi="微软雅黑" w:cs="宋体"/>
          <w:kern w:val="0"/>
          <w:sz w:val="24"/>
          <w:szCs w:val="24"/>
        </w:rPr>
        <w:t>的二抗如下</w:t>
      </w:r>
      <w:proofErr w:type="gramEnd"/>
      <w:r w:rsidRPr="00BF1A4E">
        <w:rPr>
          <w:rFonts w:ascii="微软雅黑" w:eastAsia="微软雅黑" w:hAnsi="微软雅黑" w:cs="宋体"/>
          <w:kern w:val="0"/>
          <w:sz w:val="24"/>
          <w:szCs w:val="24"/>
        </w:rPr>
        <w:t>：HRP标记的抗兔IgG（Sigma A99169，1:10000稀释）、HRP标记的抗小鼠IgG（Sigma A9044，1:10000稀释）。</w:t>
      </w:r>
    </w:p>
    <w:p w14:paraId="75D69AAB"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全基因组 CRISPR/Cas9 筛选：帕博西尼的敏感性和耐药性</w:t>
      </w:r>
    </w:p>
    <w:p w14:paraId="44F8776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通过用 Edit-R 诱导型慢病毒 hEF1α-Blast-Cas9 核酸酶（</w:t>
      </w:r>
      <w:proofErr w:type="spellStart"/>
      <w:r w:rsidRPr="00BF1A4E">
        <w:rPr>
          <w:rFonts w:ascii="微软雅黑" w:eastAsia="微软雅黑" w:hAnsi="微软雅黑" w:cs="宋体"/>
          <w:kern w:val="0"/>
          <w:sz w:val="24"/>
          <w:szCs w:val="24"/>
        </w:rPr>
        <w:t>Dharmacon</w:t>
      </w:r>
      <w:proofErr w:type="spellEnd"/>
      <w:r w:rsidRPr="00BF1A4E">
        <w:rPr>
          <w:rFonts w:ascii="微软雅黑" w:eastAsia="微软雅黑" w:hAnsi="微软雅黑" w:cs="宋体"/>
          <w:kern w:val="0"/>
          <w:sz w:val="24"/>
          <w:szCs w:val="24"/>
        </w:rPr>
        <w:t xml:space="preserve">）转导 MCF-7 细胞，并在 10 </w:t>
      </w:r>
      <w:proofErr w:type="spellStart"/>
      <w:r w:rsidRPr="00BF1A4E">
        <w:rPr>
          <w:rFonts w:ascii="微软雅黑" w:eastAsia="微软雅黑" w:hAnsi="微软雅黑" w:cs="宋体"/>
          <w:kern w:val="0"/>
          <w:sz w:val="24"/>
          <w:szCs w:val="24"/>
        </w:rPr>
        <w:t>μg</w:t>
      </w:r>
      <w:proofErr w:type="spellEnd"/>
      <w:r w:rsidRPr="00BF1A4E">
        <w:rPr>
          <w:rFonts w:ascii="微软雅黑" w:eastAsia="微软雅黑" w:hAnsi="微软雅黑" w:cs="宋体"/>
          <w:kern w:val="0"/>
          <w:sz w:val="24"/>
          <w:szCs w:val="24"/>
        </w:rPr>
        <w:t xml:space="preserve">/ml </w:t>
      </w:r>
      <w:proofErr w:type="gramStart"/>
      <w:r w:rsidRPr="00BF1A4E">
        <w:rPr>
          <w:rFonts w:ascii="微软雅黑" w:eastAsia="微软雅黑" w:hAnsi="微软雅黑" w:cs="宋体"/>
          <w:kern w:val="0"/>
          <w:sz w:val="24"/>
          <w:szCs w:val="24"/>
        </w:rPr>
        <w:t>杀稻瘟菌</w:t>
      </w:r>
      <w:proofErr w:type="gramEnd"/>
      <w:r w:rsidRPr="00BF1A4E">
        <w:rPr>
          <w:rFonts w:ascii="微软雅黑" w:eastAsia="微软雅黑" w:hAnsi="微软雅黑" w:cs="宋体"/>
          <w:kern w:val="0"/>
          <w:sz w:val="24"/>
          <w:szCs w:val="24"/>
        </w:rPr>
        <w:t xml:space="preserve">素中筛选 5 天，构建了强力霉素诱导型表达 Cas9 的 MCF-7 iCas9 克隆（MCF-7iCas9）。用载体或 2 </w:t>
      </w:r>
      <w:proofErr w:type="spellStart"/>
      <w:r w:rsidRPr="00BF1A4E">
        <w:rPr>
          <w:rFonts w:ascii="微软雅黑" w:eastAsia="微软雅黑" w:hAnsi="微软雅黑" w:cs="宋体"/>
          <w:kern w:val="0"/>
          <w:sz w:val="24"/>
          <w:szCs w:val="24"/>
        </w:rPr>
        <w:t>μg</w:t>
      </w:r>
      <w:proofErr w:type="spellEnd"/>
      <w:r w:rsidRPr="00BF1A4E">
        <w:rPr>
          <w:rFonts w:ascii="微软雅黑" w:eastAsia="微软雅黑" w:hAnsi="微软雅黑" w:cs="宋体"/>
          <w:kern w:val="0"/>
          <w:sz w:val="24"/>
          <w:szCs w:val="24"/>
        </w:rPr>
        <w:t>/ml 强力霉素处理后，通过蛋白质印迹法验证了 Cas9 的表达。筛选时，使用先前已发表并验证的全基因组人类慢病毒 CRISPR 文库&lt;sup&gt;17&lt;/sup&gt;，以 0.3 的感染复数 (MOI) 感染 300 × 10&lt;sup&gt; </w:t>
      </w:r>
      <w:hyperlink r:id="rId206" w:anchor="CR17" w:history="1">
        <w:r w:rsidRPr="00BF1A4E">
          <w:rPr>
            <w:rFonts w:ascii="微软雅黑" w:eastAsia="微软雅黑" w:hAnsi="微软雅黑" w:cs="宋体"/>
            <w:kern w:val="0"/>
            <w:sz w:val="24"/>
            <w:szCs w:val="24"/>
            <w:u w:val="single"/>
            <w:vertAlign w:val="superscript"/>
          </w:rPr>
          <w:t>6</w:t>
        </w:r>
      </w:hyperlink>
      <w:r w:rsidRPr="00BF1A4E">
        <w:rPr>
          <w:rFonts w:ascii="微软雅黑" w:eastAsia="微软雅黑" w:hAnsi="微软雅黑" w:cs="宋体"/>
          <w:kern w:val="0"/>
          <w:sz w:val="24"/>
          <w:szCs w:val="24"/>
          <w:vertAlign w:val="superscript"/>
        </w:rPr>
        <w:t> &lt;/sup&gt;</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 MCF-7 iCas9 细胞，目标是每个 sgRNA 感染 1000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细胞。转导细胞首先用 2 µg/mL 嘌呤霉素筛选 2 天，随后用嘌呤霉素和强力霉素联合处理 4 天，此时采集 T0 样本。将 100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bscript"/>
        </w:rPr>
        <w:t>个</w:t>
      </w:r>
      <w:proofErr w:type="gramEnd"/>
      <w:r w:rsidRPr="00BF1A4E">
        <w:rPr>
          <w:rFonts w:ascii="微软雅黑" w:eastAsia="微软雅黑" w:hAnsi="微软雅黑" w:cs="宋体"/>
          <w:kern w:val="0"/>
          <w:sz w:val="24"/>
          <w:szCs w:val="24"/>
          <w:vertAlign w:val="superscript"/>
        </w:rPr>
        <w:t>细胞</w:t>
      </w:r>
      <w:r w:rsidRPr="00BF1A4E">
        <w:rPr>
          <w:rFonts w:ascii="微软雅黑" w:eastAsia="微软雅黑" w:hAnsi="微软雅黑" w:cs="宋体"/>
          <w:kern w:val="0"/>
          <w:sz w:val="24"/>
          <w:szCs w:val="24"/>
        </w:rPr>
        <w:t xml:space="preserve">暴露于 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帕博西尼或载体中 2 周，然后采集 T1 样本。从 T0 和 T1 样本中提取 DNA </w:t>
      </w:r>
      <w:r w:rsidRPr="00BF1A4E">
        <w:rPr>
          <w:rFonts w:ascii="微软雅黑" w:eastAsia="微软雅黑" w:hAnsi="微软雅黑" w:cs="宋体"/>
          <w:kern w:val="0"/>
          <w:sz w:val="24"/>
          <w:szCs w:val="24"/>
          <w:vertAlign w:val="subscript"/>
        </w:rPr>
        <w:t>，并</w:t>
      </w:r>
      <w:r w:rsidRPr="00BF1A4E">
        <w:rPr>
          <w:rFonts w:ascii="微软雅黑" w:eastAsia="微软雅黑" w:hAnsi="微软雅黑" w:cs="宋体"/>
          <w:kern w:val="0"/>
          <w:sz w:val="24"/>
          <w:szCs w:val="24"/>
        </w:rPr>
        <w:t>通过</w:t>
      </w:r>
      <w:r w:rsidRPr="00BF1A4E">
        <w:rPr>
          <w:rFonts w:ascii="微软雅黑" w:eastAsia="微软雅黑" w:hAnsi="微软雅黑" w:cs="宋体"/>
          <w:kern w:val="0"/>
          <w:sz w:val="24"/>
          <w:szCs w:val="24"/>
          <w:vertAlign w:val="subscript"/>
        </w:rPr>
        <w:t>PCR扩增 CRISPR 引导区，然后使用 U6 定制引物</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"CR57"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57</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 xml:space="preserve">在 </w:t>
      </w:r>
      <w:proofErr w:type="spellStart"/>
      <w:r w:rsidRPr="00BF1A4E">
        <w:rPr>
          <w:rFonts w:ascii="微软雅黑" w:eastAsia="微软雅黑" w:hAnsi="微软雅黑" w:cs="宋体"/>
          <w:kern w:val="0"/>
          <w:sz w:val="24"/>
          <w:szCs w:val="24"/>
        </w:rPr>
        <w:t>HiSeq</w:t>
      </w:r>
      <w:proofErr w:type="spellEnd"/>
      <w:r w:rsidRPr="00BF1A4E">
        <w:rPr>
          <w:rFonts w:ascii="微软雅黑" w:eastAsia="微软雅黑" w:hAnsi="微软雅黑" w:cs="宋体"/>
          <w:kern w:val="0"/>
          <w:sz w:val="24"/>
          <w:szCs w:val="24"/>
        </w:rPr>
        <w:t>（Illumina）平台上对每个样本中的 sgRNA 进行测序，以生成 gRNA 计数数据。CRISPR 筛选数据的预处理和定量方法如前所述</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"CR57"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57。</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 xml:space="preserve">为了对基因进行优先级排序，我们使用 </w:t>
      </w:r>
      <w:proofErr w:type="spellStart"/>
      <w:r w:rsidRPr="00BF1A4E">
        <w:rPr>
          <w:rFonts w:ascii="微软雅黑" w:eastAsia="微软雅黑" w:hAnsi="微软雅黑" w:cs="宋体"/>
          <w:kern w:val="0"/>
          <w:sz w:val="24"/>
          <w:szCs w:val="24"/>
        </w:rPr>
        <w:t>normZ</w:t>
      </w:r>
      <w:proofErr w:type="spellEnd"/>
      <w:r w:rsidRPr="00BF1A4E">
        <w:rPr>
          <w:rFonts w:ascii="微软雅黑" w:eastAsia="微软雅黑" w:hAnsi="微软雅黑" w:cs="宋体"/>
          <w:kern w:val="0"/>
          <w:sz w:val="24"/>
          <w:szCs w:val="24"/>
        </w:rPr>
        <w:t>，它通过将 sgRNA 的 z 分数标准化到基因水平，如前所述</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"CR58"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58</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w:t>
      </w:r>
    </w:p>
    <w:p w14:paraId="0B0A5A41"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全基因组 CRISPR/Cas9 筛选：</w:t>
      </w:r>
      <w:proofErr w:type="gramStart"/>
      <w:r w:rsidRPr="00BF1A4E">
        <w:rPr>
          <w:rFonts w:ascii="微软雅黑" w:eastAsia="微软雅黑" w:hAnsi="微软雅黑" w:cs="宋体"/>
          <w:kern w:val="0"/>
          <w:sz w:val="32"/>
          <w:szCs w:val="32"/>
        </w:rPr>
        <w:t>吉瑞地司他特</w:t>
      </w:r>
      <w:proofErr w:type="gramEnd"/>
      <w:r w:rsidRPr="00BF1A4E">
        <w:rPr>
          <w:rFonts w:ascii="微软雅黑" w:eastAsia="微软雅黑" w:hAnsi="微软雅黑" w:cs="宋体"/>
          <w:kern w:val="0"/>
          <w:sz w:val="32"/>
          <w:szCs w:val="32"/>
        </w:rPr>
        <w:t>的敏感性和耐药性</w:t>
      </w:r>
    </w:p>
    <w:p w14:paraId="2735384C"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i/>
          <w:iCs/>
          <w:kern w:val="0"/>
          <w:sz w:val="24"/>
          <w:szCs w:val="24"/>
        </w:rPr>
        <w:t>将编码化脓性链球菌</w:t>
      </w:r>
      <w:r w:rsidRPr="00BF1A4E">
        <w:rPr>
          <w:rFonts w:ascii="微软雅黑" w:eastAsia="微软雅黑" w:hAnsi="微软雅黑" w:cs="宋体"/>
          <w:kern w:val="0"/>
          <w:sz w:val="24"/>
          <w:szCs w:val="24"/>
        </w:rPr>
        <w:t>Cas9和</w:t>
      </w:r>
      <w:proofErr w:type="spellStart"/>
      <w:r w:rsidRPr="00BF1A4E">
        <w:rPr>
          <w:rFonts w:ascii="微软雅黑" w:eastAsia="微软雅黑" w:hAnsi="微软雅黑" w:cs="宋体"/>
          <w:kern w:val="0"/>
          <w:sz w:val="24"/>
          <w:szCs w:val="24"/>
        </w:rPr>
        <w:t>BlastR</w:t>
      </w:r>
      <w:proofErr w:type="spellEnd"/>
      <w:r w:rsidRPr="00BF1A4E">
        <w:rPr>
          <w:rFonts w:ascii="微软雅黑" w:eastAsia="微软雅黑" w:hAnsi="微软雅黑" w:cs="宋体"/>
          <w:kern w:val="0"/>
          <w:sz w:val="24"/>
          <w:szCs w:val="24"/>
        </w:rPr>
        <w:t>基因的慢病毒载体pLenti6.3转染MCF-7细胞，用10 µg/ml</w:t>
      </w:r>
      <w:proofErr w:type="gramStart"/>
      <w:r w:rsidRPr="00BF1A4E">
        <w:rPr>
          <w:rFonts w:ascii="微软雅黑" w:eastAsia="微软雅黑" w:hAnsi="微软雅黑" w:cs="宋体"/>
          <w:kern w:val="0"/>
          <w:sz w:val="24"/>
          <w:szCs w:val="24"/>
        </w:rPr>
        <w:t>杀稻瘟菌</w:t>
      </w:r>
      <w:proofErr w:type="gramEnd"/>
      <w:r w:rsidRPr="00BF1A4E">
        <w:rPr>
          <w:rFonts w:ascii="微软雅黑" w:eastAsia="微软雅黑" w:hAnsi="微软雅黑" w:cs="宋体"/>
          <w:kern w:val="0"/>
          <w:sz w:val="24"/>
          <w:szCs w:val="24"/>
        </w:rPr>
        <w:t>素筛选，并进行单细胞克隆，以分离出经慢病毒</w:t>
      </w:r>
      <w:r w:rsidRPr="00BF1A4E">
        <w:rPr>
          <w:rFonts w:ascii="微软雅黑" w:eastAsia="微软雅黑" w:hAnsi="微软雅黑" w:cs="宋体"/>
          <w:kern w:val="0"/>
          <w:sz w:val="24"/>
          <w:szCs w:val="24"/>
        </w:rPr>
        <w:lastRenderedPageBreak/>
        <w:t>CD81 sgRNA转染后，流式细胞术检测显示96% CD81阴性细胞的克隆。按照Callow等人&lt;sup&gt;59&lt;/sup&gt;描述的方法，设计并构建了一个针对人类基因组中所有蛋白质编码基因的sgRNA文库，每个基因包含8个sgRNA，并将其构建成8个质粒池，用于构建类似的鼠sgRNA文库。sgRNA序列见补充数据 </w:t>
      </w:r>
      <w:hyperlink r:id="rId207" w:anchor="MOESM4" w:history="1">
        <w:r w:rsidRPr="00BF1A4E">
          <w:rPr>
            <w:rFonts w:ascii="微软雅黑" w:eastAsia="微软雅黑" w:hAnsi="微软雅黑" w:cs="宋体"/>
            <w:kern w:val="0"/>
            <w:sz w:val="24"/>
            <w:szCs w:val="24"/>
            <w:u w:val="single"/>
          </w:rPr>
          <w:t>2。按照Callow等人</w:t>
        </w:r>
        <w:r w:rsidRPr="00BF1A4E">
          <w:rPr>
            <w:rFonts w:ascii="微软雅黑" w:eastAsia="微软雅黑" w:hAnsi="微软雅黑" w:cs="宋体"/>
            <w:kern w:val="0"/>
            <w:sz w:val="24"/>
            <w:szCs w:val="24"/>
            <w:u w:val="single"/>
            <w:vertAlign w:val="superscript"/>
          </w:rPr>
          <w:t>&lt;sup&gt; </w:t>
        </w:r>
      </w:hyperlink>
      <w:hyperlink r:id="rId208" w:anchor="CR59" w:history="1">
        <w:r w:rsidRPr="00BF1A4E">
          <w:rPr>
            <w:rFonts w:ascii="微软雅黑" w:eastAsia="微软雅黑" w:hAnsi="微软雅黑" w:cs="宋体"/>
            <w:kern w:val="0"/>
            <w:sz w:val="24"/>
            <w:szCs w:val="24"/>
            <w:u w:val="single"/>
            <w:vertAlign w:val="superscript"/>
          </w:rPr>
          <w:t>59 </w:t>
        </w:r>
      </w:hyperlink>
      <w:hyperlink r:id="rId209" w:anchor="CR59" w:history="1">
        <w:r w:rsidRPr="00BF1A4E">
          <w:rPr>
            <w:rFonts w:ascii="微软雅黑" w:eastAsia="微软雅黑" w:hAnsi="微软雅黑" w:cs="宋体"/>
            <w:kern w:val="0"/>
            <w:sz w:val="24"/>
            <w:szCs w:val="24"/>
            <w:u w:val="single"/>
            <w:vertAlign w:val="superscript"/>
          </w:rPr>
          <w:t>&lt;/sup&gt;</w:t>
        </w:r>
      </w:hyperlink>
      <w:r w:rsidRPr="00BF1A4E">
        <w:rPr>
          <w:rFonts w:ascii="微软雅黑" w:eastAsia="微软雅黑" w:hAnsi="微软雅黑" w:cs="宋体"/>
          <w:kern w:val="0"/>
          <w:sz w:val="24"/>
          <w:szCs w:val="24"/>
        </w:rPr>
        <w:t>描述的方法，将sgRNA文库质粒池包装成慢病毒，并在筛选细胞系中测定其滴度。筛选时，将 8 个子文库池的慢病毒原液按其病毒滴度的比例混合。</w:t>
      </w:r>
    </w:p>
    <w:p w14:paraId="3FBD766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将表达Cas9的MCF-7细胞以1.73 × 10</w:t>
      </w:r>
      <w:r w:rsidRPr="00BF1A4E">
        <w:rPr>
          <w:rFonts w:ascii="微软雅黑" w:eastAsia="微软雅黑" w:hAnsi="微软雅黑" w:cs="微软雅黑" w:hint="eastAsia"/>
          <w:kern w:val="0"/>
          <w:sz w:val="24"/>
          <w:szCs w:val="24"/>
        </w:rPr>
        <w:t>⁸</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细胞为一组，分别进行三份独立的实验，用慢病毒全基因组sgRNA文库进行转导，</w:t>
      </w:r>
      <w:r w:rsidRPr="00BF1A4E">
        <w:rPr>
          <w:rFonts w:ascii="微软雅黑" w:eastAsia="微软雅黑" w:hAnsi="微软雅黑" w:cs="宋体"/>
          <w:kern w:val="0"/>
          <w:sz w:val="24"/>
          <w:szCs w:val="24"/>
          <w:vertAlign w:val="superscript"/>
        </w:rPr>
        <w:t>感染</w:t>
      </w:r>
      <w:r w:rsidRPr="00BF1A4E">
        <w:rPr>
          <w:rFonts w:ascii="微软雅黑" w:eastAsia="微软雅黑" w:hAnsi="微软雅黑" w:cs="宋体"/>
          <w:kern w:val="0"/>
          <w:sz w:val="24"/>
          <w:szCs w:val="24"/>
        </w:rPr>
        <w:t>复数（MOI）为0.25-0.29（通过嘌呤霉素抗性测定），以确保每个sgRNA对应252-287个细胞。所有细胞培养和传代均在带有条形码的三层T500培养瓶（132925，</w:t>
      </w:r>
      <w:proofErr w:type="spellStart"/>
      <w:r w:rsidRPr="00BF1A4E">
        <w:rPr>
          <w:rFonts w:ascii="微软雅黑" w:eastAsia="微软雅黑" w:hAnsi="微软雅黑" w:cs="宋体"/>
          <w:kern w:val="0"/>
          <w:sz w:val="24"/>
          <w:szCs w:val="24"/>
        </w:rPr>
        <w:t>ThermoFisher</w:t>
      </w:r>
      <w:proofErr w:type="spellEnd"/>
      <w:r w:rsidRPr="00BF1A4E">
        <w:rPr>
          <w:rFonts w:ascii="微软雅黑" w:eastAsia="微软雅黑" w:hAnsi="微软雅黑" w:cs="宋体"/>
          <w:kern w:val="0"/>
          <w:sz w:val="24"/>
          <w:szCs w:val="24"/>
        </w:rPr>
        <w:t xml:space="preserve"> Scientific）中进行，并使用</w:t>
      </w:r>
      <w:proofErr w:type="spellStart"/>
      <w:r w:rsidRPr="00BF1A4E">
        <w:rPr>
          <w:rFonts w:ascii="微软雅黑" w:eastAsia="微软雅黑" w:hAnsi="微软雅黑" w:cs="宋体"/>
          <w:kern w:val="0"/>
          <w:sz w:val="24"/>
          <w:szCs w:val="24"/>
        </w:rPr>
        <w:t>CompacT</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SelecT</w:t>
      </w:r>
      <w:proofErr w:type="spellEnd"/>
      <w:r w:rsidRPr="00BF1A4E">
        <w:rPr>
          <w:rFonts w:ascii="微软雅黑" w:eastAsia="微软雅黑" w:hAnsi="微软雅黑" w:cs="宋体"/>
          <w:kern w:val="0"/>
          <w:sz w:val="24"/>
          <w:szCs w:val="24"/>
        </w:rPr>
        <w:t xml:space="preserve">（Sartorius </w:t>
      </w:r>
      <w:proofErr w:type="spellStart"/>
      <w:r w:rsidRPr="00BF1A4E">
        <w:rPr>
          <w:rFonts w:ascii="微软雅黑" w:eastAsia="微软雅黑" w:hAnsi="微软雅黑" w:cs="宋体"/>
          <w:kern w:val="0"/>
          <w:sz w:val="24"/>
          <w:szCs w:val="24"/>
        </w:rPr>
        <w:t>Stedim</w:t>
      </w:r>
      <w:proofErr w:type="spellEnd"/>
      <w:r w:rsidRPr="00BF1A4E">
        <w:rPr>
          <w:rFonts w:ascii="微软雅黑" w:eastAsia="微软雅黑" w:hAnsi="微软雅黑" w:cs="宋体"/>
          <w:kern w:val="0"/>
          <w:sz w:val="24"/>
          <w:szCs w:val="24"/>
        </w:rPr>
        <w:t xml:space="preserve"> Biotech）自动化系统。转导两天后（第 2 天），从每个重复样本中收集 1.60 × 10</w:t>
      </w:r>
      <w:r w:rsidRPr="00BF1A4E">
        <w:rPr>
          <w:rFonts w:ascii="微软雅黑" w:eastAsia="微软雅黑" w:hAnsi="微软雅黑" w:cs="微软雅黑" w:hint="eastAsia"/>
          <w:kern w:val="0"/>
          <w:sz w:val="24"/>
          <w:szCs w:val="24"/>
        </w:rPr>
        <w:t>⁸</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细胞作为参考时间点，并从第 3 天开始，用 2 µg/ml 嘌呤霉素对每个重复样本中的 1.73 × 10</w:t>
      </w:r>
      <w:r w:rsidRPr="00BF1A4E">
        <w:rPr>
          <w:rFonts w:ascii="微软雅黑" w:eastAsia="微软雅黑" w:hAnsi="微软雅黑" w:cs="微软雅黑" w:hint="eastAsia"/>
          <w:kern w:val="0"/>
          <w:sz w:val="24"/>
          <w:szCs w:val="24"/>
        </w:rPr>
        <w:t>⁸</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vertAlign w:val="superscript"/>
        </w:rPr>
        <w:t>细胞</w:t>
      </w:r>
      <w:r w:rsidRPr="00BF1A4E">
        <w:rPr>
          <w:rFonts w:ascii="微软雅黑" w:eastAsia="微软雅黑" w:hAnsi="微软雅黑" w:cs="宋体"/>
          <w:kern w:val="0"/>
          <w:sz w:val="24"/>
          <w:szCs w:val="24"/>
        </w:rPr>
        <w:t>进行传代筛选。然后在第 6 天和第 10 天，用不含嘌呤霉素的培养基对每个重复样本中的 8.05 × 10</w:t>
      </w:r>
      <w:r w:rsidRPr="00BF1A4E">
        <w:rPr>
          <w:rFonts w:ascii="微软雅黑" w:eastAsia="微软雅黑" w:hAnsi="微软雅黑" w:cs="微软雅黑" w:hint="eastAsia"/>
          <w:kern w:val="0"/>
          <w:sz w:val="24"/>
          <w:szCs w:val="24"/>
        </w:rPr>
        <w:t>⁷</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细胞进行传代筛选。在第 13 天，从每个重复样本中</w:t>
      </w:r>
      <w:r w:rsidRPr="00BF1A4E">
        <w:rPr>
          <w:rFonts w:ascii="微软雅黑" w:eastAsia="微软雅黑" w:hAnsi="微软雅黑" w:cs="宋体"/>
          <w:kern w:val="0"/>
          <w:sz w:val="24"/>
          <w:szCs w:val="24"/>
          <w:vertAlign w:val="superscript"/>
        </w:rPr>
        <w:t>收集8.00</w:t>
      </w:r>
      <w:r w:rsidRPr="00BF1A4E">
        <w:rPr>
          <w:rFonts w:ascii="微软雅黑" w:eastAsia="微软雅黑" w:hAnsi="微软雅黑" w:cs="宋体"/>
          <w:kern w:val="0"/>
          <w:sz w:val="24"/>
          <w:szCs w:val="24"/>
        </w:rPr>
        <w:t> × </w:t>
      </w:r>
      <w:r w:rsidRPr="00BF1A4E">
        <w:rPr>
          <w:rFonts w:ascii="微软雅黑" w:eastAsia="微软雅黑" w:hAnsi="微软雅黑" w:cs="宋体"/>
          <w:kern w:val="0"/>
          <w:sz w:val="24"/>
          <w:szCs w:val="24"/>
          <w:vertAlign w:val="superscript"/>
        </w:rPr>
        <w:t>10</w:t>
      </w:r>
      <w:r w:rsidRPr="00BF1A4E">
        <w:rPr>
          <w:rFonts w:ascii="微软雅黑" w:eastAsia="微软雅黑" w:hAnsi="微软雅黑" w:cs="微软雅黑" w:hint="eastAsia"/>
          <w:kern w:val="0"/>
          <w:sz w:val="24"/>
          <w:szCs w:val="24"/>
          <w:vertAlign w:val="superscript"/>
        </w:rPr>
        <w:t>⁷</w:t>
      </w:r>
      <w:r w:rsidRPr="00BF1A4E">
        <w:rPr>
          <w:rFonts w:ascii="微软雅黑" w:eastAsia="微软雅黑" w:hAnsi="微软雅黑" w:cs="宋体"/>
          <w:kern w:val="0"/>
          <w:sz w:val="24"/>
          <w:szCs w:val="24"/>
          <w:vertAlign w:val="superscript"/>
        </w:rPr>
        <w:t xml:space="preserve"> </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细胞作为基线时间点，并将三组 8.05 × 10</w:t>
      </w:r>
      <w:r w:rsidRPr="00BF1A4E">
        <w:rPr>
          <w:rFonts w:ascii="微软雅黑" w:eastAsia="微软雅黑" w:hAnsi="微软雅黑" w:cs="微软雅黑" w:hint="eastAsia"/>
          <w:kern w:val="0"/>
          <w:sz w:val="24"/>
          <w:szCs w:val="24"/>
        </w:rPr>
        <w:t>⁷</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细胞接种到培养基中，用于第二天（处理第 0 天）的处理，其中两组用 0.6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处理，一组用等量的稀释剂 DMSO 处理。对于</w:t>
      </w:r>
      <w:proofErr w:type="gramStart"/>
      <w:r w:rsidRPr="00BF1A4E">
        <w:rPr>
          <w:rFonts w:ascii="微软雅黑" w:eastAsia="微软雅黑" w:hAnsi="微软雅黑" w:cs="宋体"/>
          <w:kern w:val="0"/>
          <w:sz w:val="24"/>
          <w:szCs w:val="24"/>
        </w:rPr>
        <w:t>吉瑞地司他处理</w:t>
      </w:r>
      <w:proofErr w:type="gramEnd"/>
      <w:r w:rsidRPr="00BF1A4E">
        <w:rPr>
          <w:rFonts w:ascii="微软雅黑" w:eastAsia="微软雅黑" w:hAnsi="微软雅黑" w:cs="宋体"/>
          <w:kern w:val="0"/>
          <w:sz w:val="24"/>
          <w:szCs w:val="24"/>
        </w:rPr>
        <w:t>组，在处理第3天将8.05 × 10</w:t>
      </w:r>
      <w:r w:rsidRPr="00BF1A4E">
        <w:rPr>
          <w:rFonts w:ascii="微软雅黑" w:eastAsia="微软雅黑" w:hAnsi="微软雅黑" w:cs="微软雅黑" w:hint="eastAsia"/>
          <w:kern w:val="0"/>
          <w:sz w:val="24"/>
          <w:szCs w:val="24"/>
        </w:rPr>
        <w:t>⁷</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 xml:space="preserve">细胞传代至新鲜的0.6 </w:t>
      </w:r>
      <w:proofErr w:type="spellStart"/>
      <w:r w:rsidRPr="00BF1A4E">
        <w:rPr>
          <w:rFonts w:ascii="微软雅黑" w:eastAsia="微软雅黑" w:hAnsi="微软雅黑" w:cs="宋体"/>
          <w:kern w:val="0"/>
          <w:sz w:val="24"/>
          <w:szCs w:val="24"/>
        </w:rPr>
        <w:t>nM</w:t>
      </w:r>
      <w:proofErr w:type="spellEnd"/>
      <w:proofErr w:type="gramStart"/>
      <w:r w:rsidRPr="00BF1A4E">
        <w:rPr>
          <w:rFonts w:ascii="微软雅黑" w:eastAsia="微软雅黑" w:hAnsi="微软雅黑" w:cs="宋体"/>
          <w:kern w:val="0"/>
          <w:sz w:val="24"/>
          <w:szCs w:val="24"/>
        </w:rPr>
        <w:t>吉瑞地司他培养基</w:t>
      </w:r>
      <w:proofErr w:type="gramEnd"/>
      <w:r w:rsidRPr="00BF1A4E">
        <w:rPr>
          <w:rFonts w:ascii="微软雅黑" w:eastAsia="微软雅黑" w:hAnsi="微软雅黑" w:cs="宋体"/>
          <w:kern w:val="0"/>
          <w:sz w:val="24"/>
          <w:szCs w:val="24"/>
        </w:rPr>
        <w:t>中，每3-4天更换一次化合物和培养基，并在处理第10天和第17天收集每个</w:t>
      </w:r>
      <w:proofErr w:type="gramStart"/>
      <w:r w:rsidRPr="00BF1A4E">
        <w:rPr>
          <w:rFonts w:ascii="微软雅黑" w:eastAsia="微软雅黑" w:hAnsi="微软雅黑" w:cs="宋体"/>
          <w:kern w:val="0"/>
          <w:sz w:val="24"/>
          <w:szCs w:val="24"/>
        </w:rPr>
        <w:lastRenderedPageBreak/>
        <w:t>重复组</w:t>
      </w:r>
      <w:proofErr w:type="gramEnd"/>
      <w:r w:rsidRPr="00BF1A4E">
        <w:rPr>
          <w:rFonts w:ascii="微软雅黑" w:eastAsia="微软雅黑" w:hAnsi="微软雅黑" w:cs="宋体"/>
          <w:kern w:val="0"/>
          <w:sz w:val="24"/>
          <w:szCs w:val="24"/>
        </w:rPr>
        <w:t>的细胞（每个样本7.00 × 10</w:t>
      </w:r>
      <w:r w:rsidRPr="00BF1A4E">
        <w:rPr>
          <w:rFonts w:ascii="微软雅黑" w:eastAsia="微软雅黑" w:hAnsi="微软雅黑" w:cs="微软雅黑" w:hint="eastAsia"/>
          <w:kern w:val="0"/>
          <w:sz w:val="24"/>
          <w:szCs w:val="24"/>
        </w:rPr>
        <w:t>⁷</w:t>
      </w:r>
      <w:r w:rsidRPr="00BF1A4E">
        <w:rPr>
          <w:rFonts w:ascii="微软雅黑" w:eastAsia="微软雅黑" w:hAnsi="微软雅黑" w:cs="宋体"/>
          <w:kern w:val="0"/>
          <w:sz w:val="24"/>
          <w:szCs w:val="24"/>
          <w:vertAlign w:val="superscript"/>
        </w:rPr>
        <w:t>至</w:t>
      </w:r>
      <w:r w:rsidRPr="00BF1A4E">
        <w:rPr>
          <w:rFonts w:ascii="微软雅黑" w:eastAsia="微软雅黑" w:hAnsi="微软雅黑" w:cs="宋体"/>
          <w:kern w:val="0"/>
          <w:sz w:val="24"/>
          <w:szCs w:val="24"/>
        </w:rPr>
        <w:t>8.00 × 10</w:t>
      </w:r>
      <w:r w:rsidRPr="00BF1A4E">
        <w:rPr>
          <w:rFonts w:ascii="微软雅黑" w:eastAsia="微软雅黑" w:hAnsi="微软雅黑" w:cs="微软雅黑" w:hint="eastAsia"/>
          <w:kern w:val="0"/>
          <w:sz w:val="24"/>
          <w:szCs w:val="24"/>
        </w:rPr>
        <w:t>⁷</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细胞）。对于DMSO对照处理组，在处理第3、6、10和13天传代8.05 × 10</w:t>
      </w:r>
      <w:r w:rsidRPr="00BF1A4E">
        <w:rPr>
          <w:rFonts w:ascii="微软雅黑" w:eastAsia="微软雅黑" w:hAnsi="微软雅黑" w:cs="微软雅黑" w:hint="eastAsia"/>
          <w:kern w:val="0"/>
          <w:sz w:val="24"/>
          <w:szCs w:val="24"/>
        </w:rPr>
        <w:t>⁷</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细胞。此外，在处理第10天和第17天收集8.00 × 10</w:t>
      </w:r>
      <w:r w:rsidRPr="00BF1A4E">
        <w:rPr>
          <w:rFonts w:ascii="微软雅黑" w:eastAsia="微软雅黑" w:hAnsi="微软雅黑" w:cs="微软雅黑" w:hint="eastAsia"/>
          <w:kern w:val="0"/>
          <w:sz w:val="24"/>
          <w:szCs w:val="24"/>
        </w:rPr>
        <w:t>⁷</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vertAlign w:val="superscript"/>
        </w:rPr>
        <w:t>细胞。</w:t>
      </w:r>
      <w:proofErr w:type="gramStart"/>
      <w:r w:rsidRPr="00BF1A4E">
        <w:rPr>
          <w:rFonts w:ascii="微软雅黑" w:eastAsia="微软雅黑" w:hAnsi="微软雅黑" w:cs="宋体"/>
          <w:kern w:val="0"/>
          <w:sz w:val="24"/>
          <w:szCs w:val="24"/>
        </w:rPr>
        <w:t>吉瑞地司他处理</w:t>
      </w:r>
      <w:proofErr w:type="gramEnd"/>
      <w:r w:rsidRPr="00BF1A4E">
        <w:rPr>
          <w:rFonts w:ascii="微软雅黑" w:eastAsia="微软雅黑" w:hAnsi="微软雅黑" w:cs="宋体"/>
          <w:kern w:val="0"/>
          <w:sz w:val="24"/>
          <w:szCs w:val="24"/>
        </w:rPr>
        <w:t>组</w:t>
      </w:r>
      <w:proofErr w:type="gramStart"/>
      <w:r w:rsidRPr="00BF1A4E">
        <w:rPr>
          <w:rFonts w:ascii="微软雅黑" w:eastAsia="微软雅黑" w:hAnsi="微软雅黑" w:cs="宋体"/>
          <w:kern w:val="0"/>
          <w:sz w:val="24"/>
          <w:szCs w:val="24"/>
        </w:rPr>
        <w:t>重复组</w:t>
      </w:r>
      <w:proofErr w:type="gramEnd"/>
      <w:r w:rsidRPr="00BF1A4E">
        <w:rPr>
          <w:rFonts w:ascii="微软雅黑" w:eastAsia="微软雅黑" w:hAnsi="微软雅黑" w:cs="宋体"/>
          <w:kern w:val="0"/>
          <w:sz w:val="24"/>
          <w:szCs w:val="24"/>
        </w:rPr>
        <w:t>自处理第0天起的平均生长抑制率在处理第10天为56%，在处理第17天为83%。</w:t>
      </w:r>
    </w:p>
    <w:p w14:paraId="627523F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所有细胞样本均按照 Callow 等人</w:t>
      </w:r>
      <w:r w:rsidRPr="00BF1A4E">
        <w:rPr>
          <w:rFonts w:ascii="微软雅黑" w:eastAsia="微软雅黑" w:hAnsi="微软雅黑" w:cs="宋体"/>
          <w:kern w:val="0"/>
          <w:sz w:val="24"/>
          <w:szCs w:val="24"/>
          <w:u w:val="single"/>
          <w:vertAlign w:val="superscript"/>
        </w:rPr>
        <w:t>&lt;sup&gt; </w:t>
      </w:r>
      <w:hyperlink r:id="rId210" w:anchor="CR59" w:history="1">
        <w:r w:rsidRPr="00BF1A4E">
          <w:rPr>
            <w:rFonts w:ascii="微软雅黑" w:eastAsia="微软雅黑" w:hAnsi="微软雅黑" w:cs="宋体"/>
            <w:kern w:val="0"/>
            <w:sz w:val="24"/>
            <w:szCs w:val="24"/>
            <w:u w:val="single"/>
            <w:vertAlign w:val="superscript"/>
          </w:rPr>
          <w:t>59</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 xml:space="preserve">的方法进行基因组 DNA 分离、sgRNA 序列的 PCR 扩增、扩增子纯化和二代双端测序。PCR 扩增所用的基因组 DNA 量足以保证所有基线和处理组细胞样本中每个 sgRNA 对应 280-511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w:t>
      </w:r>
      <w:proofErr w:type="gramStart"/>
      <w:r w:rsidRPr="00BF1A4E">
        <w:rPr>
          <w:rFonts w:ascii="微软雅黑" w:eastAsia="微软雅黑" w:hAnsi="微软雅黑" w:cs="宋体"/>
          <w:kern w:val="0"/>
          <w:sz w:val="24"/>
          <w:szCs w:val="24"/>
        </w:rPr>
        <w:t>参考组</w:t>
      </w:r>
      <w:proofErr w:type="gramEnd"/>
      <w:r w:rsidRPr="00BF1A4E">
        <w:rPr>
          <w:rFonts w:ascii="微软雅黑" w:eastAsia="微软雅黑" w:hAnsi="微软雅黑" w:cs="宋体"/>
          <w:kern w:val="0"/>
          <w:sz w:val="24"/>
          <w:szCs w:val="24"/>
        </w:rPr>
        <w:t xml:space="preserve">细胞样本中每个 sgRNA 对应 191-455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细胞）。对于</w:t>
      </w:r>
      <w:proofErr w:type="gramStart"/>
      <w:r w:rsidRPr="00BF1A4E">
        <w:rPr>
          <w:rFonts w:ascii="微软雅黑" w:eastAsia="微软雅黑" w:hAnsi="微软雅黑" w:cs="宋体"/>
          <w:kern w:val="0"/>
          <w:sz w:val="24"/>
          <w:szCs w:val="24"/>
        </w:rPr>
        <w:t>每个读段</w:t>
      </w:r>
      <w:proofErr w:type="gramEnd"/>
      <w:r w:rsidRPr="00BF1A4E">
        <w:rPr>
          <w:rFonts w:ascii="微软雅黑" w:eastAsia="微软雅黑" w:hAnsi="微软雅黑" w:cs="宋体"/>
          <w:kern w:val="0"/>
          <w:sz w:val="24"/>
          <w:szCs w:val="24"/>
        </w:rPr>
        <w:t xml:space="preserve">对，使用 </w:t>
      </w:r>
      <w:proofErr w:type="spellStart"/>
      <w:r w:rsidRPr="00BF1A4E">
        <w:rPr>
          <w:rFonts w:ascii="微软雅黑" w:eastAsia="微软雅黑" w:hAnsi="微软雅黑" w:cs="宋体"/>
          <w:kern w:val="0"/>
          <w:sz w:val="24"/>
          <w:szCs w:val="24"/>
        </w:rPr>
        <w:t>crisprVerse</w:t>
      </w:r>
      <w:proofErr w:type="spellEnd"/>
      <w:r w:rsidRPr="00BF1A4E">
        <w:rPr>
          <w:rFonts w:ascii="微软雅黑" w:eastAsia="微软雅黑" w:hAnsi="微软雅黑" w:cs="宋体"/>
          <w:kern w:val="0"/>
          <w:sz w:val="24"/>
          <w:szCs w:val="24"/>
          <w:u w:val="single"/>
          <w:vertAlign w:val="superscript"/>
        </w:rPr>
        <w:t>&lt;sup&gt; </w:t>
      </w:r>
      <w:hyperlink r:id="rId211" w:anchor="CR60" w:history="1">
        <w:r w:rsidRPr="00BF1A4E">
          <w:rPr>
            <w:rFonts w:ascii="微软雅黑" w:eastAsia="微软雅黑" w:hAnsi="微软雅黑" w:cs="宋体"/>
            <w:kern w:val="0"/>
            <w:sz w:val="24"/>
            <w:szCs w:val="24"/>
            <w:u w:val="single"/>
            <w:vertAlign w:val="superscript"/>
          </w:rPr>
          <w:t>60</w:t>
        </w:r>
      </w:hyperlink>
      <w:r w:rsidRPr="00BF1A4E">
        <w:rPr>
          <w:rFonts w:ascii="微软雅黑" w:eastAsia="微软雅黑" w:hAnsi="微软雅黑" w:cs="宋体"/>
          <w:kern w:val="0"/>
          <w:sz w:val="24"/>
          <w:szCs w:val="24"/>
          <w:u w:val="single"/>
          <w:vertAlign w:val="superscript"/>
        </w:rPr>
        <w:t> &lt;/sup&gt;</w:t>
      </w:r>
      <w:r w:rsidRPr="00BF1A4E">
        <w:rPr>
          <w:rFonts w:ascii="微软雅黑" w:eastAsia="微软雅黑" w:hAnsi="微软雅黑" w:cs="宋体"/>
          <w:kern w:val="0"/>
          <w:sz w:val="24"/>
          <w:szCs w:val="24"/>
        </w:rPr>
        <w:t xml:space="preserve"> 提供的 </w:t>
      </w:r>
      <w:proofErr w:type="spellStart"/>
      <w:r w:rsidRPr="00BF1A4E">
        <w:rPr>
          <w:rFonts w:ascii="微软雅黑" w:eastAsia="微软雅黑" w:hAnsi="微软雅黑" w:cs="宋体"/>
          <w:kern w:val="0"/>
          <w:sz w:val="24"/>
          <w:szCs w:val="24"/>
        </w:rPr>
        <w:t>ScreenCounter</w:t>
      </w:r>
      <w:proofErr w:type="spellEnd"/>
      <w:r w:rsidRPr="00BF1A4E">
        <w:rPr>
          <w:rFonts w:ascii="微软雅黑" w:eastAsia="微软雅黑" w:hAnsi="微软雅黑" w:cs="宋体"/>
          <w:kern w:val="0"/>
          <w:sz w:val="24"/>
          <w:szCs w:val="24"/>
        </w:rPr>
        <w:t xml:space="preserve"> R 包，搜索两个读段序列中是否存在与任一 sgRNA 条形码序列完全匹配的序列。每个样本中与每个向导 sgRNA 匹配的读段</w:t>
      </w:r>
      <w:proofErr w:type="gramStart"/>
      <w:r w:rsidRPr="00BF1A4E">
        <w:rPr>
          <w:rFonts w:ascii="微软雅黑" w:eastAsia="微软雅黑" w:hAnsi="微软雅黑" w:cs="宋体"/>
          <w:kern w:val="0"/>
          <w:sz w:val="24"/>
          <w:szCs w:val="24"/>
        </w:rPr>
        <w:t>数用于</w:t>
      </w:r>
      <w:proofErr w:type="gramEnd"/>
      <w:r w:rsidRPr="00BF1A4E">
        <w:rPr>
          <w:rFonts w:ascii="微软雅黑" w:eastAsia="微软雅黑" w:hAnsi="微软雅黑" w:cs="宋体"/>
          <w:kern w:val="0"/>
          <w:sz w:val="24"/>
          <w:szCs w:val="24"/>
        </w:rPr>
        <w:t xml:space="preserve">构建向导 sgRNA-样本计数矩阵，以便进行后续分析。原始计数数据存储在标准的 Bioconductor </w:t>
      </w:r>
      <w:proofErr w:type="spellStart"/>
      <w:r w:rsidRPr="00BF1A4E">
        <w:rPr>
          <w:rFonts w:ascii="微软雅黑" w:eastAsia="微软雅黑" w:hAnsi="微软雅黑" w:cs="宋体"/>
          <w:kern w:val="0"/>
          <w:sz w:val="24"/>
          <w:szCs w:val="24"/>
        </w:rPr>
        <w:t>SummarizedExperiment</w:t>
      </w:r>
      <w:proofErr w:type="spellEnd"/>
      <w:r w:rsidRPr="00BF1A4E">
        <w:rPr>
          <w:rFonts w:ascii="微软雅黑" w:eastAsia="微软雅黑" w:hAnsi="微软雅黑" w:cs="宋体"/>
          <w:kern w:val="0"/>
          <w:sz w:val="24"/>
          <w:szCs w:val="24"/>
        </w:rPr>
        <w:t xml:space="preserve"> 对象</w:t>
      </w:r>
      <w:r w:rsidRPr="00BF1A4E">
        <w:rPr>
          <w:rFonts w:ascii="微软雅黑" w:eastAsia="微软雅黑" w:hAnsi="微软雅黑" w:cs="宋体"/>
          <w:kern w:val="0"/>
          <w:sz w:val="24"/>
          <w:szCs w:val="24"/>
          <w:u w:val="single"/>
          <w:vertAlign w:val="superscript"/>
        </w:rPr>
        <w:t>&lt;sup&gt; </w:t>
      </w:r>
      <w:hyperlink r:id="rId212" w:anchor="CR61" w:history="1">
        <w:r w:rsidRPr="00BF1A4E">
          <w:rPr>
            <w:rFonts w:ascii="微软雅黑" w:eastAsia="微软雅黑" w:hAnsi="微软雅黑" w:cs="宋体"/>
            <w:kern w:val="0"/>
            <w:sz w:val="24"/>
            <w:szCs w:val="24"/>
            <w:u w:val="single"/>
            <w:vertAlign w:val="superscript"/>
          </w:rPr>
          <w:t>61&lt;/sup&gt;</w:t>
        </w:r>
      </w:hyperlink>
      <w:r w:rsidRPr="00BF1A4E">
        <w:rPr>
          <w:rFonts w:ascii="微软雅黑" w:eastAsia="微软雅黑" w:hAnsi="微软雅黑" w:cs="宋体"/>
          <w:kern w:val="0"/>
          <w:sz w:val="24"/>
          <w:szCs w:val="24"/>
        </w:rPr>
        <w:t>中。由于样本间测序深度存在差异，且混合基因筛选的竞争性可能导致成分偏差，因此需要进行标准化处理。我们通过对靶向一组非必需基因的黄金标准集</w:t>
      </w:r>
      <w:hyperlink r:id="rId213" w:anchor="CR63" w:history="1">
        <w:r w:rsidRPr="00BF1A4E">
          <w:rPr>
            <w:rFonts w:ascii="微软雅黑" w:eastAsia="微软雅黑" w:hAnsi="微软雅黑" w:cs="宋体"/>
            <w:kern w:val="0"/>
            <w:sz w:val="24"/>
            <w:szCs w:val="24"/>
            <w:u w:val="single"/>
            <w:vertAlign w:val="superscript"/>
          </w:rPr>
          <w:t>63</w:t>
        </w:r>
      </w:hyperlink>
      <w:r w:rsidRPr="00BF1A4E">
        <w:rPr>
          <w:rFonts w:ascii="微软雅黑" w:eastAsia="微软雅黑" w:hAnsi="微软雅黑" w:cs="宋体"/>
          <w:kern w:val="0"/>
          <w:sz w:val="24"/>
          <w:szCs w:val="24"/>
        </w:rPr>
        <w:t>的 sgRNA 计数数据应用TMM 方法</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"CR62"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62</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来估计每个样本的归一化因子。所有样本的序列读取平均 sgRNA 计数至少为 546，其中不到 2.2% 的 sgRNA 完全耗竭（补充数据 </w:t>
      </w:r>
      <w:hyperlink r:id="rId214" w:anchor="MOESM4" w:history="1">
        <w:r w:rsidRPr="00BF1A4E">
          <w:rPr>
            <w:rFonts w:ascii="微软雅黑" w:eastAsia="微软雅黑" w:hAnsi="微软雅黑" w:cs="宋体"/>
            <w:kern w:val="0"/>
            <w:sz w:val="24"/>
            <w:szCs w:val="24"/>
            <w:u w:val="single"/>
          </w:rPr>
          <w:t>2</w:t>
        </w:r>
      </w:hyperlink>
      <w:r w:rsidRPr="00BF1A4E">
        <w:rPr>
          <w:rFonts w:ascii="微软雅黑" w:eastAsia="微软雅黑" w:hAnsi="微软雅黑" w:cs="宋体"/>
          <w:kern w:val="0"/>
          <w:sz w:val="24"/>
          <w:szCs w:val="24"/>
        </w:rPr>
        <w:t>）。</w:t>
      </w:r>
    </w:p>
    <w:p w14:paraId="42F28C6F" w14:textId="77777777" w:rsidR="00BF1A4E" w:rsidRPr="00BF1A4E" w:rsidRDefault="00BF1A4E" w:rsidP="00BF1A4E">
      <w:pPr>
        <w:widowControl/>
        <w:spacing w:before="450"/>
        <w:rPr>
          <w:rFonts w:ascii="微软雅黑" w:eastAsia="微软雅黑" w:hAnsi="微软雅黑" w:cs="宋体"/>
          <w:kern w:val="0"/>
          <w:sz w:val="24"/>
          <w:szCs w:val="24"/>
        </w:rPr>
      </w:pPr>
      <w:hyperlink r:id="rId215" w:anchor="CR64" w:history="1">
        <w:r w:rsidRPr="00BF1A4E">
          <w:rPr>
            <w:rFonts w:ascii="微软雅黑" w:eastAsia="微软雅黑" w:hAnsi="微软雅黑" w:cs="宋体"/>
            <w:kern w:val="0"/>
            <w:sz w:val="24"/>
            <w:szCs w:val="24"/>
          </w:rPr>
          <w:t>我们采用常用的limma-voom方法</w:t>
        </w:r>
        <w:r w:rsidRPr="00BF1A4E">
          <w:rPr>
            <w:rFonts w:ascii="微软雅黑" w:eastAsia="微软雅黑" w:hAnsi="微软雅黑" w:cs="宋体"/>
            <w:kern w:val="0"/>
            <w:sz w:val="24"/>
            <w:szCs w:val="24"/>
            <w:u w:val="single"/>
            <w:vertAlign w:val="superscript"/>
          </w:rPr>
          <w:t>&lt;sup&gt; 64&lt;/sup&gt;</w:t>
        </w:r>
      </w:hyperlink>
      <w:r w:rsidRPr="00BF1A4E">
        <w:rPr>
          <w:rFonts w:ascii="微软雅黑" w:eastAsia="微软雅黑" w:hAnsi="微软雅黑" w:cs="宋体"/>
          <w:kern w:val="0"/>
          <w:sz w:val="24"/>
          <w:szCs w:val="24"/>
        </w:rPr>
        <w:t>在sgRNA水平上进行了差异丰度分析。具体而言，我们使用</w:t>
      </w:r>
      <w:proofErr w:type="spellStart"/>
      <w:r w:rsidRPr="00BF1A4E">
        <w:rPr>
          <w:rFonts w:ascii="微软雅黑" w:eastAsia="微软雅黑" w:hAnsi="微软雅黑" w:cs="宋体"/>
          <w:kern w:val="0"/>
          <w:sz w:val="24"/>
          <w:szCs w:val="24"/>
        </w:rPr>
        <w:t>voom</w:t>
      </w:r>
      <w:proofErr w:type="spellEnd"/>
      <w:r w:rsidRPr="00BF1A4E">
        <w:rPr>
          <w:rFonts w:ascii="微软雅黑" w:eastAsia="微软雅黑" w:hAnsi="微软雅黑" w:cs="宋体"/>
          <w:kern w:val="0"/>
          <w:sz w:val="24"/>
          <w:szCs w:val="24"/>
        </w:rPr>
        <w:t>方法得到的观测值和质量权重，对每个sgRNA的log-CPM值拟合线性模型。我们进行了稳健的经验贝叶斯收缩，以获得每个sgRNA的收缩方差估计值，并使用修正的F检验计算每个感兴趣的两</w:t>
      </w:r>
      <w:r w:rsidRPr="00BF1A4E">
        <w:rPr>
          <w:rFonts w:ascii="微软雅黑" w:eastAsia="微软雅黑" w:hAnsi="微软雅黑" w:cs="宋体"/>
          <w:kern w:val="0"/>
          <w:sz w:val="24"/>
          <w:szCs w:val="24"/>
        </w:rPr>
        <w:lastRenderedPageBreak/>
        <w:t>组比较的p值。为了控制每次比较中的错误发现率（FDR），我们应用标准的</w:t>
      </w:r>
      <w:proofErr w:type="spellStart"/>
      <w:r w:rsidRPr="00BF1A4E">
        <w:rPr>
          <w:rFonts w:ascii="微软雅黑" w:eastAsia="微软雅黑" w:hAnsi="微软雅黑" w:cs="宋体"/>
          <w:kern w:val="0"/>
          <w:sz w:val="24"/>
          <w:szCs w:val="24"/>
        </w:rPr>
        <w:t>Benjamini</w:t>
      </w:r>
      <w:proofErr w:type="spellEnd"/>
      <w:r w:rsidRPr="00BF1A4E">
        <w:rPr>
          <w:rFonts w:ascii="微软雅黑" w:eastAsia="微软雅黑" w:hAnsi="微软雅黑" w:cs="宋体"/>
          <w:kern w:val="0"/>
          <w:sz w:val="24"/>
          <w:szCs w:val="24"/>
        </w:rPr>
        <w:t>-Hochberg方法获得了每个sgRNA的校正p值（补充数据 </w:t>
      </w:r>
      <w:hyperlink r:id="rId216" w:anchor="MOESM4" w:history="1">
        <w:r w:rsidRPr="00BF1A4E">
          <w:rPr>
            <w:rFonts w:ascii="微软雅黑" w:eastAsia="微软雅黑" w:hAnsi="微软雅黑" w:cs="宋体"/>
            <w:kern w:val="0"/>
            <w:sz w:val="24"/>
            <w:szCs w:val="24"/>
            <w:u w:val="single"/>
          </w:rPr>
          <w:t>2</w:t>
        </w:r>
      </w:hyperlink>
      <w:r w:rsidRPr="00BF1A4E">
        <w:rPr>
          <w:rFonts w:ascii="微软雅黑" w:eastAsia="微软雅黑" w:hAnsi="微软雅黑" w:cs="宋体"/>
          <w:kern w:val="0"/>
          <w:sz w:val="24"/>
          <w:szCs w:val="24"/>
        </w:rPr>
        <w:t>）。</w:t>
      </w:r>
    </w:p>
    <w:p w14:paraId="6E024AE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我们利用sgRNA水平的统计数据，通过两种互补的统计方法获得基因水平的汇总信息。第一种方法是将sgRNA统计数据进行聚合，方法是重用</w:t>
      </w:r>
      <w:proofErr w:type="spellStart"/>
      <w:r w:rsidRPr="00BF1A4E">
        <w:rPr>
          <w:rFonts w:ascii="微软雅黑" w:eastAsia="微软雅黑" w:hAnsi="微软雅黑" w:cs="宋体"/>
          <w:kern w:val="0"/>
          <w:sz w:val="24"/>
          <w:szCs w:val="24"/>
        </w:rPr>
        <w:t>limma</w:t>
      </w:r>
      <w:proofErr w:type="spellEnd"/>
      <w:r w:rsidRPr="00BF1A4E">
        <w:rPr>
          <w:rFonts w:ascii="微软雅黑" w:eastAsia="微软雅黑" w:hAnsi="微软雅黑" w:cs="宋体"/>
          <w:kern w:val="0"/>
          <w:sz w:val="24"/>
          <w:szCs w:val="24"/>
        </w:rPr>
        <w:t>中实现的“fry”基因集富集分析方法，并</w:t>
      </w:r>
      <w:proofErr w:type="gramStart"/>
      <w:r w:rsidRPr="00BF1A4E">
        <w:rPr>
          <w:rFonts w:ascii="微软雅黑" w:eastAsia="微软雅黑" w:hAnsi="微软雅黑" w:cs="宋体"/>
          <w:kern w:val="0"/>
          <w:sz w:val="24"/>
          <w:szCs w:val="24"/>
        </w:rPr>
        <w:t>将靶向</w:t>
      </w:r>
      <w:proofErr w:type="gramEnd"/>
      <w:r w:rsidRPr="00BF1A4E">
        <w:rPr>
          <w:rFonts w:ascii="微软雅黑" w:eastAsia="微软雅黑" w:hAnsi="微软雅黑" w:cs="宋体"/>
          <w:kern w:val="0"/>
          <w:sz w:val="24"/>
          <w:szCs w:val="24"/>
        </w:rPr>
        <w:t>特定基因的sgRNA视为一个“基因集”（补充数据 </w:t>
      </w:r>
      <w:hyperlink r:id="rId217" w:anchor="MOESM5" w:history="1">
        <w:r w:rsidRPr="00BF1A4E">
          <w:rPr>
            <w:rFonts w:ascii="微软雅黑" w:eastAsia="微软雅黑" w:hAnsi="微软雅黑" w:cs="宋体"/>
            <w:kern w:val="0"/>
            <w:sz w:val="24"/>
            <w:szCs w:val="24"/>
            <w:u w:val="single"/>
          </w:rPr>
          <w:t>3</w:t>
        </w:r>
      </w:hyperlink>
      <w:r w:rsidRPr="00BF1A4E">
        <w:rPr>
          <w:rFonts w:ascii="微软雅黑" w:eastAsia="微软雅黑" w:hAnsi="微软雅黑" w:cs="宋体"/>
          <w:kern w:val="0"/>
          <w:sz w:val="24"/>
          <w:szCs w:val="24"/>
        </w:rPr>
        <w:t>）。这使得我们可以检测到针对每个基因设计的大多数sgRNA始终富集或缺失的基因。第二种方法使用</w:t>
      </w:r>
      <w:proofErr w:type="spellStart"/>
      <w:r w:rsidRPr="00BF1A4E">
        <w:rPr>
          <w:rFonts w:ascii="微软雅黑" w:eastAsia="微软雅黑" w:hAnsi="微软雅黑" w:cs="宋体"/>
          <w:kern w:val="0"/>
          <w:sz w:val="24"/>
          <w:szCs w:val="24"/>
        </w:rPr>
        <w:t>Simes</w:t>
      </w:r>
      <w:proofErr w:type="spellEnd"/>
      <w:r w:rsidRPr="00BF1A4E">
        <w:rPr>
          <w:rFonts w:ascii="微软雅黑" w:eastAsia="微软雅黑" w:hAnsi="微软雅黑" w:cs="宋体"/>
          <w:kern w:val="0"/>
          <w:sz w:val="24"/>
          <w:szCs w:val="24"/>
        </w:rPr>
        <w:t>方法（</w:t>
      </w:r>
      <w:proofErr w:type="spellStart"/>
      <w:r w:rsidRPr="00BF1A4E">
        <w:rPr>
          <w:rFonts w:ascii="微软雅黑" w:eastAsia="微软雅黑" w:hAnsi="微软雅黑" w:cs="宋体"/>
          <w:kern w:val="0"/>
          <w:sz w:val="24"/>
          <w:szCs w:val="24"/>
        </w:rPr>
        <w:t>Simes</w:t>
      </w:r>
      <w:proofErr w:type="spellEnd"/>
      <w:r w:rsidRPr="00BF1A4E">
        <w:rPr>
          <w:rFonts w:ascii="微软雅黑" w:eastAsia="微软雅黑" w:hAnsi="微软雅黑" w:cs="宋体"/>
          <w:kern w:val="0"/>
          <w:sz w:val="24"/>
          <w:szCs w:val="24"/>
        </w:rPr>
        <w:t>，1986）基于所有相关sgRNA的p值，为每个基因获得一个组合p值（补充数据 </w:t>
      </w:r>
      <w:hyperlink r:id="rId218" w:anchor="MOESM5" w:history="1">
        <w:r w:rsidRPr="00BF1A4E">
          <w:rPr>
            <w:rFonts w:ascii="微软雅黑" w:eastAsia="微软雅黑" w:hAnsi="微软雅黑" w:cs="宋体"/>
            <w:kern w:val="0"/>
            <w:sz w:val="24"/>
            <w:szCs w:val="24"/>
            <w:u w:val="single"/>
          </w:rPr>
          <w:t>3</w:t>
        </w:r>
      </w:hyperlink>
      <w:r w:rsidRPr="00BF1A4E">
        <w:rPr>
          <w:rFonts w:ascii="微软雅黑" w:eastAsia="微软雅黑" w:hAnsi="微软雅黑" w:cs="宋体"/>
          <w:kern w:val="0"/>
          <w:sz w:val="24"/>
          <w:szCs w:val="24"/>
        </w:rPr>
        <w:t>）。这使得我们可以在只有</w:t>
      </w:r>
      <w:proofErr w:type="gramStart"/>
      <w:r w:rsidRPr="00BF1A4E">
        <w:rPr>
          <w:rFonts w:ascii="微软雅黑" w:eastAsia="微软雅黑" w:hAnsi="微软雅黑" w:cs="宋体"/>
          <w:kern w:val="0"/>
          <w:sz w:val="24"/>
          <w:szCs w:val="24"/>
        </w:rPr>
        <w:t>一</w:t>
      </w:r>
      <w:proofErr w:type="gramEnd"/>
      <w:r w:rsidRPr="00BF1A4E">
        <w:rPr>
          <w:rFonts w:ascii="微软雅黑" w:eastAsia="微软雅黑" w:hAnsi="微软雅黑" w:cs="宋体"/>
          <w:kern w:val="0"/>
          <w:sz w:val="24"/>
          <w:szCs w:val="24"/>
        </w:rPr>
        <w:t>小部分sgRNA显示出强信号的情况下，检测到差异表达基因。基因水平的p值使用</w:t>
      </w:r>
      <w:proofErr w:type="spellStart"/>
      <w:r w:rsidRPr="00BF1A4E">
        <w:rPr>
          <w:rFonts w:ascii="微软雅黑" w:eastAsia="微软雅黑" w:hAnsi="微软雅黑" w:cs="宋体"/>
          <w:kern w:val="0"/>
          <w:sz w:val="24"/>
          <w:szCs w:val="24"/>
        </w:rPr>
        <w:t>Benjamini</w:t>
      </w:r>
      <w:proofErr w:type="spellEnd"/>
      <w:r w:rsidRPr="00BF1A4E">
        <w:rPr>
          <w:rFonts w:ascii="微软雅黑" w:eastAsia="微软雅黑" w:hAnsi="微软雅黑" w:cs="宋体"/>
          <w:kern w:val="0"/>
          <w:sz w:val="24"/>
          <w:szCs w:val="24"/>
        </w:rPr>
        <w:t>-Hochberg方法进行多重比较校正。此外，我们使用默认参数对三个可用重复实验中每个感兴趣的比较的原始sgRNA读取计数运行了 </w:t>
      </w:r>
      <w:proofErr w:type="spellStart"/>
      <w:r w:rsidRPr="00BF1A4E">
        <w:rPr>
          <w:rFonts w:ascii="微软雅黑" w:eastAsia="微软雅黑" w:hAnsi="微软雅黑" w:cs="宋体"/>
          <w:kern w:val="0"/>
          <w:sz w:val="24"/>
          <w:szCs w:val="24"/>
        </w:rPr>
        <w:t>DrugZ</w:t>
      </w:r>
      <w:proofErr w:type="spellEnd"/>
      <w:r w:rsidRPr="00BF1A4E">
        <w:rPr>
          <w:rFonts w:ascii="微软雅黑" w:eastAsia="微软雅黑" w:hAnsi="微软雅黑" w:cs="宋体"/>
          <w:kern w:val="0"/>
          <w:sz w:val="24"/>
          <w:szCs w:val="24"/>
        </w:rPr>
        <w:t xml:space="preserve"> v1.1.0.2 </w:t>
      </w:r>
      <w:hyperlink r:id="rId219" w:anchor="CR58" w:history="1">
        <w:r w:rsidRPr="00BF1A4E">
          <w:rPr>
            <w:rFonts w:ascii="微软雅黑" w:eastAsia="微软雅黑" w:hAnsi="微软雅黑" w:cs="宋体"/>
            <w:kern w:val="0"/>
            <w:sz w:val="24"/>
            <w:szCs w:val="24"/>
            <w:u w:val="single"/>
            <w:vertAlign w:val="superscript"/>
          </w:rPr>
          <w:t>58。DrugZ</w:t>
        </w:r>
      </w:hyperlink>
      <w:hyperlink r:id="rId220" w:anchor="MOESM5" w:history="1">
        <w:r w:rsidRPr="00BF1A4E">
          <w:rPr>
            <w:rFonts w:ascii="微软雅黑" w:eastAsia="微软雅黑" w:hAnsi="微软雅黑" w:cs="宋体"/>
            <w:kern w:val="0"/>
            <w:sz w:val="24"/>
            <w:szCs w:val="24"/>
            <w:u w:val="single"/>
          </w:rPr>
          <w:t>计算每个sgRNA在重复实验匹配的giredestrant和DMSO处理之间的倍数变化的Z分数。然后，将Z分数在基因水平上聚合为标准化Z分数（normZ；补充数据3 </w:t>
        </w:r>
      </w:hyperlink>
      <w:hyperlink r:id="rId221" w:anchor="CR58" w:history="1">
        <w:r w:rsidRPr="00BF1A4E">
          <w:rPr>
            <w:rFonts w:ascii="微软雅黑" w:eastAsia="微软雅黑" w:hAnsi="微软雅黑" w:cs="宋体"/>
            <w:kern w:val="0"/>
            <w:sz w:val="24"/>
            <w:szCs w:val="24"/>
            <w:u w:val="single"/>
            <w:vertAlign w:val="superscript"/>
          </w:rPr>
          <w:t>58</w:t>
        </w:r>
      </w:hyperlink>
      <w:r w:rsidRPr="00BF1A4E">
        <w:rPr>
          <w:rFonts w:ascii="微软雅黑" w:eastAsia="微软雅黑" w:hAnsi="微软雅黑" w:cs="宋体"/>
          <w:kern w:val="0"/>
          <w:sz w:val="24"/>
          <w:szCs w:val="24"/>
        </w:rPr>
        <w:t>）。我们使用</w:t>
      </w:r>
      <w:proofErr w:type="spellStart"/>
      <w:r w:rsidRPr="00BF1A4E">
        <w:rPr>
          <w:rFonts w:ascii="微软雅黑" w:eastAsia="微软雅黑" w:hAnsi="微软雅黑" w:cs="宋体"/>
          <w:kern w:val="0"/>
          <w:sz w:val="24"/>
          <w:szCs w:val="24"/>
        </w:rPr>
        <w:t>normZ</w:t>
      </w:r>
      <w:proofErr w:type="spellEnd"/>
      <w:r w:rsidRPr="00BF1A4E">
        <w:rPr>
          <w:rFonts w:ascii="微软雅黑" w:eastAsia="微软雅黑" w:hAnsi="微软雅黑" w:cs="宋体"/>
          <w:kern w:val="0"/>
          <w:sz w:val="24"/>
          <w:szCs w:val="24"/>
        </w:rPr>
        <w:t>分数、Fry方法p值和</w:t>
      </w:r>
      <w:proofErr w:type="spellStart"/>
      <w:r w:rsidRPr="00BF1A4E">
        <w:rPr>
          <w:rFonts w:ascii="微软雅黑" w:eastAsia="微软雅黑" w:hAnsi="微软雅黑" w:cs="宋体"/>
          <w:kern w:val="0"/>
          <w:sz w:val="24"/>
          <w:szCs w:val="24"/>
        </w:rPr>
        <w:t>Simes</w:t>
      </w:r>
      <w:proofErr w:type="spellEnd"/>
      <w:r w:rsidRPr="00BF1A4E">
        <w:rPr>
          <w:rFonts w:ascii="微软雅黑" w:eastAsia="微软雅黑" w:hAnsi="微软雅黑" w:cs="宋体"/>
          <w:kern w:val="0"/>
          <w:sz w:val="24"/>
          <w:szCs w:val="24"/>
        </w:rPr>
        <w:t>方法p值来识别sgRNA耗竭和富集的最佳筛选结果。</w:t>
      </w:r>
    </w:p>
    <w:p w14:paraId="69004BD1"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细胞活力检测</w:t>
      </w:r>
    </w:p>
    <w:p w14:paraId="4B699147"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将细胞以每孔约 600–1000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细胞的密度接种于 384 孔板中。接种 24 小时后，按指定浓度加入药物，并在 37°C 下培养 6 天。使用 </w:t>
      </w:r>
      <w:proofErr w:type="spellStart"/>
      <w:r w:rsidRPr="00BF1A4E">
        <w:rPr>
          <w:rFonts w:ascii="微软雅黑" w:eastAsia="微软雅黑" w:hAnsi="微软雅黑" w:cs="宋体"/>
          <w:kern w:val="0"/>
          <w:sz w:val="24"/>
          <w:szCs w:val="24"/>
        </w:rPr>
        <w:t>CellTiter</w:t>
      </w:r>
      <w:proofErr w:type="spellEnd"/>
      <w:r w:rsidRPr="00BF1A4E">
        <w:rPr>
          <w:rFonts w:ascii="微软雅黑" w:eastAsia="微软雅黑" w:hAnsi="微软雅黑" w:cs="宋体"/>
          <w:kern w:val="0"/>
          <w:sz w:val="24"/>
          <w:szCs w:val="24"/>
        </w:rPr>
        <w:t>-Glo 发光试剂（CTG，Promega）评估细胞活力。将最终发光强度值标准化至 DMSO 中值，并绘制细胞存活率曲线，其中最佳拟合线采用四参数非线性回归法绘制。使用</w:t>
      </w:r>
      <w:proofErr w:type="gramStart"/>
      <w:r w:rsidRPr="00BF1A4E">
        <w:rPr>
          <w:rFonts w:ascii="微软雅黑" w:eastAsia="微软雅黑" w:hAnsi="微软雅黑" w:cs="宋体"/>
          <w:kern w:val="0"/>
          <w:sz w:val="24"/>
          <w:szCs w:val="24"/>
        </w:rPr>
        <w:t>双因素</w:t>
      </w:r>
      <w:proofErr w:type="gramEnd"/>
      <w:r w:rsidRPr="00BF1A4E">
        <w:rPr>
          <w:rFonts w:ascii="微软雅黑" w:eastAsia="微软雅黑" w:hAnsi="微软雅黑" w:cs="宋体"/>
          <w:kern w:val="0"/>
          <w:sz w:val="24"/>
          <w:szCs w:val="24"/>
        </w:rPr>
        <w:t xml:space="preserve">方差分析 (ANOVA) 检验比较剂量-反应曲线。使用 </w:t>
      </w:r>
      <w:proofErr w:type="spellStart"/>
      <w:r w:rsidRPr="00BF1A4E">
        <w:rPr>
          <w:rFonts w:ascii="微软雅黑" w:eastAsia="微软雅黑" w:hAnsi="微软雅黑" w:cs="宋体"/>
          <w:kern w:val="0"/>
          <w:sz w:val="24"/>
          <w:szCs w:val="24"/>
        </w:rPr>
        <w:t>Combenefit</w:t>
      </w:r>
      <w:proofErr w:type="spellEnd"/>
      <w:r w:rsidRPr="00BF1A4E">
        <w:rPr>
          <w:rFonts w:ascii="微软雅黑" w:eastAsia="微软雅黑" w:hAnsi="微软雅黑" w:cs="宋体"/>
          <w:kern w:val="0"/>
          <w:sz w:val="24"/>
          <w:szCs w:val="24"/>
        </w:rPr>
        <w:t xml:space="preserve"> </w:t>
      </w:r>
      <w:r w:rsidRPr="00BF1A4E">
        <w:rPr>
          <w:rFonts w:ascii="微软雅黑" w:eastAsia="微软雅黑" w:hAnsi="微软雅黑" w:cs="宋体"/>
          <w:kern w:val="0"/>
          <w:sz w:val="24"/>
          <w:szCs w:val="24"/>
        </w:rPr>
        <w:lastRenderedPageBreak/>
        <w:t>2.021 软件，根据 384 孔板剂量-反应数据量化协同作用。</w:t>
      </w:r>
      <w:proofErr w:type="spellStart"/>
      <w:r w:rsidRPr="00BF1A4E">
        <w:rPr>
          <w:rFonts w:ascii="微软雅黑" w:eastAsia="微软雅黑" w:hAnsi="微软雅黑" w:cs="宋体"/>
          <w:kern w:val="0"/>
          <w:sz w:val="24"/>
          <w:szCs w:val="24"/>
        </w:rPr>
        <w:t>Combenefit</w:t>
      </w:r>
      <w:proofErr w:type="spellEnd"/>
      <w:r w:rsidRPr="00BF1A4E">
        <w:rPr>
          <w:rFonts w:ascii="微软雅黑" w:eastAsia="微软雅黑" w:hAnsi="微软雅黑" w:cs="宋体"/>
          <w:kern w:val="0"/>
          <w:sz w:val="24"/>
          <w:szCs w:val="24"/>
        </w:rPr>
        <w:t xml:space="preserve"> 使用三种经典模型（即 Loewe 模型、Bliss 模型和最高单药浓度 (HAS) 模型）从剂量-反应数据中评估协同/拮抗作用。我们使用 Bliss 协同模型生成了表面图，该图表示 RSL3 和 Palbociclib 之间的协同和拮抗百分比。得分 &gt;0% 表示协同作用（以蓝色表示），而得分 &lt;0% 表示拮抗作用（以橙色或黄色表示）。</w:t>
      </w:r>
    </w:p>
    <w:p w14:paraId="2BF73067"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对于包含吉瑞地司坦的CTG检测，还设置了“预处理阶段”。将细胞在含有DMSO（作为溶剂对照）、1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吉瑞地司坦、200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帕博西尼或1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吉瑞地</w:t>
      </w:r>
      <w:proofErr w:type="gramStart"/>
      <w:r w:rsidRPr="00BF1A4E">
        <w:rPr>
          <w:rFonts w:ascii="微软雅黑" w:eastAsia="微软雅黑" w:hAnsi="微软雅黑" w:cs="宋体"/>
          <w:kern w:val="0"/>
          <w:sz w:val="24"/>
          <w:szCs w:val="24"/>
        </w:rPr>
        <w:t>司坦加</w:t>
      </w:r>
      <w:proofErr w:type="gramEnd"/>
      <w:r w:rsidRPr="00BF1A4E">
        <w:rPr>
          <w:rFonts w:ascii="微软雅黑" w:eastAsia="微软雅黑" w:hAnsi="微软雅黑" w:cs="宋体"/>
          <w:kern w:val="0"/>
          <w:sz w:val="24"/>
          <w:szCs w:val="24"/>
        </w:rPr>
        <w:t xml:space="preserve">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帕博西尼的RPMI培养基中于T175培养瓶中培养7天，并在第4天进行一次传代。在“处理阶段”，将3000个细胞（预处理方法同上）接种于384孔板中，每孔54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 xml:space="preserve">，过夜培养。次日，采用10（吉瑞地司坦）×8（RSL3）剂量矩阵设计，同时用6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 xml:space="preserve">化合物处理细胞。吉瑞地司坦的最高浓度为450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，RSL3的最高浓度为10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。将每种药物进行3倍稀释，以DMSO作为溶剂对照，在384孔板中设置四个复孔，分别在有或无1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 ferrostatin-1的条件下培养7天。使用</w:t>
      </w:r>
      <w:proofErr w:type="spellStart"/>
      <w:r w:rsidRPr="00BF1A4E">
        <w:rPr>
          <w:rFonts w:ascii="微软雅黑" w:eastAsia="微软雅黑" w:hAnsi="微软雅黑" w:cs="宋体"/>
          <w:kern w:val="0"/>
          <w:sz w:val="24"/>
          <w:szCs w:val="24"/>
        </w:rPr>
        <w:t>CellTiter</w:t>
      </w:r>
      <w:proofErr w:type="spellEnd"/>
      <w:r w:rsidRPr="00BF1A4E">
        <w:rPr>
          <w:rFonts w:ascii="微软雅黑" w:eastAsia="微软雅黑" w:hAnsi="微软雅黑" w:cs="宋体"/>
          <w:kern w:val="0"/>
          <w:sz w:val="24"/>
          <w:szCs w:val="24"/>
        </w:rPr>
        <w:t>-Glo发光细胞活力检测试剂盒（Promega公司，货号G7573），按照制造商说明书，使用</w:t>
      </w:r>
      <w:proofErr w:type="spellStart"/>
      <w:r w:rsidRPr="00BF1A4E">
        <w:rPr>
          <w:rFonts w:ascii="微软雅黑" w:eastAsia="微软雅黑" w:hAnsi="微软雅黑" w:cs="宋体"/>
          <w:kern w:val="0"/>
          <w:sz w:val="24"/>
          <w:szCs w:val="24"/>
        </w:rPr>
        <w:t>EnVision</w:t>
      </w:r>
      <w:proofErr w:type="spellEnd"/>
      <w:r w:rsidRPr="00BF1A4E">
        <w:rPr>
          <w:rFonts w:ascii="微软雅黑" w:eastAsia="微软雅黑" w:hAnsi="微软雅黑" w:cs="宋体"/>
          <w:kern w:val="0"/>
          <w:sz w:val="24"/>
          <w:szCs w:val="24"/>
        </w:rPr>
        <w:t>酶标仪（PerkinElmer公司，货号2104-0010 A）定量ATP，作为细胞活力的替代指标。使用GraphPad Prism 9软件（GraphPad Software公司）进行曲线拟合和半数抑制浓度（IC50）计算。采用 Bliss 独立性分析法（</w:t>
      </w:r>
      <w:proofErr w:type="spellStart"/>
      <w:r w:rsidRPr="00BF1A4E">
        <w:rPr>
          <w:rFonts w:ascii="微软雅黑" w:eastAsia="微软雅黑" w:hAnsi="微软雅黑" w:cs="宋体"/>
          <w:kern w:val="0"/>
          <w:sz w:val="24"/>
          <w:szCs w:val="24"/>
        </w:rPr>
        <w:t>Borisy</w:t>
      </w:r>
      <w:proofErr w:type="spellEnd"/>
      <w:r w:rsidRPr="00BF1A4E">
        <w:rPr>
          <w:rFonts w:ascii="微软雅黑" w:eastAsia="微软雅黑" w:hAnsi="微软雅黑" w:cs="宋体"/>
          <w:kern w:val="0"/>
          <w:sz w:val="24"/>
          <w:szCs w:val="24"/>
        </w:rPr>
        <w:t xml:space="preserve">, AA 等，《多组分治疗药物的系统发现》，《美国国家科学院院刊》2003；100(13): 7977-7982）确定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和 RSL3 的联合作用。使用内部开发的 R 脚本生成热图以表示抑制率和 Delta Bliss 值。联合反应的 Bliss 期望值 ( </w:t>
      </w:r>
      <w:r w:rsidRPr="00BF1A4E">
        <w:rPr>
          <w:rFonts w:ascii="微软雅黑" w:eastAsia="微软雅黑" w:hAnsi="微软雅黑" w:cs="宋体"/>
          <w:i/>
          <w:iCs/>
          <w:kern w:val="0"/>
          <w:sz w:val="24"/>
          <w:szCs w:val="24"/>
        </w:rPr>
        <w:t>C</w:t>
      </w:r>
      <w:r w:rsidRPr="00BF1A4E">
        <w:rPr>
          <w:rFonts w:ascii="微软雅黑" w:eastAsia="微软雅黑" w:hAnsi="微软雅黑" w:cs="宋体"/>
          <w:kern w:val="0"/>
          <w:sz w:val="24"/>
          <w:szCs w:val="24"/>
        </w:rPr>
        <w:t> ) 通过以下公式计算：</w:t>
      </w:r>
      <w:r w:rsidRPr="00BF1A4E">
        <w:rPr>
          <w:rFonts w:ascii="微软雅黑" w:eastAsia="微软雅黑" w:hAnsi="微软雅黑" w:cs="宋体"/>
          <w:i/>
          <w:iCs/>
          <w:kern w:val="0"/>
          <w:sz w:val="24"/>
          <w:szCs w:val="24"/>
        </w:rPr>
        <w:t>C</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 (</w:t>
      </w:r>
      <w:r w:rsidRPr="00BF1A4E">
        <w:rPr>
          <w:rFonts w:ascii="微软雅黑" w:eastAsia="微软雅黑" w:hAnsi="微软雅黑" w:cs="宋体" w:hint="eastAsia"/>
          <w:kern w:val="0"/>
          <w:sz w:val="24"/>
          <w:szCs w:val="24"/>
        </w:rPr>
        <w:t> </w:t>
      </w:r>
      <w:r w:rsidRPr="00BF1A4E">
        <w:rPr>
          <w:rFonts w:ascii="微软雅黑" w:eastAsia="微软雅黑" w:hAnsi="微软雅黑" w:cs="宋体"/>
          <w:i/>
          <w:iCs/>
          <w:kern w:val="0"/>
          <w:sz w:val="24"/>
          <w:szCs w:val="24"/>
        </w:rPr>
        <w:t>A</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w:t>
      </w:r>
      <w:r w:rsidRPr="00BF1A4E">
        <w:rPr>
          <w:rFonts w:ascii="MS Gothic" w:eastAsia="MS Gothic" w:hAnsi="MS Gothic" w:cs="MS Gothic" w:hint="eastAsia"/>
          <w:kern w:val="0"/>
          <w:sz w:val="24"/>
          <w:szCs w:val="24"/>
        </w:rPr>
        <w:t> </w:t>
      </w:r>
      <w:r w:rsidRPr="00BF1A4E">
        <w:rPr>
          <w:rFonts w:ascii="微软雅黑" w:eastAsia="微软雅黑" w:hAnsi="微软雅黑" w:cs="宋体" w:hint="eastAsia"/>
          <w:kern w:val="0"/>
          <w:sz w:val="24"/>
          <w:szCs w:val="24"/>
        </w:rPr>
        <w:t> </w:t>
      </w:r>
      <w:r w:rsidRPr="00BF1A4E">
        <w:rPr>
          <w:rFonts w:ascii="微软雅黑" w:eastAsia="微软雅黑" w:hAnsi="微软雅黑" w:cs="宋体"/>
          <w:i/>
          <w:iCs/>
          <w:kern w:val="0"/>
          <w:sz w:val="24"/>
          <w:szCs w:val="24"/>
        </w:rPr>
        <w:t>B</w:t>
      </w:r>
      <w:r w:rsidRPr="00BF1A4E">
        <w:rPr>
          <w:rFonts w:ascii="微软雅黑" w:eastAsia="微软雅黑" w:hAnsi="微软雅黑" w:cs="宋体"/>
          <w:kern w:val="0"/>
          <w:sz w:val="24"/>
          <w:szCs w:val="24"/>
        </w:rPr>
        <w:t xml:space="preserve"> ) </w:t>
      </w:r>
      <w:r w:rsidRPr="00BF1A4E">
        <w:rPr>
          <w:rFonts w:ascii="微软雅黑" w:eastAsia="微软雅黑" w:hAnsi="微软雅黑" w:cs="微软雅黑" w:hint="eastAsia"/>
          <w:kern w:val="0"/>
          <w:sz w:val="24"/>
          <w:szCs w:val="24"/>
        </w:rPr>
        <w:lastRenderedPageBreak/>
        <w:t>−</w:t>
      </w:r>
      <w:r w:rsidRPr="00BF1A4E">
        <w:rPr>
          <w:rFonts w:ascii="微软雅黑" w:eastAsia="微软雅黑" w:hAnsi="微软雅黑" w:cs="宋体"/>
          <w:kern w:val="0"/>
          <w:sz w:val="24"/>
          <w:szCs w:val="24"/>
        </w:rPr>
        <w:t xml:space="preserve"> (</w:t>
      </w:r>
      <w:r w:rsidRPr="00BF1A4E">
        <w:rPr>
          <w:rFonts w:ascii="微软雅黑" w:eastAsia="微软雅黑" w:hAnsi="微软雅黑" w:cs="宋体" w:hint="eastAsia"/>
          <w:kern w:val="0"/>
          <w:sz w:val="24"/>
          <w:szCs w:val="24"/>
        </w:rPr>
        <w:t> </w:t>
      </w:r>
      <w:r w:rsidRPr="00BF1A4E">
        <w:rPr>
          <w:rFonts w:ascii="微软雅黑" w:eastAsia="微软雅黑" w:hAnsi="微软雅黑" w:cs="宋体"/>
          <w:i/>
          <w:iCs/>
          <w:kern w:val="0"/>
          <w:sz w:val="24"/>
          <w:szCs w:val="24"/>
        </w:rPr>
        <w:t>A</w:t>
      </w:r>
      <w:r w:rsidRPr="00BF1A4E">
        <w:rPr>
          <w:rFonts w:ascii="微软雅黑" w:eastAsia="微软雅黑" w:hAnsi="微软雅黑" w:cs="宋体"/>
          <w:kern w:val="0"/>
          <w:sz w:val="24"/>
          <w:szCs w:val="24"/>
        </w:rPr>
        <w:t> </w:t>
      </w:r>
      <w:r w:rsidRPr="00BF1A4E">
        <w:rPr>
          <w:rFonts w:ascii="MS Gothic" w:eastAsia="MS Gothic" w:hAnsi="MS Gothic" w:cs="MS Gothic" w:hint="eastAsia"/>
          <w:kern w:val="0"/>
          <w:sz w:val="24"/>
          <w:szCs w:val="24"/>
        </w:rPr>
        <w:t> </w:t>
      </w:r>
      <w:r w:rsidRPr="00BF1A4E">
        <w:rPr>
          <w:rFonts w:ascii="微软雅黑" w:eastAsia="微软雅黑" w:hAnsi="微软雅黑" w:cs="宋体" w:hint="eastAsia"/>
          <w:kern w:val="0"/>
          <w:sz w:val="24"/>
          <w:szCs w:val="24"/>
        </w:rPr>
        <w:t>×</w:t>
      </w:r>
      <w:r w:rsidRPr="00BF1A4E">
        <w:rPr>
          <w:rFonts w:ascii="MS Gothic" w:eastAsia="MS Gothic" w:hAnsi="MS Gothic" w:cs="MS Gothic" w:hint="eastAsia"/>
          <w:kern w:val="0"/>
          <w:sz w:val="24"/>
          <w:szCs w:val="24"/>
        </w:rPr>
        <w:t> </w:t>
      </w:r>
      <w:r w:rsidRPr="00BF1A4E">
        <w:rPr>
          <w:rFonts w:ascii="微软雅黑" w:eastAsia="微软雅黑" w:hAnsi="微软雅黑" w:cs="宋体" w:hint="eastAsia"/>
          <w:kern w:val="0"/>
          <w:sz w:val="24"/>
          <w:szCs w:val="24"/>
        </w:rPr>
        <w:t> </w:t>
      </w:r>
      <w:r w:rsidRPr="00BF1A4E">
        <w:rPr>
          <w:rFonts w:ascii="微软雅黑" w:eastAsia="微软雅黑" w:hAnsi="微软雅黑" w:cs="宋体"/>
          <w:i/>
          <w:iCs/>
          <w:kern w:val="0"/>
          <w:sz w:val="24"/>
          <w:szCs w:val="24"/>
        </w:rPr>
        <w:t>B</w:t>
      </w:r>
      <w:r w:rsidRPr="00BF1A4E">
        <w:rPr>
          <w:rFonts w:ascii="微软雅黑" w:eastAsia="微软雅黑" w:hAnsi="微软雅黑" w:cs="宋体"/>
          <w:kern w:val="0"/>
          <w:sz w:val="24"/>
          <w:szCs w:val="24"/>
        </w:rPr>
        <w:t> )，其中</w:t>
      </w:r>
      <w:r w:rsidRPr="00BF1A4E">
        <w:rPr>
          <w:rFonts w:ascii="微软雅黑" w:eastAsia="微软雅黑" w:hAnsi="微软雅黑" w:cs="宋体"/>
          <w:i/>
          <w:iCs/>
          <w:kern w:val="0"/>
          <w:sz w:val="24"/>
          <w:szCs w:val="24"/>
        </w:rPr>
        <w:t>A</w:t>
      </w:r>
      <w:r w:rsidRPr="00BF1A4E">
        <w:rPr>
          <w:rFonts w:ascii="微软雅黑" w:eastAsia="微软雅黑" w:hAnsi="微软雅黑" w:cs="宋体"/>
          <w:kern w:val="0"/>
          <w:sz w:val="24"/>
          <w:szCs w:val="24"/>
        </w:rPr>
        <w:t>和</w:t>
      </w:r>
      <w:r w:rsidRPr="00BF1A4E">
        <w:rPr>
          <w:rFonts w:ascii="微软雅黑" w:eastAsia="微软雅黑" w:hAnsi="微软雅黑" w:cs="宋体"/>
          <w:i/>
          <w:iCs/>
          <w:kern w:val="0"/>
          <w:sz w:val="24"/>
          <w:szCs w:val="24"/>
        </w:rPr>
        <w:t>B</w:t>
      </w:r>
      <w:r w:rsidRPr="00BF1A4E">
        <w:rPr>
          <w:rFonts w:ascii="微软雅黑" w:eastAsia="微软雅黑" w:hAnsi="微软雅黑" w:cs="宋体"/>
          <w:kern w:val="0"/>
          <w:sz w:val="24"/>
          <w:szCs w:val="24"/>
        </w:rPr>
        <w:t xml:space="preserve">分别为给定剂量下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和 RSL3 的生长抑制率。大于 1 的值表示协同作用。</w:t>
      </w:r>
    </w:p>
    <w:p w14:paraId="4508B091"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 xml:space="preserve">利用预先设计的 CRISPR Edit-R crGPX4 进行 </w:t>
      </w:r>
      <w:proofErr w:type="spellStart"/>
      <w:r w:rsidRPr="00BF1A4E">
        <w:rPr>
          <w:rFonts w:ascii="微软雅黑" w:eastAsia="微软雅黑" w:hAnsi="微软雅黑" w:cs="宋体"/>
          <w:kern w:val="0"/>
          <w:sz w:val="32"/>
          <w:szCs w:val="32"/>
        </w:rPr>
        <w:t>Incucyte</w:t>
      </w:r>
      <w:proofErr w:type="spellEnd"/>
      <w:r w:rsidRPr="00BF1A4E">
        <w:rPr>
          <w:rFonts w:ascii="微软雅黑" w:eastAsia="微软雅黑" w:hAnsi="微软雅黑" w:cs="宋体"/>
          <w:kern w:val="0"/>
          <w:sz w:val="32"/>
          <w:szCs w:val="32"/>
        </w:rPr>
        <w:t xml:space="preserve"> 成像以定量生长</w:t>
      </w:r>
    </w:p>
    <w:p w14:paraId="796A79A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我们使用 CRISPR Edit-R 系统和来自 </w:t>
      </w:r>
      <w:proofErr w:type="spellStart"/>
      <w:r w:rsidRPr="00BF1A4E">
        <w:rPr>
          <w:rFonts w:ascii="微软雅黑" w:eastAsia="微软雅黑" w:hAnsi="微软雅黑" w:cs="宋体"/>
          <w:kern w:val="0"/>
          <w:sz w:val="24"/>
          <w:szCs w:val="24"/>
        </w:rPr>
        <w:t>Dharmacon</w:t>
      </w:r>
      <w:proofErr w:type="spellEnd"/>
      <w:r w:rsidRPr="00BF1A4E">
        <w:rPr>
          <w:rFonts w:ascii="微软雅黑" w:eastAsia="微软雅黑" w:hAnsi="微软雅黑" w:cs="宋体"/>
          <w:kern w:val="0"/>
          <w:sz w:val="24"/>
          <w:szCs w:val="24"/>
        </w:rPr>
        <w:t xml:space="preserve"> 的三个预先设计的 crGPX4 (CM-011676) 靶向 GPX4。细胞转染 48 小时后收集，并以三复孔接种于 12 孔板中，分别用载体 (DMSO) 或 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帕博西尼处理。使用 </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 xml:space="preserve"> 成像系统，每 12 小时以 4 </w:t>
      </w:r>
      <w:proofErr w:type="gramStart"/>
      <w:r w:rsidRPr="00BF1A4E">
        <w:rPr>
          <w:rFonts w:ascii="微软雅黑" w:eastAsia="微软雅黑" w:hAnsi="微软雅黑" w:cs="宋体"/>
          <w:kern w:val="0"/>
          <w:sz w:val="24"/>
          <w:szCs w:val="24"/>
        </w:rPr>
        <w:t>倍</w:t>
      </w:r>
      <w:proofErr w:type="gramEnd"/>
      <w:r w:rsidRPr="00BF1A4E">
        <w:rPr>
          <w:rFonts w:ascii="微软雅黑" w:eastAsia="微软雅黑" w:hAnsi="微软雅黑" w:cs="宋体"/>
          <w:kern w:val="0"/>
          <w:sz w:val="24"/>
          <w:szCs w:val="24"/>
        </w:rPr>
        <w:t xml:space="preserve">放大倍率对细胞进行成像，持续 12 天。使用 </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 xml:space="preserve"> 软件分析细胞汇合度。</w:t>
      </w:r>
    </w:p>
    <w:p w14:paraId="04C9C062"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使用碘化丙</w:t>
      </w:r>
      <w:proofErr w:type="gramStart"/>
      <w:r w:rsidRPr="00BF1A4E">
        <w:rPr>
          <w:rFonts w:ascii="微软雅黑" w:eastAsia="微软雅黑" w:hAnsi="微软雅黑" w:cs="宋体"/>
          <w:kern w:val="0"/>
          <w:sz w:val="32"/>
          <w:szCs w:val="32"/>
        </w:rPr>
        <w:t>啶</w:t>
      </w:r>
      <w:proofErr w:type="gramEnd"/>
      <w:r w:rsidRPr="00BF1A4E">
        <w:rPr>
          <w:rFonts w:ascii="微软雅黑" w:eastAsia="微软雅黑" w:hAnsi="微软雅黑" w:cs="宋体"/>
          <w:kern w:val="0"/>
          <w:sz w:val="32"/>
          <w:szCs w:val="32"/>
        </w:rPr>
        <w:t xml:space="preserve"> (PI) 进行细胞死亡检测</w:t>
      </w:r>
    </w:p>
    <w:p w14:paraId="4AE61271"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将细胞以每孔 600–1000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细胞的密度接种于 384 孔板中。接种 24 小时后，加入指定浓度的药物，并在 37°C 下孵育 6 天。随后，</w:t>
      </w:r>
      <w:proofErr w:type="gramStart"/>
      <w:r w:rsidRPr="00BF1A4E">
        <w:rPr>
          <w:rFonts w:ascii="微软雅黑" w:eastAsia="微软雅黑" w:hAnsi="微软雅黑" w:cs="宋体"/>
          <w:kern w:val="0"/>
          <w:sz w:val="24"/>
          <w:szCs w:val="24"/>
        </w:rPr>
        <w:t>用终浓度</w:t>
      </w:r>
      <w:proofErr w:type="gramEnd"/>
      <w:r w:rsidRPr="00BF1A4E">
        <w:rPr>
          <w:rFonts w:ascii="微软雅黑" w:eastAsia="微软雅黑" w:hAnsi="微软雅黑" w:cs="宋体"/>
          <w:kern w:val="0"/>
          <w:sz w:val="24"/>
          <w:szCs w:val="24"/>
        </w:rPr>
        <w:t xml:space="preserve">为 1 </w:t>
      </w:r>
      <w:proofErr w:type="spellStart"/>
      <w:r w:rsidRPr="00BF1A4E">
        <w:rPr>
          <w:rFonts w:ascii="微软雅黑" w:eastAsia="微软雅黑" w:hAnsi="微软雅黑" w:cs="宋体"/>
          <w:kern w:val="0"/>
          <w:sz w:val="24"/>
          <w:szCs w:val="24"/>
        </w:rPr>
        <w:t>μg</w:t>
      </w:r>
      <w:proofErr w:type="spellEnd"/>
      <w:r w:rsidRPr="00BF1A4E">
        <w:rPr>
          <w:rFonts w:ascii="微软雅黑" w:eastAsia="微软雅黑" w:hAnsi="微软雅黑" w:cs="宋体"/>
          <w:kern w:val="0"/>
          <w:sz w:val="24"/>
          <w:szCs w:val="24"/>
        </w:rPr>
        <w:t>/mL 的 Hoechst 33342（10 mg/mL，</w:t>
      </w:r>
      <w:proofErr w:type="spellStart"/>
      <w:r w:rsidRPr="00BF1A4E">
        <w:rPr>
          <w:rFonts w:ascii="微软雅黑" w:eastAsia="微软雅黑" w:hAnsi="微软雅黑" w:cs="宋体"/>
          <w:kern w:val="0"/>
          <w:sz w:val="24"/>
          <w:szCs w:val="24"/>
        </w:rPr>
        <w:t>ThermoFisher</w:t>
      </w:r>
      <w:proofErr w:type="spellEnd"/>
      <w:r w:rsidRPr="00BF1A4E">
        <w:rPr>
          <w:rFonts w:ascii="微软雅黑" w:eastAsia="微软雅黑" w:hAnsi="微软雅黑" w:cs="宋体"/>
          <w:kern w:val="0"/>
          <w:sz w:val="24"/>
          <w:szCs w:val="24"/>
        </w:rPr>
        <w:t xml:space="preserve">）和终浓度为 0.4 </w:t>
      </w:r>
      <w:proofErr w:type="spellStart"/>
      <w:r w:rsidRPr="00BF1A4E">
        <w:rPr>
          <w:rFonts w:ascii="微软雅黑" w:eastAsia="微软雅黑" w:hAnsi="微软雅黑" w:cs="宋体"/>
          <w:kern w:val="0"/>
          <w:sz w:val="24"/>
          <w:szCs w:val="24"/>
        </w:rPr>
        <w:t>μg</w:t>
      </w:r>
      <w:proofErr w:type="spellEnd"/>
      <w:r w:rsidRPr="00BF1A4E">
        <w:rPr>
          <w:rFonts w:ascii="微软雅黑" w:eastAsia="微软雅黑" w:hAnsi="微软雅黑" w:cs="宋体"/>
          <w:kern w:val="0"/>
          <w:sz w:val="24"/>
          <w:szCs w:val="24"/>
        </w:rPr>
        <w:t>/mL 的碘化丙</w:t>
      </w:r>
      <w:proofErr w:type="gramStart"/>
      <w:r w:rsidRPr="00BF1A4E">
        <w:rPr>
          <w:rFonts w:ascii="微软雅黑" w:eastAsia="微软雅黑" w:hAnsi="微软雅黑" w:cs="宋体"/>
          <w:kern w:val="0"/>
          <w:sz w:val="24"/>
          <w:szCs w:val="24"/>
        </w:rPr>
        <w:t>啶</w:t>
      </w:r>
      <w:proofErr w:type="gramEnd"/>
      <w:r w:rsidRPr="00BF1A4E">
        <w:rPr>
          <w:rFonts w:ascii="微软雅黑" w:eastAsia="微软雅黑" w:hAnsi="微软雅黑" w:cs="宋体"/>
          <w:kern w:val="0"/>
          <w:sz w:val="24"/>
          <w:szCs w:val="24"/>
        </w:rPr>
        <w:t xml:space="preserve">（PI，1 mg/mL，Sigma-Aldrich）对细胞进行染色。将孔板在 37°C 和 5% CO2 条件下孵育 30 分钟，并使用 </w:t>
      </w:r>
      <w:proofErr w:type="spellStart"/>
      <w:r w:rsidRPr="00BF1A4E">
        <w:rPr>
          <w:rFonts w:ascii="微软雅黑" w:eastAsia="微软雅黑" w:hAnsi="微软雅黑" w:cs="宋体"/>
          <w:kern w:val="0"/>
          <w:sz w:val="24"/>
          <w:szCs w:val="24"/>
        </w:rPr>
        <w:t>Celigo</w:t>
      </w:r>
      <w:proofErr w:type="spellEnd"/>
      <w:r w:rsidRPr="00BF1A4E">
        <w:rPr>
          <w:rFonts w:ascii="微软雅黑" w:eastAsia="微软雅黑" w:hAnsi="微软雅黑" w:cs="宋体"/>
          <w:kern w:val="0"/>
          <w:sz w:val="24"/>
          <w:szCs w:val="24"/>
        </w:rPr>
        <w:t xml:space="preserve"> S 高内涵显微镜采集图像进行细胞计数分析（细胞死亡率百分比）。使用两种荧光滤光片：红色 531/629（PI </w:t>
      </w:r>
      <w:proofErr w:type="gramStart"/>
      <w:r w:rsidRPr="00BF1A4E">
        <w:rPr>
          <w:rFonts w:ascii="微软雅黑" w:eastAsia="微软雅黑" w:hAnsi="微软雅黑" w:cs="宋体"/>
          <w:kern w:val="0"/>
          <w:sz w:val="24"/>
          <w:szCs w:val="24"/>
        </w:rPr>
        <w:t>阳性死</w:t>
      </w:r>
      <w:proofErr w:type="gramEnd"/>
      <w:r w:rsidRPr="00BF1A4E">
        <w:rPr>
          <w:rFonts w:ascii="微软雅黑" w:eastAsia="微软雅黑" w:hAnsi="微软雅黑" w:cs="宋体"/>
          <w:kern w:val="0"/>
          <w:sz w:val="24"/>
          <w:szCs w:val="24"/>
        </w:rPr>
        <w:t>细胞）和蓝色 377/447（Hoechst 阳性活细胞）。</w:t>
      </w:r>
    </w:p>
    <w:p w14:paraId="775E64A5"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克隆发生学</w:t>
      </w:r>
    </w:p>
    <w:p w14:paraId="7B4807D9"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所有克隆形成实验均在6孔板中进行。在用指定浓度的药物或溶剂处理前24小时，每孔接种6000至15000个细胞。连续处理至少2周，每3-4天更换一次</w:t>
      </w:r>
      <w:r w:rsidRPr="00BF1A4E">
        <w:rPr>
          <w:rFonts w:ascii="微软雅黑" w:eastAsia="微软雅黑" w:hAnsi="微软雅黑" w:cs="宋体"/>
          <w:kern w:val="0"/>
          <w:sz w:val="24"/>
          <w:szCs w:val="24"/>
        </w:rPr>
        <w:lastRenderedPageBreak/>
        <w:t>培养基/药物。加入10%三氯乙酸（TCA）固定细胞1小时，用水冲洗，然后用磺基罗丹明B溶液（SFB）（0.4%溶于1%乙酸）染色。染色后的克隆形成细胞在成像前用1%乙酸洗涤。为了确定克隆形成细胞的汇合度，用1 ml 10 mM Tris缓冲液（pH=10.5）在室温下溶解结合的SFB 5分钟，取200 µl在490 nm波长处测量吸光度。</w:t>
      </w:r>
    </w:p>
    <w:p w14:paraId="1561FE0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对于包含吉瑞地司坦的</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 xml:space="preserve">和克隆形成实验，均设置了“预处理阶段”。将T47D细胞在含有DMSO、1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吉瑞地司坦、200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帕博西尼或1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吉瑞地</w:t>
      </w:r>
      <w:proofErr w:type="gramStart"/>
      <w:r w:rsidRPr="00BF1A4E">
        <w:rPr>
          <w:rFonts w:ascii="微软雅黑" w:eastAsia="微软雅黑" w:hAnsi="微软雅黑" w:cs="宋体"/>
          <w:kern w:val="0"/>
          <w:sz w:val="24"/>
          <w:szCs w:val="24"/>
        </w:rPr>
        <w:t>司坦加</w:t>
      </w:r>
      <w:proofErr w:type="gramEnd"/>
      <w:r w:rsidRPr="00BF1A4E">
        <w:rPr>
          <w:rFonts w:ascii="微软雅黑" w:eastAsia="微软雅黑" w:hAnsi="微软雅黑" w:cs="宋体"/>
          <w:kern w:val="0"/>
          <w:sz w:val="24"/>
          <w:szCs w:val="24"/>
        </w:rPr>
        <w:t xml:space="preserve">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帕博西尼的RPMI培养基中，于T175培养瓶中培养7天，并在第4天进行一次传代。在“处理阶段”，将30,000个细胞（预处理方法同上）接种于12孔板中。次日，在有或无RSL3的情况下，分别用DMSO、1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吉瑞地司坦或1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吉瑞地</w:t>
      </w:r>
      <w:proofErr w:type="gramStart"/>
      <w:r w:rsidRPr="00BF1A4E">
        <w:rPr>
          <w:rFonts w:ascii="微软雅黑" w:eastAsia="微软雅黑" w:hAnsi="微软雅黑" w:cs="宋体"/>
          <w:kern w:val="0"/>
          <w:sz w:val="24"/>
          <w:szCs w:val="24"/>
        </w:rPr>
        <w:t>司坦加</w:t>
      </w:r>
      <w:proofErr w:type="gramEnd"/>
      <w:r w:rsidRPr="00BF1A4E">
        <w:rPr>
          <w:rFonts w:ascii="微软雅黑" w:eastAsia="微软雅黑" w:hAnsi="微软雅黑" w:cs="宋体"/>
          <w:kern w:val="0"/>
          <w:sz w:val="24"/>
          <w:szCs w:val="24"/>
        </w:rPr>
        <w:t xml:space="preserve">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帕博西尼处理细胞，每个处理在两块板中重复进行。使用10倍物镜追踪细胞生长，并使用</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 xml:space="preserve"> S3活细胞分析系统（Sartorius）进行分析。3天后，清洗培养板，并将化合物溶于新鲜培养基中，重新加入每个培养板的重复孔之一（持续处理组），而其他重复孔仅加入新鲜培养基（洗脱组）。将培养板放回</w:t>
      </w:r>
      <w:proofErr w:type="spellStart"/>
      <w:r w:rsidRPr="00BF1A4E">
        <w:rPr>
          <w:rFonts w:ascii="微软雅黑" w:eastAsia="微软雅黑" w:hAnsi="微软雅黑" w:cs="宋体"/>
          <w:kern w:val="0"/>
          <w:sz w:val="24"/>
          <w:szCs w:val="24"/>
        </w:rPr>
        <w:t>Incucyte</w:t>
      </w:r>
      <w:proofErr w:type="spellEnd"/>
      <w:r w:rsidRPr="00BF1A4E">
        <w:rPr>
          <w:rFonts w:ascii="微软雅黑" w:eastAsia="微软雅黑" w:hAnsi="微软雅黑" w:cs="宋体"/>
          <w:kern w:val="0"/>
          <w:sz w:val="24"/>
          <w:szCs w:val="24"/>
        </w:rPr>
        <w:t>系统，继续追踪15天，每3至4天更换一次培养基。在最终测定细胞汇合度后，用含20%甲醇的0.5%结晶紫溶液染色细胞30分钟。用PBS洗涤4至20分钟后，将培养板风干，并使用Epson Perfection 4870照片扫描仪（Epson）进行扫描。</w:t>
      </w:r>
    </w:p>
    <w:p w14:paraId="6B5C1A0D"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流式细胞术分析脂质过氧化</w:t>
      </w:r>
    </w:p>
    <w:p w14:paraId="4760630D"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MCF-7 和 T47D 细胞分别用 DMSO、RSL3、ML210、帕博西尼或上述药物组合处理 6 天。在最后 30 分钟，细胞还用 5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 的 C11-BODIPY581/591 染</w:t>
      </w:r>
      <w:r w:rsidRPr="00BF1A4E">
        <w:rPr>
          <w:rFonts w:ascii="微软雅黑" w:eastAsia="微软雅黑" w:hAnsi="微软雅黑" w:cs="宋体"/>
          <w:kern w:val="0"/>
          <w:sz w:val="24"/>
          <w:szCs w:val="24"/>
        </w:rPr>
        <w:lastRenderedPageBreak/>
        <w:t>料（D3861，</w:t>
      </w:r>
      <w:proofErr w:type="spellStart"/>
      <w:r w:rsidRPr="00BF1A4E">
        <w:rPr>
          <w:rFonts w:ascii="微软雅黑" w:eastAsia="微软雅黑" w:hAnsi="微软雅黑" w:cs="宋体"/>
          <w:kern w:val="0"/>
          <w:sz w:val="24"/>
          <w:szCs w:val="24"/>
        </w:rPr>
        <w:t>ThermoFisher</w:t>
      </w:r>
      <w:proofErr w:type="spellEnd"/>
      <w:r w:rsidRPr="00BF1A4E">
        <w:rPr>
          <w:rFonts w:ascii="微软雅黑" w:eastAsia="微软雅黑" w:hAnsi="微软雅黑" w:cs="宋体"/>
          <w:kern w:val="0"/>
          <w:sz w:val="24"/>
          <w:szCs w:val="24"/>
        </w:rPr>
        <w:t xml:space="preserve"> Scientific）或 </w:t>
      </w:r>
      <w:proofErr w:type="spellStart"/>
      <w:r w:rsidRPr="00BF1A4E">
        <w:rPr>
          <w:rFonts w:ascii="微软雅黑" w:eastAsia="微软雅黑" w:hAnsi="微软雅黑" w:cs="宋体"/>
          <w:kern w:val="0"/>
          <w:sz w:val="24"/>
          <w:szCs w:val="24"/>
        </w:rPr>
        <w:t>MitoPerOx</w:t>
      </w:r>
      <w:proofErr w:type="spellEnd"/>
      <w:r w:rsidRPr="00BF1A4E">
        <w:rPr>
          <w:rFonts w:ascii="微软雅黑" w:eastAsia="微软雅黑" w:hAnsi="微软雅黑" w:cs="宋体"/>
          <w:kern w:val="0"/>
          <w:sz w:val="24"/>
          <w:szCs w:val="24"/>
        </w:rPr>
        <w:t xml:space="preserve">（ab146820，Abcam）处理，染料悬浮于培养基中。之后，细胞用冰冷的 PBS 洗涤两次，经胰蛋白酶消化后收集于 PBS 中。使用 BD Symphony A5 流式细胞仪进行分析，氧化型 BODIPY-C11 使用 B530_30A (FITC) 滤光片，还原型 BODIPY-C11 使用 YG610_20-A (PE-Texas Red) 滤光片。每种条件下至少分析 10,000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细胞。数据分析使用 </w:t>
      </w:r>
      <w:proofErr w:type="spellStart"/>
      <w:r w:rsidRPr="00BF1A4E">
        <w:rPr>
          <w:rFonts w:ascii="微软雅黑" w:eastAsia="微软雅黑" w:hAnsi="微软雅黑" w:cs="宋体"/>
          <w:kern w:val="0"/>
          <w:sz w:val="24"/>
          <w:szCs w:val="24"/>
        </w:rPr>
        <w:t>FlowJo</w:t>
      </w:r>
      <w:proofErr w:type="spellEnd"/>
      <w:r w:rsidRPr="00BF1A4E">
        <w:rPr>
          <w:rFonts w:ascii="微软雅黑" w:eastAsia="微软雅黑" w:hAnsi="微软雅黑" w:cs="宋体"/>
          <w:kern w:val="0"/>
          <w:sz w:val="24"/>
          <w:szCs w:val="24"/>
        </w:rPr>
        <w:t xml:space="preserve"> 10 软件进行。补充图</w:t>
      </w:r>
      <w:r w:rsidRPr="00BF1A4E">
        <w:rPr>
          <w:rFonts w:ascii="微软雅黑" w:eastAsia="微软雅黑" w:hAnsi="微软雅黑" w:cs="宋体"/>
          <w:kern w:val="0"/>
          <w:sz w:val="24"/>
          <w:szCs w:val="24"/>
        </w:rPr>
        <w:fldChar w:fldCharType="begin"/>
      </w:r>
      <w:r w:rsidRPr="00BF1A4E">
        <w:rPr>
          <w:rFonts w:ascii="微软雅黑" w:eastAsia="微软雅黑" w:hAnsi="微软雅黑" w:cs="宋体"/>
          <w:kern w:val="0"/>
          <w:sz w:val="24"/>
          <w:szCs w:val="24"/>
        </w:rPr>
        <w:instrText xml:space="preserve"> HYPERLINK "https://pmc.ncbi.nlm.nih.gov/articles/PMC11538343/" \l "MOESM1" </w:instrText>
      </w:r>
      <w:r w:rsidRPr="00BF1A4E">
        <w:rPr>
          <w:rFonts w:ascii="微软雅黑" w:eastAsia="微软雅黑" w:hAnsi="微软雅黑" w:cs="宋体"/>
          <w:kern w:val="0"/>
          <w:sz w:val="24"/>
          <w:szCs w:val="24"/>
        </w:rPr>
        <w:fldChar w:fldCharType="separate"/>
      </w:r>
      <w:r w:rsidRPr="00BF1A4E">
        <w:rPr>
          <w:rFonts w:ascii="微软雅黑" w:eastAsia="微软雅黑" w:hAnsi="微软雅黑" w:cs="宋体"/>
          <w:kern w:val="0"/>
          <w:sz w:val="24"/>
          <w:szCs w:val="24"/>
          <w:u w:val="single"/>
        </w:rPr>
        <w:t>3G</w:t>
      </w:r>
      <w:r w:rsidRPr="00BF1A4E">
        <w:rPr>
          <w:rFonts w:ascii="微软雅黑" w:eastAsia="微软雅黑" w:hAnsi="微软雅黑" w:cs="宋体"/>
          <w:kern w:val="0"/>
          <w:sz w:val="24"/>
          <w:szCs w:val="24"/>
        </w:rPr>
        <w:fldChar w:fldCharType="end"/>
      </w:r>
      <w:r w:rsidRPr="00BF1A4E">
        <w:rPr>
          <w:rFonts w:ascii="微软雅黑" w:eastAsia="微软雅黑" w:hAnsi="微软雅黑" w:cs="宋体"/>
          <w:kern w:val="0"/>
          <w:sz w:val="24"/>
          <w:szCs w:val="24"/>
        </w:rPr>
        <w:t>显示了所进行的设门操作 。直方图代表大小相近的</w:t>
      </w:r>
      <w:proofErr w:type="gramStart"/>
      <w:r w:rsidRPr="00BF1A4E">
        <w:rPr>
          <w:rFonts w:ascii="微软雅黑" w:eastAsia="微软雅黑" w:hAnsi="微软雅黑" w:cs="宋体"/>
          <w:kern w:val="0"/>
          <w:sz w:val="24"/>
          <w:szCs w:val="24"/>
        </w:rPr>
        <w:t>设门活细胞</w:t>
      </w:r>
      <w:proofErr w:type="gramEnd"/>
      <w:r w:rsidRPr="00BF1A4E">
        <w:rPr>
          <w:rFonts w:ascii="微软雅黑" w:eastAsia="微软雅黑" w:hAnsi="微软雅黑" w:cs="宋体"/>
          <w:kern w:val="0"/>
          <w:sz w:val="24"/>
          <w:szCs w:val="24"/>
        </w:rPr>
        <w:t>。</w:t>
      </w:r>
    </w:p>
    <w:p w14:paraId="57C4CD27"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 xml:space="preserve">脂质组学样品制备：MCF-7 </w:t>
      </w:r>
      <w:proofErr w:type="spellStart"/>
      <w:r w:rsidRPr="00BF1A4E">
        <w:rPr>
          <w:rFonts w:ascii="微软雅黑" w:eastAsia="微软雅黑" w:hAnsi="微软雅黑" w:cs="宋体"/>
          <w:kern w:val="0"/>
          <w:sz w:val="32"/>
          <w:szCs w:val="32"/>
        </w:rPr>
        <w:t>giredestrant</w:t>
      </w:r>
      <w:proofErr w:type="spellEnd"/>
      <w:r w:rsidRPr="00BF1A4E">
        <w:rPr>
          <w:rFonts w:ascii="微软雅黑" w:eastAsia="微软雅黑" w:hAnsi="微软雅黑" w:cs="宋体"/>
          <w:kern w:val="0"/>
          <w:sz w:val="32"/>
          <w:szCs w:val="32"/>
        </w:rPr>
        <w:t xml:space="preserve"> 时间进程实验</w:t>
      </w:r>
    </w:p>
    <w:p w14:paraId="33FF2C6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将 MCF7 细胞以 4 × 10</w:t>
      </w:r>
      <w:r w:rsidRPr="00BF1A4E">
        <w:rPr>
          <w:rFonts w:ascii="MS Gothic" w:eastAsia="MS Gothic" w:hAnsi="MS Gothic" w:cs="MS Gothic" w:hint="eastAsia"/>
          <w:kern w:val="0"/>
          <w:sz w:val="24"/>
          <w:szCs w:val="24"/>
        </w:rPr>
        <w:t>⁶</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细胞/孔的密度接种</w:t>
      </w:r>
      <w:r w:rsidRPr="00BF1A4E">
        <w:rPr>
          <w:rFonts w:ascii="微软雅黑" w:eastAsia="微软雅黑" w:hAnsi="微软雅黑" w:cs="宋体"/>
          <w:kern w:val="0"/>
          <w:sz w:val="24"/>
          <w:szCs w:val="24"/>
          <w:vertAlign w:val="superscript"/>
        </w:rPr>
        <w:t>于</w:t>
      </w:r>
      <w:r w:rsidRPr="00BF1A4E">
        <w:rPr>
          <w:rFonts w:ascii="微软雅黑" w:eastAsia="微软雅黑" w:hAnsi="微软雅黑" w:cs="宋体"/>
          <w:kern w:val="0"/>
          <w:sz w:val="24"/>
          <w:szCs w:val="24"/>
        </w:rPr>
        <w:t xml:space="preserve">17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 T175 培养瓶中，并在 RPMI 培养基中过夜培养。第 0 天，取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未处理的培养瓶中的细胞进行胰蛋白酶消化和洗涤；收集 2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perscript"/>
        </w:rPr>
        <w:t>个</w:t>
      </w:r>
      <w:r w:rsidRPr="00BF1A4E">
        <w:rPr>
          <w:rFonts w:ascii="微软雅黑" w:eastAsia="微软雅黑" w:hAnsi="微软雅黑" w:cs="宋体"/>
          <w:kern w:val="0"/>
          <w:sz w:val="24"/>
          <w:szCs w:val="24"/>
        </w:rPr>
        <w:t>细胞并冻存</w:t>
      </w:r>
      <w:proofErr w:type="gramEnd"/>
      <w:r w:rsidRPr="00BF1A4E">
        <w:rPr>
          <w:rFonts w:ascii="微软雅黑" w:eastAsia="微软雅黑" w:hAnsi="微软雅黑" w:cs="宋体"/>
          <w:kern w:val="0"/>
          <w:sz w:val="24"/>
          <w:szCs w:val="24"/>
        </w:rPr>
        <w:t xml:space="preserve">；另取 6-7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培养瓶中的细胞分别用 DMSO 和 0.6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处理。第 2 天，取每组处理中的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培养瓶中的细胞进行胰蛋白酶消化和洗涤，收集 2 × 10</w:t>
      </w:r>
      <w:r w:rsidRPr="00BF1A4E">
        <w:rPr>
          <w:rFonts w:ascii="MS Gothic" w:eastAsia="MS Gothic" w:hAnsi="MS Gothic" w:cs="MS Gothic" w:hint="eastAsia"/>
          <w:kern w:val="0"/>
          <w:sz w:val="24"/>
          <w:szCs w:val="24"/>
        </w:rPr>
        <w:t>⁶</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个细胞并冻存</w:t>
      </w:r>
      <w:proofErr w:type="gramEnd"/>
      <w:r w:rsidRPr="00BF1A4E">
        <w:rPr>
          <w:rFonts w:ascii="微软雅黑" w:eastAsia="微软雅黑" w:hAnsi="微软雅黑" w:cs="宋体"/>
          <w:kern w:val="0"/>
          <w:sz w:val="24"/>
          <w:szCs w:val="24"/>
        </w:rPr>
        <w:t>。第 4 天，将剩余的培养瓶进行传代，并将 4 × 10</w:t>
      </w:r>
      <w:r w:rsidRPr="00BF1A4E">
        <w:rPr>
          <w:rFonts w:ascii="MS Gothic" w:eastAsia="MS Gothic" w:hAnsi="MS Gothic" w:cs="MS Gothic" w:hint="eastAsia"/>
          <w:kern w:val="0"/>
          <w:sz w:val="24"/>
          <w:szCs w:val="24"/>
        </w:rPr>
        <w:t>⁶</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细胞重新接种于 T175 培养瓶中：6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培养瓶用于持续 DMSO 处理，8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培养瓶用于持续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 处理。第 7 天，取每组处理中的 4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培养瓶中的细胞进行胰蛋白酶消化和洗涤，收集 2 × 10</w:t>
      </w:r>
      <w:r w:rsidRPr="00BF1A4E">
        <w:rPr>
          <w:rFonts w:ascii="MS Gothic" w:eastAsia="MS Gothic" w:hAnsi="MS Gothic" w:cs="MS Gothic" w:hint="eastAsia"/>
          <w:kern w:val="0"/>
          <w:sz w:val="24"/>
          <w:szCs w:val="24"/>
        </w:rPr>
        <w:t>⁶</w:t>
      </w:r>
      <w:r w:rsidRPr="00BF1A4E">
        <w:rPr>
          <w:rFonts w:ascii="微软雅黑" w:eastAsia="微软雅黑" w:hAnsi="微软雅黑" w:cs="宋体"/>
          <w:kern w:val="0"/>
          <w:sz w:val="24"/>
          <w:szCs w:val="24"/>
        </w:rPr>
        <w:t xml:space="preserve"> </w:t>
      </w:r>
      <w:proofErr w:type="gramStart"/>
      <w:r w:rsidRPr="00BF1A4E">
        <w:rPr>
          <w:rFonts w:ascii="微软雅黑" w:eastAsia="微软雅黑" w:hAnsi="微软雅黑" w:cs="宋体"/>
          <w:kern w:val="0"/>
          <w:sz w:val="24"/>
          <w:szCs w:val="24"/>
        </w:rPr>
        <w:t>个细胞并冻存</w:t>
      </w:r>
      <w:proofErr w:type="gramEnd"/>
      <w:r w:rsidRPr="00BF1A4E">
        <w:rPr>
          <w:rFonts w:ascii="微软雅黑" w:eastAsia="微软雅黑" w:hAnsi="微软雅黑" w:cs="宋体"/>
          <w:kern w:val="0"/>
          <w:sz w:val="24"/>
          <w:szCs w:val="24"/>
          <w:vertAlign w:val="superscript"/>
        </w:rPr>
        <w:t>。</w:t>
      </w:r>
      <w:r w:rsidRPr="00BF1A4E">
        <w:rPr>
          <w:rFonts w:ascii="微软雅黑" w:eastAsia="微软雅黑" w:hAnsi="微软雅黑" w:cs="宋体"/>
          <w:kern w:val="0"/>
          <w:sz w:val="24"/>
          <w:szCs w:val="24"/>
        </w:rPr>
        <w:t>将2个DMSO处理瓶中的细胞进行传代，并将4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细胞重新接种到2个T175培养瓶中；在4个</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处理瓶中，随着处理时间的延长，更换培养基。第11天，将2个DMSO处理瓶中的细胞进行传代，并将4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细胞重新接种到4个T175培养瓶中；并再次更换4</w:t>
      </w:r>
      <w:r w:rsidRPr="00BF1A4E">
        <w:rPr>
          <w:rFonts w:ascii="微软雅黑" w:eastAsia="微软雅黑" w:hAnsi="微软雅黑" w:cs="宋体"/>
          <w:kern w:val="0"/>
          <w:sz w:val="24"/>
          <w:szCs w:val="24"/>
        </w:rPr>
        <w:lastRenderedPageBreak/>
        <w:t>个</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处理瓶中的培养基。第14天，用胰蛋白酶消化并洗涤细胞，从每个培养瓶中收集2 × </w:t>
      </w:r>
      <w:r w:rsidRPr="00BF1A4E">
        <w:rPr>
          <w:rFonts w:ascii="微软雅黑" w:eastAsia="微软雅黑" w:hAnsi="微软雅黑" w:cs="宋体"/>
          <w:kern w:val="0"/>
          <w:sz w:val="24"/>
          <w:szCs w:val="24"/>
          <w:vertAlign w:val="superscript"/>
        </w:rPr>
        <w:t>10</w:t>
      </w:r>
      <w:r w:rsidRPr="00BF1A4E">
        <w:rPr>
          <w:rFonts w:ascii="MS Gothic" w:eastAsia="MS Gothic" w:hAnsi="MS Gothic" w:cs="MS Gothic" w:hint="eastAsia"/>
          <w:kern w:val="0"/>
          <w:sz w:val="24"/>
          <w:szCs w:val="24"/>
          <w:vertAlign w:val="superscript"/>
        </w:rPr>
        <w:t>⁶</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细胞，冷冻保存用于脂质分析</w:t>
      </w:r>
      <w:r w:rsidRPr="00BF1A4E">
        <w:rPr>
          <w:rFonts w:ascii="微软雅黑" w:eastAsia="微软雅黑" w:hAnsi="微软雅黑" w:cs="宋体"/>
          <w:kern w:val="0"/>
          <w:sz w:val="24"/>
          <w:szCs w:val="24"/>
          <w:vertAlign w:val="superscript"/>
        </w:rPr>
        <w:t>。</w:t>
      </w:r>
    </w:p>
    <w:p w14:paraId="5F585AF1"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i/>
          <w:iCs/>
          <w:kern w:val="0"/>
          <w:sz w:val="32"/>
          <w:szCs w:val="32"/>
        </w:rPr>
        <w:t>样本制备：</w:t>
      </w:r>
      <w:r w:rsidRPr="00BF1A4E">
        <w:rPr>
          <w:rFonts w:ascii="微软雅黑" w:eastAsia="微软雅黑" w:hAnsi="微软雅黑" w:cs="宋体"/>
          <w:kern w:val="0"/>
          <w:sz w:val="32"/>
          <w:szCs w:val="32"/>
        </w:rPr>
        <w:t xml:space="preserve"> MCF-7 和 T47D 细胞，以及 </w:t>
      </w:r>
      <w:proofErr w:type="spellStart"/>
      <w:r w:rsidRPr="00BF1A4E">
        <w:rPr>
          <w:rFonts w:ascii="微软雅黑" w:eastAsia="微软雅黑" w:hAnsi="微软雅黑" w:cs="宋体"/>
          <w:kern w:val="0"/>
          <w:sz w:val="32"/>
          <w:szCs w:val="32"/>
        </w:rPr>
        <w:t>giredestrant</w:t>
      </w:r>
      <w:proofErr w:type="spellEnd"/>
      <w:r w:rsidRPr="00BF1A4E">
        <w:rPr>
          <w:rFonts w:ascii="微软雅黑" w:eastAsia="微软雅黑" w:hAnsi="微软雅黑" w:cs="宋体"/>
          <w:kern w:val="0"/>
          <w:sz w:val="32"/>
          <w:szCs w:val="32"/>
        </w:rPr>
        <w:t xml:space="preserve"> 和/或 </w:t>
      </w:r>
      <w:proofErr w:type="spellStart"/>
      <w:r w:rsidRPr="00BF1A4E">
        <w:rPr>
          <w:rFonts w:ascii="微软雅黑" w:eastAsia="微软雅黑" w:hAnsi="微软雅黑" w:cs="宋体"/>
          <w:kern w:val="0"/>
          <w:sz w:val="32"/>
          <w:szCs w:val="32"/>
        </w:rPr>
        <w:t>palbociclib</w:t>
      </w:r>
      <w:proofErr w:type="spellEnd"/>
    </w:p>
    <w:p w14:paraId="5BA5A75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将MCF-7和T47D细胞以相同的密度（4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 xml:space="preserve">细胞/T175培养瓶，每种细胞系16瓶）接种于RPMI培养基中，过夜培养。第0天，分别用DMSO、1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 xml:space="preserve">或1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giredestrant</w:t>
      </w:r>
      <w:proofErr w:type="spellEnd"/>
      <w:r w:rsidRPr="00BF1A4E">
        <w:rPr>
          <w:rFonts w:ascii="微软雅黑" w:eastAsia="微软雅黑" w:hAnsi="微软雅黑" w:cs="宋体"/>
          <w:kern w:val="0"/>
          <w:sz w:val="24"/>
          <w:szCs w:val="24"/>
        </w:rPr>
        <w:t xml:space="preserve">联合200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palbociclib</w:t>
      </w:r>
      <w:proofErr w:type="spellEnd"/>
      <w:r w:rsidRPr="00BF1A4E">
        <w:rPr>
          <w:rFonts w:ascii="微软雅黑" w:eastAsia="微软雅黑" w:hAnsi="微软雅黑" w:cs="宋体"/>
          <w:kern w:val="0"/>
          <w:sz w:val="24"/>
          <w:szCs w:val="24"/>
        </w:rPr>
        <w:t>处理细胞，每个处理设置四个复孔。第4天，细胞传代后，将每个培养瓶中的4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vertAlign w:val="superscript"/>
        </w:rPr>
        <w:t>个</w:t>
      </w:r>
      <w:proofErr w:type="gramEnd"/>
      <w:r w:rsidRPr="00BF1A4E">
        <w:rPr>
          <w:rFonts w:ascii="微软雅黑" w:eastAsia="微软雅黑" w:hAnsi="微软雅黑" w:cs="宋体"/>
          <w:kern w:val="0"/>
          <w:sz w:val="24"/>
          <w:szCs w:val="24"/>
        </w:rPr>
        <w:t>细胞重新接种到另一个T175培养瓶中，并继续进行相同的处理3天。第7天，用胰蛋白酶消化细胞并计数，从每个培养瓶中收集1.5–2 × 10</w:t>
      </w:r>
      <w:r w:rsidRPr="00BF1A4E">
        <w:rPr>
          <w:rFonts w:ascii="MS Gothic" w:eastAsia="MS Gothic" w:hAnsi="MS Gothic" w:cs="MS Gothic" w:hint="eastAsia"/>
          <w:kern w:val="0"/>
          <w:sz w:val="24"/>
          <w:szCs w:val="24"/>
        </w:rPr>
        <w:t>⁶</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细胞并冷冻保存，用于脂质分析</w:t>
      </w:r>
      <w:r w:rsidRPr="00BF1A4E">
        <w:rPr>
          <w:rFonts w:ascii="微软雅黑" w:eastAsia="微软雅黑" w:hAnsi="微软雅黑" w:cs="宋体"/>
          <w:kern w:val="0"/>
          <w:sz w:val="24"/>
          <w:szCs w:val="24"/>
          <w:vertAlign w:val="superscript"/>
        </w:rPr>
        <w:t>。</w:t>
      </w:r>
    </w:p>
    <w:p w14:paraId="7D12967D"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提取和分析</w:t>
      </w:r>
    </w:p>
    <w:p w14:paraId="4D243557"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将细胞在二氯甲烷 (DCM)：甲醇 (1:1, v:v) 混合溶液中匀浆。离心后，将含有等量蛋白质的匀浆</w:t>
      </w:r>
      <w:proofErr w:type="gramStart"/>
      <w:r w:rsidRPr="00BF1A4E">
        <w:rPr>
          <w:rFonts w:ascii="微软雅黑" w:eastAsia="微软雅黑" w:hAnsi="微软雅黑" w:cs="宋体"/>
          <w:kern w:val="0"/>
          <w:sz w:val="24"/>
          <w:szCs w:val="24"/>
        </w:rPr>
        <w:t>液转移</w:t>
      </w:r>
      <w:proofErr w:type="gramEnd"/>
      <w:r w:rsidRPr="00BF1A4E">
        <w:rPr>
          <w:rFonts w:ascii="微软雅黑" w:eastAsia="微软雅黑" w:hAnsi="微软雅黑" w:cs="宋体"/>
          <w:kern w:val="0"/>
          <w:sz w:val="24"/>
          <w:szCs w:val="24"/>
        </w:rPr>
        <w:t>至V型底玻璃管中。向上清液中加入0.5 ml水、0.45 ml DCM和1.0 ml甲醇，使之形成单相。30分钟后，向混合物中加入同位素标记的内标物，随后加入0.45 ml DCM和0.5 ml水。将混合物以1000 ×</w:t>
      </w:r>
      <w:r w:rsidRPr="00BF1A4E">
        <w:rPr>
          <w:rFonts w:ascii="MS Gothic" w:eastAsia="MS Gothic" w:hAnsi="MS Gothic" w:cs="MS Gothic" w:hint="eastAsia"/>
          <w:kern w:val="0"/>
          <w:sz w:val="24"/>
          <w:szCs w:val="24"/>
        </w:rPr>
        <w:t> </w:t>
      </w:r>
      <w:r w:rsidRPr="00BF1A4E">
        <w:rPr>
          <w:rFonts w:ascii="微软雅黑" w:eastAsia="微软雅黑" w:hAnsi="微软雅黑" w:cs="宋体" w:hint="eastAsia"/>
          <w:kern w:val="0"/>
          <w:sz w:val="24"/>
          <w:szCs w:val="24"/>
        </w:rPr>
        <w:t> </w:t>
      </w:r>
      <w:r w:rsidRPr="00BF1A4E">
        <w:rPr>
          <w:rFonts w:ascii="微软雅黑" w:eastAsia="微软雅黑" w:hAnsi="微软雅黑" w:cs="宋体"/>
          <w:i/>
          <w:iCs/>
          <w:kern w:val="0"/>
          <w:sz w:val="24"/>
          <w:szCs w:val="24"/>
        </w:rPr>
        <w:t>g</w:t>
      </w:r>
      <w:r w:rsidRPr="00BF1A4E">
        <w:rPr>
          <w:rFonts w:ascii="微软雅黑" w:eastAsia="微软雅黑" w:hAnsi="微软雅黑" w:cs="宋体"/>
          <w:kern w:val="0"/>
          <w:sz w:val="24"/>
          <w:szCs w:val="24"/>
        </w:rPr>
        <w:t xml:space="preserve">离心20分钟。离心后，溶液发生分相。将下层收集到干净的玻璃管中，并用1.8 ml DCM对上层进行再次萃取。合并下层溶液，并在氮气流下干燥。将残余物用 300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 xml:space="preserve"> 二氯甲烷：甲醇 (1:1) 和 10 mM 乙酸</w:t>
      </w:r>
      <w:proofErr w:type="gramStart"/>
      <w:r w:rsidRPr="00BF1A4E">
        <w:rPr>
          <w:rFonts w:ascii="微软雅黑" w:eastAsia="微软雅黑" w:hAnsi="微软雅黑" w:cs="宋体"/>
          <w:kern w:val="0"/>
          <w:sz w:val="24"/>
          <w:szCs w:val="24"/>
        </w:rPr>
        <w:t>铵</w:t>
      </w:r>
      <w:proofErr w:type="gramEnd"/>
      <w:r w:rsidRPr="00BF1A4E">
        <w:rPr>
          <w:rFonts w:ascii="微软雅黑" w:eastAsia="微软雅黑" w:hAnsi="微软雅黑" w:cs="宋体"/>
          <w:kern w:val="0"/>
          <w:sz w:val="24"/>
          <w:szCs w:val="24"/>
        </w:rPr>
        <w:t xml:space="preserve">溶液复溶，用于 </w:t>
      </w:r>
      <w:proofErr w:type="spellStart"/>
      <w:r w:rsidRPr="00BF1A4E">
        <w:rPr>
          <w:rFonts w:ascii="微软雅黑" w:eastAsia="微软雅黑" w:hAnsi="微软雅黑" w:cs="宋体"/>
          <w:kern w:val="0"/>
          <w:sz w:val="24"/>
          <w:szCs w:val="24"/>
        </w:rPr>
        <w:t>Lipidyzer</w:t>
      </w:r>
      <w:proofErr w:type="spellEnd"/>
      <w:r w:rsidRPr="00BF1A4E">
        <w:rPr>
          <w:rFonts w:ascii="微软雅黑" w:eastAsia="微软雅黑" w:hAnsi="微软雅黑" w:cs="宋体"/>
          <w:kern w:val="0"/>
          <w:sz w:val="24"/>
          <w:szCs w:val="24"/>
        </w:rPr>
        <w:t xml:space="preserve">™ 平台直接进样分析 [参考文献：Zhijun Cao, Thomas C. Schmitt, Vijayalakshmi Varma 等. Evaluation of the Performance of </w:t>
      </w:r>
      <w:proofErr w:type="spellStart"/>
      <w:r w:rsidRPr="00BF1A4E">
        <w:rPr>
          <w:rFonts w:ascii="微软雅黑" w:eastAsia="微软雅黑" w:hAnsi="微软雅黑" w:cs="宋体"/>
          <w:kern w:val="0"/>
          <w:sz w:val="24"/>
          <w:szCs w:val="24"/>
        </w:rPr>
        <w:t>Lipidyzer</w:t>
      </w:r>
      <w:proofErr w:type="spellEnd"/>
      <w:r w:rsidRPr="00BF1A4E">
        <w:rPr>
          <w:rFonts w:ascii="微软雅黑" w:eastAsia="微软雅黑" w:hAnsi="微软雅黑" w:cs="宋体"/>
          <w:kern w:val="0"/>
          <w:sz w:val="24"/>
          <w:szCs w:val="24"/>
        </w:rPr>
        <w:t xml:space="preserve"> Platform and Its </w:t>
      </w:r>
      <w:r w:rsidRPr="00BF1A4E">
        <w:rPr>
          <w:rFonts w:ascii="微软雅黑" w:eastAsia="微软雅黑" w:hAnsi="微软雅黑" w:cs="宋体"/>
          <w:kern w:val="0"/>
          <w:sz w:val="24"/>
          <w:szCs w:val="24"/>
        </w:rPr>
        <w:lastRenderedPageBreak/>
        <w:t xml:space="preserve">Application in the </w:t>
      </w:r>
      <w:proofErr w:type="spellStart"/>
      <w:r w:rsidRPr="00BF1A4E">
        <w:rPr>
          <w:rFonts w:ascii="微软雅黑" w:eastAsia="微软雅黑" w:hAnsi="微软雅黑" w:cs="宋体"/>
          <w:kern w:val="0"/>
          <w:sz w:val="24"/>
          <w:szCs w:val="24"/>
        </w:rPr>
        <w:t>Lipidomics</w:t>
      </w:r>
      <w:proofErr w:type="spellEnd"/>
      <w:r w:rsidRPr="00BF1A4E">
        <w:rPr>
          <w:rFonts w:ascii="微软雅黑" w:eastAsia="微软雅黑" w:hAnsi="微软雅黑" w:cs="宋体"/>
          <w:kern w:val="0"/>
          <w:sz w:val="24"/>
          <w:szCs w:val="24"/>
        </w:rPr>
        <w:t xml:space="preserve"> Analysis in Mouse Heart and Liver; J. Proteome Res. 2020, 19, 7, 2742–2749]，在 AB </w:t>
      </w:r>
      <w:proofErr w:type="spellStart"/>
      <w:r w:rsidRPr="00BF1A4E">
        <w:rPr>
          <w:rFonts w:ascii="微软雅黑" w:eastAsia="微软雅黑" w:hAnsi="微软雅黑" w:cs="宋体"/>
          <w:kern w:val="0"/>
          <w:sz w:val="24"/>
          <w:szCs w:val="24"/>
        </w:rPr>
        <w:t>Sciex</w:t>
      </w:r>
      <w:proofErr w:type="spellEnd"/>
      <w:r w:rsidRPr="00BF1A4E">
        <w:rPr>
          <w:rFonts w:ascii="微软雅黑" w:eastAsia="微软雅黑" w:hAnsi="微软雅黑" w:cs="宋体"/>
          <w:kern w:val="0"/>
          <w:sz w:val="24"/>
          <w:szCs w:val="24"/>
        </w:rPr>
        <w:t xml:space="preserve"> 6500 + LC-MS/MS 上进行分析。流速设置为 7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/min。</w:t>
      </w:r>
      <w:proofErr w:type="gramStart"/>
      <w:r w:rsidRPr="00BF1A4E">
        <w:rPr>
          <w:rFonts w:ascii="微软雅黑" w:eastAsia="微软雅黑" w:hAnsi="微软雅黑" w:cs="宋体"/>
          <w:kern w:val="0"/>
          <w:sz w:val="24"/>
          <w:szCs w:val="24"/>
        </w:rPr>
        <w:t>进样量为</w:t>
      </w:r>
      <w:proofErr w:type="gramEnd"/>
      <w:r w:rsidRPr="00BF1A4E">
        <w:rPr>
          <w:rFonts w:ascii="微软雅黑" w:eastAsia="微软雅黑" w:hAnsi="微软雅黑" w:cs="宋体"/>
          <w:kern w:val="0"/>
          <w:sz w:val="24"/>
          <w:szCs w:val="24"/>
        </w:rPr>
        <w:t xml:space="preserve"> 50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。自动进样器温度保持在 15 °C。缓冲液 A 和 B 与</w:t>
      </w:r>
      <w:proofErr w:type="gramStart"/>
      <w:r w:rsidRPr="00BF1A4E">
        <w:rPr>
          <w:rFonts w:ascii="微软雅黑" w:eastAsia="微软雅黑" w:hAnsi="微软雅黑" w:cs="宋体"/>
          <w:kern w:val="0"/>
          <w:sz w:val="24"/>
          <w:szCs w:val="24"/>
        </w:rPr>
        <w:t>复溶缓冲液相同</w:t>
      </w:r>
      <w:proofErr w:type="gramEnd"/>
      <w:r w:rsidRPr="00BF1A4E">
        <w:rPr>
          <w:rFonts w:ascii="微软雅黑" w:eastAsia="微软雅黑" w:hAnsi="微软雅黑" w:cs="宋体"/>
          <w:kern w:val="0"/>
          <w:sz w:val="24"/>
          <w:szCs w:val="24"/>
        </w:rPr>
        <w:t xml:space="preserve"> [二氯甲烷：甲醇 (1:1)，10 mM 乙酸铵]。脂质浓度由 </w:t>
      </w:r>
      <w:proofErr w:type="spellStart"/>
      <w:r w:rsidRPr="00BF1A4E">
        <w:rPr>
          <w:rFonts w:ascii="微软雅黑" w:eastAsia="微软雅黑" w:hAnsi="微软雅黑" w:cs="宋体"/>
          <w:kern w:val="0"/>
          <w:sz w:val="24"/>
          <w:szCs w:val="24"/>
        </w:rPr>
        <w:t>Lipidyzer</w:t>
      </w:r>
      <w:proofErr w:type="spellEnd"/>
      <w:r w:rsidRPr="00BF1A4E">
        <w:rPr>
          <w:rFonts w:ascii="微软雅黑" w:eastAsia="微软雅黑" w:hAnsi="微软雅黑" w:cs="宋体"/>
          <w:kern w:val="0"/>
          <w:sz w:val="24"/>
          <w:szCs w:val="24"/>
        </w:rPr>
        <w:t>™ 平台根据已知浓度的添加内标物计算得出。</w:t>
      </w:r>
      <w:proofErr w:type="gramStart"/>
      <w:r w:rsidRPr="00BF1A4E">
        <w:rPr>
          <w:rFonts w:ascii="微软雅黑" w:eastAsia="微软雅黑" w:hAnsi="微软雅黑" w:cs="宋体"/>
          <w:kern w:val="0"/>
          <w:sz w:val="24"/>
          <w:szCs w:val="24"/>
        </w:rPr>
        <w:t>热图使用</w:t>
      </w:r>
      <w:proofErr w:type="gramEnd"/>
      <w:r w:rsidRPr="00BF1A4E">
        <w:rPr>
          <w:rFonts w:ascii="微软雅黑" w:eastAsia="微软雅黑" w:hAnsi="微软雅黑" w:cs="宋体"/>
          <w:kern w:val="0"/>
          <w:sz w:val="24"/>
          <w:szCs w:val="24"/>
        </w:rPr>
        <w:t xml:space="preserve"> R 语言生成。</w:t>
      </w:r>
    </w:p>
    <w:p w14:paraId="011F353C"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siRNA</w:t>
      </w:r>
      <w:proofErr w:type="gramStart"/>
      <w:r w:rsidRPr="00BF1A4E">
        <w:rPr>
          <w:rFonts w:ascii="微软雅黑" w:eastAsia="微软雅黑" w:hAnsi="微软雅黑" w:cs="宋体"/>
          <w:kern w:val="0"/>
          <w:sz w:val="32"/>
          <w:szCs w:val="32"/>
        </w:rPr>
        <w:t>转染敲低实验</w:t>
      </w:r>
      <w:proofErr w:type="gramEnd"/>
    </w:p>
    <w:p w14:paraId="2549DE1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使用</w:t>
      </w:r>
      <w:proofErr w:type="gramStart"/>
      <w:r w:rsidRPr="00BF1A4E">
        <w:rPr>
          <w:rFonts w:ascii="微软雅黑" w:eastAsia="微软雅黑" w:hAnsi="微软雅黑" w:cs="宋体"/>
          <w:kern w:val="0"/>
          <w:sz w:val="24"/>
          <w:szCs w:val="24"/>
        </w:rPr>
        <w:t>非靶向</w:t>
      </w:r>
      <w:proofErr w:type="gramEnd"/>
      <w:r w:rsidRPr="00BF1A4E">
        <w:rPr>
          <w:rFonts w:ascii="微软雅黑" w:eastAsia="微软雅黑" w:hAnsi="微软雅黑" w:cs="宋体"/>
          <w:kern w:val="0"/>
          <w:sz w:val="24"/>
          <w:szCs w:val="24"/>
        </w:rPr>
        <w:t>对照 siRNA (</w:t>
      </w:r>
      <w:proofErr w:type="spellStart"/>
      <w:r w:rsidRPr="00BF1A4E">
        <w:rPr>
          <w:rFonts w:ascii="微软雅黑" w:eastAsia="微软雅黑" w:hAnsi="微软雅黑" w:cs="宋体"/>
          <w:kern w:val="0"/>
          <w:sz w:val="24"/>
          <w:szCs w:val="24"/>
        </w:rPr>
        <w:t>siCON</w:t>
      </w:r>
      <w:proofErr w:type="spellEnd"/>
      <w:r w:rsidRPr="00BF1A4E">
        <w:rPr>
          <w:rFonts w:ascii="微软雅黑" w:eastAsia="微软雅黑" w:hAnsi="微软雅黑" w:cs="宋体"/>
          <w:kern w:val="0"/>
          <w:sz w:val="24"/>
          <w:szCs w:val="24"/>
        </w:rPr>
        <w:t xml:space="preserve">) 1 和 2，或针对 UBB（阳性对照，M-013382-01）、ATXN7L3 (M-023237-01)、AGPAT3 (M-008620-00)、FAR1 (M-014806-01) 和 ACSL4 (M-009364-00) 的特异性 </w:t>
      </w:r>
      <w:proofErr w:type="spellStart"/>
      <w:r w:rsidRPr="00BF1A4E">
        <w:rPr>
          <w:rFonts w:ascii="微软雅黑" w:eastAsia="微软雅黑" w:hAnsi="微软雅黑" w:cs="宋体"/>
          <w:kern w:val="0"/>
          <w:sz w:val="24"/>
          <w:szCs w:val="24"/>
        </w:rPr>
        <w:t>siGENOME</w:t>
      </w:r>
      <w:proofErr w:type="spellEnd"/>
      <w:r w:rsidRPr="00BF1A4E">
        <w:rPr>
          <w:rFonts w:ascii="微软雅黑" w:eastAsia="微软雅黑" w:hAnsi="微软雅黑" w:cs="宋体"/>
          <w:kern w:val="0"/>
          <w:sz w:val="24"/>
          <w:szCs w:val="24"/>
        </w:rPr>
        <w:t xml:space="preserve"> 人 </w:t>
      </w:r>
      <w:proofErr w:type="spellStart"/>
      <w:r w:rsidRPr="00BF1A4E">
        <w:rPr>
          <w:rFonts w:ascii="微软雅黑" w:eastAsia="微软雅黑" w:hAnsi="微软雅黑" w:cs="宋体"/>
          <w:kern w:val="0"/>
          <w:sz w:val="24"/>
          <w:szCs w:val="24"/>
        </w:rPr>
        <w:t>SMARTpools</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Dharmacon</w:t>
      </w:r>
      <w:proofErr w:type="spellEnd"/>
      <w:r w:rsidRPr="00BF1A4E">
        <w:rPr>
          <w:rFonts w:ascii="微软雅黑" w:eastAsia="微软雅黑" w:hAnsi="微软雅黑" w:cs="宋体"/>
          <w:kern w:val="0"/>
          <w:sz w:val="24"/>
          <w:szCs w:val="24"/>
        </w:rPr>
        <w:t xml:space="preserve">) 进行反向转染，转染浓度为 20 nmol/L，转染板为 384 孔板或 6 孔板。转染 48 小时后，收集细胞并进行克隆形成实验或细胞活力检测（每个样本重复三次）、BODIPY-FACS 检测或蛋白质印迹实验，并用指定药物处理细胞。所有细胞活力检测均使用 </w:t>
      </w:r>
      <w:proofErr w:type="spellStart"/>
      <w:r w:rsidRPr="00BF1A4E">
        <w:rPr>
          <w:rFonts w:ascii="微软雅黑" w:eastAsia="微软雅黑" w:hAnsi="微软雅黑" w:cs="宋体"/>
          <w:kern w:val="0"/>
          <w:sz w:val="24"/>
          <w:szCs w:val="24"/>
        </w:rPr>
        <w:t>CellTiter</w:t>
      </w:r>
      <w:proofErr w:type="spellEnd"/>
      <w:r w:rsidRPr="00BF1A4E">
        <w:rPr>
          <w:rFonts w:ascii="微软雅黑" w:eastAsia="微软雅黑" w:hAnsi="微软雅黑" w:cs="宋体"/>
          <w:kern w:val="0"/>
          <w:sz w:val="24"/>
          <w:szCs w:val="24"/>
        </w:rPr>
        <w:t>-Glo 发光试剂 (Promega) 进行。</w:t>
      </w:r>
    </w:p>
    <w:p w14:paraId="1DDAFBE5"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RNA制备、测序和数据分析</w:t>
      </w:r>
    </w:p>
    <w:p w14:paraId="74FE3AB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将MCF-7细胞用500 </w:t>
      </w:r>
      <w:proofErr w:type="spellStart"/>
      <w:r w:rsidRPr="00BF1A4E">
        <w:rPr>
          <w:rFonts w:ascii="微软雅黑" w:eastAsia="微软雅黑" w:hAnsi="微软雅黑" w:cs="宋体"/>
          <w:kern w:val="0"/>
          <w:sz w:val="24"/>
          <w:szCs w:val="24"/>
        </w:rPr>
        <w:t>nM</w:t>
      </w:r>
      <w:proofErr w:type="spellEnd"/>
      <w:r w:rsidRPr="00BF1A4E">
        <w:rPr>
          <w:rFonts w:ascii="微软雅黑" w:eastAsia="微软雅黑" w:hAnsi="微软雅黑" w:cs="宋体"/>
          <w:kern w:val="0"/>
          <w:sz w:val="24"/>
          <w:szCs w:val="24"/>
        </w:rPr>
        <w:t>帕博西尼或载体处理12天后进行RNA测序。使用RNeasy Mini试剂盒（Qiagen）按照制造商说明书从培养的癌细胞中提取总RNA。检测总RNA样品是否存在污染和降解。质</w:t>
      </w:r>
      <w:proofErr w:type="gramStart"/>
      <w:r w:rsidRPr="00BF1A4E">
        <w:rPr>
          <w:rFonts w:ascii="微软雅黑" w:eastAsia="微软雅黑" w:hAnsi="微软雅黑" w:cs="宋体"/>
          <w:kern w:val="0"/>
          <w:sz w:val="24"/>
          <w:szCs w:val="24"/>
        </w:rPr>
        <w:t>控完成</w:t>
      </w:r>
      <w:proofErr w:type="gramEnd"/>
      <w:r w:rsidRPr="00BF1A4E">
        <w:rPr>
          <w:rFonts w:ascii="微软雅黑" w:eastAsia="微软雅黑" w:hAnsi="微软雅黑" w:cs="宋体"/>
          <w:kern w:val="0"/>
          <w:sz w:val="24"/>
          <w:szCs w:val="24"/>
        </w:rPr>
        <w:t>后，使用</w:t>
      </w:r>
      <w:proofErr w:type="gramStart"/>
      <w:r w:rsidRPr="00BF1A4E">
        <w:rPr>
          <w:rFonts w:ascii="微软雅黑" w:eastAsia="微软雅黑" w:hAnsi="微软雅黑" w:cs="宋体"/>
          <w:kern w:val="0"/>
          <w:sz w:val="24"/>
          <w:szCs w:val="24"/>
        </w:rPr>
        <w:t>诺禾致源</w:t>
      </w:r>
      <w:proofErr w:type="gramEnd"/>
      <w:r w:rsidRPr="00BF1A4E">
        <w:rPr>
          <w:rFonts w:ascii="微软雅黑" w:eastAsia="微软雅黑" w:hAnsi="微软雅黑" w:cs="宋体"/>
          <w:kern w:val="0"/>
          <w:sz w:val="24"/>
          <w:szCs w:val="24"/>
        </w:rPr>
        <w:t>NGS RNA文库制备试剂盒（PT042）构建250-300 bp插入片段的cDNA文库。使用poly-T寡核苷酸磁珠从总RNA中纯化mRNA。片段化后，使用随机六聚体</w:t>
      </w:r>
      <w:r w:rsidRPr="00BF1A4E">
        <w:rPr>
          <w:rFonts w:ascii="微软雅黑" w:eastAsia="微软雅黑" w:hAnsi="微软雅黑" w:cs="宋体"/>
          <w:kern w:val="0"/>
          <w:sz w:val="24"/>
          <w:szCs w:val="24"/>
        </w:rPr>
        <w:lastRenderedPageBreak/>
        <w:t>引物合成第一链cDNA，随后合成第二链cDNA。文库经末端修复、A尾添加、接头连接、片段大小选择、扩增和纯化后即可构建。测序在</w:t>
      </w:r>
      <w:proofErr w:type="spellStart"/>
      <w:r w:rsidRPr="00BF1A4E">
        <w:rPr>
          <w:rFonts w:ascii="微软雅黑" w:eastAsia="微软雅黑" w:hAnsi="微软雅黑" w:cs="宋体"/>
          <w:kern w:val="0"/>
          <w:sz w:val="24"/>
          <w:szCs w:val="24"/>
        </w:rPr>
        <w:t>Novaseq</w:t>
      </w:r>
      <w:proofErr w:type="spellEnd"/>
      <w:r w:rsidRPr="00BF1A4E">
        <w:rPr>
          <w:rFonts w:ascii="微软雅黑" w:eastAsia="微软雅黑" w:hAnsi="微软雅黑" w:cs="宋体"/>
          <w:kern w:val="0"/>
          <w:sz w:val="24"/>
          <w:szCs w:val="24"/>
        </w:rPr>
        <w:t xml:space="preserve"> 6000测序仪和S4流动槽上进行，测序策略采用PE150测序策略。使用 </w:t>
      </w:r>
      <w:proofErr w:type="spellStart"/>
      <w:r w:rsidRPr="00BF1A4E">
        <w:rPr>
          <w:rFonts w:ascii="微软雅黑" w:eastAsia="微软雅黑" w:hAnsi="微软雅黑" w:cs="宋体"/>
          <w:kern w:val="0"/>
          <w:sz w:val="24"/>
          <w:szCs w:val="24"/>
        </w:rPr>
        <w:t>edgeR</w:t>
      </w:r>
      <w:proofErr w:type="spellEnd"/>
      <w:r w:rsidRPr="00BF1A4E">
        <w:rPr>
          <w:rFonts w:ascii="微软雅黑" w:eastAsia="微软雅黑" w:hAnsi="微软雅黑" w:cs="宋体"/>
          <w:kern w:val="0"/>
          <w:sz w:val="24"/>
          <w:szCs w:val="24"/>
        </w:rPr>
        <w:t xml:space="preserve"> v3.36.0 R 包</w:t>
      </w:r>
      <w:r w:rsidRPr="00BF1A4E">
        <w:rPr>
          <w:rFonts w:ascii="微软雅黑" w:eastAsia="微软雅黑" w:hAnsi="微软雅黑" w:cs="宋体"/>
          <w:kern w:val="0"/>
          <w:sz w:val="24"/>
          <w:szCs w:val="24"/>
          <w:u w:val="single"/>
          <w:vertAlign w:val="superscript"/>
        </w:rPr>
        <w:t>&lt;sup&gt; </w:t>
      </w:r>
      <w:hyperlink r:id="rId222" w:anchor="CR65" w:history="1">
        <w:r w:rsidRPr="00BF1A4E">
          <w:rPr>
            <w:rFonts w:ascii="微软雅黑" w:eastAsia="微软雅黑" w:hAnsi="微软雅黑" w:cs="宋体"/>
            <w:kern w:val="0"/>
            <w:sz w:val="24"/>
            <w:szCs w:val="24"/>
            <w:u w:val="single"/>
            <w:vertAlign w:val="superscript"/>
          </w:rPr>
          <w:t>65&lt;/sup&gt;</w:t>
        </w:r>
      </w:hyperlink>
      <w:r w:rsidRPr="00BF1A4E">
        <w:rPr>
          <w:rFonts w:ascii="微软雅黑" w:eastAsia="微软雅黑" w:hAnsi="微软雅黑" w:cs="宋体"/>
          <w:kern w:val="0"/>
          <w:sz w:val="24"/>
          <w:szCs w:val="24"/>
        </w:rPr>
        <w:t xml:space="preserve">进行差异表达分析。使用 </w:t>
      </w:r>
      <w:proofErr w:type="spellStart"/>
      <w:r w:rsidRPr="00BF1A4E">
        <w:rPr>
          <w:rFonts w:ascii="微软雅黑" w:eastAsia="微软雅黑" w:hAnsi="微软雅黑" w:cs="宋体"/>
          <w:kern w:val="0"/>
          <w:sz w:val="24"/>
          <w:szCs w:val="24"/>
        </w:rPr>
        <w:t>tximport</w:t>
      </w:r>
      <w:proofErr w:type="spellEnd"/>
      <w:r w:rsidRPr="00BF1A4E">
        <w:rPr>
          <w:rFonts w:ascii="微软雅黑" w:eastAsia="微软雅黑" w:hAnsi="微软雅黑" w:cs="宋体"/>
          <w:kern w:val="0"/>
          <w:sz w:val="24"/>
          <w:szCs w:val="24"/>
        </w:rPr>
        <w:t xml:space="preserve"> v1.22.0 包</w:t>
      </w:r>
      <w:r w:rsidRPr="00BF1A4E">
        <w:rPr>
          <w:rFonts w:ascii="微软雅黑" w:eastAsia="微软雅黑" w:hAnsi="微软雅黑" w:cs="宋体"/>
          <w:kern w:val="0"/>
          <w:sz w:val="24"/>
          <w:szCs w:val="24"/>
          <w:u w:val="single"/>
          <w:vertAlign w:val="superscript"/>
        </w:rPr>
        <w:t>&lt;sup&gt;</w:t>
      </w:r>
      <w:r w:rsidRPr="00BF1A4E">
        <w:rPr>
          <w:rFonts w:ascii="微软雅黑" w:eastAsia="微软雅黑" w:hAnsi="微软雅黑" w:cs="宋体"/>
          <w:kern w:val="0"/>
          <w:sz w:val="24"/>
          <w:szCs w:val="24"/>
        </w:rPr>
        <w:t> </w:t>
      </w:r>
      <w:hyperlink r:id="rId223" w:anchor="CR66" w:history="1">
        <w:r w:rsidRPr="00BF1A4E">
          <w:rPr>
            <w:rFonts w:ascii="微软雅黑" w:eastAsia="微软雅黑" w:hAnsi="微软雅黑" w:cs="宋体"/>
            <w:kern w:val="0"/>
            <w:sz w:val="24"/>
            <w:szCs w:val="24"/>
            <w:u w:val="single"/>
            <w:vertAlign w:val="superscript"/>
          </w:rPr>
          <w:t>66&lt;/sup&gt;</w:t>
        </w:r>
      </w:hyperlink>
      <w:r w:rsidRPr="00BF1A4E">
        <w:rPr>
          <w:rFonts w:ascii="微软雅黑" w:eastAsia="微软雅黑" w:hAnsi="微软雅黑" w:cs="宋体"/>
          <w:kern w:val="0"/>
          <w:sz w:val="24"/>
          <w:szCs w:val="24"/>
        </w:rPr>
        <w:t xml:space="preserve">将转录本与基因关联起来。获取标准化计数，并根据标准化计数计算文库大小，以消除样本间的组成偏差。将有效文库大小与长度因子结合，计算一般线性模型的偏移量。使用 </w:t>
      </w:r>
      <w:proofErr w:type="spellStart"/>
      <w:r w:rsidRPr="00BF1A4E">
        <w:rPr>
          <w:rFonts w:ascii="微软雅黑" w:eastAsia="微软雅黑" w:hAnsi="微软雅黑" w:cs="宋体"/>
          <w:kern w:val="0"/>
          <w:sz w:val="24"/>
          <w:szCs w:val="24"/>
        </w:rPr>
        <w:t>min.count</w:t>
      </w:r>
      <w:proofErr w:type="spellEnd"/>
      <w:r w:rsidRPr="00BF1A4E">
        <w:rPr>
          <w:rFonts w:ascii="微软雅黑" w:eastAsia="微软雅黑" w:hAnsi="微软雅黑" w:cs="宋体"/>
          <w:kern w:val="0"/>
          <w:sz w:val="24"/>
          <w:szCs w:val="24"/>
        </w:rPr>
        <w:t xml:space="preserve"> = 100 和 </w:t>
      </w:r>
      <w:proofErr w:type="spellStart"/>
      <w:r w:rsidRPr="00BF1A4E">
        <w:rPr>
          <w:rFonts w:ascii="微软雅黑" w:eastAsia="微软雅黑" w:hAnsi="微软雅黑" w:cs="宋体"/>
          <w:kern w:val="0"/>
          <w:sz w:val="24"/>
          <w:szCs w:val="24"/>
        </w:rPr>
        <w:t>min.total.count</w:t>
      </w:r>
      <w:proofErr w:type="spellEnd"/>
      <w:r w:rsidRPr="00BF1A4E">
        <w:rPr>
          <w:rFonts w:ascii="微软雅黑" w:eastAsia="微软雅黑" w:hAnsi="微软雅黑" w:cs="宋体"/>
          <w:kern w:val="0"/>
          <w:sz w:val="24"/>
          <w:szCs w:val="24"/>
        </w:rPr>
        <w:t xml:space="preserve"> = 300（中等严格性集）以及 </w:t>
      </w:r>
      <w:proofErr w:type="spellStart"/>
      <w:r w:rsidRPr="00BF1A4E">
        <w:rPr>
          <w:rFonts w:ascii="微软雅黑" w:eastAsia="微软雅黑" w:hAnsi="微软雅黑" w:cs="宋体"/>
          <w:kern w:val="0"/>
          <w:sz w:val="24"/>
          <w:szCs w:val="24"/>
        </w:rPr>
        <w:t>min.count</w:t>
      </w:r>
      <w:proofErr w:type="spellEnd"/>
      <w:r w:rsidRPr="00BF1A4E">
        <w:rPr>
          <w:rFonts w:ascii="微软雅黑" w:eastAsia="微软雅黑" w:hAnsi="微软雅黑" w:cs="宋体"/>
          <w:kern w:val="0"/>
          <w:sz w:val="24"/>
          <w:szCs w:val="24"/>
        </w:rPr>
        <w:t xml:space="preserve"> = 150（低严格性集）对样本进行过滤，以</w:t>
      </w:r>
      <w:proofErr w:type="gramStart"/>
      <w:r w:rsidRPr="00BF1A4E">
        <w:rPr>
          <w:rFonts w:ascii="微软雅黑" w:eastAsia="微软雅黑" w:hAnsi="微软雅黑" w:cs="宋体"/>
          <w:kern w:val="0"/>
          <w:sz w:val="24"/>
          <w:szCs w:val="24"/>
        </w:rPr>
        <w:t>去除低</w:t>
      </w:r>
      <w:proofErr w:type="gramEnd"/>
      <w:r w:rsidRPr="00BF1A4E">
        <w:rPr>
          <w:rFonts w:ascii="微软雅黑" w:eastAsia="微软雅黑" w:hAnsi="微软雅黑" w:cs="宋体"/>
          <w:kern w:val="0"/>
          <w:sz w:val="24"/>
          <w:szCs w:val="24"/>
        </w:rPr>
        <w:t xml:space="preserve">表达基因。使用 </w:t>
      </w:r>
      <w:proofErr w:type="spellStart"/>
      <w:r w:rsidRPr="00BF1A4E">
        <w:rPr>
          <w:rFonts w:ascii="微软雅黑" w:eastAsia="微软雅黑" w:hAnsi="微软雅黑" w:cs="宋体"/>
          <w:kern w:val="0"/>
          <w:sz w:val="24"/>
          <w:szCs w:val="24"/>
        </w:rPr>
        <w:t>calcNormFactors</w:t>
      </w:r>
      <w:proofErr w:type="spellEnd"/>
      <w:r w:rsidRPr="00BF1A4E">
        <w:rPr>
          <w:rFonts w:ascii="微软雅黑" w:eastAsia="微软雅黑" w:hAnsi="微软雅黑" w:cs="宋体"/>
          <w:kern w:val="0"/>
          <w:sz w:val="24"/>
          <w:szCs w:val="24"/>
        </w:rPr>
        <w:t xml:space="preserve"> 函数对过滤后的计数进行标准化。对于每个感兴趣的比较，使用 </w:t>
      </w:r>
      <w:proofErr w:type="spellStart"/>
      <w:r w:rsidRPr="00BF1A4E">
        <w:rPr>
          <w:rFonts w:ascii="微软雅黑" w:eastAsia="微软雅黑" w:hAnsi="微软雅黑" w:cs="宋体"/>
          <w:kern w:val="0"/>
          <w:sz w:val="24"/>
          <w:szCs w:val="24"/>
        </w:rPr>
        <w:t>glmTreat</w:t>
      </w:r>
      <w:proofErr w:type="spellEnd"/>
      <w:r w:rsidRPr="00BF1A4E">
        <w:rPr>
          <w:rFonts w:ascii="微软雅黑" w:eastAsia="微软雅黑" w:hAnsi="微软雅黑" w:cs="宋体"/>
          <w:kern w:val="0"/>
          <w:sz w:val="24"/>
          <w:szCs w:val="24"/>
        </w:rPr>
        <w:t xml:space="preserve"> 函数，以 log2 倍数变化 &gt;= 1 和</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 xml:space="preserve">值 &lt;= 0.05 为阈值来识别差异表达基因。使用 </w:t>
      </w:r>
      <w:proofErr w:type="spellStart"/>
      <w:r w:rsidRPr="00BF1A4E">
        <w:rPr>
          <w:rFonts w:ascii="微软雅黑" w:eastAsia="微软雅黑" w:hAnsi="微软雅黑" w:cs="宋体"/>
          <w:kern w:val="0"/>
          <w:sz w:val="24"/>
          <w:szCs w:val="24"/>
        </w:rPr>
        <w:t>AnnotationDbi</w:t>
      </w:r>
      <w:proofErr w:type="spellEnd"/>
      <w:r w:rsidRPr="00BF1A4E">
        <w:rPr>
          <w:rFonts w:ascii="微软雅黑" w:eastAsia="微软雅黑" w:hAnsi="微软雅黑" w:cs="宋体"/>
          <w:kern w:val="0"/>
          <w:sz w:val="24"/>
          <w:szCs w:val="24"/>
        </w:rPr>
        <w:t xml:space="preserve"> v1.56.2 R 包获取每个转录本的基因名称、基因符号和 ENTREZID。使用 </w:t>
      </w:r>
      <w:proofErr w:type="spellStart"/>
      <w:r w:rsidRPr="00BF1A4E">
        <w:rPr>
          <w:rFonts w:ascii="微软雅黑" w:eastAsia="微软雅黑" w:hAnsi="微软雅黑" w:cs="宋体"/>
          <w:kern w:val="0"/>
          <w:sz w:val="24"/>
          <w:szCs w:val="24"/>
        </w:rPr>
        <w:t>fgsea</w:t>
      </w:r>
      <w:proofErr w:type="spellEnd"/>
      <w:r w:rsidRPr="00BF1A4E">
        <w:rPr>
          <w:rFonts w:ascii="微软雅黑" w:eastAsia="微软雅黑" w:hAnsi="微软雅黑" w:cs="宋体"/>
          <w:kern w:val="0"/>
          <w:sz w:val="24"/>
          <w:szCs w:val="24"/>
        </w:rPr>
        <w:t xml:space="preserve"> v1.20.0 对未过滤的基因列表进行基因集富集分析，并使用 </w:t>
      </w:r>
      <w:proofErr w:type="spellStart"/>
      <w:r w:rsidRPr="00BF1A4E">
        <w:rPr>
          <w:rFonts w:ascii="微软雅黑" w:eastAsia="微软雅黑" w:hAnsi="微软雅黑" w:cs="宋体"/>
          <w:kern w:val="0"/>
          <w:sz w:val="24"/>
          <w:szCs w:val="24"/>
        </w:rPr>
        <w:t>enrichR</w:t>
      </w:r>
      <w:proofErr w:type="spellEnd"/>
      <w:r w:rsidRPr="00BF1A4E">
        <w:rPr>
          <w:rFonts w:ascii="微软雅黑" w:eastAsia="微软雅黑" w:hAnsi="微软雅黑" w:cs="宋体"/>
          <w:kern w:val="0"/>
          <w:sz w:val="24"/>
          <w:szCs w:val="24"/>
        </w:rPr>
        <w:t xml:space="preserve"> v3.1 对差异表达基因进行基因集富集分析，以识别感兴趣的通路</w:t>
      </w:r>
      <w:r w:rsidRPr="00BF1A4E">
        <w:rPr>
          <w:rFonts w:ascii="微软雅黑" w:eastAsia="微软雅黑" w:hAnsi="微软雅黑" w:cs="宋体"/>
          <w:kern w:val="0"/>
          <w:sz w:val="24"/>
          <w:szCs w:val="24"/>
          <w:vertAlign w:val="superscript"/>
        </w:rPr>
        <w:fldChar w:fldCharType="begin"/>
      </w:r>
      <w:r w:rsidRPr="00BF1A4E">
        <w:rPr>
          <w:rFonts w:ascii="微软雅黑" w:eastAsia="微软雅黑" w:hAnsi="微软雅黑" w:cs="宋体"/>
          <w:kern w:val="0"/>
          <w:sz w:val="24"/>
          <w:szCs w:val="24"/>
          <w:vertAlign w:val="superscript"/>
        </w:rPr>
        <w:instrText xml:space="preserve"> HYPERLINK "https://pmc.ncbi.nlm.nih.gov/articles/PMC11538343/" \l "CR67" </w:instrText>
      </w:r>
      <w:r w:rsidRPr="00BF1A4E">
        <w:rPr>
          <w:rFonts w:ascii="微软雅黑" w:eastAsia="微软雅黑" w:hAnsi="微软雅黑" w:cs="宋体"/>
          <w:kern w:val="0"/>
          <w:sz w:val="24"/>
          <w:szCs w:val="24"/>
          <w:vertAlign w:val="superscript"/>
        </w:rPr>
        <w:fldChar w:fldCharType="separate"/>
      </w:r>
      <w:r w:rsidRPr="00BF1A4E">
        <w:rPr>
          <w:rFonts w:ascii="微软雅黑" w:eastAsia="微软雅黑" w:hAnsi="微软雅黑" w:cs="宋体"/>
          <w:kern w:val="0"/>
          <w:sz w:val="24"/>
          <w:szCs w:val="24"/>
          <w:u w:val="single"/>
          <w:vertAlign w:val="superscript"/>
        </w:rPr>
        <w:t>。</w:t>
      </w:r>
      <w:r w:rsidRPr="00BF1A4E">
        <w:rPr>
          <w:rFonts w:ascii="微软雅黑" w:eastAsia="微软雅黑" w:hAnsi="微软雅黑" w:cs="宋体"/>
          <w:kern w:val="0"/>
          <w:sz w:val="24"/>
          <w:szCs w:val="24"/>
          <w:vertAlign w:val="superscript"/>
        </w:rPr>
        <w:fldChar w:fldCharType="end"/>
      </w:r>
      <w:r w:rsidRPr="00BF1A4E">
        <w:rPr>
          <w:rFonts w:ascii="微软雅黑" w:eastAsia="微软雅黑" w:hAnsi="微软雅黑" w:cs="宋体"/>
          <w:kern w:val="0"/>
          <w:sz w:val="24"/>
          <w:szCs w:val="24"/>
        </w:rPr>
        <w:t xml:space="preserve">差异表达基因的阈值设定为 log2 倍数变化 &gt;= 1.5，p 值 &lt;= 0.05。文中展示了使用 </w:t>
      </w:r>
      <w:proofErr w:type="spellStart"/>
      <w:r w:rsidRPr="00BF1A4E">
        <w:rPr>
          <w:rFonts w:ascii="微软雅黑" w:eastAsia="微软雅黑" w:hAnsi="微软雅黑" w:cs="宋体"/>
          <w:kern w:val="0"/>
          <w:sz w:val="24"/>
          <w:szCs w:val="24"/>
        </w:rPr>
        <w:t>enrichR</w:t>
      </w:r>
      <w:proofErr w:type="spellEnd"/>
      <w:r w:rsidRPr="00BF1A4E">
        <w:rPr>
          <w:rFonts w:ascii="微软雅黑" w:eastAsia="微软雅黑" w:hAnsi="微软雅黑" w:cs="宋体"/>
          <w:kern w:val="0"/>
          <w:sz w:val="24"/>
          <w:szCs w:val="24"/>
        </w:rPr>
        <w:t xml:space="preserve"> v3.1 获得的 GO 条目及其 p 值。进一步分析了与“脂质代谢”和“生物氧化”相关的基因，并使用 STRING 数据库构建了相应的网络。网络构建采用中等置信度阈值，连接节点的最小交互作用得分要求为 0.4。网络图中排除了</w:t>
      </w:r>
      <w:proofErr w:type="gramStart"/>
      <w:r w:rsidRPr="00BF1A4E">
        <w:rPr>
          <w:rFonts w:ascii="微软雅黑" w:eastAsia="微软雅黑" w:hAnsi="微软雅黑" w:cs="宋体"/>
          <w:kern w:val="0"/>
          <w:sz w:val="24"/>
          <w:szCs w:val="24"/>
        </w:rPr>
        <w:t>单个未</w:t>
      </w:r>
      <w:proofErr w:type="gramEnd"/>
      <w:r w:rsidRPr="00BF1A4E">
        <w:rPr>
          <w:rFonts w:ascii="微软雅黑" w:eastAsia="微软雅黑" w:hAnsi="微软雅黑" w:cs="宋体"/>
          <w:kern w:val="0"/>
          <w:sz w:val="24"/>
          <w:szCs w:val="24"/>
        </w:rPr>
        <w:t>连接的节点。</w:t>
      </w:r>
    </w:p>
    <w:p w14:paraId="58209C92"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质谱和数据分析</w:t>
      </w:r>
    </w:p>
    <w:p w14:paraId="762373EA"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将MCF7或T47D细胞接种于T25培养瓶中，并用载体或1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帕博西尼处理7天。每72小时更换一次培养基和药物。用PBS缓冲液冲洗细胞，收集细胞，</w:t>
      </w:r>
      <w:r w:rsidRPr="00BF1A4E">
        <w:rPr>
          <w:rFonts w:ascii="微软雅黑" w:eastAsia="微软雅黑" w:hAnsi="微软雅黑" w:cs="宋体"/>
          <w:kern w:val="0"/>
          <w:sz w:val="24"/>
          <w:szCs w:val="24"/>
        </w:rPr>
        <w:lastRenderedPageBreak/>
        <w:t>并用PBS缓冲液洗涤两次。将细胞沉淀物冻存于</w:t>
      </w:r>
      <w:r w:rsidRPr="00BF1A4E">
        <w:rPr>
          <w:rFonts w:ascii="微软雅黑" w:eastAsia="微软雅黑" w:hAnsi="微软雅黑" w:cs="微软雅黑" w:hint="eastAsia"/>
          <w:kern w:val="0"/>
          <w:sz w:val="24"/>
          <w:szCs w:val="24"/>
        </w:rPr>
        <w:t>−</w:t>
      </w:r>
      <w:r w:rsidRPr="00BF1A4E">
        <w:rPr>
          <w:rFonts w:ascii="微软雅黑" w:eastAsia="微软雅黑" w:hAnsi="微软雅黑" w:cs="宋体"/>
          <w:kern w:val="0"/>
          <w:sz w:val="24"/>
          <w:szCs w:val="24"/>
        </w:rPr>
        <w:t xml:space="preserve">80 °C，用于后续蛋白质组学分析。对于样品制备和TMT标记，将细胞沉淀物溶解于150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裂解缓冲液中，该缓冲液包含1%脱氧胆酸钠（SDC）、100 mM</w:t>
      </w:r>
      <w:proofErr w:type="gramStart"/>
      <w:r w:rsidRPr="00BF1A4E">
        <w:rPr>
          <w:rFonts w:ascii="微软雅黑" w:eastAsia="微软雅黑" w:hAnsi="微软雅黑" w:cs="宋体"/>
          <w:kern w:val="0"/>
          <w:sz w:val="24"/>
          <w:szCs w:val="24"/>
        </w:rPr>
        <w:t>碳酸氢三乙胺</w:t>
      </w:r>
      <w:proofErr w:type="gramEnd"/>
      <w:r w:rsidRPr="00BF1A4E">
        <w:rPr>
          <w:rFonts w:ascii="微软雅黑" w:eastAsia="微软雅黑" w:hAnsi="微软雅黑" w:cs="宋体"/>
          <w:kern w:val="0"/>
          <w:sz w:val="24"/>
          <w:szCs w:val="24"/>
        </w:rPr>
        <w:t xml:space="preserve">（TEAB）、10%异丙醇、50 mM氯化钠和Halt蛋白酶和磷酸酶抑制剂混合物（100X）（Thermo，#78442）。在冰上进行脉冲探头超声处理15秒，然后在90 °C下煮沸5分钟，最后再次超声处理5秒。蛋白质浓度采用考马斯亮蓝+Bradford蛋白测定试剂盒（Pierce公司）测定，操作步骤按照制造商说明进行。取60 </w:t>
      </w:r>
      <w:proofErr w:type="spellStart"/>
      <w:r w:rsidRPr="00BF1A4E">
        <w:rPr>
          <w:rFonts w:ascii="微软雅黑" w:eastAsia="微软雅黑" w:hAnsi="微软雅黑" w:cs="宋体"/>
          <w:kern w:val="0"/>
          <w:sz w:val="24"/>
          <w:szCs w:val="24"/>
        </w:rPr>
        <w:t>μg</w:t>
      </w:r>
      <w:proofErr w:type="spellEnd"/>
      <w:r w:rsidRPr="00BF1A4E">
        <w:rPr>
          <w:rFonts w:ascii="微软雅黑" w:eastAsia="微软雅黑" w:hAnsi="微软雅黑" w:cs="宋体"/>
          <w:kern w:val="0"/>
          <w:sz w:val="24"/>
          <w:szCs w:val="24"/>
        </w:rPr>
        <w:t>蛋白质样品，加入5 mM三(2-</w:t>
      </w:r>
      <w:proofErr w:type="gramStart"/>
      <w:r w:rsidRPr="00BF1A4E">
        <w:rPr>
          <w:rFonts w:ascii="微软雅黑" w:eastAsia="微软雅黑" w:hAnsi="微软雅黑" w:cs="宋体"/>
          <w:kern w:val="0"/>
          <w:sz w:val="24"/>
          <w:szCs w:val="24"/>
        </w:rPr>
        <w:t>羧乙基</w:t>
      </w:r>
      <w:proofErr w:type="gramEnd"/>
      <w:r w:rsidRPr="00BF1A4E">
        <w:rPr>
          <w:rFonts w:ascii="微软雅黑" w:eastAsia="微软雅黑" w:hAnsi="微软雅黑" w:cs="宋体"/>
          <w:kern w:val="0"/>
          <w:sz w:val="24"/>
          <w:szCs w:val="24"/>
        </w:rPr>
        <w:t>)</w:t>
      </w:r>
      <w:proofErr w:type="gramStart"/>
      <w:r w:rsidRPr="00BF1A4E">
        <w:rPr>
          <w:rFonts w:ascii="微软雅黑" w:eastAsia="微软雅黑" w:hAnsi="微软雅黑" w:cs="宋体"/>
          <w:kern w:val="0"/>
          <w:sz w:val="24"/>
          <w:szCs w:val="24"/>
        </w:rPr>
        <w:t>膦</w:t>
      </w:r>
      <w:proofErr w:type="gramEnd"/>
      <w:r w:rsidRPr="00BF1A4E">
        <w:rPr>
          <w:rFonts w:ascii="微软雅黑" w:eastAsia="微软雅黑" w:hAnsi="微软雅黑" w:cs="宋体"/>
          <w:kern w:val="0"/>
          <w:sz w:val="24"/>
          <w:szCs w:val="24"/>
        </w:rPr>
        <w:t>（TCEP），于60 °C还原1小时，然后在黑暗条件下用10 mM</w:t>
      </w:r>
      <w:proofErr w:type="gramStart"/>
      <w:r w:rsidRPr="00BF1A4E">
        <w:rPr>
          <w:rFonts w:ascii="微软雅黑" w:eastAsia="微软雅黑" w:hAnsi="微软雅黑" w:cs="宋体"/>
          <w:kern w:val="0"/>
          <w:sz w:val="24"/>
          <w:szCs w:val="24"/>
        </w:rPr>
        <w:t>碘乙酰胺</w:t>
      </w:r>
      <w:proofErr w:type="gramEnd"/>
      <w:r w:rsidRPr="00BF1A4E">
        <w:rPr>
          <w:rFonts w:ascii="微软雅黑" w:eastAsia="微软雅黑" w:hAnsi="微软雅黑" w:cs="宋体"/>
          <w:kern w:val="0"/>
          <w:sz w:val="24"/>
          <w:szCs w:val="24"/>
        </w:rPr>
        <w:t>（IAA）烷基化30分钟。蛋白质用胰蛋白酶（Pierce公司）以75 ng/</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的浓度消化过夜。肽段用</w:t>
      </w:r>
      <w:proofErr w:type="spellStart"/>
      <w:r w:rsidRPr="00BF1A4E">
        <w:rPr>
          <w:rFonts w:ascii="微软雅黑" w:eastAsia="微软雅黑" w:hAnsi="微软雅黑" w:cs="宋体"/>
          <w:kern w:val="0"/>
          <w:sz w:val="24"/>
          <w:szCs w:val="24"/>
        </w:rPr>
        <w:t>TMTpro</w:t>
      </w:r>
      <w:proofErr w:type="spellEnd"/>
      <w:r w:rsidRPr="00BF1A4E">
        <w:rPr>
          <w:rFonts w:ascii="微软雅黑" w:eastAsia="微软雅黑" w:hAnsi="微软雅黑" w:cs="宋体"/>
          <w:kern w:val="0"/>
          <w:sz w:val="24"/>
          <w:szCs w:val="24"/>
        </w:rPr>
        <w:t>试剂（Thermo公司）标记，操作步骤按照制造商说明进行。</w:t>
      </w:r>
    </w:p>
    <w:p w14:paraId="4922C0E8"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对于高pH反相</w:t>
      </w:r>
      <w:proofErr w:type="gramStart"/>
      <w:r w:rsidRPr="00BF1A4E">
        <w:rPr>
          <w:rFonts w:ascii="微软雅黑" w:eastAsia="微软雅黑" w:hAnsi="微软雅黑" w:cs="宋体"/>
          <w:kern w:val="0"/>
          <w:sz w:val="24"/>
          <w:szCs w:val="24"/>
        </w:rPr>
        <w:t>肽</w:t>
      </w:r>
      <w:proofErr w:type="gramEnd"/>
      <w:r w:rsidRPr="00BF1A4E">
        <w:rPr>
          <w:rFonts w:ascii="微软雅黑" w:eastAsia="微软雅黑" w:hAnsi="微软雅黑" w:cs="宋体"/>
          <w:kern w:val="0"/>
          <w:sz w:val="24"/>
          <w:szCs w:val="24"/>
        </w:rPr>
        <w:t>分离和LC-MS分析，肽段在</w:t>
      </w:r>
      <w:proofErr w:type="spellStart"/>
      <w:r w:rsidRPr="00BF1A4E">
        <w:rPr>
          <w:rFonts w:ascii="微软雅黑" w:eastAsia="微软雅黑" w:hAnsi="微软雅黑" w:cs="宋体"/>
          <w:kern w:val="0"/>
          <w:sz w:val="24"/>
          <w:szCs w:val="24"/>
        </w:rPr>
        <w:t>Dionex</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UltiMate</w:t>
      </w:r>
      <w:proofErr w:type="spellEnd"/>
      <w:r w:rsidRPr="00BF1A4E">
        <w:rPr>
          <w:rFonts w:ascii="微软雅黑" w:eastAsia="微软雅黑" w:hAnsi="微软雅黑" w:cs="宋体"/>
          <w:kern w:val="0"/>
          <w:sz w:val="24"/>
          <w:szCs w:val="24"/>
        </w:rPr>
        <w:t xml:space="preserve"> 3000高效液相色谱系统上，使用</w:t>
      </w:r>
      <w:proofErr w:type="spellStart"/>
      <w:r w:rsidRPr="00BF1A4E">
        <w:rPr>
          <w:rFonts w:ascii="微软雅黑" w:eastAsia="微软雅黑" w:hAnsi="微软雅黑" w:cs="宋体"/>
          <w:kern w:val="0"/>
          <w:sz w:val="24"/>
          <w:szCs w:val="24"/>
        </w:rPr>
        <w:t>XBridge</w:t>
      </w:r>
      <w:proofErr w:type="spellEnd"/>
      <w:r w:rsidRPr="00BF1A4E">
        <w:rPr>
          <w:rFonts w:ascii="微软雅黑" w:eastAsia="微软雅黑" w:hAnsi="微软雅黑" w:cs="宋体"/>
          <w:kern w:val="0"/>
          <w:sz w:val="24"/>
          <w:szCs w:val="24"/>
        </w:rPr>
        <w:t xml:space="preserve"> C18色谱柱（2.1 × 150 mm，3.5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，Waters）进行分离。流动相A为0.1% (v/v)氢氧化铵溶液，流动相B为乙腈和0.1% (v/v)氢氧化铵溶液。</w:t>
      </w:r>
      <w:proofErr w:type="spellStart"/>
      <w:r w:rsidRPr="00BF1A4E">
        <w:rPr>
          <w:rFonts w:ascii="微软雅黑" w:eastAsia="微软雅黑" w:hAnsi="微软雅黑" w:cs="宋体"/>
          <w:kern w:val="0"/>
          <w:sz w:val="24"/>
          <w:szCs w:val="24"/>
        </w:rPr>
        <w:t>TMTpro</w:t>
      </w:r>
      <w:proofErr w:type="spellEnd"/>
      <w:r w:rsidRPr="00BF1A4E">
        <w:rPr>
          <w:rFonts w:ascii="微软雅黑" w:eastAsia="微软雅黑" w:hAnsi="微软雅黑" w:cs="宋体"/>
          <w:kern w:val="0"/>
          <w:sz w:val="24"/>
          <w:szCs w:val="24"/>
        </w:rPr>
        <w:t>标记的肽混合物采用多步梯度洗脱法进行分离，流速为0.2 mL/min。分离程序为：5% B等度洗脱5 min；35 min梯度洗脱至35% B；5 min梯度洗脱至80% B；5 min等度洗脱；最后</w:t>
      </w:r>
      <w:proofErr w:type="gramStart"/>
      <w:r w:rsidRPr="00BF1A4E">
        <w:rPr>
          <w:rFonts w:ascii="微软雅黑" w:eastAsia="微软雅黑" w:hAnsi="微软雅黑" w:cs="宋体"/>
          <w:kern w:val="0"/>
          <w:sz w:val="24"/>
          <w:szCs w:val="24"/>
        </w:rPr>
        <w:t>平衡至</w:t>
      </w:r>
      <w:proofErr w:type="gramEnd"/>
      <w:r w:rsidRPr="00BF1A4E">
        <w:rPr>
          <w:rFonts w:ascii="微软雅黑" w:eastAsia="微软雅黑" w:hAnsi="微软雅黑" w:cs="宋体"/>
          <w:kern w:val="0"/>
          <w:sz w:val="24"/>
          <w:szCs w:val="24"/>
        </w:rPr>
        <w:t>5% B。每42 s收集一次馏分，并真空干燥。</w:t>
      </w:r>
    </w:p>
    <w:p w14:paraId="554F6982"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采用</w:t>
      </w:r>
      <w:proofErr w:type="spellStart"/>
      <w:r w:rsidRPr="00BF1A4E">
        <w:rPr>
          <w:rFonts w:ascii="微软雅黑" w:eastAsia="微软雅黑" w:hAnsi="微软雅黑" w:cs="宋体"/>
          <w:kern w:val="0"/>
          <w:sz w:val="24"/>
          <w:szCs w:val="24"/>
        </w:rPr>
        <w:t>Dionex</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UltiMate</w:t>
      </w:r>
      <w:proofErr w:type="spellEnd"/>
      <w:r w:rsidRPr="00BF1A4E">
        <w:rPr>
          <w:rFonts w:ascii="微软雅黑" w:eastAsia="微软雅黑" w:hAnsi="微软雅黑" w:cs="宋体"/>
          <w:kern w:val="0"/>
          <w:sz w:val="24"/>
          <w:szCs w:val="24"/>
        </w:rPr>
        <w:t xml:space="preserve"> 3000系统（配备Orbitrap Lumos质谱仪，Thermo Scientific公司）进行LC-MS分析。将肽段组分用40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 xml:space="preserve"> 0.1%甲酸溶液复溶，取10 </w:t>
      </w:r>
      <w:proofErr w:type="spellStart"/>
      <w:r w:rsidRPr="00BF1A4E">
        <w:rPr>
          <w:rFonts w:ascii="微软雅黑" w:eastAsia="微软雅黑" w:hAnsi="微软雅黑" w:cs="宋体"/>
          <w:kern w:val="0"/>
          <w:sz w:val="24"/>
          <w:szCs w:val="24"/>
        </w:rPr>
        <w:t>μL</w:t>
      </w:r>
      <w:proofErr w:type="spellEnd"/>
      <w:proofErr w:type="gramStart"/>
      <w:r w:rsidRPr="00BF1A4E">
        <w:rPr>
          <w:rFonts w:ascii="微软雅黑" w:eastAsia="微软雅黑" w:hAnsi="微软雅黑" w:cs="宋体"/>
          <w:kern w:val="0"/>
          <w:sz w:val="24"/>
          <w:szCs w:val="24"/>
        </w:rPr>
        <w:t>上样至</w:t>
      </w:r>
      <w:proofErr w:type="gramEnd"/>
      <w:r w:rsidRPr="00BF1A4E">
        <w:rPr>
          <w:rFonts w:ascii="微软雅黑" w:eastAsia="微软雅黑" w:hAnsi="微软雅黑" w:cs="宋体"/>
          <w:kern w:val="0"/>
          <w:sz w:val="24"/>
          <w:szCs w:val="24"/>
        </w:rPr>
        <w:t xml:space="preserve">Acclaim </w:t>
      </w:r>
      <w:proofErr w:type="spellStart"/>
      <w:r w:rsidRPr="00BF1A4E">
        <w:rPr>
          <w:rFonts w:ascii="微软雅黑" w:eastAsia="微软雅黑" w:hAnsi="微软雅黑" w:cs="宋体"/>
          <w:kern w:val="0"/>
          <w:sz w:val="24"/>
          <w:szCs w:val="24"/>
        </w:rPr>
        <w:t>PepMap</w:t>
      </w:r>
      <w:proofErr w:type="spellEnd"/>
      <w:r w:rsidRPr="00BF1A4E">
        <w:rPr>
          <w:rFonts w:ascii="微软雅黑" w:eastAsia="微软雅黑" w:hAnsi="微软雅黑" w:cs="宋体"/>
          <w:kern w:val="0"/>
          <w:sz w:val="24"/>
          <w:szCs w:val="24"/>
        </w:rPr>
        <w:t xml:space="preserve"> 100（100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 × 2 cm C18，5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）捕集</w:t>
      </w:r>
      <w:r w:rsidRPr="00BF1A4E">
        <w:rPr>
          <w:rFonts w:ascii="微软雅黑" w:eastAsia="微软雅黑" w:hAnsi="微软雅黑" w:cs="宋体"/>
          <w:kern w:val="0"/>
          <w:sz w:val="24"/>
          <w:szCs w:val="24"/>
        </w:rPr>
        <w:lastRenderedPageBreak/>
        <w:t xml:space="preserve">柱，流速为10 </w:t>
      </w:r>
      <w:proofErr w:type="spellStart"/>
      <w:r w:rsidRPr="00BF1A4E">
        <w:rPr>
          <w:rFonts w:ascii="微软雅黑" w:eastAsia="微软雅黑" w:hAnsi="微软雅黑" w:cs="宋体"/>
          <w:kern w:val="0"/>
          <w:sz w:val="24"/>
          <w:szCs w:val="24"/>
        </w:rPr>
        <w:t>μL</w:t>
      </w:r>
      <w:proofErr w:type="spellEnd"/>
      <w:r w:rsidRPr="00BF1A4E">
        <w:rPr>
          <w:rFonts w:ascii="微软雅黑" w:eastAsia="微软雅黑" w:hAnsi="微软雅黑" w:cs="宋体"/>
          <w:kern w:val="0"/>
          <w:sz w:val="24"/>
          <w:szCs w:val="24"/>
        </w:rPr>
        <w:t xml:space="preserve">/min。随后，在45 °C下，使用Acclaim </w:t>
      </w:r>
      <w:proofErr w:type="spellStart"/>
      <w:r w:rsidRPr="00BF1A4E">
        <w:rPr>
          <w:rFonts w:ascii="微软雅黑" w:eastAsia="微软雅黑" w:hAnsi="微软雅黑" w:cs="宋体"/>
          <w:kern w:val="0"/>
          <w:sz w:val="24"/>
          <w:szCs w:val="24"/>
        </w:rPr>
        <w:t>PepMap</w:t>
      </w:r>
      <w:proofErr w:type="spellEnd"/>
      <w:r w:rsidRPr="00BF1A4E">
        <w:rPr>
          <w:rFonts w:ascii="微软雅黑" w:eastAsia="微软雅黑" w:hAnsi="微软雅黑" w:cs="宋体"/>
          <w:kern w:val="0"/>
          <w:sz w:val="24"/>
          <w:szCs w:val="24"/>
        </w:rPr>
        <w:t xml:space="preserve"> RSLC（75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 × 50 cm，2 </w:t>
      </w:r>
      <w:proofErr w:type="spellStart"/>
      <w:r w:rsidRPr="00BF1A4E">
        <w:rPr>
          <w:rFonts w:ascii="微软雅黑" w:eastAsia="微软雅黑" w:hAnsi="微软雅黑" w:cs="宋体"/>
          <w:kern w:val="0"/>
          <w:sz w:val="24"/>
          <w:szCs w:val="24"/>
        </w:rPr>
        <w:t>μm</w:t>
      </w:r>
      <w:proofErr w:type="spellEnd"/>
      <w:r w:rsidRPr="00BF1A4E">
        <w:rPr>
          <w:rFonts w:ascii="微软雅黑" w:eastAsia="微软雅黑" w:hAnsi="微软雅黑" w:cs="宋体"/>
          <w:kern w:val="0"/>
          <w:sz w:val="24"/>
          <w:szCs w:val="24"/>
        </w:rPr>
        <w:t xml:space="preserve">）C18毛细管柱进行分析。流动相A为0.1%甲酸溶液，流动相B为80%乙腈和0.1%甲酸的混合溶液。流速为 300 </w:t>
      </w:r>
      <w:proofErr w:type="spellStart"/>
      <w:r w:rsidRPr="00BF1A4E">
        <w:rPr>
          <w:rFonts w:ascii="微软雅黑" w:eastAsia="微软雅黑" w:hAnsi="微软雅黑" w:cs="宋体"/>
          <w:kern w:val="0"/>
          <w:sz w:val="24"/>
          <w:szCs w:val="24"/>
        </w:rPr>
        <w:t>nL</w:t>
      </w:r>
      <w:proofErr w:type="spellEnd"/>
      <w:r w:rsidRPr="00BF1A4E">
        <w:rPr>
          <w:rFonts w:ascii="微软雅黑" w:eastAsia="微软雅黑" w:hAnsi="微软雅黑" w:cs="宋体"/>
          <w:kern w:val="0"/>
          <w:sz w:val="24"/>
          <w:szCs w:val="24"/>
        </w:rPr>
        <w:t>/min 的梯度洗脱程序如下：90 分钟内，流动相 B 的比例从 5% 升至 38%；10 分钟内，流动相 B 的比例升至 95%；95% 流动相 B 的比例保持 5 分钟；5 分钟内，流动相 B 的比例恢复至 5%；5% 流动相 B 的比例保持 10 分钟。在最高速度模式（3 秒循环）下，以 120 K 的质量分辨率选择 375–1500 m/z 范围内的前体离子，并进行碰撞诱导解离 (CID) 碎裂，四</w:t>
      </w:r>
      <w:proofErr w:type="gramStart"/>
      <w:r w:rsidRPr="00BF1A4E">
        <w:rPr>
          <w:rFonts w:ascii="微软雅黑" w:eastAsia="微软雅黑" w:hAnsi="微软雅黑" w:cs="宋体"/>
          <w:kern w:val="0"/>
          <w:sz w:val="24"/>
          <w:szCs w:val="24"/>
        </w:rPr>
        <w:t>极</w:t>
      </w:r>
      <w:proofErr w:type="gramEnd"/>
      <w:r w:rsidRPr="00BF1A4E">
        <w:rPr>
          <w:rFonts w:ascii="微软雅黑" w:eastAsia="微软雅黑" w:hAnsi="微软雅黑" w:cs="宋体"/>
          <w:kern w:val="0"/>
          <w:sz w:val="24"/>
          <w:szCs w:val="24"/>
        </w:rPr>
        <w:t xml:space="preserve">杆隔离宽度为 0.7 Th，碰撞能量为 35%，最大离子注入时间 (IT) 为 35 </w:t>
      </w:r>
      <w:proofErr w:type="spellStart"/>
      <w:r w:rsidRPr="00BF1A4E">
        <w:rPr>
          <w:rFonts w:ascii="微软雅黑" w:eastAsia="微软雅黑" w:hAnsi="微软雅黑" w:cs="宋体"/>
          <w:kern w:val="0"/>
          <w:sz w:val="24"/>
          <w:szCs w:val="24"/>
        </w:rPr>
        <w:t>ms</w:t>
      </w:r>
      <w:proofErr w:type="spellEnd"/>
      <w:r w:rsidRPr="00BF1A4E">
        <w:rPr>
          <w:rFonts w:ascii="微软雅黑" w:eastAsia="微软雅黑" w:hAnsi="微软雅黑" w:cs="宋体"/>
          <w:kern w:val="0"/>
          <w:sz w:val="24"/>
          <w:szCs w:val="24"/>
        </w:rPr>
        <w:t xml:space="preserve">。使用同步前体离子选择 (SPS) 分离出丰度最高的 5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 CID 碎片，并对其进行进一步的超临界流体动力学 (HCD) 碎裂，获得 MS3 谱图。碰撞能量设置为 55%，离子注入时间 (IT) 为 86 </w:t>
      </w:r>
      <w:proofErr w:type="spellStart"/>
      <w:r w:rsidRPr="00BF1A4E">
        <w:rPr>
          <w:rFonts w:ascii="微软雅黑" w:eastAsia="微软雅黑" w:hAnsi="微软雅黑" w:cs="宋体"/>
          <w:kern w:val="0"/>
          <w:sz w:val="24"/>
          <w:szCs w:val="24"/>
        </w:rPr>
        <w:t>ms</w:t>
      </w:r>
      <w:proofErr w:type="spellEnd"/>
      <w:r w:rsidRPr="00BF1A4E">
        <w:rPr>
          <w:rFonts w:ascii="微软雅黑" w:eastAsia="微软雅黑" w:hAnsi="微软雅黑" w:cs="宋体"/>
          <w:kern w:val="0"/>
          <w:sz w:val="24"/>
          <w:szCs w:val="24"/>
        </w:rPr>
        <w:t>，分辨率为 50 K。目标前体被动态排除，无法进一步活化，活化时间为 45 秒，质量容差为 7 ppm。</w:t>
      </w:r>
    </w:p>
    <w:p w14:paraId="628F894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为了进行蛋白质鉴定和定量，将质谱数据提交至 </w:t>
      </w:r>
      <w:proofErr w:type="spellStart"/>
      <w:r w:rsidRPr="00BF1A4E">
        <w:rPr>
          <w:rFonts w:ascii="微软雅黑" w:eastAsia="微软雅黑" w:hAnsi="微软雅黑" w:cs="宋体"/>
          <w:kern w:val="0"/>
          <w:sz w:val="24"/>
          <w:szCs w:val="24"/>
        </w:rPr>
        <w:t>SequestHT</w:t>
      </w:r>
      <w:proofErr w:type="spellEnd"/>
      <w:r w:rsidRPr="00BF1A4E">
        <w:rPr>
          <w:rFonts w:ascii="微软雅黑" w:eastAsia="微软雅黑" w:hAnsi="微软雅黑" w:cs="宋体"/>
          <w:kern w:val="0"/>
          <w:sz w:val="24"/>
          <w:szCs w:val="24"/>
        </w:rPr>
        <w:t xml:space="preserve">，使用 Proteome Discoverer 2.4（Thermo Scientific）软件，并采用已审核的 </w:t>
      </w:r>
      <w:proofErr w:type="spellStart"/>
      <w:r w:rsidRPr="00BF1A4E">
        <w:rPr>
          <w:rFonts w:ascii="微软雅黑" w:eastAsia="微软雅黑" w:hAnsi="微软雅黑" w:cs="宋体"/>
          <w:kern w:val="0"/>
          <w:sz w:val="24"/>
          <w:szCs w:val="24"/>
        </w:rPr>
        <w:t>UniProt</w:t>
      </w:r>
      <w:proofErr w:type="spellEnd"/>
      <w:r w:rsidRPr="00BF1A4E">
        <w:rPr>
          <w:rFonts w:ascii="微软雅黑" w:eastAsia="微软雅黑" w:hAnsi="微软雅黑" w:cs="宋体"/>
          <w:kern w:val="0"/>
          <w:sz w:val="24"/>
          <w:szCs w:val="24"/>
        </w:rPr>
        <w:t xml:space="preserve"> 人类蛋白质条目（下载于 2020 年 6 月 12 日）进行数据库搜索。对于长度至少为 6 </w:t>
      </w:r>
      <w:proofErr w:type="gramStart"/>
      <w:r w:rsidRPr="00BF1A4E">
        <w:rPr>
          <w:rFonts w:ascii="微软雅黑" w:eastAsia="微软雅黑" w:hAnsi="微软雅黑" w:cs="宋体"/>
          <w:kern w:val="0"/>
          <w:sz w:val="24"/>
          <w:szCs w:val="24"/>
        </w:rPr>
        <w:t>个</w:t>
      </w:r>
      <w:proofErr w:type="gramEnd"/>
      <w:r w:rsidRPr="00BF1A4E">
        <w:rPr>
          <w:rFonts w:ascii="微软雅黑" w:eastAsia="微软雅黑" w:hAnsi="微软雅黑" w:cs="宋体"/>
          <w:kern w:val="0"/>
          <w:sz w:val="24"/>
          <w:szCs w:val="24"/>
        </w:rPr>
        <w:t xml:space="preserve">氨基酸的完全胰蛋白酶解肽段，前体离子质量容差设置为 20 ppm，碎片离子质量容差设置为 0.5 Da。N 端/K 的 </w:t>
      </w:r>
      <w:proofErr w:type="spellStart"/>
      <w:r w:rsidRPr="00BF1A4E">
        <w:rPr>
          <w:rFonts w:ascii="微软雅黑" w:eastAsia="微软雅黑" w:hAnsi="微软雅黑" w:cs="宋体"/>
          <w:kern w:val="0"/>
          <w:sz w:val="24"/>
          <w:szCs w:val="24"/>
        </w:rPr>
        <w:t>TMTpro</w:t>
      </w:r>
      <w:proofErr w:type="spellEnd"/>
      <w:r w:rsidRPr="00BF1A4E">
        <w:rPr>
          <w:rFonts w:ascii="微软雅黑" w:eastAsia="微软雅黑" w:hAnsi="微软雅黑" w:cs="宋体"/>
          <w:kern w:val="0"/>
          <w:sz w:val="24"/>
          <w:szCs w:val="24"/>
        </w:rPr>
        <w:t xml:space="preserve"> 修饰和 C 端的氨基甲酰甲基化被选为静态修饰。动态修饰包括 M 的氧化和 N/Q 的脱酰胺。使用 Percolator 节点评估肽段置信度，并基于目标-诱饵数据库搜索，筛选 q 值 &lt; 0.01 的肽段。蛋白质的鉴定需要至少包含一个高置信度肽段。报告离子定量器节点包含一个 </w:t>
      </w:r>
      <w:proofErr w:type="spellStart"/>
      <w:r w:rsidRPr="00BF1A4E">
        <w:rPr>
          <w:rFonts w:ascii="微软雅黑" w:eastAsia="微软雅黑" w:hAnsi="微软雅黑" w:cs="宋体"/>
          <w:kern w:val="0"/>
          <w:sz w:val="24"/>
          <w:szCs w:val="24"/>
        </w:rPr>
        <w:lastRenderedPageBreak/>
        <w:t>TMTpro</w:t>
      </w:r>
      <w:proofErr w:type="spellEnd"/>
      <w:r w:rsidRPr="00BF1A4E">
        <w:rPr>
          <w:rFonts w:ascii="微软雅黑" w:eastAsia="微软雅黑" w:hAnsi="微软雅黑" w:cs="宋体"/>
          <w:kern w:val="0"/>
          <w:sz w:val="24"/>
          <w:szCs w:val="24"/>
        </w:rPr>
        <w:t xml:space="preserve"> 定量方法，在 MS3 水平上积分窗口为 15 ppm。仅使用独特的肽段进行定量，并考虑肽段独特性与蛋白质组之间的关系。平均报告信噪比 &gt; 3 的肽</w:t>
      </w:r>
      <w:proofErr w:type="gramStart"/>
      <w:r w:rsidRPr="00BF1A4E">
        <w:rPr>
          <w:rFonts w:ascii="微软雅黑" w:eastAsia="微软雅黑" w:hAnsi="微软雅黑" w:cs="宋体"/>
          <w:kern w:val="0"/>
          <w:sz w:val="24"/>
          <w:szCs w:val="24"/>
        </w:rPr>
        <w:t>段用于</w:t>
      </w:r>
      <w:proofErr w:type="gramEnd"/>
      <w:r w:rsidRPr="00BF1A4E">
        <w:rPr>
          <w:rFonts w:ascii="微软雅黑" w:eastAsia="微软雅黑" w:hAnsi="微软雅黑" w:cs="宋体"/>
          <w:kern w:val="0"/>
          <w:sz w:val="24"/>
          <w:szCs w:val="24"/>
        </w:rPr>
        <w:t xml:space="preserve">蛋白质定量。使用 </w:t>
      </w:r>
      <w:proofErr w:type="spellStart"/>
      <w:r w:rsidRPr="00BF1A4E">
        <w:rPr>
          <w:rFonts w:ascii="微软雅黑" w:eastAsia="微软雅黑" w:hAnsi="微软雅黑" w:cs="宋体"/>
          <w:kern w:val="0"/>
          <w:sz w:val="24"/>
          <w:szCs w:val="24"/>
        </w:rPr>
        <w:t>enrichR</w:t>
      </w:r>
      <w:proofErr w:type="spellEnd"/>
      <w:r w:rsidRPr="00BF1A4E">
        <w:rPr>
          <w:rFonts w:ascii="微软雅黑" w:eastAsia="微软雅黑" w:hAnsi="微软雅黑" w:cs="宋体"/>
          <w:kern w:val="0"/>
          <w:sz w:val="24"/>
          <w:szCs w:val="24"/>
        </w:rPr>
        <w:t xml:space="preserve"> v3.1 </w:t>
      </w:r>
      <w:hyperlink r:id="rId224" w:anchor="CR67" w:history="1">
        <w:r w:rsidRPr="00BF1A4E">
          <w:rPr>
            <w:rFonts w:ascii="微软雅黑" w:eastAsia="微软雅黑" w:hAnsi="微软雅黑" w:cs="宋体"/>
            <w:kern w:val="0"/>
            <w:sz w:val="24"/>
            <w:szCs w:val="24"/>
            <w:u w:val="single"/>
            <w:vertAlign w:val="superscript"/>
          </w:rPr>
          <w:t>67</w:t>
        </w:r>
      </w:hyperlink>
      <w:hyperlink r:id="rId225" w:anchor="Fig4" w:history="1">
        <w:r w:rsidRPr="00BF1A4E">
          <w:rPr>
            <w:rFonts w:ascii="微软雅黑" w:eastAsia="微软雅黑" w:hAnsi="微软雅黑" w:cs="宋体"/>
            <w:kern w:val="0"/>
            <w:sz w:val="24"/>
            <w:szCs w:val="24"/>
            <w:u w:val="single"/>
          </w:rPr>
          <w:t>对差异表达蛋白进行分析，以鉴定感兴趣的通路。使用 enrichR v3.1 获得的 GO 条目及其 p 值如图4</w:t>
        </w:r>
      </w:hyperlink>
      <w:r w:rsidRPr="00BF1A4E">
        <w:rPr>
          <w:rFonts w:ascii="微软雅黑" w:eastAsia="微软雅黑" w:hAnsi="微软雅黑" w:cs="宋体"/>
          <w:kern w:val="0"/>
          <w:sz w:val="24"/>
          <w:szCs w:val="24"/>
        </w:rPr>
        <w:t>所示 。与“脂质代谢”和“生物氧化”相关的蛋白质被进一步分析，并在使用 STRING 构建的网络中展示。网络构建采用中等置信度阈值，连接节点所需的最小交互得分为 0.4。</w:t>
      </w:r>
      <w:proofErr w:type="gramStart"/>
      <w:r w:rsidRPr="00BF1A4E">
        <w:rPr>
          <w:rFonts w:ascii="微软雅黑" w:eastAsia="微软雅黑" w:hAnsi="微软雅黑" w:cs="宋体"/>
          <w:kern w:val="0"/>
          <w:sz w:val="24"/>
          <w:szCs w:val="24"/>
        </w:rPr>
        <w:t>单个未</w:t>
      </w:r>
      <w:proofErr w:type="gramEnd"/>
      <w:r w:rsidRPr="00BF1A4E">
        <w:rPr>
          <w:rFonts w:ascii="微软雅黑" w:eastAsia="微软雅黑" w:hAnsi="微软雅黑" w:cs="宋体"/>
          <w:kern w:val="0"/>
          <w:sz w:val="24"/>
          <w:szCs w:val="24"/>
        </w:rPr>
        <w:t>连接的节点从网络图中排除。</w:t>
      </w:r>
    </w:p>
    <w:p w14:paraId="37923598"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蛋白质印迹法</w:t>
      </w:r>
    </w:p>
    <w:p w14:paraId="7F1EE906"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将细胞系接种于6个培养皿中，按指定方法处理后，用NP40裂解缓冲液（1% v/v NP40、10 mM Tris-Cl pH 8、150 mM NaCl、1 mM EDTA、1 mM DTT）裂解，并加入蛋白酶/磷酸酶抑制剂混合物（100X）（Cell Signaling Technology #5872）。Western blot实验采用预制TA或Bis-Tris凝胶（Life Technologies）。原始数据文件中提供了显示分子量的未处理印迹图。</w:t>
      </w:r>
    </w:p>
    <w:p w14:paraId="5FDE7F18" w14:textId="77777777" w:rsidR="00BF1A4E" w:rsidRPr="00BF1A4E" w:rsidRDefault="00BF1A4E" w:rsidP="00BF1A4E">
      <w:pPr>
        <w:widowControl/>
        <w:spacing w:line="450" w:lineRule="atLeast"/>
        <w:outlineLvl w:val="2"/>
        <w:rPr>
          <w:rFonts w:ascii="微软雅黑" w:eastAsia="微软雅黑" w:hAnsi="微软雅黑" w:cs="宋体"/>
          <w:kern w:val="0"/>
          <w:sz w:val="32"/>
          <w:szCs w:val="32"/>
        </w:rPr>
      </w:pPr>
      <w:r w:rsidRPr="00BF1A4E">
        <w:rPr>
          <w:rFonts w:ascii="微软雅黑" w:eastAsia="微软雅黑" w:hAnsi="微软雅黑" w:cs="宋体"/>
          <w:kern w:val="0"/>
          <w:sz w:val="32"/>
          <w:szCs w:val="32"/>
        </w:rPr>
        <w:t>肿瘤异种移植</w:t>
      </w:r>
    </w:p>
    <w:p w14:paraId="75BE958E"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 xml:space="preserve">所有动物均在混合遗传背景下饲养。所有小鼠实验均按照英国癌症研究所 (ICR) 指南和 1986 年英国《动物（科学程序）法》进行。光照周期为上午 7 点至晚上 7 点，黑暗周期为晚上 7 点至次日早上 7 点；环境温度为 22°C ± 2°C，湿度为 45%–65%。本研究使用了 20 只雌性 NSG 小鼠，品系为 </w:t>
      </w:r>
      <w:proofErr w:type="spellStart"/>
      <w:r w:rsidRPr="00BF1A4E">
        <w:rPr>
          <w:rFonts w:ascii="微软雅黑" w:eastAsia="微软雅黑" w:hAnsi="微软雅黑" w:cs="宋体"/>
          <w:kern w:val="0"/>
          <w:sz w:val="24"/>
          <w:szCs w:val="24"/>
        </w:rPr>
        <w:t>NOD.Cg-Prkdc</w:t>
      </w:r>
      <w:proofErr w:type="spellEnd"/>
      <w:r w:rsidRPr="00BF1A4E">
        <w:rPr>
          <w:rFonts w:ascii="微软雅黑" w:eastAsia="微软雅黑" w:hAnsi="微软雅黑" w:cs="宋体"/>
          <w:kern w:val="0"/>
          <w:sz w:val="24"/>
          <w:szCs w:val="24"/>
        </w:rPr>
        <w:t xml:space="preserve"> </w:t>
      </w:r>
      <w:proofErr w:type="spellStart"/>
      <w:r w:rsidRPr="00BF1A4E">
        <w:rPr>
          <w:rFonts w:ascii="微软雅黑" w:eastAsia="微软雅黑" w:hAnsi="微软雅黑" w:cs="宋体"/>
          <w:kern w:val="0"/>
          <w:sz w:val="24"/>
          <w:szCs w:val="24"/>
        </w:rPr>
        <w:t>scid</w:t>
      </w:r>
      <w:proofErr w:type="spellEnd"/>
      <w:r w:rsidRPr="00BF1A4E">
        <w:rPr>
          <w:rFonts w:ascii="微软雅黑" w:eastAsia="微软雅黑" w:hAnsi="微软雅黑" w:cs="宋体"/>
          <w:kern w:val="0"/>
          <w:sz w:val="24"/>
          <w:szCs w:val="24"/>
        </w:rPr>
        <w:t xml:space="preserve"> Il2rg tm1Wjl /</w:t>
      </w:r>
      <w:proofErr w:type="spellStart"/>
      <w:r w:rsidRPr="00BF1A4E">
        <w:rPr>
          <w:rFonts w:ascii="微软雅黑" w:eastAsia="微软雅黑" w:hAnsi="微软雅黑" w:cs="宋体"/>
          <w:kern w:val="0"/>
          <w:sz w:val="24"/>
          <w:szCs w:val="24"/>
        </w:rPr>
        <w:t>SzJ</w:t>
      </w:r>
      <w:proofErr w:type="spellEnd"/>
      <w:r w:rsidRPr="00BF1A4E">
        <w:rPr>
          <w:rFonts w:ascii="微软雅黑" w:eastAsia="微软雅黑" w:hAnsi="微软雅黑" w:cs="宋体"/>
          <w:kern w:val="0"/>
          <w:sz w:val="24"/>
          <w:szCs w:val="24"/>
        </w:rPr>
        <w:t xml:space="preserve">（NOD SCID γ 小鼠），移植时小鼠年龄为 7 周。本研究已获得 ICR 动物福利和伦理审查机构的伦理批准。在细胞注射前 3 天，每只雌性 NSG 小鼠体内植入一粒雌激素缓释片（NE-121，美国 Innovative </w:t>
      </w:r>
      <w:r w:rsidRPr="00BF1A4E">
        <w:rPr>
          <w:rFonts w:ascii="微软雅黑" w:eastAsia="微软雅黑" w:hAnsi="微软雅黑" w:cs="宋体"/>
          <w:kern w:val="0"/>
          <w:sz w:val="24"/>
          <w:szCs w:val="24"/>
        </w:rPr>
        <w:lastRenderedPageBreak/>
        <w:t>Research 公司）。将1000万个MCF-7或MCF-7 GPX4缺失细胞与Matrigel（Corning，Matrigel基质胶，354230）按1:1的比例混合，并皮下注射到小鼠侧腹部。当肿瘤平均体积达到约200 mm³时</w:t>
      </w:r>
      <w:r w:rsidRPr="00BF1A4E">
        <w:rPr>
          <w:rFonts w:ascii="微软雅黑" w:eastAsia="微软雅黑" w:hAnsi="微软雅黑" w:cs="宋体"/>
          <w:kern w:val="0"/>
          <w:sz w:val="24"/>
          <w:szCs w:val="24"/>
          <w:vertAlign w:val="superscript"/>
        </w:rPr>
        <w:t>，</w:t>
      </w:r>
      <w:r w:rsidRPr="00BF1A4E">
        <w:rPr>
          <w:rFonts w:ascii="微软雅黑" w:eastAsia="微软雅黑" w:hAnsi="微软雅黑" w:cs="宋体"/>
          <w:kern w:val="0"/>
          <w:sz w:val="24"/>
          <w:szCs w:val="24"/>
        </w:rPr>
        <w:t>将肿瘤大小相近的小鼠分配到不同的治疗组。肿瘤生长非常缓慢，有7只小鼠（14个肿瘤）因肿瘤大小未达到预期标准而未被分配。另有一只小鼠的侧腹部因误操作而未注射，最终共有25个肿瘤被随机分配到各个治疗组。小鼠每日口服给药，分别给予赋形剂（0.5%甲基纤维素/0.2%吐温-80）或25 mg/kg帕博西尼。使用数字游标卡尺测量每个肿瘤的长度 (l) 和宽度 (W)，并根据以下公式 (</w:t>
      </w:r>
      <w:proofErr w:type="spellStart"/>
      <w:r w:rsidRPr="00BF1A4E">
        <w:rPr>
          <w:rFonts w:ascii="微软雅黑" w:eastAsia="微软雅黑" w:hAnsi="微软雅黑" w:cs="宋体"/>
          <w:kern w:val="0"/>
          <w:sz w:val="24"/>
          <w:szCs w:val="24"/>
        </w:rPr>
        <w:t>W×W×l</w:t>
      </w:r>
      <w:proofErr w:type="spellEnd"/>
      <w:r w:rsidRPr="00BF1A4E">
        <w:rPr>
          <w:rFonts w:ascii="微软雅黑" w:eastAsia="微软雅黑" w:hAnsi="微软雅黑" w:cs="宋体"/>
          <w:kern w:val="0"/>
          <w:sz w:val="24"/>
          <w:szCs w:val="24"/>
        </w:rPr>
        <w:t>)/2 计算肿瘤体积。允许的最大肿瘤平均直径为 15 mm，且单个肿瘤的直径不得超过 18 mm。有三个肿瘤的平均直径超过了本研究允许的范围，这些动物在测量后 24 小时内被处死。所有其他肿瘤均未超过内政部颁发的动物实验许可证所涵盖的最大肿瘤尺寸，该许可证已获得 ICR 动物福利和伦理审查机构的批准。肿瘤的生长被限制在雌激素植入剂的 90 天有效期内，其中五个肿瘤的治疗期较短，因为它们达到预期治疗标准所需的时间更长。</w:t>
      </w:r>
    </w:p>
    <w:p w14:paraId="2B7C609F"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我们在实验结束时（治疗34天）收集了残余肿瘤组织。取50 mg冷冻组织制备蛋白裂解液。使用</w:t>
      </w:r>
      <w:proofErr w:type="spellStart"/>
      <w:r w:rsidRPr="00BF1A4E">
        <w:rPr>
          <w:rFonts w:ascii="微软雅黑" w:eastAsia="微软雅黑" w:hAnsi="微软雅黑" w:cs="宋体"/>
          <w:kern w:val="0"/>
          <w:sz w:val="24"/>
          <w:szCs w:val="24"/>
        </w:rPr>
        <w:t>Precellys</w:t>
      </w:r>
      <w:proofErr w:type="spellEnd"/>
      <w:r w:rsidRPr="00BF1A4E">
        <w:rPr>
          <w:rFonts w:ascii="微软雅黑" w:eastAsia="微软雅黑" w:hAnsi="微软雅黑" w:cs="宋体"/>
          <w:kern w:val="0"/>
          <w:sz w:val="24"/>
          <w:szCs w:val="24"/>
        </w:rPr>
        <w:t>组织匀浆器在NP40裂解缓冲液中匀浆样品，离心后进行Western blotting分析。</w:t>
      </w:r>
    </w:p>
    <w:p w14:paraId="5D938D4D" w14:textId="77777777" w:rsidR="00BF1A4E" w:rsidRPr="00BF1A4E" w:rsidRDefault="00BF1A4E" w:rsidP="00BF1A4E">
      <w:pPr>
        <w:widowControl/>
        <w:spacing w:line="450" w:lineRule="atLeast"/>
        <w:outlineLvl w:val="3"/>
        <w:rPr>
          <w:rFonts w:ascii="微软雅黑" w:eastAsia="微软雅黑" w:hAnsi="微软雅黑" w:cs="宋体"/>
          <w:kern w:val="0"/>
          <w:sz w:val="30"/>
          <w:szCs w:val="30"/>
        </w:rPr>
      </w:pPr>
      <w:r w:rsidRPr="00BF1A4E">
        <w:rPr>
          <w:rFonts w:ascii="微软雅黑" w:eastAsia="微软雅黑" w:hAnsi="微软雅黑" w:cs="宋体"/>
          <w:kern w:val="0"/>
          <w:sz w:val="30"/>
          <w:szCs w:val="30"/>
        </w:rPr>
        <w:t>统计学和可重复性</w:t>
      </w:r>
    </w:p>
    <w:p w14:paraId="00A09F23"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i/>
          <w:iCs/>
          <w:kern w:val="0"/>
          <w:sz w:val="24"/>
          <w:szCs w:val="24"/>
        </w:rPr>
        <w:t>采用配对和非配对t</w:t>
      </w:r>
      <w:r w:rsidRPr="00BF1A4E">
        <w:rPr>
          <w:rFonts w:ascii="微软雅黑" w:eastAsia="微软雅黑" w:hAnsi="微软雅黑" w:cs="宋体"/>
          <w:kern w:val="0"/>
          <w:sz w:val="24"/>
          <w:szCs w:val="24"/>
        </w:rPr>
        <w:t>检验确定两组实验组之间的统计学差异。对于三组或</w:t>
      </w:r>
      <w:proofErr w:type="gramStart"/>
      <w:r w:rsidRPr="00BF1A4E">
        <w:rPr>
          <w:rFonts w:ascii="微软雅黑" w:eastAsia="微软雅黑" w:hAnsi="微软雅黑" w:cs="宋体"/>
          <w:kern w:val="0"/>
          <w:sz w:val="24"/>
          <w:szCs w:val="24"/>
        </w:rPr>
        <w:t>更多组实验</w:t>
      </w:r>
      <w:proofErr w:type="gramEnd"/>
      <w:r w:rsidRPr="00BF1A4E">
        <w:rPr>
          <w:rFonts w:ascii="微软雅黑" w:eastAsia="微软雅黑" w:hAnsi="微软雅黑" w:cs="宋体"/>
          <w:kern w:val="0"/>
          <w:sz w:val="24"/>
          <w:szCs w:val="24"/>
        </w:rPr>
        <w:t>，采用错误发现率（FDR）为1%的</w:t>
      </w:r>
      <w:proofErr w:type="gramStart"/>
      <w:r w:rsidRPr="00BF1A4E">
        <w:rPr>
          <w:rFonts w:ascii="微软雅黑" w:eastAsia="微软雅黑" w:hAnsi="微软雅黑" w:cs="宋体"/>
          <w:kern w:val="0"/>
          <w:sz w:val="24"/>
          <w:szCs w:val="24"/>
        </w:rPr>
        <w:t>多重非</w:t>
      </w:r>
      <w:proofErr w:type="gramEnd"/>
      <w:r w:rsidRPr="00BF1A4E">
        <w:rPr>
          <w:rFonts w:ascii="微软雅黑" w:eastAsia="微软雅黑" w:hAnsi="微软雅黑" w:cs="宋体"/>
          <w:kern w:val="0"/>
          <w:sz w:val="24"/>
          <w:szCs w:val="24"/>
        </w:rPr>
        <w:t>配对t检验（两阶段逐步递增法）。为检验两种独立药物浓度联合作用是否影响细胞存活率，我们采用</w:t>
      </w:r>
      <w:proofErr w:type="gramStart"/>
      <w:r w:rsidRPr="00BF1A4E">
        <w:rPr>
          <w:rFonts w:ascii="微软雅黑" w:eastAsia="微软雅黑" w:hAnsi="微软雅黑" w:cs="宋体"/>
          <w:kern w:val="0"/>
          <w:sz w:val="24"/>
          <w:szCs w:val="24"/>
        </w:rPr>
        <w:t>双因素</w:t>
      </w:r>
      <w:proofErr w:type="gramEnd"/>
      <w:r w:rsidRPr="00BF1A4E">
        <w:rPr>
          <w:rFonts w:ascii="微软雅黑" w:eastAsia="微软雅黑" w:hAnsi="微软雅黑" w:cs="宋体"/>
          <w:kern w:val="0"/>
          <w:sz w:val="24"/>
          <w:szCs w:val="24"/>
        </w:rPr>
        <w:t>方差分</w:t>
      </w:r>
      <w:r w:rsidRPr="00BF1A4E">
        <w:rPr>
          <w:rFonts w:ascii="微软雅黑" w:eastAsia="微软雅黑" w:hAnsi="微软雅黑" w:cs="宋体"/>
          <w:kern w:val="0"/>
          <w:sz w:val="24"/>
          <w:szCs w:val="24"/>
        </w:rPr>
        <w:lastRenderedPageBreak/>
        <w:t>析（普通方差分析）。双侧</w:t>
      </w:r>
      <w:r w:rsidRPr="00BF1A4E">
        <w:rPr>
          <w:rFonts w:ascii="微软雅黑" w:eastAsia="微软雅黑" w:hAnsi="微软雅黑" w:cs="宋体"/>
          <w:i/>
          <w:iCs/>
          <w:kern w:val="0"/>
          <w:sz w:val="24"/>
          <w:szCs w:val="24"/>
        </w:rPr>
        <w:t>p</w:t>
      </w:r>
      <w:r w:rsidRPr="00BF1A4E">
        <w:rPr>
          <w:rFonts w:ascii="微软雅黑" w:eastAsia="微软雅黑" w:hAnsi="微软雅黑" w:cs="宋体"/>
          <w:kern w:val="0"/>
          <w:sz w:val="24"/>
          <w:szCs w:val="24"/>
        </w:rPr>
        <w:t>值</w:t>
      </w:r>
      <w:r w:rsidRPr="00BF1A4E">
        <w:rPr>
          <w:rFonts w:ascii="MS Gothic" w:eastAsia="MS Gothic" w:hAnsi="MS Gothic" w:cs="MS Gothic" w:hint="eastAsia"/>
          <w:kern w:val="0"/>
          <w:sz w:val="24"/>
          <w:szCs w:val="24"/>
        </w:rPr>
        <w:t> </w:t>
      </w:r>
      <w:r w:rsidRPr="00BF1A4E">
        <w:rPr>
          <w:rFonts w:ascii="微软雅黑" w:eastAsia="微软雅黑" w:hAnsi="微软雅黑" w:cs="宋体"/>
          <w:kern w:val="0"/>
          <w:sz w:val="24"/>
          <w:szCs w:val="24"/>
        </w:rPr>
        <w:t>&lt;0.05被认为具有统计学意义，置信水平为95%。所有统计分析均使用PRISM 10.3.0软件（GraphPad，圣地亚哥，加利福尼亚州）进行。</w:t>
      </w:r>
    </w:p>
    <w:p w14:paraId="2D05C53A"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组别和样本量是根据标准差、统计评估和/或我们实验室先前开展的研究选择的，这些研究具有足够的统计效力和可重复性，能够检测到具有统计学意义的差异。由于实验设置和分析通常由同一人完成，因此研究人员在数据收集和分析过程中并未对分组情况</w:t>
      </w:r>
      <w:proofErr w:type="gramStart"/>
      <w:r w:rsidRPr="00BF1A4E">
        <w:rPr>
          <w:rFonts w:ascii="微软雅黑" w:eastAsia="微软雅黑" w:hAnsi="微软雅黑" w:cs="宋体"/>
          <w:kern w:val="0"/>
          <w:sz w:val="24"/>
          <w:szCs w:val="24"/>
        </w:rPr>
        <w:t>进行盲法处理</w:t>
      </w:r>
      <w:proofErr w:type="gramEnd"/>
      <w:r w:rsidRPr="00BF1A4E">
        <w:rPr>
          <w:rFonts w:ascii="微软雅黑" w:eastAsia="微软雅黑" w:hAnsi="微软雅黑" w:cs="宋体"/>
          <w:kern w:val="0"/>
          <w:sz w:val="24"/>
          <w:szCs w:val="24"/>
        </w:rPr>
        <w:t>。所有数据均纳入分析，未排除任何数据。</w:t>
      </w:r>
    </w:p>
    <w:p w14:paraId="516C0ECC" w14:textId="77777777" w:rsidR="00BF1A4E" w:rsidRPr="00BF1A4E" w:rsidRDefault="00BF1A4E" w:rsidP="00BF1A4E">
      <w:pPr>
        <w:widowControl/>
        <w:spacing w:before="450"/>
        <w:rPr>
          <w:rFonts w:ascii="微软雅黑" w:eastAsia="微软雅黑" w:hAnsi="微软雅黑" w:cs="宋体"/>
          <w:kern w:val="0"/>
          <w:sz w:val="24"/>
          <w:szCs w:val="24"/>
        </w:rPr>
      </w:pPr>
      <w:r w:rsidRPr="00BF1A4E">
        <w:rPr>
          <w:rFonts w:ascii="微软雅黑" w:eastAsia="微软雅黑" w:hAnsi="微软雅黑" w:cs="宋体"/>
          <w:kern w:val="0"/>
          <w:sz w:val="24"/>
          <w:szCs w:val="24"/>
        </w:rPr>
        <w:t>Western blot实验结果在至少两个独立实验中得到重复验证。每种抗体</w:t>
      </w:r>
      <w:proofErr w:type="gramStart"/>
      <w:r w:rsidRPr="00BF1A4E">
        <w:rPr>
          <w:rFonts w:ascii="微软雅黑" w:eastAsia="微软雅黑" w:hAnsi="微软雅黑" w:cs="宋体"/>
          <w:kern w:val="0"/>
          <w:sz w:val="24"/>
          <w:szCs w:val="24"/>
        </w:rPr>
        <w:t>均观察</w:t>
      </w:r>
      <w:proofErr w:type="gramEnd"/>
      <w:r w:rsidRPr="00BF1A4E">
        <w:rPr>
          <w:rFonts w:ascii="微软雅黑" w:eastAsia="微软雅黑" w:hAnsi="微软雅黑" w:cs="宋体"/>
          <w:kern w:val="0"/>
          <w:sz w:val="24"/>
          <w:szCs w:val="24"/>
        </w:rPr>
        <w:t>到了预期分子量的条带。FAR1、AGPAT3、ATXN7L3和ACSL4的Western blot条带在特异性siRNA处理后消失。GPX4的Western blot条带在CRISPR-Cas9基因编辑后消失。在用帕博西尼处理的细胞中观察到磷酸化CDK2、磷酸化SirT1和磷酸化RB1的水平如预期般降低。</w:t>
      </w:r>
    </w:p>
    <w:p w14:paraId="4C4B0F14" w14:textId="77777777" w:rsidR="008D4F56" w:rsidRPr="0092390F" w:rsidRDefault="008D4F56" w:rsidP="00BF1A4E">
      <w:pPr>
        <w:rPr>
          <w:rFonts w:ascii="微软雅黑" w:eastAsia="微软雅黑" w:hAnsi="微软雅黑"/>
        </w:rPr>
      </w:pPr>
    </w:p>
    <w:sectPr w:rsidR="008D4F56" w:rsidRPr="0092390F">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A4F0C"/>
    <w:multiLevelType w:val="multilevel"/>
    <w:tmpl w:val="9EA0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F56"/>
    <w:rsid w:val="008D4F56"/>
    <w:rsid w:val="0092390F"/>
    <w:rsid w:val="00BF1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3ED3D"/>
  <w15:chartTrackingRefBased/>
  <w15:docId w15:val="{818454A8-B5BD-4DBE-BEA1-A4EB88B38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BF1A4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BF1A4E"/>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BF1A4E"/>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BF1A4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F1A4E"/>
    <w:rPr>
      <w:rFonts w:ascii="宋体" w:eastAsia="宋体" w:hAnsi="宋体" w:cs="宋体"/>
      <w:b/>
      <w:bCs/>
      <w:kern w:val="36"/>
      <w:sz w:val="48"/>
      <w:szCs w:val="48"/>
    </w:rPr>
  </w:style>
  <w:style w:type="character" w:customStyle="1" w:styleId="20">
    <w:name w:val="标题 2 字符"/>
    <w:basedOn w:val="a0"/>
    <w:link w:val="2"/>
    <w:uiPriority w:val="9"/>
    <w:rsid w:val="00BF1A4E"/>
    <w:rPr>
      <w:rFonts w:ascii="宋体" w:eastAsia="宋体" w:hAnsi="宋体" w:cs="宋体"/>
      <w:b/>
      <w:bCs/>
      <w:kern w:val="0"/>
      <w:sz w:val="36"/>
      <w:szCs w:val="36"/>
    </w:rPr>
  </w:style>
  <w:style w:type="character" w:customStyle="1" w:styleId="30">
    <w:name w:val="标题 3 字符"/>
    <w:basedOn w:val="a0"/>
    <w:link w:val="3"/>
    <w:uiPriority w:val="9"/>
    <w:rsid w:val="00BF1A4E"/>
    <w:rPr>
      <w:rFonts w:ascii="宋体" w:eastAsia="宋体" w:hAnsi="宋体" w:cs="宋体"/>
      <w:b/>
      <w:bCs/>
      <w:kern w:val="0"/>
      <w:sz w:val="27"/>
      <w:szCs w:val="27"/>
    </w:rPr>
  </w:style>
  <w:style w:type="character" w:customStyle="1" w:styleId="40">
    <w:name w:val="标题 4 字符"/>
    <w:basedOn w:val="a0"/>
    <w:link w:val="4"/>
    <w:uiPriority w:val="9"/>
    <w:rsid w:val="00BF1A4E"/>
    <w:rPr>
      <w:rFonts w:ascii="宋体" w:eastAsia="宋体" w:hAnsi="宋体" w:cs="宋体"/>
      <w:b/>
      <w:bCs/>
      <w:kern w:val="0"/>
      <w:sz w:val="24"/>
      <w:szCs w:val="24"/>
    </w:rPr>
  </w:style>
  <w:style w:type="paragraph" w:customStyle="1" w:styleId="msonormal0">
    <w:name w:val="msonormal"/>
    <w:basedOn w:val="a"/>
    <w:rsid w:val="00BF1A4E"/>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BF1A4E"/>
    <w:rPr>
      <w:color w:val="0000FF"/>
      <w:u w:val="single"/>
    </w:rPr>
  </w:style>
  <w:style w:type="character" w:styleId="a4">
    <w:name w:val="FollowedHyperlink"/>
    <w:basedOn w:val="a0"/>
    <w:uiPriority w:val="99"/>
    <w:semiHidden/>
    <w:unhideWhenUsed/>
    <w:rsid w:val="00BF1A4E"/>
    <w:rPr>
      <w:color w:val="800080"/>
      <w:u w:val="single"/>
    </w:rPr>
  </w:style>
  <w:style w:type="character" w:customStyle="1" w:styleId="name">
    <w:name w:val="name"/>
    <w:basedOn w:val="a0"/>
    <w:rsid w:val="00BF1A4E"/>
  </w:style>
  <w:style w:type="paragraph" w:styleId="a5">
    <w:name w:val="Normal (Web)"/>
    <w:basedOn w:val="a"/>
    <w:uiPriority w:val="99"/>
    <w:semiHidden/>
    <w:unhideWhenUsed/>
    <w:rsid w:val="00BF1A4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F1A4E"/>
    <w:rPr>
      <w:b/>
      <w:bCs/>
    </w:rPr>
  </w:style>
  <w:style w:type="character" w:styleId="a7">
    <w:name w:val="Emphasis"/>
    <w:basedOn w:val="a0"/>
    <w:uiPriority w:val="20"/>
    <w:qFormat/>
    <w:rsid w:val="00BF1A4E"/>
    <w:rPr>
      <w:i/>
      <w:iCs/>
    </w:rPr>
  </w:style>
  <w:style w:type="paragraph" w:customStyle="1" w:styleId="img-box">
    <w:name w:val="img-box"/>
    <w:basedOn w:val="a"/>
    <w:rsid w:val="00BF1A4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9399388">
      <w:bodyDiv w:val="1"/>
      <w:marLeft w:val="0"/>
      <w:marRight w:val="0"/>
      <w:marTop w:val="0"/>
      <w:marBottom w:val="0"/>
      <w:divBdr>
        <w:top w:val="none" w:sz="0" w:space="0" w:color="auto"/>
        <w:left w:val="none" w:sz="0" w:space="0" w:color="auto"/>
        <w:bottom w:val="none" w:sz="0" w:space="0" w:color="auto"/>
        <w:right w:val="none" w:sz="0" w:space="0" w:color="auto"/>
      </w:divBdr>
      <w:divsChild>
        <w:div w:id="1409769236">
          <w:marLeft w:val="0"/>
          <w:marRight w:val="0"/>
          <w:marTop w:val="0"/>
          <w:marBottom w:val="0"/>
          <w:divBdr>
            <w:top w:val="none" w:sz="0" w:space="0" w:color="auto"/>
            <w:left w:val="none" w:sz="0" w:space="0" w:color="auto"/>
            <w:bottom w:val="none" w:sz="0" w:space="0" w:color="auto"/>
            <w:right w:val="none" w:sz="0" w:space="0" w:color="auto"/>
          </w:divBdr>
          <w:divsChild>
            <w:div w:id="852693997">
              <w:marLeft w:val="0"/>
              <w:marRight w:val="0"/>
              <w:marTop w:val="225"/>
              <w:marBottom w:val="0"/>
              <w:divBdr>
                <w:top w:val="none" w:sz="0" w:space="0" w:color="auto"/>
                <w:left w:val="none" w:sz="0" w:space="0" w:color="auto"/>
                <w:bottom w:val="none" w:sz="0" w:space="0" w:color="auto"/>
                <w:right w:val="none" w:sz="0" w:space="0" w:color="auto"/>
              </w:divBdr>
            </w:div>
            <w:div w:id="229658271">
              <w:marLeft w:val="0"/>
              <w:marRight w:val="0"/>
              <w:marTop w:val="0"/>
              <w:marBottom w:val="0"/>
              <w:divBdr>
                <w:top w:val="none" w:sz="0" w:space="0" w:color="auto"/>
                <w:left w:val="none" w:sz="0" w:space="0" w:color="auto"/>
                <w:bottom w:val="none" w:sz="0" w:space="0" w:color="auto"/>
                <w:right w:val="none" w:sz="0" w:space="0" w:color="auto"/>
              </w:divBdr>
            </w:div>
          </w:divsChild>
        </w:div>
        <w:div w:id="761923402">
          <w:marLeft w:val="0"/>
          <w:marRight w:val="0"/>
          <w:marTop w:val="450"/>
          <w:marBottom w:val="0"/>
          <w:divBdr>
            <w:top w:val="none" w:sz="0" w:space="0" w:color="auto"/>
            <w:left w:val="none" w:sz="0" w:space="0" w:color="auto"/>
            <w:bottom w:val="none" w:sz="0" w:space="0" w:color="auto"/>
            <w:right w:val="none" w:sz="0" w:space="0" w:color="auto"/>
          </w:divBdr>
        </w:div>
        <w:div w:id="519514126">
          <w:marLeft w:val="0"/>
          <w:marRight w:val="0"/>
          <w:marTop w:val="450"/>
          <w:marBottom w:val="0"/>
          <w:divBdr>
            <w:top w:val="none" w:sz="0" w:space="0" w:color="auto"/>
            <w:left w:val="none" w:sz="0" w:space="0" w:color="auto"/>
            <w:bottom w:val="none" w:sz="0" w:space="0" w:color="auto"/>
            <w:right w:val="none" w:sz="0" w:space="0" w:color="auto"/>
          </w:divBdr>
        </w:div>
        <w:div w:id="1161386963">
          <w:marLeft w:val="0"/>
          <w:marRight w:val="0"/>
          <w:marTop w:val="450"/>
          <w:marBottom w:val="0"/>
          <w:divBdr>
            <w:top w:val="none" w:sz="0" w:space="0" w:color="auto"/>
            <w:left w:val="none" w:sz="0" w:space="0" w:color="auto"/>
            <w:bottom w:val="none" w:sz="0" w:space="0" w:color="auto"/>
            <w:right w:val="none" w:sz="0" w:space="0" w:color="auto"/>
          </w:divBdr>
        </w:div>
        <w:div w:id="1480418566">
          <w:marLeft w:val="0"/>
          <w:marRight w:val="0"/>
          <w:marTop w:val="450"/>
          <w:marBottom w:val="0"/>
          <w:divBdr>
            <w:top w:val="none" w:sz="0" w:space="0" w:color="auto"/>
            <w:left w:val="none" w:sz="0" w:space="0" w:color="auto"/>
            <w:bottom w:val="none" w:sz="0" w:space="0" w:color="auto"/>
            <w:right w:val="none" w:sz="0" w:space="0" w:color="auto"/>
          </w:divBdr>
        </w:div>
        <w:div w:id="934942684">
          <w:marLeft w:val="0"/>
          <w:marRight w:val="0"/>
          <w:marTop w:val="450"/>
          <w:marBottom w:val="0"/>
          <w:divBdr>
            <w:top w:val="none" w:sz="0" w:space="0" w:color="auto"/>
            <w:left w:val="none" w:sz="0" w:space="0" w:color="auto"/>
            <w:bottom w:val="none" w:sz="0" w:space="0" w:color="auto"/>
            <w:right w:val="none" w:sz="0" w:space="0" w:color="auto"/>
          </w:divBdr>
        </w:div>
        <w:div w:id="1344360723">
          <w:marLeft w:val="0"/>
          <w:marRight w:val="0"/>
          <w:marTop w:val="450"/>
          <w:marBottom w:val="0"/>
          <w:divBdr>
            <w:top w:val="none" w:sz="0" w:space="0" w:color="auto"/>
            <w:left w:val="none" w:sz="0" w:space="0" w:color="auto"/>
            <w:bottom w:val="none" w:sz="0" w:space="0" w:color="auto"/>
            <w:right w:val="none" w:sz="0" w:space="0" w:color="auto"/>
          </w:divBdr>
        </w:div>
        <w:div w:id="1788044677">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cbi.nlm.nih.gov/core/lw/2.0/html/tileshop_pmc/tileshop_pmc_inline.html?title=Click%20on%20image%20to%20zoom&amp;p=PMC3&amp;id=11538343_41467_2024_53837_Fig5_HTML.jpg" TargetMode="External"/><Relationship Id="rId21" Type="http://schemas.openxmlformats.org/officeDocument/2006/relationships/hyperlink" Target="https://pmc.ncbi.nlm.nih.gov/articles/PMC11538343/" TargetMode="External"/><Relationship Id="rId42" Type="http://schemas.openxmlformats.org/officeDocument/2006/relationships/hyperlink" Target="https://pmc.ncbi.nlm.nih.gov/articles/PMC11538343/" TargetMode="External"/><Relationship Id="rId63" Type="http://schemas.openxmlformats.org/officeDocument/2006/relationships/hyperlink" Target="https://pmc.ncbi.nlm.nih.gov/articles/PMC11538343/" TargetMode="External"/><Relationship Id="rId84" Type="http://schemas.openxmlformats.org/officeDocument/2006/relationships/hyperlink" Target="https://pmc.ncbi.nlm.nih.gov/articles/PMC11538343/" TargetMode="External"/><Relationship Id="rId138" Type="http://schemas.openxmlformats.org/officeDocument/2006/relationships/hyperlink" Target="https://pmc.ncbi.nlm.nih.gov/articles/PMC11538343/" TargetMode="External"/><Relationship Id="rId159" Type="http://schemas.openxmlformats.org/officeDocument/2006/relationships/hyperlink" Target="https://pmc.ncbi.nlm.nih.gov/articles/PMC11538343/" TargetMode="External"/><Relationship Id="rId170" Type="http://schemas.openxmlformats.org/officeDocument/2006/relationships/hyperlink" Target="https://pmc.ncbi.nlm.nih.gov/articles/PMC11538343/" TargetMode="External"/><Relationship Id="rId191" Type="http://schemas.openxmlformats.org/officeDocument/2006/relationships/hyperlink" Target="https://pmc.ncbi.nlm.nih.gov/articles/PMC11538343/" TargetMode="External"/><Relationship Id="rId205" Type="http://schemas.openxmlformats.org/officeDocument/2006/relationships/hyperlink" Target="https://pmc.ncbi.nlm.nih.gov/articles/PMC11538343/" TargetMode="External"/><Relationship Id="rId226" Type="http://schemas.openxmlformats.org/officeDocument/2006/relationships/fontTable" Target="fontTable.xml"/><Relationship Id="rId107" Type="http://schemas.openxmlformats.org/officeDocument/2006/relationships/hyperlink" Target="https://pmc.ncbi.nlm.nih.gov/articles/PMC11538343/" TargetMode="External"/><Relationship Id="rId11" Type="http://schemas.openxmlformats.org/officeDocument/2006/relationships/hyperlink" Target="https://pmc.ncbi.nlm.nih.gov/articles/PMC11538343/" TargetMode="External"/><Relationship Id="rId32" Type="http://schemas.openxmlformats.org/officeDocument/2006/relationships/hyperlink" Target="https://pmc.ncbi.nlm.nih.gov/articles/PMC11538343/" TargetMode="External"/><Relationship Id="rId53" Type="http://schemas.openxmlformats.org/officeDocument/2006/relationships/hyperlink" Target="https://pmc.ncbi.nlm.nih.gov/articles/PMC11538343/" TargetMode="External"/><Relationship Id="rId74" Type="http://schemas.openxmlformats.org/officeDocument/2006/relationships/hyperlink" Target="https://pmc.ncbi.nlm.nih.gov/articles/PMC11538343/" TargetMode="External"/><Relationship Id="rId128" Type="http://schemas.openxmlformats.org/officeDocument/2006/relationships/hyperlink" Target="https://pmc.ncbi.nlm.nih.gov/articles/PMC11538343/" TargetMode="External"/><Relationship Id="rId149" Type="http://schemas.openxmlformats.org/officeDocument/2006/relationships/hyperlink" Target="https://pmc.ncbi.nlm.nih.gov/articles/PMC11538343/" TargetMode="External"/><Relationship Id="rId5" Type="http://schemas.openxmlformats.org/officeDocument/2006/relationships/hyperlink" Target="https://pmc.ncbi.nlm.nih.gov/articles/PMC11538343/" TargetMode="External"/><Relationship Id="rId95" Type="http://schemas.openxmlformats.org/officeDocument/2006/relationships/hyperlink" Target="https://www.ncbi.nlm.nih.gov/core/lw/2.0/html/tileshop_pmc/tileshop_pmc_inline.html?title=Click%20on%20image%20to%20zoom&amp;p=PMC3&amp;id=11538343_41467_2024_53837_Fig4_HTML.jpg" TargetMode="External"/><Relationship Id="rId160" Type="http://schemas.openxmlformats.org/officeDocument/2006/relationships/hyperlink" Target="https://pmc.ncbi.nlm.nih.gov/articles/PMC11538343/" TargetMode="External"/><Relationship Id="rId181" Type="http://schemas.openxmlformats.org/officeDocument/2006/relationships/hyperlink" Target="https://pmc.ncbi.nlm.nih.gov/articles/PMC11538343/" TargetMode="External"/><Relationship Id="rId216" Type="http://schemas.openxmlformats.org/officeDocument/2006/relationships/hyperlink" Target="https://pmc.ncbi.nlm.nih.gov/articles/PMC11538343/" TargetMode="External"/><Relationship Id="rId22" Type="http://schemas.openxmlformats.org/officeDocument/2006/relationships/hyperlink" Target="https://pmc.ncbi.nlm.nih.gov/articles/PMC11538343/" TargetMode="External"/><Relationship Id="rId43" Type="http://schemas.openxmlformats.org/officeDocument/2006/relationships/hyperlink" Target="https://pmc.ncbi.nlm.nih.gov/articles/PMC11538343/" TargetMode="External"/><Relationship Id="rId64" Type="http://schemas.openxmlformats.org/officeDocument/2006/relationships/hyperlink" Target="https://pmc.ncbi.nlm.nih.gov/articles/PMC11538343/" TargetMode="External"/><Relationship Id="rId118" Type="http://schemas.openxmlformats.org/officeDocument/2006/relationships/image" Target="media/image5.jpeg"/><Relationship Id="rId139" Type="http://schemas.openxmlformats.org/officeDocument/2006/relationships/hyperlink" Target="https://pmc.ncbi.nlm.nih.gov/articles/PMC11538343/" TargetMode="External"/><Relationship Id="rId85" Type="http://schemas.openxmlformats.org/officeDocument/2006/relationships/hyperlink" Target="https://pmc.ncbi.nlm.nih.gov/articles/PMC11538343/" TargetMode="External"/><Relationship Id="rId150" Type="http://schemas.openxmlformats.org/officeDocument/2006/relationships/hyperlink" Target="https://pmc.ncbi.nlm.nih.gov/articles/PMC11538343/" TargetMode="External"/><Relationship Id="rId171" Type="http://schemas.openxmlformats.org/officeDocument/2006/relationships/hyperlink" Target="https://pmc.ncbi.nlm.nih.gov/articles/PMC11538343/" TargetMode="External"/><Relationship Id="rId192" Type="http://schemas.openxmlformats.org/officeDocument/2006/relationships/hyperlink" Target="https://pmc.ncbi.nlm.nih.gov/articles/PMC11538343/" TargetMode="External"/><Relationship Id="rId206" Type="http://schemas.openxmlformats.org/officeDocument/2006/relationships/hyperlink" Target="https://pmc.ncbi.nlm.nih.gov/articles/PMC11538343/" TargetMode="External"/><Relationship Id="rId227" Type="http://schemas.openxmlformats.org/officeDocument/2006/relationships/theme" Target="theme/theme1.xml"/><Relationship Id="rId12" Type="http://schemas.openxmlformats.org/officeDocument/2006/relationships/hyperlink" Target="https://pmc.ncbi.nlm.nih.gov/articles/PMC11538343/" TargetMode="External"/><Relationship Id="rId33" Type="http://schemas.openxmlformats.org/officeDocument/2006/relationships/hyperlink" Target="https://pmc.ncbi.nlm.nih.gov/articles/PMC11538343/" TargetMode="External"/><Relationship Id="rId108" Type="http://schemas.openxmlformats.org/officeDocument/2006/relationships/hyperlink" Target="https://pmc.ncbi.nlm.nih.gov/articles/PMC11538343/" TargetMode="External"/><Relationship Id="rId129" Type="http://schemas.openxmlformats.org/officeDocument/2006/relationships/hyperlink" Target="https://pmc.ncbi.nlm.nih.gov/articles/PMC11538343/" TargetMode="External"/><Relationship Id="rId54" Type="http://schemas.openxmlformats.org/officeDocument/2006/relationships/hyperlink" Target="https://pmc.ncbi.nlm.nih.gov/articles/PMC11538343/" TargetMode="External"/><Relationship Id="rId75" Type="http://schemas.openxmlformats.org/officeDocument/2006/relationships/hyperlink" Target="https://pmc.ncbi.nlm.nih.gov/articles/PMC11538343/" TargetMode="External"/><Relationship Id="rId96" Type="http://schemas.openxmlformats.org/officeDocument/2006/relationships/image" Target="media/image4.jpeg"/><Relationship Id="rId140" Type="http://schemas.openxmlformats.org/officeDocument/2006/relationships/hyperlink" Target="https://www.ncbi.nlm.nih.gov/core/lw/2.0/html/tileshop_pmc/tileshop_pmc_inline.html?title=Click%20on%20image%20to%20zoom&amp;p=PMC3&amp;id=11538343_41467_2024_53837_Fig6_HTML.jpg" TargetMode="External"/><Relationship Id="rId161" Type="http://schemas.openxmlformats.org/officeDocument/2006/relationships/hyperlink" Target="https://pmc.ncbi.nlm.nih.gov/articles/PMC11538343/" TargetMode="External"/><Relationship Id="rId182" Type="http://schemas.openxmlformats.org/officeDocument/2006/relationships/hyperlink" Target="https://pmc.ncbi.nlm.nih.gov/articles/PMC11538343/" TargetMode="External"/><Relationship Id="rId217" Type="http://schemas.openxmlformats.org/officeDocument/2006/relationships/hyperlink" Target="https://pmc.ncbi.nlm.nih.gov/articles/PMC11538343/" TargetMode="External"/><Relationship Id="rId6" Type="http://schemas.openxmlformats.org/officeDocument/2006/relationships/hyperlink" Target="https://pmc.ncbi.nlm.nih.gov/articles/PMC11538343/" TargetMode="External"/><Relationship Id="rId23" Type="http://schemas.openxmlformats.org/officeDocument/2006/relationships/hyperlink" Target="https://pmc.ncbi.nlm.nih.gov/articles/PMC11538343/" TargetMode="External"/><Relationship Id="rId119" Type="http://schemas.openxmlformats.org/officeDocument/2006/relationships/hyperlink" Target="https://pmc.ncbi.nlm.nih.gov/articles/PMC11538343/" TargetMode="External"/><Relationship Id="rId44" Type="http://schemas.openxmlformats.org/officeDocument/2006/relationships/hyperlink" Target="https://pmc.ncbi.nlm.nih.gov/articles/PMC11538343/" TargetMode="External"/><Relationship Id="rId65" Type="http://schemas.openxmlformats.org/officeDocument/2006/relationships/hyperlink" Target="https://pmc.ncbi.nlm.nih.gov/articles/PMC11538343/" TargetMode="External"/><Relationship Id="rId86" Type="http://schemas.openxmlformats.org/officeDocument/2006/relationships/hyperlink" Target="https://pmc.ncbi.nlm.nih.gov/articles/PMC11538343/" TargetMode="External"/><Relationship Id="rId130" Type="http://schemas.openxmlformats.org/officeDocument/2006/relationships/hyperlink" Target="https://pmc.ncbi.nlm.nih.gov/articles/PMC11538343/" TargetMode="External"/><Relationship Id="rId151" Type="http://schemas.openxmlformats.org/officeDocument/2006/relationships/hyperlink" Target="https://pmc.ncbi.nlm.nih.gov/articles/PMC11538343/" TargetMode="External"/><Relationship Id="rId172" Type="http://schemas.openxmlformats.org/officeDocument/2006/relationships/hyperlink" Target="https://pmc.ncbi.nlm.nih.gov/articles/PMC11538343/" TargetMode="External"/><Relationship Id="rId193" Type="http://schemas.openxmlformats.org/officeDocument/2006/relationships/hyperlink" Target="https://pmc.ncbi.nlm.nih.gov/articles/PMC11538343/" TargetMode="External"/><Relationship Id="rId207" Type="http://schemas.openxmlformats.org/officeDocument/2006/relationships/hyperlink" Target="https://pmc.ncbi.nlm.nih.gov/articles/PMC11538343/" TargetMode="External"/><Relationship Id="rId13" Type="http://schemas.openxmlformats.org/officeDocument/2006/relationships/hyperlink" Target="https://pmc.ncbi.nlm.nih.gov/articles/PMC11538343/" TargetMode="External"/><Relationship Id="rId109" Type="http://schemas.openxmlformats.org/officeDocument/2006/relationships/hyperlink" Target="https://pmc.ncbi.nlm.nih.gov/articles/PMC11538343/" TargetMode="External"/><Relationship Id="rId34" Type="http://schemas.openxmlformats.org/officeDocument/2006/relationships/hyperlink" Target="https://pmc.ncbi.nlm.nih.gov/articles/PMC11538343/" TargetMode="External"/><Relationship Id="rId55" Type="http://schemas.openxmlformats.org/officeDocument/2006/relationships/hyperlink" Target="https://pmc.ncbi.nlm.nih.gov/articles/PMC11538343/" TargetMode="External"/><Relationship Id="rId76" Type="http://schemas.openxmlformats.org/officeDocument/2006/relationships/hyperlink" Target="https://pmc.ncbi.nlm.nih.gov/articles/PMC11538343/" TargetMode="External"/><Relationship Id="rId97" Type="http://schemas.openxmlformats.org/officeDocument/2006/relationships/hyperlink" Target="https://pmc.ncbi.nlm.nih.gov/articles/PMC11538343/" TargetMode="External"/><Relationship Id="rId120" Type="http://schemas.openxmlformats.org/officeDocument/2006/relationships/hyperlink" Target="https://pmc.ncbi.nlm.nih.gov/articles/PMC11538343/" TargetMode="External"/><Relationship Id="rId141" Type="http://schemas.openxmlformats.org/officeDocument/2006/relationships/image" Target="media/image6.jpeg"/><Relationship Id="rId7" Type="http://schemas.openxmlformats.org/officeDocument/2006/relationships/hyperlink" Target="https://pmc.ncbi.nlm.nih.gov/articles/PMC11538343/" TargetMode="External"/><Relationship Id="rId162" Type="http://schemas.openxmlformats.org/officeDocument/2006/relationships/hyperlink" Target="https://pmc.ncbi.nlm.nih.gov/articles/PMC11538343/" TargetMode="External"/><Relationship Id="rId183" Type="http://schemas.openxmlformats.org/officeDocument/2006/relationships/hyperlink" Target="https://pmc.ncbi.nlm.nih.gov/articles/PMC11538343/" TargetMode="External"/><Relationship Id="rId218" Type="http://schemas.openxmlformats.org/officeDocument/2006/relationships/hyperlink" Target="https://pmc.ncbi.nlm.nih.gov/articles/PMC11538343/" TargetMode="External"/><Relationship Id="rId24" Type="http://schemas.openxmlformats.org/officeDocument/2006/relationships/hyperlink" Target="https://pmc.ncbi.nlm.nih.gov/articles/PMC11538343/" TargetMode="External"/><Relationship Id="rId45" Type="http://schemas.openxmlformats.org/officeDocument/2006/relationships/hyperlink" Target="https://pmc.ncbi.nlm.nih.gov/articles/PMC11538343/" TargetMode="External"/><Relationship Id="rId66" Type="http://schemas.openxmlformats.org/officeDocument/2006/relationships/hyperlink" Target="https://www.ncbi.nlm.nih.gov/core/lw/2.0/html/tileshop_pmc/tileshop_pmc_inline.html?title=Click%20on%20image%20to%20zoom&amp;p=PMC3&amp;id=11538343_41467_2024_53837_Fig3_HTML.jpg" TargetMode="External"/><Relationship Id="rId87" Type="http://schemas.openxmlformats.org/officeDocument/2006/relationships/hyperlink" Target="https://pmc.ncbi.nlm.nih.gov/articles/PMC11538343/" TargetMode="External"/><Relationship Id="rId110" Type="http://schemas.openxmlformats.org/officeDocument/2006/relationships/hyperlink" Target="https://pmc.ncbi.nlm.nih.gov/articles/PMC11538343/" TargetMode="External"/><Relationship Id="rId131" Type="http://schemas.openxmlformats.org/officeDocument/2006/relationships/hyperlink" Target="https://pmc.ncbi.nlm.nih.gov/articles/PMC11538343/" TargetMode="External"/><Relationship Id="rId152" Type="http://schemas.openxmlformats.org/officeDocument/2006/relationships/hyperlink" Target="https://pmc.ncbi.nlm.nih.gov/articles/PMC11538343/" TargetMode="External"/><Relationship Id="rId173" Type="http://schemas.openxmlformats.org/officeDocument/2006/relationships/hyperlink" Target="https://pmc.ncbi.nlm.nih.gov/articles/PMC11538343/" TargetMode="External"/><Relationship Id="rId194" Type="http://schemas.openxmlformats.org/officeDocument/2006/relationships/hyperlink" Target="https://pmc.ncbi.nlm.nih.gov/articles/PMC11538343/" TargetMode="External"/><Relationship Id="rId208" Type="http://schemas.openxmlformats.org/officeDocument/2006/relationships/hyperlink" Target="https://pmc.ncbi.nlm.nih.gov/articles/PMC11538343/" TargetMode="External"/><Relationship Id="rId14" Type="http://schemas.openxmlformats.org/officeDocument/2006/relationships/hyperlink" Target="https://pmc.ncbi.nlm.nih.gov/articles/PMC11538343/" TargetMode="External"/><Relationship Id="rId35" Type="http://schemas.openxmlformats.org/officeDocument/2006/relationships/hyperlink" Target="https://pmc.ncbi.nlm.nih.gov/articles/PMC11538343/" TargetMode="External"/><Relationship Id="rId56" Type="http://schemas.openxmlformats.org/officeDocument/2006/relationships/hyperlink" Target="https://pmc.ncbi.nlm.nih.gov/articles/PMC11538343/" TargetMode="External"/><Relationship Id="rId77" Type="http://schemas.openxmlformats.org/officeDocument/2006/relationships/hyperlink" Target="https://pmc.ncbi.nlm.nih.gov/articles/PMC11538343/" TargetMode="External"/><Relationship Id="rId100" Type="http://schemas.openxmlformats.org/officeDocument/2006/relationships/hyperlink" Target="https://pmc.ncbi.nlm.nih.gov/articles/PMC11538343/" TargetMode="External"/><Relationship Id="rId8" Type="http://schemas.openxmlformats.org/officeDocument/2006/relationships/hyperlink" Target="https://pmc.ncbi.nlm.nih.gov/articles/PMC11538343/" TargetMode="External"/><Relationship Id="rId98" Type="http://schemas.openxmlformats.org/officeDocument/2006/relationships/hyperlink" Target="https://pmc.ncbi.nlm.nih.gov/articles/PMC11538343/" TargetMode="External"/><Relationship Id="rId121" Type="http://schemas.openxmlformats.org/officeDocument/2006/relationships/hyperlink" Target="https://pmc.ncbi.nlm.nih.gov/articles/PMC11538343/" TargetMode="External"/><Relationship Id="rId142" Type="http://schemas.openxmlformats.org/officeDocument/2006/relationships/hyperlink" Target="https://pmc.ncbi.nlm.nih.gov/articles/PMC11538343/" TargetMode="External"/><Relationship Id="rId163" Type="http://schemas.openxmlformats.org/officeDocument/2006/relationships/hyperlink" Target="https://www.ncbi.nlm.nih.gov/core/lw/2.0/html/tileshop_pmc/tileshop_pmc_inline.html?title=Click%20on%20image%20to%20zoom&amp;p=PMC3&amp;id=11538343_41467_2024_53837_Fig7_HTML.jpg" TargetMode="External"/><Relationship Id="rId184" Type="http://schemas.openxmlformats.org/officeDocument/2006/relationships/hyperlink" Target="https://pmc.ncbi.nlm.nih.gov/articles/PMC11538343/" TargetMode="External"/><Relationship Id="rId219" Type="http://schemas.openxmlformats.org/officeDocument/2006/relationships/hyperlink" Target="https://pmc.ncbi.nlm.nih.gov/articles/PMC11538343/" TargetMode="External"/><Relationship Id="rId3" Type="http://schemas.openxmlformats.org/officeDocument/2006/relationships/settings" Target="settings.xml"/><Relationship Id="rId214" Type="http://schemas.openxmlformats.org/officeDocument/2006/relationships/hyperlink" Target="https://pmc.ncbi.nlm.nih.gov/articles/PMC11538343/" TargetMode="External"/><Relationship Id="rId25" Type="http://schemas.openxmlformats.org/officeDocument/2006/relationships/hyperlink" Target="https://pmc.ncbi.nlm.nih.gov/articles/PMC11538343/" TargetMode="External"/><Relationship Id="rId46" Type="http://schemas.openxmlformats.org/officeDocument/2006/relationships/hyperlink" Target="https://pmc.ncbi.nlm.nih.gov/articles/PMC11538343/" TargetMode="External"/><Relationship Id="rId67" Type="http://schemas.openxmlformats.org/officeDocument/2006/relationships/image" Target="media/image3.jpeg"/><Relationship Id="rId116" Type="http://schemas.openxmlformats.org/officeDocument/2006/relationships/hyperlink" Target="https://pmc.ncbi.nlm.nih.gov/articles/PMC11538343/" TargetMode="External"/><Relationship Id="rId137" Type="http://schemas.openxmlformats.org/officeDocument/2006/relationships/hyperlink" Target="https://pmc.ncbi.nlm.nih.gov/articles/PMC11538343/" TargetMode="External"/><Relationship Id="rId158" Type="http://schemas.openxmlformats.org/officeDocument/2006/relationships/hyperlink" Target="https://pmc.ncbi.nlm.nih.gov/articles/PMC11538343/" TargetMode="External"/><Relationship Id="rId20" Type="http://schemas.openxmlformats.org/officeDocument/2006/relationships/hyperlink" Target="https://pmc.ncbi.nlm.nih.gov/articles/PMC11538343/" TargetMode="External"/><Relationship Id="rId41" Type="http://schemas.openxmlformats.org/officeDocument/2006/relationships/hyperlink" Target="https://pmc.ncbi.nlm.nih.gov/articles/PMC11538343/" TargetMode="External"/><Relationship Id="rId62" Type="http://schemas.openxmlformats.org/officeDocument/2006/relationships/hyperlink" Target="https://pmc.ncbi.nlm.nih.gov/articles/PMC11538343/" TargetMode="External"/><Relationship Id="rId83" Type="http://schemas.openxmlformats.org/officeDocument/2006/relationships/hyperlink" Target="https://pmc.ncbi.nlm.nih.gov/articles/PMC11538343/" TargetMode="External"/><Relationship Id="rId88" Type="http://schemas.openxmlformats.org/officeDocument/2006/relationships/hyperlink" Target="https://pmc.ncbi.nlm.nih.gov/articles/PMC11538343/" TargetMode="External"/><Relationship Id="rId111" Type="http://schemas.openxmlformats.org/officeDocument/2006/relationships/hyperlink" Target="https://pmc.ncbi.nlm.nih.gov/articles/PMC11538343/" TargetMode="External"/><Relationship Id="rId132" Type="http://schemas.openxmlformats.org/officeDocument/2006/relationships/hyperlink" Target="https://pmc.ncbi.nlm.nih.gov/articles/PMC11538343/" TargetMode="External"/><Relationship Id="rId153" Type="http://schemas.openxmlformats.org/officeDocument/2006/relationships/hyperlink" Target="https://pmc.ncbi.nlm.nih.gov/articles/PMC11538343/" TargetMode="External"/><Relationship Id="rId174" Type="http://schemas.openxmlformats.org/officeDocument/2006/relationships/hyperlink" Target="https://pmc.ncbi.nlm.nih.gov/articles/PMC11538343/" TargetMode="External"/><Relationship Id="rId179" Type="http://schemas.openxmlformats.org/officeDocument/2006/relationships/hyperlink" Target="https://pmc.ncbi.nlm.nih.gov/articles/PMC11538343/" TargetMode="External"/><Relationship Id="rId195" Type="http://schemas.openxmlformats.org/officeDocument/2006/relationships/hyperlink" Target="https://pmc.ncbi.nlm.nih.gov/articles/PMC11538343/" TargetMode="External"/><Relationship Id="rId209" Type="http://schemas.openxmlformats.org/officeDocument/2006/relationships/hyperlink" Target="https://pmc.ncbi.nlm.nih.gov/articles/PMC11538343/" TargetMode="External"/><Relationship Id="rId190" Type="http://schemas.openxmlformats.org/officeDocument/2006/relationships/hyperlink" Target="https://pmc.ncbi.nlm.nih.gov/articles/PMC11538343/" TargetMode="External"/><Relationship Id="rId204" Type="http://schemas.openxmlformats.org/officeDocument/2006/relationships/hyperlink" Target="https://pmc.ncbi.nlm.nih.gov/articles/PMC11538343/" TargetMode="External"/><Relationship Id="rId220" Type="http://schemas.openxmlformats.org/officeDocument/2006/relationships/hyperlink" Target="https://pmc.ncbi.nlm.nih.gov/articles/PMC11538343/" TargetMode="External"/><Relationship Id="rId225" Type="http://schemas.openxmlformats.org/officeDocument/2006/relationships/hyperlink" Target="https://pmc.ncbi.nlm.nih.gov/articles/PMC11538343/" TargetMode="External"/><Relationship Id="rId15" Type="http://schemas.openxmlformats.org/officeDocument/2006/relationships/hyperlink" Target="https://pmc.ncbi.nlm.nih.gov/articles/PMC11538343/" TargetMode="External"/><Relationship Id="rId36" Type="http://schemas.openxmlformats.org/officeDocument/2006/relationships/hyperlink" Target="https://pmc.ncbi.nlm.nih.gov/articles/PMC11538343/" TargetMode="External"/><Relationship Id="rId57" Type="http://schemas.openxmlformats.org/officeDocument/2006/relationships/hyperlink" Target="https://pmc.ncbi.nlm.nih.gov/articles/PMC11538343/" TargetMode="External"/><Relationship Id="rId106" Type="http://schemas.openxmlformats.org/officeDocument/2006/relationships/hyperlink" Target="https://pmc.ncbi.nlm.nih.gov/articles/PMC11538343/" TargetMode="External"/><Relationship Id="rId127" Type="http://schemas.openxmlformats.org/officeDocument/2006/relationships/hyperlink" Target="https://pmc.ncbi.nlm.nih.gov/articles/PMC11538343/" TargetMode="External"/><Relationship Id="rId10" Type="http://schemas.openxmlformats.org/officeDocument/2006/relationships/hyperlink" Target="https://pmc.ncbi.nlm.nih.gov/articles/PMC11538343/" TargetMode="External"/><Relationship Id="rId31" Type="http://schemas.openxmlformats.org/officeDocument/2006/relationships/hyperlink" Target="https://pmc.ncbi.nlm.nih.gov/articles/PMC11538343/" TargetMode="External"/><Relationship Id="rId52" Type="http://schemas.openxmlformats.org/officeDocument/2006/relationships/hyperlink" Target="https://pmc.ncbi.nlm.nih.gov/articles/PMC11538343/" TargetMode="External"/><Relationship Id="rId73" Type="http://schemas.openxmlformats.org/officeDocument/2006/relationships/hyperlink" Target="https://pmc.ncbi.nlm.nih.gov/articles/PMC11538343/" TargetMode="External"/><Relationship Id="rId78" Type="http://schemas.openxmlformats.org/officeDocument/2006/relationships/hyperlink" Target="https://pmc.ncbi.nlm.nih.gov/articles/PMC11538343/" TargetMode="External"/><Relationship Id="rId94" Type="http://schemas.openxmlformats.org/officeDocument/2006/relationships/hyperlink" Target="https://pmc.ncbi.nlm.nih.gov/articles/PMC11538343/" TargetMode="External"/><Relationship Id="rId99" Type="http://schemas.openxmlformats.org/officeDocument/2006/relationships/hyperlink" Target="https://pmc.ncbi.nlm.nih.gov/articles/PMC11538343/" TargetMode="External"/><Relationship Id="rId101" Type="http://schemas.openxmlformats.org/officeDocument/2006/relationships/hyperlink" Target="https://pmc.ncbi.nlm.nih.gov/articles/PMC11538343/" TargetMode="External"/><Relationship Id="rId122" Type="http://schemas.openxmlformats.org/officeDocument/2006/relationships/hyperlink" Target="https://pmc.ncbi.nlm.nih.gov/articles/PMC11538343/" TargetMode="External"/><Relationship Id="rId143" Type="http://schemas.openxmlformats.org/officeDocument/2006/relationships/hyperlink" Target="https://pmc.ncbi.nlm.nih.gov/articles/PMC11538343/" TargetMode="External"/><Relationship Id="rId148" Type="http://schemas.openxmlformats.org/officeDocument/2006/relationships/hyperlink" Target="https://pmc.ncbi.nlm.nih.gov/articles/PMC11538343/" TargetMode="External"/><Relationship Id="rId164" Type="http://schemas.openxmlformats.org/officeDocument/2006/relationships/image" Target="media/image7.jpeg"/><Relationship Id="rId169" Type="http://schemas.openxmlformats.org/officeDocument/2006/relationships/hyperlink" Target="https://pmc.ncbi.nlm.nih.gov/articles/PMC11538343/" TargetMode="External"/><Relationship Id="rId185" Type="http://schemas.openxmlformats.org/officeDocument/2006/relationships/hyperlink" Target="https://pmc.ncbi.nlm.nih.gov/articles/PMC11538343/" TargetMode="External"/><Relationship Id="rId4" Type="http://schemas.openxmlformats.org/officeDocument/2006/relationships/webSettings" Target="webSettings.xml"/><Relationship Id="rId9" Type="http://schemas.openxmlformats.org/officeDocument/2006/relationships/hyperlink" Target="https://pmc.ncbi.nlm.nih.gov/articles/PMC11538343/" TargetMode="External"/><Relationship Id="rId180" Type="http://schemas.openxmlformats.org/officeDocument/2006/relationships/hyperlink" Target="https://pmc.ncbi.nlm.nih.gov/articles/PMC11538343/" TargetMode="External"/><Relationship Id="rId210" Type="http://schemas.openxmlformats.org/officeDocument/2006/relationships/hyperlink" Target="https://pmc.ncbi.nlm.nih.gov/articles/PMC11538343/" TargetMode="External"/><Relationship Id="rId215" Type="http://schemas.openxmlformats.org/officeDocument/2006/relationships/hyperlink" Target="https://pmc.ncbi.nlm.nih.gov/articles/PMC11538343/" TargetMode="External"/><Relationship Id="rId26" Type="http://schemas.openxmlformats.org/officeDocument/2006/relationships/hyperlink" Target="https://pmc.ncbi.nlm.nih.gov/articles/PMC11538343/" TargetMode="External"/><Relationship Id="rId47" Type="http://schemas.openxmlformats.org/officeDocument/2006/relationships/hyperlink" Target="https://pmc.ncbi.nlm.nih.gov/articles/PMC11538343/" TargetMode="External"/><Relationship Id="rId68" Type="http://schemas.openxmlformats.org/officeDocument/2006/relationships/hyperlink" Target="https://pmc.ncbi.nlm.nih.gov/articles/PMC11538343/" TargetMode="External"/><Relationship Id="rId89" Type="http://schemas.openxmlformats.org/officeDocument/2006/relationships/hyperlink" Target="https://pmc.ncbi.nlm.nih.gov/articles/PMC11538343/" TargetMode="External"/><Relationship Id="rId112" Type="http://schemas.openxmlformats.org/officeDocument/2006/relationships/hyperlink" Target="https://pmc.ncbi.nlm.nih.gov/articles/PMC11538343/" TargetMode="External"/><Relationship Id="rId133" Type="http://schemas.openxmlformats.org/officeDocument/2006/relationships/hyperlink" Target="https://pmc.ncbi.nlm.nih.gov/articles/PMC11538343/" TargetMode="External"/><Relationship Id="rId154" Type="http://schemas.openxmlformats.org/officeDocument/2006/relationships/hyperlink" Target="https://pmc.ncbi.nlm.nih.gov/articles/PMC11538343/" TargetMode="External"/><Relationship Id="rId175" Type="http://schemas.openxmlformats.org/officeDocument/2006/relationships/hyperlink" Target="https://pmc.ncbi.nlm.nih.gov/articles/PMC11538343/" TargetMode="External"/><Relationship Id="rId196" Type="http://schemas.openxmlformats.org/officeDocument/2006/relationships/hyperlink" Target="https://pmc.ncbi.nlm.nih.gov/articles/PMC11538343/" TargetMode="External"/><Relationship Id="rId200" Type="http://schemas.openxmlformats.org/officeDocument/2006/relationships/hyperlink" Target="https://pmc.ncbi.nlm.nih.gov/articles/PMC11538343/" TargetMode="External"/><Relationship Id="rId16" Type="http://schemas.openxmlformats.org/officeDocument/2006/relationships/hyperlink" Target="https://pmc.ncbi.nlm.nih.gov/articles/PMC11538343/" TargetMode="External"/><Relationship Id="rId221" Type="http://schemas.openxmlformats.org/officeDocument/2006/relationships/hyperlink" Target="https://pmc.ncbi.nlm.nih.gov/articles/PMC11538343/" TargetMode="External"/><Relationship Id="rId37" Type="http://schemas.openxmlformats.org/officeDocument/2006/relationships/hyperlink" Target="https://pmc.ncbi.nlm.nih.gov/articles/PMC11538343/" TargetMode="External"/><Relationship Id="rId58" Type="http://schemas.openxmlformats.org/officeDocument/2006/relationships/hyperlink" Target="https://pmc.ncbi.nlm.nih.gov/articles/PMC11538343/" TargetMode="External"/><Relationship Id="rId79" Type="http://schemas.openxmlformats.org/officeDocument/2006/relationships/hyperlink" Target="https://pmc.ncbi.nlm.nih.gov/articles/PMC11538343/" TargetMode="External"/><Relationship Id="rId102" Type="http://schemas.openxmlformats.org/officeDocument/2006/relationships/hyperlink" Target="https://pmc.ncbi.nlm.nih.gov/articles/PMC11538343/" TargetMode="External"/><Relationship Id="rId123" Type="http://schemas.openxmlformats.org/officeDocument/2006/relationships/hyperlink" Target="https://pmc.ncbi.nlm.nih.gov/articles/PMC11538343/" TargetMode="External"/><Relationship Id="rId144" Type="http://schemas.openxmlformats.org/officeDocument/2006/relationships/hyperlink" Target="https://pmc.ncbi.nlm.nih.gov/articles/PMC11538343/" TargetMode="External"/><Relationship Id="rId90" Type="http://schemas.openxmlformats.org/officeDocument/2006/relationships/hyperlink" Target="https://pmc.ncbi.nlm.nih.gov/articles/PMC11538343/" TargetMode="External"/><Relationship Id="rId165" Type="http://schemas.openxmlformats.org/officeDocument/2006/relationships/hyperlink" Target="https://pmc.ncbi.nlm.nih.gov/articles/PMC11538343/" TargetMode="External"/><Relationship Id="rId186" Type="http://schemas.openxmlformats.org/officeDocument/2006/relationships/hyperlink" Target="https://pmc.ncbi.nlm.nih.gov/articles/PMC11538343/" TargetMode="External"/><Relationship Id="rId211" Type="http://schemas.openxmlformats.org/officeDocument/2006/relationships/hyperlink" Target="https://pmc.ncbi.nlm.nih.gov/articles/PMC11538343/" TargetMode="External"/><Relationship Id="rId27" Type="http://schemas.openxmlformats.org/officeDocument/2006/relationships/hyperlink" Target="https://pmc.ncbi.nlm.nih.gov/articles/PMC11538343/" TargetMode="External"/><Relationship Id="rId48" Type="http://schemas.openxmlformats.org/officeDocument/2006/relationships/hyperlink" Target="https://pmc.ncbi.nlm.nih.gov/articles/PMC11538343/" TargetMode="External"/><Relationship Id="rId69" Type="http://schemas.openxmlformats.org/officeDocument/2006/relationships/hyperlink" Target="https://pmc.ncbi.nlm.nih.gov/articles/PMC11538343/" TargetMode="External"/><Relationship Id="rId113" Type="http://schemas.openxmlformats.org/officeDocument/2006/relationships/hyperlink" Target="https://pmc.ncbi.nlm.nih.gov/articles/PMC11538343/" TargetMode="External"/><Relationship Id="rId134" Type="http://schemas.openxmlformats.org/officeDocument/2006/relationships/hyperlink" Target="https://pmc.ncbi.nlm.nih.gov/articles/PMC11538343/" TargetMode="External"/><Relationship Id="rId80" Type="http://schemas.openxmlformats.org/officeDocument/2006/relationships/hyperlink" Target="https://pmc.ncbi.nlm.nih.gov/articles/PMC11538343/" TargetMode="External"/><Relationship Id="rId155" Type="http://schemas.openxmlformats.org/officeDocument/2006/relationships/hyperlink" Target="https://pmc.ncbi.nlm.nih.gov/articles/PMC11538343/" TargetMode="External"/><Relationship Id="rId176" Type="http://schemas.openxmlformats.org/officeDocument/2006/relationships/hyperlink" Target="https://pmc.ncbi.nlm.nih.gov/articles/PMC11538343/" TargetMode="External"/><Relationship Id="rId197" Type="http://schemas.openxmlformats.org/officeDocument/2006/relationships/hyperlink" Target="https://pmc.ncbi.nlm.nih.gov/articles/PMC11538343/" TargetMode="External"/><Relationship Id="rId201" Type="http://schemas.openxmlformats.org/officeDocument/2006/relationships/hyperlink" Target="https://pmc.ncbi.nlm.nih.gov/articles/PMC11538343/" TargetMode="External"/><Relationship Id="rId222" Type="http://schemas.openxmlformats.org/officeDocument/2006/relationships/hyperlink" Target="https://pmc.ncbi.nlm.nih.gov/articles/PMC11538343/" TargetMode="External"/><Relationship Id="rId17" Type="http://schemas.openxmlformats.org/officeDocument/2006/relationships/hyperlink" Target="https://pmc.ncbi.nlm.nih.gov/articles/PMC11538343/" TargetMode="External"/><Relationship Id="rId38" Type="http://schemas.openxmlformats.org/officeDocument/2006/relationships/hyperlink" Target="https://pmc.ncbi.nlm.nih.gov/articles/PMC11538343/" TargetMode="External"/><Relationship Id="rId59" Type="http://schemas.openxmlformats.org/officeDocument/2006/relationships/hyperlink" Target="https://pmc.ncbi.nlm.nih.gov/articles/PMC11538343/" TargetMode="External"/><Relationship Id="rId103" Type="http://schemas.openxmlformats.org/officeDocument/2006/relationships/hyperlink" Target="https://pmc.ncbi.nlm.nih.gov/articles/PMC11538343/" TargetMode="External"/><Relationship Id="rId124" Type="http://schemas.openxmlformats.org/officeDocument/2006/relationships/hyperlink" Target="https://pmc.ncbi.nlm.nih.gov/articles/PMC11538343/" TargetMode="External"/><Relationship Id="rId70" Type="http://schemas.openxmlformats.org/officeDocument/2006/relationships/hyperlink" Target="https://pmc.ncbi.nlm.nih.gov/articles/PMC11538343/" TargetMode="External"/><Relationship Id="rId91" Type="http://schemas.openxmlformats.org/officeDocument/2006/relationships/hyperlink" Target="https://pmc.ncbi.nlm.nih.gov/articles/PMC11538343/" TargetMode="External"/><Relationship Id="rId145" Type="http://schemas.openxmlformats.org/officeDocument/2006/relationships/hyperlink" Target="https://pmc.ncbi.nlm.nih.gov/articles/PMC11538343/" TargetMode="External"/><Relationship Id="rId166" Type="http://schemas.openxmlformats.org/officeDocument/2006/relationships/hyperlink" Target="https://pmc.ncbi.nlm.nih.gov/articles/PMC11538343/" TargetMode="External"/><Relationship Id="rId187" Type="http://schemas.openxmlformats.org/officeDocument/2006/relationships/hyperlink" Target="https://pmc.ncbi.nlm.nih.gov/articles/PMC11538343/" TargetMode="External"/><Relationship Id="rId1" Type="http://schemas.openxmlformats.org/officeDocument/2006/relationships/numbering" Target="numbering.xml"/><Relationship Id="rId212" Type="http://schemas.openxmlformats.org/officeDocument/2006/relationships/hyperlink" Target="https://pmc.ncbi.nlm.nih.gov/articles/PMC11538343/" TargetMode="External"/><Relationship Id="rId28" Type="http://schemas.openxmlformats.org/officeDocument/2006/relationships/hyperlink" Target="https://www.ncbi.nlm.nih.gov/core/lw/2.0/html/tileshop_pmc/tileshop_pmc_inline.html?title=Click%20on%20image%20to%20zoom&amp;p=PMC3&amp;id=11538343_41467_2024_53837_Fig1_HTML.jpg" TargetMode="External"/><Relationship Id="rId49" Type="http://schemas.openxmlformats.org/officeDocument/2006/relationships/hyperlink" Target="https://pmc.ncbi.nlm.nih.gov/articles/PMC11538343/" TargetMode="External"/><Relationship Id="rId114" Type="http://schemas.openxmlformats.org/officeDocument/2006/relationships/hyperlink" Target="https://pmc.ncbi.nlm.nih.gov/articles/PMC11538343/" TargetMode="External"/><Relationship Id="rId60" Type="http://schemas.openxmlformats.org/officeDocument/2006/relationships/hyperlink" Target="https://www.ncbi.nlm.nih.gov/core/lw/2.0/html/tileshop_pmc/tileshop_pmc_inline.html?title=Click%20on%20image%20to%20zoom&amp;p=PMC3&amp;id=11538343_41467_2024_53837_Fig2_HTML.jpg" TargetMode="External"/><Relationship Id="rId81" Type="http://schemas.openxmlformats.org/officeDocument/2006/relationships/hyperlink" Target="https://pmc.ncbi.nlm.nih.gov/articles/PMC11538343/" TargetMode="External"/><Relationship Id="rId135" Type="http://schemas.openxmlformats.org/officeDocument/2006/relationships/hyperlink" Target="https://pmc.ncbi.nlm.nih.gov/articles/PMC11538343/" TargetMode="External"/><Relationship Id="rId156" Type="http://schemas.openxmlformats.org/officeDocument/2006/relationships/hyperlink" Target="https://pmc.ncbi.nlm.nih.gov/articles/PMC11538343/" TargetMode="External"/><Relationship Id="rId177" Type="http://schemas.openxmlformats.org/officeDocument/2006/relationships/hyperlink" Target="https://pmc.ncbi.nlm.nih.gov/articles/PMC11538343/" TargetMode="External"/><Relationship Id="rId198" Type="http://schemas.openxmlformats.org/officeDocument/2006/relationships/hyperlink" Target="https://pmc.ncbi.nlm.nih.gov/articles/PMC11538343/" TargetMode="External"/><Relationship Id="rId202" Type="http://schemas.openxmlformats.org/officeDocument/2006/relationships/hyperlink" Target="https://pmc.ncbi.nlm.nih.gov/articles/PMC11538343/" TargetMode="External"/><Relationship Id="rId223" Type="http://schemas.openxmlformats.org/officeDocument/2006/relationships/hyperlink" Target="https://pmc.ncbi.nlm.nih.gov/articles/PMC11538343/" TargetMode="External"/><Relationship Id="rId18" Type="http://schemas.openxmlformats.org/officeDocument/2006/relationships/hyperlink" Target="https://pmc.ncbi.nlm.nih.gov/articles/PMC11538343/" TargetMode="External"/><Relationship Id="rId39" Type="http://schemas.openxmlformats.org/officeDocument/2006/relationships/hyperlink" Target="https://pmc.ncbi.nlm.nih.gov/articles/PMC11538343/" TargetMode="External"/><Relationship Id="rId50" Type="http://schemas.openxmlformats.org/officeDocument/2006/relationships/hyperlink" Target="https://pmc.ncbi.nlm.nih.gov/articles/PMC11538343/" TargetMode="External"/><Relationship Id="rId104" Type="http://schemas.openxmlformats.org/officeDocument/2006/relationships/hyperlink" Target="https://pmc.ncbi.nlm.nih.gov/articles/PMC11538343/" TargetMode="External"/><Relationship Id="rId125" Type="http://schemas.openxmlformats.org/officeDocument/2006/relationships/hyperlink" Target="https://pmc.ncbi.nlm.nih.gov/articles/PMC11538343/" TargetMode="External"/><Relationship Id="rId146" Type="http://schemas.openxmlformats.org/officeDocument/2006/relationships/hyperlink" Target="https://pmc.ncbi.nlm.nih.gov/articles/PMC11538343/" TargetMode="External"/><Relationship Id="rId167" Type="http://schemas.openxmlformats.org/officeDocument/2006/relationships/hyperlink" Target="https://pmc.ncbi.nlm.nih.gov/articles/PMC11538343/" TargetMode="External"/><Relationship Id="rId188" Type="http://schemas.openxmlformats.org/officeDocument/2006/relationships/hyperlink" Target="https://pmc.ncbi.nlm.nih.gov/articles/PMC11538343/" TargetMode="External"/><Relationship Id="rId71" Type="http://schemas.openxmlformats.org/officeDocument/2006/relationships/hyperlink" Target="https://pmc.ncbi.nlm.nih.gov/articles/PMC11538343/" TargetMode="External"/><Relationship Id="rId92" Type="http://schemas.openxmlformats.org/officeDocument/2006/relationships/hyperlink" Target="https://pmc.ncbi.nlm.nih.gov/articles/PMC11538343/" TargetMode="External"/><Relationship Id="rId213" Type="http://schemas.openxmlformats.org/officeDocument/2006/relationships/hyperlink" Target="https://pmc.ncbi.nlm.nih.gov/articles/PMC11538343/" TargetMode="External"/><Relationship Id="rId2" Type="http://schemas.openxmlformats.org/officeDocument/2006/relationships/styles" Target="styles.xml"/><Relationship Id="rId29" Type="http://schemas.openxmlformats.org/officeDocument/2006/relationships/image" Target="media/image1.jpeg"/><Relationship Id="rId40" Type="http://schemas.openxmlformats.org/officeDocument/2006/relationships/hyperlink" Target="https://pmc.ncbi.nlm.nih.gov/articles/PMC11538343/" TargetMode="External"/><Relationship Id="rId115" Type="http://schemas.openxmlformats.org/officeDocument/2006/relationships/hyperlink" Target="https://pmc.ncbi.nlm.nih.gov/articles/PMC11538343/" TargetMode="External"/><Relationship Id="rId136" Type="http://schemas.openxmlformats.org/officeDocument/2006/relationships/hyperlink" Target="https://pmc.ncbi.nlm.nih.gov/articles/PMC11538343/" TargetMode="External"/><Relationship Id="rId157" Type="http://schemas.openxmlformats.org/officeDocument/2006/relationships/hyperlink" Target="https://pmc.ncbi.nlm.nih.gov/articles/PMC11538343/" TargetMode="External"/><Relationship Id="rId178" Type="http://schemas.openxmlformats.org/officeDocument/2006/relationships/hyperlink" Target="https://pmc.ncbi.nlm.nih.gov/articles/PMC11538343/" TargetMode="External"/><Relationship Id="rId61" Type="http://schemas.openxmlformats.org/officeDocument/2006/relationships/image" Target="media/image2.jpeg"/><Relationship Id="rId82" Type="http://schemas.openxmlformats.org/officeDocument/2006/relationships/hyperlink" Target="https://pmc.ncbi.nlm.nih.gov/articles/PMC11538343/" TargetMode="External"/><Relationship Id="rId199" Type="http://schemas.openxmlformats.org/officeDocument/2006/relationships/hyperlink" Target="https://pmc.ncbi.nlm.nih.gov/articles/PMC11538343/" TargetMode="External"/><Relationship Id="rId203" Type="http://schemas.openxmlformats.org/officeDocument/2006/relationships/hyperlink" Target="https://pmc.ncbi.nlm.nih.gov/articles/PMC11538343/" TargetMode="External"/><Relationship Id="rId19" Type="http://schemas.openxmlformats.org/officeDocument/2006/relationships/hyperlink" Target="https://pmc.ncbi.nlm.nih.gov/articles/PMC11538343/" TargetMode="External"/><Relationship Id="rId224" Type="http://schemas.openxmlformats.org/officeDocument/2006/relationships/hyperlink" Target="https://pmc.ncbi.nlm.nih.gov/articles/PMC11538343/" TargetMode="External"/><Relationship Id="rId30" Type="http://schemas.openxmlformats.org/officeDocument/2006/relationships/hyperlink" Target="https://pmc.ncbi.nlm.nih.gov/articles/PMC11538343/" TargetMode="External"/><Relationship Id="rId105" Type="http://schemas.openxmlformats.org/officeDocument/2006/relationships/hyperlink" Target="https://pmc.ncbi.nlm.nih.gov/articles/PMC11538343/" TargetMode="External"/><Relationship Id="rId126" Type="http://schemas.openxmlformats.org/officeDocument/2006/relationships/hyperlink" Target="https://pmc.ncbi.nlm.nih.gov/articles/PMC11538343/" TargetMode="External"/><Relationship Id="rId147" Type="http://schemas.openxmlformats.org/officeDocument/2006/relationships/hyperlink" Target="https://pmc.ncbi.nlm.nih.gov/articles/PMC11538343/" TargetMode="External"/><Relationship Id="rId168" Type="http://schemas.openxmlformats.org/officeDocument/2006/relationships/hyperlink" Target="https://pmc.ncbi.nlm.nih.gov/articles/PMC11538343/" TargetMode="External"/><Relationship Id="rId51" Type="http://schemas.openxmlformats.org/officeDocument/2006/relationships/hyperlink" Target="https://pmc.ncbi.nlm.nih.gov/articles/PMC11538343/" TargetMode="External"/><Relationship Id="rId72" Type="http://schemas.openxmlformats.org/officeDocument/2006/relationships/hyperlink" Target="https://pmc.ncbi.nlm.nih.gov/articles/PMC11538343/" TargetMode="External"/><Relationship Id="rId93" Type="http://schemas.openxmlformats.org/officeDocument/2006/relationships/hyperlink" Target="https://pmc.ncbi.nlm.nih.gov/articles/PMC11538343/" TargetMode="External"/><Relationship Id="rId189" Type="http://schemas.openxmlformats.org/officeDocument/2006/relationships/hyperlink" Target="https://pmc.ncbi.nlm.nih.gov/articles/PMC1153834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53</Pages>
  <Words>8026</Words>
  <Characters>45754</Characters>
  <Application>Microsoft Office Word</Application>
  <DocSecurity>0</DocSecurity>
  <Lines>381</Lines>
  <Paragraphs>107</Paragraphs>
  <ScaleCrop>false</ScaleCrop>
  <Company/>
  <LinksUpToDate>false</LinksUpToDate>
  <CharactersWithSpaces>53673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3</cp:revision>
  <dcterms:created xsi:type="dcterms:W3CDTF">2025-12-21T10:57:00Z</dcterms:created>
  <dcterms:modified xsi:type="dcterms:W3CDTF">2025-12-21T11:08:00Z</dcterms:modified>
</cp:coreProperties>
</file>