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7D58CB" w14:textId="77777777" w:rsidR="00C03604" w:rsidRPr="00C03604" w:rsidRDefault="00C03604" w:rsidP="00C03604">
      <w:pPr>
        <w:widowControl/>
        <w:spacing w:line="450" w:lineRule="atLeast"/>
        <w:outlineLvl w:val="0"/>
        <w:rPr>
          <w:rFonts w:ascii="微软雅黑" w:eastAsia="微软雅黑" w:hAnsi="微软雅黑" w:cs="宋体"/>
          <w:b/>
          <w:bCs/>
          <w:kern w:val="36"/>
          <w:sz w:val="36"/>
          <w:szCs w:val="36"/>
        </w:rPr>
      </w:pPr>
      <w:r w:rsidRPr="00C03604">
        <w:rPr>
          <w:rFonts w:ascii="微软雅黑" w:eastAsia="微软雅黑" w:hAnsi="微软雅黑" w:cs="宋体"/>
          <w:b/>
          <w:bCs/>
          <w:kern w:val="36"/>
          <w:sz w:val="36"/>
          <w:szCs w:val="36"/>
        </w:rPr>
        <w:t>ACK1通过表观遗传重编程细胞周期基因，促进乳腺癌对CDK4/6抑制剂产生耐药性。</w:t>
      </w:r>
    </w:p>
    <w:p w14:paraId="60C0684F" w14:textId="6BFE05E5" w:rsidR="00C03604" w:rsidRPr="00C03604" w:rsidRDefault="00C03604" w:rsidP="00C03604">
      <w:pPr>
        <w:widowControl/>
        <w:pBdr>
          <w:bottom w:val="single" w:sz="6" w:space="0" w:color="97B1C8"/>
        </w:pBdr>
        <w:spacing w:line="450" w:lineRule="atLeast"/>
        <w:outlineLvl w:val="1"/>
        <w:rPr>
          <w:rFonts w:ascii="微软雅黑" w:eastAsia="微软雅黑" w:hAnsi="微软雅黑" w:cs="宋体"/>
          <w:kern w:val="0"/>
          <w:sz w:val="34"/>
          <w:szCs w:val="34"/>
        </w:rPr>
      </w:pPr>
      <w:r w:rsidRPr="00C03604">
        <w:rPr>
          <w:rFonts w:ascii="微软雅黑" w:eastAsia="微软雅黑" w:hAnsi="微软雅黑" w:cs="宋体" w:hint="eastAsia"/>
          <w:kern w:val="0"/>
          <w:sz w:val="34"/>
          <w:szCs w:val="34"/>
        </w:rPr>
        <w:t>摘要</w:t>
      </w:r>
    </w:p>
    <w:p w14:paraId="506E771D" w14:textId="77777777"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kern w:val="0"/>
          <w:sz w:val="24"/>
          <w:szCs w:val="24"/>
        </w:rPr>
        <w:t>激素受体阳性、HER2阴性的晚期乳腺癌对CDK4/6抑制剂（如帕博西尼）高度敏感。然而，大多数患者最终都会产生耐药性，因此，寻找新的</w:t>
      </w:r>
      <w:proofErr w:type="gramStart"/>
      <w:r w:rsidRPr="00C03604">
        <w:rPr>
          <w:rFonts w:ascii="微软雅黑" w:eastAsia="微软雅黑" w:hAnsi="微软雅黑" w:cs="宋体"/>
          <w:kern w:val="0"/>
          <w:sz w:val="24"/>
          <w:szCs w:val="24"/>
        </w:rPr>
        <w:t>可靶向治疗</w:t>
      </w:r>
      <w:proofErr w:type="gramEnd"/>
      <w:r w:rsidRPr="00C03604">
        <w:rPr>
          <w:rFonts w:ascii="微软雅黑" w:eastAsia="微软雅黑" w:hAnsi="微软雅黑" w:cs="宋体"/>
          <w:kern w:val="0"/>
          <w:sz w:val="24"/>
          <w:szCs w:val="24"/>
        </w:rPr>
        <w:t>靶点以克服复发性疾病迫在眉睫。组织芯片的免疫组化研究显示，大多数乳腺癌亚型中非受体酪氨酸激酶ACK1（也称为TNK2）的激活增强，且与激素受体状态无关。染色质免疫沉淀研究表明，激活的ACK1的核靶点pY88-H4表观遗传标记沉积在细胞周期基因</w:t>
      </w:r>
      <w:r w:rsidRPr="00C03604">
        <w:rPr>
          <w:rFonts w:ascii="微软雅黑" w:eastAsia="微软雅黑" w:hAnsi="微软雅黑" w:cs="宋体"/>
          <w:i/>
          <w:iCs/>
          <w:kern w:val="0"/>
          <w:sz w:val="24"/>
          <w:szCs w:val="24"/>
        </w:rPr>
        <w:t>CCNB1、CCNB2</w:t>
      </w:r>
      <w:r w:rsidRPr="00C03604">
        <w:rPr>
          <w:rFonts w:ascii="微软雅黑" w:eastAsia="微软雅黑" w:hAnsi="微软雅黑" w:cs="宋体"/>
          <w:kern w:val="0"/>
          <w:sz w:val="24"/>
          <w:szCs w:val="24"/>
        </w:rPr>
        <w:t>和</w:t>
      </w:r>
      <w:r w:rsidRPr="00C03604">
        <w:rPr>
          <w:rFonts w:ascii="微软雅黑" w:eastAsia="微软雅黑" w:hAnsi="微软雅黑" w:cs="宋体"/>
          <w:i/>
          <w:iCs/>
          <w:kern w:val="0"/>
          <w:sz w:val="24"/>
          <w:szCs w:val="24"/>
        </w:rPr>
        <w:t>CDC20</w:t>
      </w:r>
      <w:r w:rsidRPr="00C03604">
        <w:rPr>
          <w:rFonts w:ascii="微软雅黑" w:eastAsia="微软雅黑" w:hAnsi="微软雅黑" w:cs="宋体"/>
          <w:kern w:val="0"/>
          <w:sz w:val="24"/>
          <w:szCs w:val="24"/>
        </w:rPr>
        <w:t>上，进而启动这些基因的有效转录。使用ACK1抑制剂(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进行药理学抑制可降低</w:t>
      </w:r>
      <w:r w:rsidRPr="00C03604">
        <w:rPr>
          <w:rFonts w:ascii="微软雅黑" w:eastAsia="微软雅黑" w:hAnsi="微软雅黑" w:cs="宋体"/>
          <w:i/>
          <w:iCs/>
          <w:kern w:val="0"/>
          <w:sz w:val="24"/>
          <w:szCs w:val="24"/>
        </w:rPr>
        <w:t>CCNB1、CCNB2</w:t>
      </w:r>
      <w:r w:rsidRPr="00C03604">
        <w:rPr>
          <w:rFonts w:ascii="微软雅黑" w:eastAsia="微软雅黑" w:hAnsi="微软雅黑" w:cs="宋体"/>
          <w:kern w:val="0"/>
          <w:sz w:val="24"/>
          <w:szCs w:val="24"/>
        </w:rPr>
        <w:t>和</w:t>
      </w:r>
      <w:r w:rsidRPr="00C03604">
        <w:rPr>
          <w:rFonts w:ascii="微软雅黑" w:eastAsia="微软雅黑" w:hAnsi="微软雅黑" w:cs="宋体"/>
          <w:i/>
          <w:iCs/>
          <w:kern w:val="0"/>
          <w:sz w:val="24"/>
          <w:szCs w:val="24"/>
        </w:rPr>
        <w:t>CDC20的</w:t>
      </w:r>
      <w:r w:rsidRPr="00C03604">
        <w:rPr>
          <w:rFonts w:ascii="微软雅黑" w:eastAsia="微软雅黑" w:hAnsi="微软雅黑" w:cs="宋体"/>
          <w:kern w:val="0"/>
          <w:sz w:val="24"/>
          <w:szCs w:val="24"/>
        </w:rPr>
        <w:t>表达，导致G2/M期阻滞，最终使帕博西尼耐药的乳腺肿瘤生长消退。此外，(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抑制了CXCR4受体的表达，从而显著抑制了乳腺癌细胞向肺的转移。总而言之，我们的临床前数据表明，活化的ACK1是一种癌基因，它通过表观遗传机制调控乳腺癌细胞中G2/M期转换相关的细胞周期基因。ACK1抑制剂(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可能为对CDK4/6抑制剂产生耐药性的乳腺癌患者提供一种新的治疗选择。</w:t>
      </w:r>
    </w:p>
    <w:p w14:paraId="38DC7A43" w14:textId="77777777" w:rsidR="00C03604" w:rsidRPr="00C03604" w:rsidRDefault="00C03604" w:rsidP="00C03604">
      <w:pPr>
        <w:widowControl/>
        <w:rPr>
          <w:rFonts w:ascii="微软雅黑" w:eastAsia="微软雅黑" w:hAnsi="微软雅黑" w:cs="宋体"/>
          <w:kern w:val="0"/>
          <w:sz w:val="24"/>
          <w:szCs w:val="24"/>
        </w:rPr>
      </w:pPr>
      <w:r w:rsidRPr="00C03604">
        <w:rPr>
          <w:rFonts w:ascii="微软雅黑" w:eastAsia="微软雅黑" w:hAnsi="微软雅黑" w:cs="宋体"/>
          <w:b/>
          <w:bCs/>
          <w:kern w:val="0"/>
          <w:sz w:val="24"/>
          <w:szCs w:val="24"/>
        </w:rPr>
        <w:t>主题词：</w:t>
      </w:r>
      <w:r w:rsidRPr="00C03604">
        <w:rPr>
          <w:rFonts w:ascii="微软雅黑" w:eastAsia="微软雅黑" w:hAnsi="微软雅黑" w:cs="宋体"/>
          <w:kern w:val="0"/>
          <w:sz w:val="24"/>
          <w:szCs w:val="24"/>
        </w:rPr>
        <w:t>癌症基因组学、基因沉默、化疗</w:t>
      </w:r>
    </w:p>
    <w:p w14:paraId="7D4B374D" w14:textId="77777777" w:rsidR="00C03604" w:rsidRPr="00C03604" w:rsidRDefault="00C03604" w:rsidP="00C03604">
      <w:pPr>
        <w:widowControl/>
        <w:pBdr>
          <w:bottom w:val="single" w:sz="6" w:space="0" w:color="97B1C8"/>
        </w:pBdr>
        <w:spacing w:line="450" w:lineRule="atLeast"/>
        <w:outlineLvl w:val="1"/>
        <w:rPr>
          <w:rFonts w:ascii="微软雅黑" w:eastAsia="微软雅黑" w:hAnsi="微软雅黑" w:cs="宋体"/>
          <w:kern w:val="0"/>
          <w:sz w:val="34"/>
          <w:szCs w:val="34"/>
        </w:rPr>
      </w:pPr>
      <w:r w:rsidRPr="00C03604">
        <w:rPr>
          <w:rFonts w:ascii="微软雅黑" w:eastAsia="微软雅黑" w:hAnsi="微软雅黑" w:cs="宋体"/>
          <w:kern w:val="0"/>
          <w:sz w:val="34"/>
          <w:szCs w:val="34"/>
        </w:rPr>
        <w:t>介绍</w:t>
      </w:r>
    </w:p>
    <w:p w14:paraId="49957271" w14:textId="77777777"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kern w:val="0"/>
          <w:sz w:val="24"/>
          <w:szCs w:val="24"/>
        </w:rPr>
        <w:t>乳腺癌是女性最常见的癌症，也是全球女性癌症相关死亡的主要原因之一[ </w:t>
      </w:r>
      <w:hyperlink r:id="rId5" w:anchor="CR1" w:history="1">
        <w:r w:rsidRPr="00C03604">
          <w:rPr>
            <w:rFonts w:ascii="微软雅黑" w:eastAsia="微软雅黑" w:hAnsi="微软雅黑" w:cs="宋体"/>
            <w:kern w:val="0"/>
            <w:sz w:val="24"/>
            <w:szCs w:val="24"/>
            <w:u w:val="single"/>
          </w:rPr>
          <w:t>1</w:t>
        </w:r>
      </w:hyperlink>
      <w:r w:rsidRPr="00C03604">
        <w:rPr>
          <w:rFonts w:ascii="微软雅黑" w:eastAsia="微软雅黑" w:hAnsi="微软雅黑" w:cs="宋体"/>
          <w:kern w:val="0"/>
          <w:sz w:val="24"/>
          <w:szCs w:val="24"/>
        </w:rPr>
        <w:t> ]。雌激素受体（ER）是一种核激素受体，可调节一组特定基因的表达；绝大多数乳腺癌为雌激素受体（ER）阳性，其中约65%也为孕激素受体（PR）阳性[ </w:t>
      </w:r>
      <w:hyperlink r:id="rId6" w:anchor="CR2" w:history="1">
        <w:r w:rsidRPr="00C03604">
          <w:rPr>
            <w:rFonts w:ascii="微软雅黑" w:eastAsia="微软雅黑" w:hAnsi="微软雅黑" w:cs="宋体"/>
            <w:kern w:val="0"/>
            <w:sz w:val="24"/>
            <w:szCs w:val="24"/>
            <w:u w:val="single"/>
          </w:rPr>
          <w:t>2</w:t>
        </w:r>
      </w:hyperlink>
      <w:r w:rsidRPr="00C03604">
        <w:rPr>
          <w:rFonts w:ascii="微软雅黑" w:eastAsia="微软雅黑" w:hAnsi="微软雅黑" w:cs="宋体"/>
          <w:kern w:val="0"/>
          <w:sz w:val="24"/>
          <w:szCs w:val="24"/>
        </w:rPr>
        <w:t> ]。</w:t>
      </w:r>
      <w:r w:rsidRPr="00C03604">
        <w:rPr>
          <w:rFonts w:ascii="微软雅黑" w:eastAsia="微软雅黑" w:hAnsi="微软雅黑" w:cs="宋体"/>
          <w:kern w:val="0"/>
          <w:sz w:val="24"/>
          <w:szCs w:val="24"/>
        </w:rPr>
        <w:lastRenderedPageBreak/>
        <w:t>虽然大多数ER</w:t>
      </w:r>
      <w:r w:rsidRPr="00C03604">
        <w:rPr>
          <w:rFonts w:ascii="微软雅黑" w:eastAsia="微软雅黑" w:hAnsi="微软雅黑" w:cs="宋体"/>
          <w:kern w:val="0"/>
          <w:sz w:val="24"/>
          <w:szCs w:val="24"/>
          <w:vertAlign w:val="superscript"/>
        </w:rPr>
        <w:t>阳性</w:t>
      </w:r>
      <w:r w:rsidRPr="00C03604">
        <w:rPr>
          <w:rFonts w:ascii="微软雅黑" w:eastAsia="微软雅黑" w:hAnsi="微软雅黑" w:cs="宋体"/>
          <w:kern w:val="0"/>
          <w:sz w:val="24"/>
          <w:szCs w:val="24"/>
        </w:rPr>
        <w:t>乳腺癌最初可能对激素治疗（也称为内分泌治疗）有反应，但15-20%的肿瘤本身就对治疗有耐药性，另有30-40%的肿瘤会在多年治疗过程中逐渐产生耐药性。多种机制已被证实与耐药性相关，包括雌激素受体（ER）及其共激活因子/抑制因子的表达失调[ </w:t>
      </w:r>
      <w:hyperlink r:id="rId7" w:anchor="CR3" w:history="1">
        <w:r w:rsidRPr="00C03604">
          <w:rPr>
            <w:rFonts w:ascii="微软雅黑" w:eastAsia="微软雅黑" w:hAnsi="微软雅黑" w:cs="宋体"/>
            <w:kern w:val="0"/>
            <w:sz w:val="24"/>
            <w:szCs w:val="24"/>
            <w:u w:val="single"/>
          </w:rPr>
          <w:t>3</w:t>
        </w:r>
      </w:hyperlink>
      <w:r w:rsidRPr="00C03604">
        <w:rPr>
          <w:rFonts w:ascii="微软雅黑" w:eastAsia="微软雅黑" w:hAnsi="微软雅黑" w:cs="宋体"/>
          <w:kern w:val="0"/>
          <w:sz w:val="24"/>
          <w:szCs w:val="24"/>
        </w:rPr>
        <w:t> ]、异常的受体/非受体酪氨酸激酶活性、编码ER的</w:t>
      </w:r>
      <w:r w:rsidRPr="00C03604">
        <w:rPr>
          <w:rFonts w:ascii="微软雅黑" w:eastAsia="微软雅黑" w:hAnsi="微软雅黑" w:cs="宋体"/>
          <w:i/>
          <w:iCs/>
          <w:kern w:val="0"/>
          <w:sz w:val="24"/>
          <w:szCs w:val="24"/>
        </w:rPr>
        <w:t>ESR1基因</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"CR9"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的</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高突变率和表观遗传改变[ </w:t>
      </w:r>
      <w:hyperlink r:id="rId8" w:anchor="CR4" w:history="1">
        <w:r w:rsidRPr="00C03604">
          <w:rPr>
            <w:rFonts w:ascii="微软雅黑" w:eastAsia="微软雅黑" w:hAnsi="微软雅黑" w:cs="宋体"/>
            <w:kern w:val="0"/>
            <w:sz w:val="24"/>
            <w:szCs w:val="24"/>
            <w:u w:val="single"/>
          </w:rPr>
          <w:t>4-6</w:t>
        </w:r>
      </w:hyperlink>
      <w:r w:rsidRPr="00C03604">
        <w:rPr>
          <w:rFonts w:ascii="微软雅黑" w:eastAsia="微软雅黑" w:hAnsi="微软雅黑" w:cs="宋体"/>
          <w:kern w:val="0"/>
          <w:sz w:val="24"/>
          <w:szCs w:val="24"/>
        </w:rPr>
        <w:t> ]、截短变体的表达[ </w:t>
      </w:r>
      <w:hyperlink r:id="rId9" w:anchor="CR6" w:history="1">
        <w:r w:rsidRPr="00C03604">
          <w:rPr>
            <w:rFonts w:ascii="微软雅黑" w:eastAsia="微软雅黑" w:hAnsi="微软雅黑" w:cs="宋体"/>
            <w:kern w:val="0"/>
            <w:sz w:val="24"/>
            <w:szCs w:val="24"/>
            <w:u w:val="single"/>
          </w:rPr>
          <w:t>7</w:t>
        </w:r>
      </w:hyperlink>
      <w:r w:rsidRPr="00C03604">
        <w:rPr>
          <w:rFonts w:ascii="微软雅黑" w:eastAsia="微软雅黑" w:hAnsi="微软雅黑" w:cs="宋体"/>
          <w:kern w:val="0"/>
          <w:sz w:val="24"/>
          <w:szCs w:val="24"/>
        </w:rPr>
        <w:t> ]以及细胞周期失调[ 8,9 </w:t>
      </w:r>
      <w:hyperlink r:id="rId10" w:anchor="CR8" w:history="1">
        <w:r w:rsidRPr="00C03604">
          <w:rPr>
            <w:rFonts w:ascii="微软雅黑" w:eastAsia="微软雅黑" w:hAnsi="微软雅黑" w:cs="宋体"/>
            <w:kern w:val="0"/>
            <w:sz w:val="24"/>
            <w:szCs w:val="24"/>
            <w:u w:val="single"/>
          </w:rPr>
          <w:t>] 。另一方面，由于缺乏特定的分子驱动因素，靶</w:t>
        </w:r>
        <w:proofErr w:type="gramStart"/>
        <w:r w:rsidRPr="00C03604">
          <w:rPr>
            <w:rFonts w:ascii="微软雅黑" w:eastAsia="微软雅黑" w:hAnsi="微软雅黑" w:cs="宋体"/>
            <w:kern w:val="0"/>
            <w:sz w:val="24"/>
            <w:szCs w:val="24"/>
            <w:u w:val="single"/>
          </w:rPr>
          <w:t>向治疗三</w:t>
        </w:r>
        <w:proofErr w:type="gramEnd"/>
        <w:r w:rsidRPr="00C03604">
          <w:rPr>
            <w:rFonts w:ascii="微软雅黑" w:eastAsia="微软雅黑" w:hAnsi="微软雅黑" w:cs="宋体"/>
            <w:kern w:val="0"/>
            <w:sz w:val="24"/>
            <w:szCs w:val="24"/>
            <w:u w:val="single"/>
          </w:rPr>
          <w:t>阴性乳腺癌</w:t>
        </w:r>
      </w:hyperlink>
      <w:hyperlink r:id="rId11" w:anchor="CR7" w:history="1">
        <w:r w:rsidRPr="00C03604">
          <w:rPr>
            <w:rFonts w:ascii="微软雅黑" w:eastAsia="微软雅黑" w:hAnsi="微软雅黑" w:cs="宋体"/>
            <w:kern w:val="0"/>
            <w:sz w:val="24"/>
            <w:szCs w:val="24"/>
            <w:u w:val="single"/>
          </w:rPr>
          <w:t>（</w:t>
        </w:r>
      </w:hyperlink>
      <w:r w:rsidRPr="00C03604">
        <w:rPr>
          <w:rFonts w:ascii="微软雅黑" w:eastAsia="微软雅黑" w:hAnsi="微软雅黑" w:cs="宋体"/>
          <w:kern w:val="0"/>
          <w:sz w:val="24"/>
          <w:szCs w:val="24"/>
        </w:rPr>
        <w:t> TNBC ）已成为一项重大挑战。目前，细胞毒性化疗是治疗TNBC患者的主要方法[ </w:t>
      </w:r>
      <w:hyperlink r:id="rId12" w:anchor="CR10" w:history="1">
        <w:r w:rsidRPr="00C03604">
          <w:rPr>
            <w:rFonts w:ascii="微软雅黑" w:eastAsia="微软雅黑" w:hAnsi="微软雅黑" w:cs="宋体"/>
            <w:kern w:val="0"/>
            <w:sz w:val="24"/>
            <w:szCs w:val="24"/>
            <w:u w:val="single"/>
          </w:rPr>
          <w:t>10</w:t>
        </w:r>
      </w:hyperlink>
      <w:r w:rsidRPr="00C03604">
        <w:rPr>
          <w:rFonts w:ascii="微软雅黑" w:eastAsia="微软雅黑" w:hAnsi="微软雅黑" w:cs="宋体"/>
          <w:kern w:val="0"/>
          <w:sz w:val="24"/>
          <w:szCs w:val="24"/>
        </w:rPr>
        <w:t> ]，然而，TNBC表现出的高度染色体不稳定性赋予其侵袭性和更强的抵抗力，最终导致早期复发[ </w:t>
      </w:r>
      <w:hyperlink r:id="rId13" w:anchor="CR11" w:history="1">
        <w:r w:rsidRPr="00C03604">
          <w:rPr>
            <w:rFonts w:ascii="微软雅黑" w:eastAsia="微软雅黑" w:hAnsi="微软雅黑" w:cs="宋体"/>
            <w:kern w:val="0"/>
            <w:sz w:val="24"/>
            <w:szCs w:val="24"/>
            <w:u w:val="single"/>
          </w:rPr>
          <w:t>11,12 ]。总而言之，对现有疗法的耐药性不可避免</w:t>
        </w:r>
      </w:hyperlink>
      <w:hyperlink r:id="rId14" w:anchor="CR12" w:history="1">
        <w:r w:rsidRPr="00C03604">
          <w:rPr>
            <w:rFonts w:ascii="微软雅黑" w:eastAsia="微软雅黑" w:hAnsi="微软雅黑" w:cs="宋体"/>
            <w:kern w:val="0"/>
            <w:sz w:val="24"/>
            <w:szCs w:val="24"/>
            <w:u w:val="single"/>
          </w:rPr>
          <w:t>，</w:t>
        </w:r>
      </w:hyperlink>
      <w:r w:rsidRPr="00C03604">
        <w:rPr>
          <w:rFonts w:ascii="微软雅黑" w:eastAsia="微软雅黑" w:hAnsi="微软雅黑" w:cs="宋体"/>
          <w:kern w:val="0"/>
          <w:sz w:val="24"/>
          <w:szCs w:val="24"/>
        </w:rPr>
        <w:t>因此亟需开发新的靶点和治疗药物，以克服肿瘤生长驱动的信号通路。</w:t>
      </w:r>
    </w:p>
    <w:p w14:paraId="0554416E" w14:textId="77777777"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kern w:val="0"/>
          <w:sz w:val="24"/>
          <w:szCs w:val="24"/>
        </w:rPr>
        <w:t>CDK4 和 CDK6 是细胞周期激酶，它们与细胞周期蛋白 D1 形成复合物，磷酸化肿瘤抑制因子视网膜母细胞瘤蛋白 (Rb)。Rb 的磷酸化抑制其活性，导致其与 E2F 转录因子解离，从而激活参与 DNA 复制和细胞周期进程的基因。乳腺癌中细胞周期蛋白 D-CDK4/6-INK4-RB 通路的频繁失调促使人们开发了 CDK4/6 抑制剂，例如帕博西尼 (PD0332991)、瑞博西尼 (LEE011)、曲拉西尼和阿贝西利 (LY2835219) [ </w:t>
      </w:r>
      <w:hyperlink r:id="rId15" w:anchor="CR13" w:history="1">
        <w:r w:rsidRPr="00C03604">
          <w:rPr>
            <w:rFonts w:ascii="微软雅黑" w:eastAsia="微软雅黑" w:hAnsi="微软雅黑" w:cs="宋体"/>
            <w:kern w:val="0"/>
            <w:sz w:val="24"/>
            <w:szCs w:val="24"/>
            <w:u w:val="single"/>
          </w:rPr>
          <w:t>13</w:t>
        </w:r>
      </w:hyperlink>
      <w:r w:rsidRPr="00C03604">
        <w:rPr>
          <w:rFonts w:ascii="微软雅黑" w:eastAsia="微软雅黑" w:hAnsi="微软雅黑" w:cs="宋体"/>
          <w:kern w:val="0"/>
          <w:sz w:val="24"/>
          <w:szCs w:val="24"/>
        </w:rPr>
        <w:t> , </w:t>
      </w:r>
      <w:hyperlink r:id="rId16" w:anchor="CR14" w:history="1">
        <w:r w:rsidRPr="00C03604">
          <w:rPr>
            <w:rFonts w:ascii="微软雅黑" w:eastAsia="微软雅黑" w:hAnsi="微软雅黑" w:cs="宋体"/>
            <w:kern w:val="0"/>
            <w:sz w:val="24"/>
            <w:szCs w:val="24"/>
            <w:u w:val="single"/>
          </w:rPr>
          <w:t>14</w:t>
        </w:r>
      </w:hyperlink>
      <w:r w:rsidRPr="00C03604">
        <w:rPr>
          <w:rFonts w:ascii="微软雅黑" w:eastAsia="微软雅黑" w:hAnsi="微软雅黑" w:cs="宋体"/>
          <w:kern w:val="0"/>
          <w:sz w:val="24"/>
          <w:szCs w:val="24"/>
        </w:rPr>
        <w:t> ]。CDK4/6 抑制剂通过阻断癌细胞的 G1 期向 S 期的细胞周期转换来控制肿瘤生长，并已被用于治疗复发性 ER 阳性、HER2 阴性的转移性乳腺癌 [ </w:t>
      </w:r>
      <w:hyperlink r:id="rId17" w:anchor="CR15" w:history="1">
        <w:r w:rsidRPr="00C03604">
          <w:rPr>
            <w:rFonts w:ascii="微软雅黑" w:eastAsia="微软雅黑" w:hAnsi="微软雅黑" w:cs="宋体"/>
            <w:kern w:val="0"/>
            <w:sz w:val="24"/>
            <w:szCs w:val="24"/>
            <w:u w:val="single"/>
          </w:rPr>
          <w:t>15</w:t>
        </w:r>
      </w:hyperlink>
      <w:r w:rsidRPr="00C03604">
        <w:rPr>
          <w:rFonts w:ascii="微软雅黑" w:eastAsia="微软雅黑" w:hAnsi="微软雅黑" w:cs="宋体"/>
          <w:kern w:val="0"/>
          <w:sz w:val="24"/>
          <w:szCs w:val="24"/>
        </w:rPr>
        <w:t> , </w:t>
      </w:r>
      <w:hyperlink r:id="rId18" w:anchor="CR16" w:history="1">
        <w:r w:rsidRPr="00C03604">
          <w:rPr>
            <w:rFonts w:ascii="微软雅黑" w:eastAsia="微软雅黑" w:hAnsi="微软雅黑" w:cs="宋体"/>
            <w:kern w:val="0"/>
            <w:sz w:val="24"/>
            <w:szCs w:val="24"/>
            <w:u w:val="single"/>
          </w:rPr>
          <w:t>16</w:t>
        </w:r>
      </w:hyperlink>
      <w:r w:rsidRPr="00C03604">
        <w:rPr>
          <w:rFonts w:ascii="微软雅黑" w:eastAsia="微软雅黑" w:hAnsi="微软雅黑" w:cs="宋体"/>
          <w:kern w:val="0"/>
          <w:sz w:val="24"/>
          <w:szCs w:val="24"/>
        </w:rPr>
        <w:t> ]。近年来，这些获得FDA批准的药物已在多种癌症中进行了临床前和临床试验[ </w:t>
      </w:r>
      <w:hyperlink r:id="rId19" w:anchor="CR17" w:history="1">
        <w:r w:rsidRPr="00C03604">
          <w:rPr>
            <w:rFonts w:ascii="微软雅黑" w:eastAsia="微软雅黑" w:hAnsi="微软雅黑" w:cs="宋体"/>
            <w:kern w:val="0"/>
            <w:sz w:val="24"/>
            <w:szCs w:val="24"/>
            <w:u w:val="single"/>
          </w:rPr>
          <w:t>17</w:t>
        </w:r>
      </w:hyperlink>
      <w:r w:rsidRPr="00C03604">
        <w:rPr>
          <w:rFonts w:ascii="微软雅黑" w:eastAsia="微软雅黑" w:hAnsi="微软雅黑" w:cs="宋体"/>
          <w:kern w:val="0"/>
          <w:sz w:val="24"/>
          <w:szCs w:val="24"/>
        </w:rPr>
        <w:t> ]。尽管它们展现出令人鼓舞的临床疗效，但通过CDK6激酶扩增[ </w:t>
      </w:r>
      <w:hyperlink r:id="rId20" w:anchor="CR18" w:history="1">
        <w:r w:rsidRPr="00C03604">
          <w:rPr>
            <w:rFonts w:ascii="微软雅黑" w:eastAsia="微软雅黑" w:hAnsi="微软雅黑" w:cs="宋体"/>
            <w:kern w:val="0"/>
            <w:sz w:val="24"/>
            <w:szCs w:val="24"/>
            <w:u w:val="single"/>
          </w:rPr>
          <w:t>18</w:t>
        </w:r>
      </w:hyperlink>
      <w:r w:rsidRPr="00C03604">
        <w:rPr>
          <w:rFonts w:ascii="微软雅黑" w:eastAsia="微软雅黑" w:hAnsi="微软雅黑" w:cs="宋体"/>
          <w:kern w:val="0"/>
          <w:sz w:val="24"/>
          <w:szCs w:val="24"/>
        </w:rPr>
        <w:t> ]以及在G1期利用其他细胞周期蛋白，导致</w:t>
      </w:r>
      <w:r w:rsidRPr="00C03604">
        <w:rPr>
          <w:rFonts w:ascii="微软雅黑" w:eastAsia="微软雅黑" w:hAnsi="微软雅黑" w:cs="宋体"/>
          <w:kern w:val="0"/>
          <w:sz w:val="24"/>
          <w:szCs w:val="24"/>
        </w:rPr>
        <w:lastRenderedPageBreak/>
        <w:t>对CDK4/6抑制剂产生固有或获得性耐药，最终导致早期适应和耐药[ </w:t>
      </w:r>
      <w:hyperlink r:id="rId21" w:anchor="CR18" w:history="1">
        <w:r w:rsidRPr="00C03604">
          <w:rPr>
            <w:rFonts w:ascii="微软雅黑" w:eastAsia="微软雅黑" w:hAnsi="微软雅黑" w:cs="宋体"/>
            <w:kern w:val="0"/>
            <w:sz w:val="24"/>
            <w:szCs w:val="24"/>
            <w:u w:val="single"/>
          </w:rPr>
          <w:t>18</w:t>
        </w:r>
      </w:hyperlink>
      <w:r w:rsidRPr="00C03604">
        <w:rPr>
          <w:rFonts w:ascii="微软雅黑" w:eastAsia="微软雅黑" w:hAnsi="微软雅黑" w:cs="宋体"/>
          <w:kern w:val="0"/>
          <w:sz w:val="24"/>
          <w:szCs w:val="24"/>
        </w:rPr>
        <w:t> , </w:t>
      </w:r>
      <w:hyperlink r:id="rId22" w:anchor="CR19" w:history="1">
        <w:r w:rsidRPr="00C03604">
          <w:rPr>
            <w:rFonts w:ascii="微软雅黑" w:eastAsia="微软雅黑" w:hAnsi="微软雅黑" w:cs="宋体"/>
            <w:kern w:val="0"/>
            <w:sz w:val="24"/>
            <w:szCs w:val="24"/>
            <w:u w:val="single"/>
          </w:rPr>
          <w:t>19</w:t>
        </w:r>
      </w:hyperlink>
      <w:r w:rsidRPr="00C03604">
        <w:rPr>
          <w:rFonts w:ascii="微软雅黑" w:eastAsia="微软雅黑" w:hAnsi="微软雅黑" w:cs="宋体"/>
          <w:kern w:val="0"/>
          <w:sz w:val="24"/>
          <w:szCs w:val="24"/>
        </w:rPr>
        <w:t> ]。CDK抑制剂与内分泌疗法联合使用虽然改善了疗效，但耐药肿瘤表现出雌激素信号通路加速丢失，同时生长因子受体</w:t>
      </w:r>
      <w:proofErr w:type="gramStart"/>
      <w:r w:rsidRPr="00C03604">
        <w:rPr>
          <w:rFonts w:ascii="微软雅黑" w:eastAsia="微软雅黑" w:hAnsi="微软雅黑" w:cs="宋体"/>
          <w:kern w:val="0"/>
          <w:sz w:val="24"/>
          <w:szCs w:val="24"/>
        </w:rPr>
        <w:t>介</w:t>
      </w:r>
      <w:proofErr w:type="gramEnd"/>
      <w:r w:rsidRPr="00C03604">
        <w:rPr>
          <w:rFonts w:ascii="微软雅黑" w:eastAsia="微软雅黑" w:hAnsi="微软雅黑" w:cs="宋体"/>
          <w:kern w:val="0"/>
          <w:sz w:val="24"/>
          <w:szCs w:val="24"/>
        </w:rPr>
        <w:t>导的JNK信号通路趋于上调；而雌激素信号通路得以维持的肿瘤则表现出ERBB4信号通路</w:t>
      </w:r>
      <w:proofErr w:type="gramStart"/>
      <w:r w:rsidRPr="00C03604">
        <w:rPr>
          <w:rFonts w:ascii="微软雅黑" w:eastAsia="微软雅黑" w:hAnsi="微软雅黑" w:cs="宋体"/>
          <w:kern w:val="0"/>
          <w:sz w:val="24"/>
          <w:szCs w:val="24"/>
        </w:rPr>
        <w:t>介</w:t>
      </w:r>
      <w:proofErr w:type="gramEnd"/>
      <w:r w:rsidRPr="00C03604">
        <w:rPr>
          <w:rFonts w:ascii="微软雅黑" w:eastAsia="微软雅黑" w:hAnsi="微软雅黑" w:cs="宋体"/>
          <w:kern w:val="0"/>
          <w:sz w:val="24"/>
          <w:szCs w:val="24"/>
        </w:rPr>
        <w:t>导的ERK上调[ </w:t>
      </w:r>
      <w:hyperlink r:id="rId23" w:anchor="CR20" w:history="1">
        <w:r w:rsidRPr="00C03604">
          <w:rPr>
            <w:rFonts w:ascii="微软雅黑" w:eastAsia="微软雅黑" w:hAnsi="微软雅黑" w:cs="宋体"/>
            <w:kern w:val="0"/>
            <w:sz w:val="24"/>
            <w:szCs w:val="24"/>
            <w:u w:val="single"/>
          </w:rPr>
          <w:t>20</w:t>
        </w:r>
      </w:hyperlink>
      <w:r w:rsidRPr="00C03604">
        <w:rPr>
          <w:rFonts w:ascii="微软雅黑" w:eastAsia="微软雅黑" w:hAnsi="微软雅黑" w:cs="宋体"/>
          <w:kern w:val="0"/>
          <w:sz w:val="24"/>
          <w:szCs w:val="24"/>
        </w:rPr>
        <w:t> ]。这些数据共同表明，从雌激素信号通路向其他生长因子信号通路的转变在耐药性中起着关键作用，因此需要开发靶向调控这些信号通路蛋白的疗法。</w:t>
      </w:r>
    </w:p>
    <w:p w14:paraId="0C5ECD6A" w14:textId="77777777"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kern w:val="0"/>
          <w:sz w:val="24"/>
          <w:szCs w:val="24"/>
        </w:rPr>
        <w:t>ACK1（TNK2）是一种致癌性非受体酪氨酸激酶，在多种癌症中过度表达，例如前列腺癌[ </w:t>
      </w:r>
      <w:hyperlink r:id="rId24" w:anchor="CR28" w:history="1">
        <w:r w:rsidRPr="00C03604">
          <w:rPr>
            <w:rFonts w:ascii="微软雅黑" w:eastAsia="微软雅黑" w:hAnsi="微软雅黑" w:cs="宋体"/>
            <w:kern w:val="0"/>
            <w:sz w:val="24"/>
            <w:szCs w:val="24"/>
            <w:u w:val="single"/>
          </w:rPr>
          <w:t>21-25]、乳腺癌[26-28 </w:t>
        </w:r>
      </w:hyperlink>
      <w:hyperlink r:id="rId25" w:anchor="CR21" w:history="1">
        <w:r w:rsidRPr="00C03604">
          <w:rPr>
            <w:rFonts w:ascii="微软雅黑" w:eastAsia="微软雅黑" w:hAnsi="微软雅黑" w:cs="宋体"/>
            <w:kern w:val="0"/>
            <w:sz w:val="24"/>
            <w:szCs w:val="24"/>
            <w:u w:val="single"/>
          </w:rPr>
          <w:t>]</w:t>
        </w:r>
      </w:hyperlink>
      <w:r w:rsidRPr="00C03604">
        <w:rPr>
          <w:rFonts w:ascii="微软雅黑" w:eastAsia="微软雅黑" w:hAnsi="微软雅黑" w:cs="宋体"/>
          <w:kern w:val="0"/>
          <w:sz w:val="24"/>
          <w:szCs w:val="24"/>
        </w:rPr>
        <w:t>、非</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"CR26"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小</w:t>
      </w:r>
      <w:r w:rsidRPr="00C03604">
        <w:rPr>
          <w:rFonts w:ascii="微软雅黑" w:eastAsia="微软雅黑" w:hAnsi="微软雅黑" w:cs="宋体"/>
          <w:kern w:val="0"/>
          <w:sz w:val="24"/>
          <w:szCs w:val="24"/>
        </w:rPr>
        <w:fldChar w:fldCharType="end"/>
      </w:r>
      <w:hyperlink r:id="rId26" w:anchor="CR25" w:history="1">
        <w:r w:rsidRPr="00C03604">
          <w:rPr>
            <w:rFonts w:ascii="微软雅黑" w:eastAsia="微软雅黑" w:hAnsi="微软雅黑" w:cs="宋体"/>
            <w:kern w:val="0"/>
            <w:sz w:val="24"/>
            <w:szCs w:val="24"/>
            <w:u w:val="single"/>
          </w:rPr>
          <w:t>细胞</w:t>
        </w:r>
      </w:hyperlink>
      <w:r w:rsidRPr="00C03604">
        <w:rPr>
          <w:rFonts w:ascii="微软雅黑" w:eastAsia="微软雅黑" w:hAnsi="微软雅黑" w:cs="宋体"/>
          <w:kern w:val="0"/>
          <w:sz w:val="24"/>
          <w:szCs w:val="24"/>
        </w:rPr>
        <w:t>肺癌[ </w:t>
      </w:r>
      <w:hyperlink r:id="rId27" w:anchor="CR29" w:history="1">
        <w:r w:rsidRPr="00C03604">
          <w:rPr>
            <w:rFonts w:ascii="微软雅黑" w:eastAsia="微软雅黑" w:hAnsi="微软雅黑" w:cs="宋体"/>
            <w:kern w:val="0"/>
            <w:sz w:val="24"/>
            <w:szCs w:val="24"/>
            <w:u w:val="single"/>
          </w:rPr>
          <w:t>29,30</w:t>
        </w:r>
      </w:hyperlink>
      <w:r w:rsidRPr="00C03604">
        <w:rPr>
          <w:rFonts w:ascii="微软雅黑" w:eastAsia="微软雅黑" w:hAnsi="微软雅黑" w:cs="宋体"/>
          <w:kern w:val="0"/>
          <w:sz w:val="24"/>
          <w:szCs w:val="24"/>
        </w:rPr>
        <w:t> ] 、胶质瘤[ </w:t>
      </w:r>
      <w:hyperlink r:id="rId28" w:anchor="CR30" w:history="1">
        <w:r w:rsidRPr="00C03604">
          <w:rPr>
            <w:rFonts w:ascii="微软雅黑" w:eastAsia="微软雅黑" w:hAnsi="微软雅黑" w:cs="宋体"/>
            <w:kern w:val="0"/>
            <w:sz w:val="24"/>
            <w:szCs w:val="24"/>
            <w:u w:val="single"/>
          </w:rPr>
          <w:t>31</w:t>
        </w:r>
      </w:hyperlink>
      <w:r w:rsidRPr="00C03604">
        <w:rPr>
          <w:rFonts w:ascii="微软雅黑" w:eastAsia="微软雅黑" w:hAnsi="微软雅黑" w:cs="宋体"/>
          <w:kern w:val="0"/>
          <w:sz w:val="24"/>
          <w:szCs w:val="24"/>
        </w:rPr>
        <w:t> ]、卵巢癌[ </w:t>
      </w:r>
      <w:hyperlink r:id="rId29" w:anchor="CR31" w:history="1">
        <w:r w:rsidRPr="00C03604">
          <w:rPr>
            <w:rFonts w:ascii="微软雅黑" w:eastAsia="微软雅黑" w:hAnsi="微软雅黑" w:cs="宋体"/>
            <w:kern w:val="0"/>
            <w:sz w:val="24"/>
            <w:szCs w:val="24"/>
            <w:u w:val="single"/>
          </w:rPr>
          <w:t>30</w:t>
        </w:r>
      </w:hyperlink>
      <w:r w:rsidRPr="00C03604">
        <w:rPr>
          <w:rFonts w:ascii="微软雅黑" w:eastAsia="微软雅黑" w:hAnsi="微软雅黑" w:cs="宋体"/>
          <w:kern w:val="0"/>
          <w:sz w:val="24"/>
          <w:szCs w:val="24"/>
        </w:rPr>
        <w:t> ]、胰腺癌[ </w:t>
      </w:r>
      <w:hyperlink r:id="rId30" w:anchor="CR30" w:history="1">
        <w:r w:rsidRPr="00C03604">
          <w:rPr>
            <w:rFonts w:ascii="微软雅黑" w:eastAsia="微软雅黑" w:hAnsi="微软雅黑" w:cs="宋体"/>
            <w:kern w:val="0"/>
            <w:sz w:val="24"/>
            <w:szCs w:val="24"/>
            <w:u w:val="single"/>
          </w:rPr>
          <w:t>32</w:t>
        </w:r>
      </w:hyperlink>
      <w:r w:rsidRPr="00C03604">
        <w:rPr>
          <w:rFonts w:ascii="微软雅黑" w:eastAsia="微软雅黑" w:hAnsi="微软雅黑" w:cs="宋体"/>
          <w:kern w:val="0"/>
          <w:sz w:val="24"/>
          <w:szCs w:val="24"/>
        </w:rPr>
        <w:t> ]和结直肠癌[ </w:t>
      </w:r>
      <w:hyperlink r:id="rId31" w:anchor="CR33" w:history="1">
        <w:r w:rsidRPr="00C03604">
          <w:rPr>
            <w:rFonts w:ascii="微软雅黑" w:eastAsia="微软雅黑" w:hAnsi="微软雅黑" w:cs="宋体"/>
            <w:kern w:val="0"/>
            <w:sz w:val="24"/>
            <w:szCs w:val="24"/>
            <w:u w:val="single"/>
          </w:rPr>
          <w:t>33 ]。肿瘤细胞对ACK1的依赖性通过其基因扩增、突变和翻译后修饰得到增强，导致其过度磷酸化（主要在Tyr284位点</w:t>
        </w:r>
      </w:hyperlink>
      <w:hyperlink r:id="rId32" w:anchor="CR32" w:history="1">
        <w:r w:rsidRPr="00C03604">
          <w:rPr>
            <w:rFonts w:ascii="微软雅黑" w:eastAsia="微软雅黑" w:hAnsi="微软雅黑" w:cs="宋体"/>
            <w:kern w:val="0"/>
            <w:sz w:val="24"/>
            <w:szCs w:val="24"/>
            <w:u w:val="single"/>
          </w:rPr>
          <w:t>）</w:t>
        </w:r>
      </w:hyperlink>
      <w:r w:rsidRPr="00C03604">
        <w:rPr>
          <w:rFonts w:ascii="微软雅黑" w:eastAsia="微软雅黑" w:hAnsi="微软雅黑" w:cs="宋体"/>
          <w:kern w:val="0"/>
          <w:sz w:val="24"/>
          <w:szCs w:val="24"/>
        </w:rPr>
        <w:t>，并激活激酶活性，从而促进肿瘤进展和转移[ </w:t>
      </w:r>
      <w:hyperlink r:id="rId33" w:anchor="CR34" w:history="1">
        <w:r w:rsidRPr="00C03604">
          <w:rPr>
            <w:rFonts w:ascii="微软雅黑" w:eastAsia="微软雅黑" w:hAnsi="微软雅黑" w:cs="宋体"/>
            <w:kern w:val="0"/>
            <w:sz w:val="24"/>
            <w:szCs w:val="24"/>
            <w:u w:val="single"/>
          </w:rPr>
          <w:t>34</w:t>
        </w:r>
      </w:hyperlink>
      <w:r w:rsidRPr="00C03604">
        <w:rPr>
          <w:rFonts w:ascii="微软雅黑" w:eastAsia="微软雅黑" w:hAnsi="微软雅黑" w:cs="宋体"/>
          <w:kern w:val="0"/>
          <w:sz w:val="24"/>
          <w:szCs w:val="24"/>
        </w:rPr>
        <w:t> ]。 ACK1是多种受体酪氨酸激酶（例如EGFR、MERTK、HER2、PDGFR和胰岛素受体）的下游效应分子[ </w:t>
      </w:r>
      <w:hyperlink r:id="rId34" w:anchor="CR27" w:history="1">
        <w:r w:rsidRPr="00C03604">
          <w:rPr>
            <w:rFonts w:ascii="微软雅黑" w:eastAsia="微软雅黑" w:hAnsi="微软雅黑" w:cs="宋体"/>
            <w:kern w:val="0"/>
            <w:sz w:val="24"/>
            <w:szCs w:val="24"/>
            <w:u w:val="single"/>
          </w:rPr>
          <w:t>27</w:t>
        </w:r>
      </w:hyperlink>
      <w:r w:rsidRPr="00C03604">
        <w:rPr>
          <w:rFonts w:ascii="微软雅黑" w:eastAsia="微软雅黑" w:hAnsi="微软雅黑" w:cs="宋体"/>
          <w:kern w:val="0"/>
          <w:sz w:val="24"/>
          <w:szCs w:val="24"/>
        </w:rPr>
        <w:t> , </w:t>
      </w:r>
      <w:hyperlink r:id="rId35" w:anchor="CR35" w:history="1">
        <w:r w:rsidRPr="00C03604">
          <w:rPr>
            <w:rFonts w:ascii="微软雅黑" w:eastAsia="微软雅黑" w:hAnsi="微软雅黑" w:cs="宋体"/>
            <w:kern w:val="0"/>
            <w:sz w:val="24"/>
            <w:szCs w:val="24"/>
            <w:u w:val="single"/>
          </w:rPr>
          <w:t>35</w:t>
        </w:r>
      </w:hyperlink>
      <w:r w:rsidRPr="00C03604">
        <w:rPr>
          <w:rFonts w:ascii="微软雅黑" w:eastAsia="微软雅黑" w:hAnsi="微软雅黑" w:cs="宋体"/>
          <w:kern w:val="0"/>
          <w:sz w:val="24"/>
          <w:szCs w:val="24"/>
        </w:rPr>
        <w:t> , </w:t>
      </w:r>
      <w:hyperlink r:id="rId36" w:anchor="CR36" w:history="1">
        <w:r w:rsidRPr="00C03604">
          <w:rPr>
            <w:rFonts w:ascii="微软雅黑" w:eastAsia="微软雅黑" w:hAnsi="微软雅黑" w:cs="宋体"/>
            <w:kern w:val="0"/>
            <w:sz w:val="24"/>
            <w:szCs w:val="24"/>
            <w:u w:val="single"/>
          </w:rPr>
          <w:t>36</w:t>
        </w:r>
      </w:hyperlink>
      <w:r w:rsidRPr="00C03604">
        <w:rPr>
          <w:rFonts w:ascii="微软雅黑" w:eastAsia="微软雅黑" w:hAnsi="微软雅黑" w:cs="宋体"/>
          <w:kern w:val="0"/>
          <w:sz w:val="24"/>
          <w:szCs w:val="24"/>
        </w:rPr>
        <w:t> ]，并将细胞外信号传递给下游效应分子，例如AKT。AKT在Tyr176位点的磷酸化可激活AKT，且该激活过程独立于PI3K通路[ </w:t>
      </w:r>
      <w:hyperlink r:id="rId37" w:anchor="CR27" w:history="1">
        <w:r w:rsidRPr="00C03604">
          <w:rPr>
            <w:rFonts w:ascii="微软雅黑" w:eastAsia="微软雅黑" w:hAnsi="微软雅黑" w:cs="宋体"/>
            <w:kern w:val="0"/>
            <w:sz w:val="24"/>
            <w:szCs w:val="24"/>
            <w:u w:val="single"/>
          </w:rPr>
          <w:t>27</w:t>
        </w:r>
      </w:hyperlink>
      <w:r w:rsidRPr="00C03604">
        <w:rPr>
          <w:rFonts w:ascii="微软雅黑" w:eastAsia="微软雅黑" w:hAnsi="微软雅黑" w:cs="宋体"/>
          <w:kern w:val="0"/>
          <w:sz w:val="24"/>
          <w:szCs w:val="24"/>
        </w:rPr>
        <w:t> , </w:t>
      </w:r>
      <w:hyperlink r:id="rId38" w:anchor="CR37" w:history="1">
        <w:r w:rsidRPr="00C03604">
          <w:rPr>
            <w:rFonts w:ascii="微软雅黑" w:eastAsia="微软雅黑" w:hAnsi="微软雅黑" w:cs="宋体"/>
            <w:kern w:val="0"/>
            <w:sz w:val="24"/>
            <w:szCs w:val="24"/>
            <w:u w:val="single"/>
          </w:rPr>
          <w:t>37</w:t>
        </w:r>
      </w:hyperlink>
      <w:r w:rsidRPr="00C03604">
        <w:rPr>
          <w:rFonts w:ascii="微软雅黑" w:eastAsia="微软雅黑" w:hAnsi="微软雅黑" w:cs="宋体"/>
          <w:kern w:val="0"/>
          <w:sz w:val="24"/>
          <w:szCs w:val="24"/>
        </w:rPr>
        <w:t> ]。越来越多的证据表明，ACK1的表观遗传功能可能参与驱动耐药性；ACK1直接磷酸化组蛋白H4的Tyr88位点（pY88-H4），从而调控雄激素受体（AR）的整体转录程序[ </w:t>
      </w:r>
      <w:hyperlink r:id="rId39" w:anchor="CR21" w:history="1">
        <w:r w:rsidRPr="00C03604">
          <w:rPr>
            <w:rFonts w:ascii="微软雅黑" w:eastAsia="微软雅黑" w:hAnsi="微软雅黑" w:cs="宋体"/>
            <w:kern w:val="0"/>
            <w:sz w:val="24"/>
            <w:szCs w:val="24"/>
            <w:u w:val="single"/>
          </w:rPr>
          <w:t>21</w:t>
        </w:r>
      </w:hyperlink>
      <w:r w:rsidRPr="00C03604">
        <w:rPr>
          <w:rFonts w:ascii="微软雅黑" w:eastAsia="微软雅黑" w:hAnsi="微软雅黑" w:cs="宋体"/>
          <w:kern w:val="0"/>
          <w:sz w:val="24"/>
          <w:szCs w:val="24"/>
        </w:rPr>
        <w:t> ]。研究还表明，ACK1</w:t>
      </w:r>
      <w:proofErr w:type="gramStart"/>
      <w:r w:rsidRPr="00C03604">
        <w:rPr>
          <w:rFonts w:ascii="微软雅黑" w:eastAsia="微软雅黑" w:hAnsi="微软雅黑" w:cs="宋体"/>
          <w:kern w:val="0"/>
          <w:sz w:val="24"/>
          <w:szCs w:val="24"/>
        </w:rPr>
        <w:t>介</w:t>
      </w:r>
      <w:proofErr w:type="gramEnd"/>
      <w:r w:rsidRPr="00C03604">
        <w:rPr>
          <w:rFonts w:ascii="微软雅黑" w:eastAsia="微软雅黑" w:hAnsi="微软雅黑" w:cs="宋体"/>
          <w:kern w:val="0"/>
          <w:sz w:val="24"/>
          <w:szCs w:val="24"/>
        </w:rPr>
        <w:t>导的AR酪氨酸磷酸化对于雄激素受体或AR Lys609乙酰化至关重要，并导致恩扎</w:t>
      </w:r>
      <w:proofErr w:type="gramStart"/>
      <w:r w:rsidRPr="00C03604">
        <w:rPr>
          <w:rFonts w:ascii="微软雅黑" w:eastAsia="微软雅黑" w:hAnsi="微软雅黑" w:cs="宋体"/>
          <w:kern w:val="0"/>
          <w:sz w:val="24"/>
          <w:szCs w:val="24"/>
        </w:rPr>
        <w:t>卢</w:t>
      </w:r>
      <w:proofErr w:type="gramEnd"/>
      <w:r w:rsidRPr="00C03604">
        <w:rPr>
          <w:rFonts w:ascii="微软雅黑" w:eastAsia="微软雅黑" w:hAnsi="微软雅黑" w:cs="宋体"/>
          <w:kern w:val="0"/>
          <w:sz w:val="24"/>
          <w:szCs w:val="24"/>
        </w:rPr>
        <w:t>胺耐药[ </w:t>
      </w:r>
      <w:hyperlink r:id="rId40" w:anchor="CR22" w:history="1">
        <w:r w:rsidRPr="00C03604">
          <w:rPr>
            <w:rFonts w:ascii="微软雅黑" w:eastAsia="微软雅黑" w:hAnsi="微软雅黑" w:cs="宋体"/>
            <w:kern w:val="0"/>
            <w:sz w:val="24"/>
            <w:szCs w:val="24"/>
            <w:u w:val="single"/>
          </w:rPr>
          <w:t>22</w:t>
        </w:r>
      </w:hyperlink>
      <w:r w:rsidRPr="00C03604">
        <w:rPr>
          <w:rFonts w:ascii="微软雅黑" w:eastAsia="微软雅黑" w:hAnsi="微软雅黑" w:cs="宋体"/>
          <w:kern w:val="0"/>
          <w:sz w:val="24"/>
          <w:szCs w:val="24"/>
        </w:rPr>
        <w:t> ]。最近，研究人员发现了ACK1的另一个靶点；它磷酸化了C端</w:t>
      </w:r>
      <w:proofErr w:type="spellStart"/>
      <w:r w:rsidRPr="00C03604">
        <w:rPr>
          <w:rFonts w:ascii="微软雅黑" w:eastAsia="微软雅黑" w:hAnsi="微软雅黑" w:cs="宋体"/>
          <w:kern w:val="0"/>
          <w:sz w:val="24"/>
          <w:szCs w:val="24"/>
        </w:rPr>
        <w:t>Src</w:t>
      </w:r>
      <w:proofErr w:type="spellEnd"/>
      <w:r w:rsidRPr="00C03604">
        <w:rPr>
          <w:rFonts w:ascii="微软雅黑" w:eastAsia="微软雅黑" w:hAnsi="微软雅黑" w:cs="宋体"/>
          <w:kern w:val="0"/>
          <w:sz w:val="24"/>
          <w:szCs w:val="24"/>
        </w:rPr>
        <w:t>激酶（CSK）的酪氨酸18位点，从而增强了CSK的功能，抑制了T细胞的活化[ </w:t>
      </w:r>
      <w:hyperlink r:id="rId41" w:anchor="CR38" w:history="1">
        <w:r w:rsidRPr="00C03604">
          <w:rPr>
            <w:rFonts w:ascii="微软雅黑" w:eastAsia="微软雅黑" w:hAnsi="微软雅黑" w:cs="宋体"/>
            <w:kern w:val="0"/>
            <w:sz w:val="24"/>
            <w:szCs w:val="24"/>
            <w:u w:val="single"/>
          </w:rPr>
          <w:t>38</w:t>
        </w:r>
      </w:hyperlink>
      <w:r w:rsidRPr="00C03604">
        <w:rPr>
          <w:rFonts w:ascii="微软雅黑" w:eastAsia="微软雅黑" w:hAnsi="微软雅黑" w:cs="宋体"/>
          <w:kern w:val="0"/>
          <w:sz w:val="24"/>
          <w:szCs w:val="24"/>
        </w:rPr>
        <w:t> ]。此外，使用其抑制剂(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抑制ACK1与奥</w:t>
      </w:r>
      <w:proofErr w:type="gramStart"/>
      <w:r w:rsidRPr="00C03604">
        <w:rPr>
          <w:rFonts w:ascii="微软雅黑" w:eastAsia="微软雅黑" w:hAnsi="微软雅黑" w:cs="宋体"/>
          <w:kern w:val="0"/>
          <w:sz w:val="24"/>
          <w:szCs w:val="24"/>
        </w:rPr>
        <w:t>希替尼</w:t>
      </w:r>
      <w:proofErr w:type="gramEnd"/>
      <w:r w:rsidRPr="00C03604">
        <w:rPr>
          <w:rFonts w:ascii="微软雅黑" w:eastAsia="微软雅黑" w:hAnsi="微软雅黑" w:cs="宋体"/>
          <w:kern w:val="0"/>
          <w:sz w:val="24"/>
          <w:szCs w:val="24"/>
        </w:rPr>
        <w:t>协同作用，抑制了EGFR突变型非小细胞肺癌</w:t>
      </w:r>
      <w:r w:rsidRPr="00C03604">
        <w:rPr>
          <w:rFonts w:ascii="微软雅黑" w:eastAsia="微软雅黑" w:hAnsi="微软雅黑" w:cs="宋体"/>
          <w:kern w:val="0"/>
          <w:sz w:val="24"/>
          <w:szCs w:val="24"/>
        </w:rPr>
        <w:lastRenderedPageBreak/>
        <w:t>（NSCLC）细胞系的生长[ </w:t>
      </w:r>
      <w:hyperlink r:id="rId42" w:anchor="CR29" w:history="1">
        <w:r w:rsidRPr="00C03604">
          <w:rPr>
            <w:rFonts w:ascii="微软雅黑" w:eastAsia="微软雅黑" w:hAnsi="微软雅黑" w:cs="宋体"/>
            <w:kern w:val="0"/>
            <w:sz w:val="24"/>
            <w:szCs w:val="24"/>
            <w:u w:val="single"/>
          </w:rPr>
          <w:t>29</w:t>
        </w:r>
      </w:hyperlink>
      <w:r w:rsidRPr="00C03604">
        <w:rPr>
          <w:rFonts w:ascii="微软雅黑" w:eastAsia="微软雅黑" w:hAnsi="微软雅黑" w:cs="宋体"/>
          <w:kern w:val="0"/>
          <w:sz w:val="24"/>
          <w:szCs w:val="24"/>
        </w:rPr>
        <w:t> ]。而且，组蛋白去乙酰化酶抑制</w:t>
      </w:r>
      <w:proofErr w:type="gramStart"/>
      <w:r w:rsidRPr="00C03604">
        <w:rPr>
          <w:rFonts w:ascii="微软雅黑" w:eastAsia="微软雅黑" w:hAnsi="微软雅黑" w:cs="宋体"/>
          <w:kern w:val="0"/>
          <w:sz w:val="24"/>
          <w:szCs w:val="24"/>
        </w:rPr>
        <w:t>剂恩替诺</w:t>
      </w:r>
      <w:proofErr w:type="gramEnd"/>
      <w:r w:rsidRPr="00C03604">
        <w:rPr>
          <w:rFonts w:ascii="微软雅黑" w:eastAsia="微软雅黑" w:hAnsi="微软雅黑" w:cs="宋体"/>
          <w:kern w:val="0"/>
          <w:sz w:val="24"/>
          <w:szCs w:val="24"/>
        </w:rPr>
        <w:t>特（MS-275）减弱了肾癌细胞中ACK1的表达[ </w:t>
      </w:r>
      <w:hyperlink r:id="rId43" w:anchor="CR39" w:history="1">
        <w:r w:rsidRPr="00C03604">
          <w:rPr>
            <w:rFonts w:ascii="微软雅黑" w:eastAsia="微软雅黑" w:hAnsi="微软雅黑" w:cs="宋体"/>
            <w:kern w:val="0"/>
            <w:sz w:val="24"/>
            <w:szCs w:val="24"/>
            <w:u w:val="single"/>
          </w:rPr>
          <w:t>39</w:t>
        </w:r>
      </w:hyperlink>
      <w:r w:rsidRPr="00C03604">
        <w:rPr>
          <w:rFonts w:ascii="微软雅黑" w:eastAsia="微软雅黑" w:hAnsi="微软雅黑" w:cs="宋体"/>
          <w:kern w:val="0"/>
          <w:sz w:val="24"/>
          <w:szCs w:val="24"/>
        </w:rPr>
        <w:t> ]。尽管这些证据表明ACK1在多种恶性肿瘤中发挥着重要作用，但ACK1表观遗传活性的靶点及其在乳腺癌中的功能意义尚未完全阐明。我们发现ACK1在四种不同的乳腺癌亚型中被激活，并表观遗传地改变了与细胞周期G2/M期转换相关基因的染色质结构。此外，我们证明其功能性阻断可缓解肿瘤进展，包括使对帕博西尼耐药的乳腺肿瘤细胞重新敏感，为复发性疾病患者开辟新的治疗方式。</w:t>
      </w:r>
    </w:p>
    <w:p w14:paraId="2BFB14AE" w14:textId="77777777" w:rsidR="00C03604" w:rsidRPr="00C03604" w:rsidRDefault="00C03604" w:rsidP="00C03604">
      <w:pPr>
        <w:widowControl/>
        <w:pBdr>
          <w:bottom w:val="single" w:sz="6" w:space="0" w:color="97B1C8"/>
        </w:pBdr>
        <w:spacing w:line="450" w:lineRule="atLeast"/>
        <w:outlineLvl w:val="1"/>
        <w:rPr>
          <w:rFonts w:ascii="微软雅黑" w:eastAsia="微软雅黑" w:hAnsi="微软雅黑" w:cs="宋体"/>
          <w:kern w:val="0"/>
          <w:sz w:val="34"/>
          <w:szCs w:val="34"/>
        </w:rPr>
      </w:pPr>
      <w:r w:rsidRPr="00C03604">
        <w:rPr>
          <w:rFonts w:ascii="微软雅黑" w:eastAsia="微软雅黑" w:hAnsi="微软雅黑" w:cs="宋体"/>
          <w:kern w:val="0"/>
          <w:sz w:val="34"/>
          <w:szCs w:val="34"/>
        </w:rPr>
        <w:t>结果</w:t>
      </w:r>
    </w:p>
    <w:p w14:paraId="5A552163" w14:textId="77777777" w:rsidR="00C03604" w:rsidRPr="00C03604" w:rsidRDefault="00C03604" w:rsidP="00C03604">
      <w:pPr>
        <w:widowControl/>
        <w:spacing w:line="450" w:lineRule="atLeast"/>
        <w:outlineLvl w:val="2"/>
        <w:rPr>
          <w:rFonts w:ascii="微软雅黑" w:eastAsia="微软雅黑" w:hAnsi="微软雅黑" w:cs="宋体"/>
          <w:kern w:val="0"/>
          <w:sz w:val="32"/>
          <w:szCs w:val="32"/>
        </w:rPr>
      </w:pPr>
      <w:r w:rsidRPr="00C03604">
        <w:rPr>
          <w:rFonts w:ascii="微软雅黑" w:eastAsia="微软雅黑" w:hAnsi="微软雅黑" w:cs="宋体"/>
          <w:kern w:val="0"/>
          <w:sz w:val="32"/>
          <w:szCs w:val="32"/>
        </w:rPr>
        <w:t>ACK1在多种乳腺癌亚型中激活</w:t>
      </w:r>
    </w:p>
    <w:p w14:paraId="0EEECC6D" w14:textId="77777777"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kern w:val="0"/>
          <w:sz w:val="24"/>
          <w:szCs w:val="24"/>
        </w:rPr>
        <w:t>为了全面了解 ACK1 的活性，我们构建了四种不同的乳腺组织微阵列 (TMA)，这些微阵列包含来自 400 多例乳腺癌患者的不同级别和分子亚型的乳腺癌样本。免疫组织化学 (IHC) 分析显示，在 57% (53/92) 的 ER </w:t>
      </w:r>
      <w:r w:rsidRPr="00C03604">
        <w:rPr>
          <w:rFonts w:ascii="微软雅黑" w:eastAsia="微软雅黑" w:hAnsi="微软雅黑" w:cs="宋体"/>
          <w:kern w:val="0"/>
          <w:sz w:val="24"/>
          <w:szCs w:val="24"/>
          <w:vertAlign w:val="superscript"/>
        </w:rPr>
        <w:t>+</w:t>
      </w:r>
      <w:r w:rsidRPr="00C03604">
        <w:rPr>
          <w:rFonts w:ascii="微软雅黑" w:eastAsia="微软雅黑" w:hAnsi="微软雅黑" w:cs="宋体"/>
          <w:kern w:val="0"/>
          <w:sz w:val="24"/>
          <w:szCs w:val="24"/>
        </w:rPr>
        <w:t>乳腺癌样本、58% (112/192) 的 ER </w:t>
      </w:r>
      <w:r w:rsidRPr="00C03604">
        <w:rPr>
          <w:rFonts w:ascii="微软雅黑" w:eastAsia="微软雅黑" w:hAnsi="微软雅黑" w:cs="宋体"/>
          <w:kern w:val="0"/>
          <w:sz w:val="24"/>
          <w:szCs w:val="24"/>
          <w:vertAlign w:val="superscript"/>
        </w:rPr>
        <w:t>+</w:t>
      </w:r>
      <w:r w:rsidRPr="00C03604">
        <w:rPr>
          <w:rFonts w:ascii="微软雅黑" w:eastAsia="微软雅黑" w:hAnsi="微软雅黑" w:cs="宋体"/>
          <w:kern w:val="0"/>
          <w:sz w:val="24"/>
          <w:szCs w:val="24"/>
        </w:rPr>
        <w:t> /PR </w:t>
      </w:r>
      <w:r w:rsidRPr="00C03604">
        <w:rPr>
          <w:rFonts w:ascii="微软雅黑" w:eastAsia="微软雅黑" w:hAnsi="微软雅黑" w:cs="宋体"/>
          <w:kern w:val="0"/>
          <w:sz w:val="24"/>
          <w:szCs w:val="24"/>
          <w:vertAlign w:val="superscript"/>
        </w:rPr>
        <w:t>+</w:t>
      </w:r>
      <w:r w:rsidRPr="00C03604">
        <w:rPr>
          <w:rFonts w:ascii="微软雅黑" w:eastAsia="微软雅黑" w:hAnsi="微软雅黑" w:cs="宋体"/>
          <w:kern w:val="0"/>
          <w:sz w:val="24"/>
          <w:szCs w:val="24"/>
        </w:rPr>
        <w:t>乳腺癌样本、70% (50/72) 的 HER2 </w:t>
      </w:r>
      <w:r w:rsidRPr="00C03604">
        <w:rPr>
          <w:rFonts w:ascii="微软雅黑" w:eastAsia="微软雅黑" w:hAnsi="微软雅黑" w:cs="宋体"/>
          <w:kern w:val="0"/>
          <w:sz w:val="24"/>
          <w:szCs w:val="24"/>
          <w:vertAlign w:val="superscript"/>
        </w:rPr>
        <w:t>+</w:t>
      </w:r>
      <w:r w:rsidRPr="00C03604">
        <w:rPr>
          <w:rFonts w:ascii="微软雅黑" w:eastAsia="微软雅黑" w:hAnsi="微软雅黑" w:cs="宋体"/>
          <w:kern w:val="0"/>
          <w:sz w:val="24"/>
          <w:szCs w:val="24"/>
        </w:rPr>
        <w:t>乳腺癌样本和 47% (44/94) 的三阴性乳腺癌 (TNBC) 样本中，ACK1 表达（pY284-ACK1）呈中度至强阳性（图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"Fig1"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1A</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和补充表</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"MOESM1"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S1</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）。在所有四种类型的乳腺癌中，pY284-ACK1 的表达均显著升高（图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"Fig1"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1B、C-F</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，上图）。进行两两比较后发现，在所有四种类型的乳腺癌中，大多数乳腺癌患者的pY284-ACK1水平显著高于总ACK1水平（图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"Fig1"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1C-F</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，下方图），表明在大多数乳腺肿瘤中选择性升高的是激活的ACK1，</w:t>
      </w:r>
      <w:proofErr w:type="gramStart"/>
      <w:r w:rsidRPr="00C03604">
        <w:rPr>
          <w:rFonts w:ascii="微软雅黑" w:eastAsia="微软雅黑" w:hAnsi="微软雅黑" w:cs="宋体"/>
          <w:kern w:val="0"/>
          <w:sz w:val="24"/>
          <w:szCs w:val="24"/>
        </w:rPr>
        <w:t>而非总</w:t>
      </w:r>
      <w:proofErr w:type="gramEnd"/>
      <w:r w:rsidRPr="00C03604">
        <w:rPr>
          <w:rFonts w:ascii="微软雅黑" w:eastAsia="微软雅黑" w:hAnsi="微软雅黑" w:cs="宋体"/>
          <w:kern w:val="0"/>
          <w:sz w:val="24"/>
          <w:szCs w:val="24"/>
        </w:rPr>
        <w:t>ACK1。</w:t>
      </w:r>
      <w:proofErr w:type="spellStart"/>
      <w:r w:rsidRPr="00C03604">
        <w:rPr>
          <w:rFonts w:ascii="微软雅黑" w:eastAsia="微软雅黑" w:hAnsi="微软雅黑" w:cs="宋体"/>
          <w:kern w:val="0"/>
          <w:sz w:val="24"/>
          <w:szCs w:val="24"/>
        </w:rPr>
        <w:t>cBioPortal</w:t>
      </w:r>
      <w:proofErr w:type="spellEnd"/>
      <w:r w:rsidRPr="00C03604">
        <w:rPr>
          <w:rFonts w:ascii="微软雅黑" w:eastAsia="微软雅黑" w:hAnsi="微软雅黑" w:cs="宋体"/>
          <w:kern w:val="0"/>
          <w:sz w:val="24"/>
          <w:szCs w:val="24"/>
        </w:rPr>
        <w:t>癌症基因组学分析显示，在379例转移性乳腺癌病例中，116</w:t>
      </w:r>
      <w:proofErr w:type="gramStart"/>
      <w:r w:rsidRPr="00C03604">
        <w:rPr>
          <w:rFonts w:ascii="微软雅黑" w:eastAsia="微软雅黑" w:hAnsi="微软雅黑" w:cs="宋体"/>
          <w:kern w:val="0"/>
          <w:sz w:val="24"/>
          <w:szCs w:val="24"/>
        </w:rPr>
        <w:t>例存在</w:t>
      </w:r>
      <w:proofErr w:type="gramEnd"/>
      <w:r w:rsidRPr="00C03604">
        <w:rPr>
          <w:rFonts w:ascii="微软雅黑" w:eastAsia="微软雅黑" w:hAnsi="微软雅黑" w:cs="宋体"/>
          <w:i/>
          <w:iCs/>
          <w:kern w:val="0"/>
          <w:sz w:val="24"/>
          <w:szCs w:val="24"/>
        </w:rPr>
        <w:t>ACK1</w:t>
      </w:r>
      <w:r w:rsidRPr="00C03604">
        <w:rPr>
          <w:rFonts w:ascii="微软雅黑" w:eastAsia="微软雅黑" w:hAnsi="微软雅黑" w:cs="宋体"/>
          <w:kern w:val="0"/>
          <w:sz w:val="24"/>
          <w:szCs w:val="24"/>
        </w:rPr>
        <w:t> / </w:t>
      </w:r>
      <w:r w:rsidRPr="00C03604">
        <w:rPr>
          <w:rFonts w:ascii="微软雅黑" w:eastAsia="微软雅黑" w:hAnsi="微软雅黑" w:cs="宋体"/>
          <w:i/>
          <w:iCs/>
          <w:kern w:val="0"/>
          <w:sz w:val="24"/>
          <w:szCs w:val="24"/>
        </w:rPr>
        <w:t>TNK2基因扩增（30.6%），而仅有1例样本显示ACK1</w:t>
      </w:r>
      <w:r w:rsidRPr="00C03604">
        <w:rPr>
          <w:rFonts w:ascii="微软雅黑" w:eastAsia="微软雅黑" w:hAnsi="微软雅黑" w:cs="宋体"/>
          <w:kern w:val="0"/>
          <w:sz w:val="24"/>
          <w:szCs w:val="24"/>
        </w:rPr>
        <w:t>基因突变（S588Y），表明基因扩增可能是乳腺癌中ACK1激活的主要原</w:t>
      </w:r>
      <w:r w:rsidRPr="00C03604">
        <w:rPr>
          <w:rFonts w:ascii="微软雅黑" w:eastAsia="微软雅黑" w:hAnsi="微软雅黑" w:cs="宋体"/>
          <w:kern w:val="0"/>
          <w:sz w:val="24"/>
          <w:szCs w:val="24"/>
        </w:rPr>
        <w:lastRenderedPageBreak/>
        <w:t>因（补充图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"MOESM1"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S1</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）。在ER</w:t>
      </w:r>
      <w:r w:rsidRPr="00C03604">
        <w:rPr>
          <w:rFonts w:ascii="微软雅黑" w:eastAsia="微软雅黑" w:hAnsi="微软雅黑" w:cs="宋体"/>
          <w:kern w:val="0"/>
          <w:sz w:val="24"/>
          <w:szCs w:val="24"/>
          <w:vertAlign w:val="superscript"/>
        </w:rPr>
        <w:t>阳性</w:t>
      </w:r>
      <w:r w:rsidRPr="00C03604">
        <w:rPr>
          <w:rFonts w:ascii="微软雅黑" w:eastAsia="微软雅黑" w:hAnsi="微软雅黑" w:cs="宋体"/>
          <w:kern w:val="0"/>
          <w:sz w:val="24"/>
          <w:szCs w:val="24"/>
        </w:rPr>
        <w:t>（21/116）、ER</w:t>
      </w:r>
      <w:r w:rsidRPr="00C03604">
        <w:rPr>
          <w:rFonts w:ascii="微软雅黑" w:eastAsia="微软雅黑" w:hAnsi="微软雅黑" w:cs="宋体"/>
          <w:kern w:val="0"/>
          <w:sz w:val="24"/>
          <w:szCs w:val="24"/>
          <w:vertAlign w:val="superscript"/>
        </w:rPr>
        <w:t>阳性</w:t>
      </w:r>
      <w:r w:rsidRPr="00C03604">
        <w:rPr>
          <w:rFonts w:ascii="微软雅黑" w:eastAsia="微软雅黑" w:hAnsi="微软雅黑" w:cs="宋体"/>
          <w:kern w:val="0"/>
          <w:sz w:val="24"/>
          <w:szCs w:val="24"/>
        </w:rPr>
        <w:t>/PR</w:t>
      </w:r>
      <w:r w:rsidRPr="00C03604">
        <w:rPr>
          <w:rFonts w:ascii="微软雅黑" w:eastAsia="微软雅黑" w:hAnsi="微软雅黑" w:cs="宋体"/>
          <w:kern w:val="0"/>
          <w:sz w:val="24"/>
          <w:szCs w:val="24"/>
          <w:vertAlign w:val="superscript"/>
        </w:rPr>
        <w:t>阳性</w:t>
      </w:r>
      <w:r w:rsidRPr="00C03604">
        <w:rPr>
          <w:rFonts w:ascii="微软雅黑" w:eastAsia="微软雅黑" w:hAnsi="微软雅黑" w:cs="宋体"/>
          <w:kern w:val="0"/>
          <w:sz w:val="24"/>
          <w:szCs w:val="24"/>
        </w:rPr>
        <w:t>（13/116）、HER2</w:t>
      </w:r>
      <w:r w:rsidRPr="00C03604">
        <w:rPr>
          <w:rFonts w:ascii="微软雅黑" w:eastAsia="微软雅黑" w:hAnsi="微软雅黑" w:cs="宋体"/>
          <w:kern w:val="0"/>
          <w:sz w:val="24"/>
          <w:szCs w:val="24"/>
          <w:vertAlign w:val="superscript"/>
        </w:rPr>
        <w:t>阳性</w:t>
      </w:r>
      <w:r w:rsidRPr="00C03604">
        <w:rPr>
          <w:rFonts w:ascii="微软雅黑" w:eastAsia="微软雅黑" w:hAnsi="微软雅黑" w:cs="宋体"/>
          <w:kern w:val="0"/>
          <w:sz w:val="24"/>
          <w:szCs w:val="24"/>
        </w:rPr>
        <w:t>（15/116）和三阴性乳腺癌（TNBC，10/116）中</w:t>
      </w:r>
      <w:proofErr w:type="gramStart"/>
      <w:r w:rsidRPr="00C03604">
        <w:rPr>
          <w:rFonts w:ascii="微软雅黑" w:eastAsia="微软雅黑" w:hAnsi="微软雅黑" w:cs="宋体"/>
          <w:kern w:val="0"/>
          <w:sz w:val="24"/>
          <w:szCs w:val="24"/>
        </w:rPr>
        <w:t>均观察</w:t>
      </w:r>
      <w:proofErr w:type="gramEnd"/>
      <w:r w:rsidRPr="00C03604">
        <w:rPr>
          <w:rFonts w:ascii="微软雅黑" w:eastAsia="微软雅黑" w:hAnsi="微软雅黑" w:cs="宋体"/>
          <w:kern w:val="0"/>
          <w:sz w:val="24"/>
          <w:szCs w:val="24"/>
        </w:rPr>
        <w:t>到ACK1基因扩增（补充图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"MOESM1"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S1</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）。总体而言，这些数据揭示了一种有趣的可能，即四种不同亚型乳腺癌中相当一部分存在ACK1激活，且这种激活与其激素受体状态无关。</w:t>
      </w:r>
    </w:p>
    <w:p w14:paraId="7A2535EE" w14:textId="77777777" w:rsidR="00C03604" w:rsidRPr="00C03604" w:rsidRDefault="00C03604" w:rsidP="00C03604">
      <w:pPr>
        <w:widowControl/>
        <w:spacing w:line="450" w:lineRule="atLeast"/>
        <w:outlineLvl w:val="3"/>
        <w:rPr>
          <w:rFonts w:ascii="微软雅黑" w:eastAsia="微软雅黑" w:hAnsi="微软雅黑" w:cs="宋体"/>
          <w:kern w:val="0"/>
          <w:sz w:val="30"/>
          <w:szCs w:val="30"/>
        </w:rPr>
      </w:pPr>
      <w:r w:rsidRPr="00C03604">
        <w:rPr>
          <w:rFonts w:ascii="微软雅黑" w:eastAsia="微软雅黑" w:hAnsi="微软雅黑" w:cs="宋体"/>
          <w:kern w:val="0"/>
          <w:sz w:val="30"/>
          <w:szCs w:val="30"/>
        </w:rPr>
        <w:t>图 1. ACK1 在多种类型的乳腺癌中被激活。</w:t>
      </w:r>
    </w:p>
    <w:p w14:paraId="0092DE7B" w14:textId="54EDD697"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noProof/>
          <w:kern w:val="0"/>
          <w:sz w:val="24"/>
          <w:szCs w:val="24"/>
        </w:rPr>
        <w:drawing>
          <wp:inline distT="0" distB="0" distL="0" distR="0" wp14:anchorId="1222FE14" wp14:editId="6AF1AFB0">
            <wp:extent cx="5274310" cy="6053455"/>
            <wp:effectExtent l="0" t="0" r="2540" b="4445"/>
            <wp:docPr id="7" name="图片 7" descr="图 1">
              <a:hlinkClick xmlns:a="http://schemas.openxmlformats.org/drawingml/2006/main" r:id="rId4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32e759" descr="图 1">
                      <a:hlinkClick r:id="rId44" tgtFrame="&quot;_blank&quot;"/>
                    </pic:cNvPr>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274310" cy="6053455"/>
                    </a:xfrm>
                    <a:prstGeom prst="rect">
                      <a:avLst/>
                    </a:prstGeom>
                    <a:noFill/>
                    <a:ln>
                      <a:noFill/>
                    </a:ln>
                  </pic:spPr>
                </pic:pic>
              </a:graphicData>
            </a:graphic>
          </wp:inline>
        </w:drawing>
      </w:r>
    </w:p>
    <w:p w14:paraId="169C2A78" w14:textId="77777777" w:rsidR="00C03604" w:rsidRPr="00C03604" w:rsidRDefault="00C03604" w:rsidP="00C03604">
      <w:pPr>
        <w:widowControl/>
        <w:rPr>
          <w:rFonts w:ascii="微软雅黑" w:eastAsia="微软雅黑" w:hAnsi="微软雅黑" w:cs="宋体"/>
          <w:kern w:val="0"/>
          <w:sz w:val="24"/>
          <w:szCs w:val="24"/>
        </w:rPr>
      </w:pPr>
      <w:r w:rsidRPr="00C03604">
        <w:rPr>
          <w:rFonts w:ascii="微软雅黑" w:eastAsia="微软雅黑" w:hAnsi="微软雅黑" w:cs="宋体"/>
          <w:kern w:val="0"/>
          <w:sz w:val="24"/>
          <w:szCs w:val="24"/>
        </w:rPr>
        <w:lastRenderedPageBreak/>
        <w:t>使用 pY284-ACK1 和总 ACK1 抗体对人乳腺癌组织样本和正常实质进行免疫组织化学分析。肿瘤状态通过 H&amp;E 染色确认（</w:t>
      </w:r>
      <w:r w:rsidRPr="00C03604">
        <w:rPr>
          <w:rFonts w:ascii="微软雅黑" w:eastAsia="微软雅黑" w:hAnsi="微软雅黑" w:cs="宋体"/>
          <w:b/>
          <w:bCs/>
          <w:kern w:val="0"/>
          <w:sz w:val="24"/>
          <w:szCs w:val="24"/>
        </w:rPr>
        <w:t>所有组</w:t>
      </w:r>
      <w:r w:rsidRPr="00C03604">
        <w:rPr>
          <w:rFonts w:ascii="微软雅黑" w:eastAsia="微软雅黑" w:hAnsi="微软雅黑" w:cs="宋体"/>
          <w:i/>
          <w:iCs/>
          <w:kern w:val="0"/>
          <w:sz w:val="24"/>
          <w:szCs w:val="24"/>
        </w:rPr>
        <w:t>n = 500；图中展示了代表性图像）。图</w:t>
      </w:r>
      <w:r w:rsidRPr="00C03604">
        <w:rPr>
          <w:rFonts w:ascii="微软雅黑" w:eastAsia="微软雅黑" w:hAnsi="微软雅黑" w:cs="宋体"/>
          <w:b/>
          <w:bCs/>
          <w:kern w:val="0"/>
          <w:sz w:val="24"/>
          <w:szCs w:val="24"/>
        </w:rPr>
        <w:t>B 、 C</w:t>
      </w:r>
      <w:r w:rsidRPr="00C03604">
        <w:rPr>
          <w:rFonts w:ascii="微软雅黑" w:eastAsia="微软雅黑" w:hAnsi="微软雅黑" w:cs="宋体"/>
          <w:kern w:val="0"/>
          <w:sz w:val="24"/>
          <w:szCs w:val="24"/>
        </w:rPr>
        <w:t>、</w:t>
      </w:r>
      <w:r w:rsidRPr="00C03604">
        <w:rPr>
          <w:rFonts w:ascii="微软雅黑" w:eastAsia="微软雅黑" w:hAnsi="微软雅黑" w:cs="宋体"/>
          <w:b/>
          <w:bCs/>
          <w:kern w:val="0"/>
          <w:sz w:val="24"/>
          <w:szCs w:val="24"/>
        </w:rPr>
        <w:t>D 、 E和F</w:t>
      </w:r>
      <w:r w:rsidRPr="00C03604">
        <w:rPr>
          <w:rFonts w:ascii="MS Gothic" w:eastAsia="MS Gothic" w:hAnsi="MS Gothic" w:cs="MS Gothic" w:hint="eastAsia"/>
          <w:kern w:val="0"/>
          <w:sz w:val="24"/>
          <w:szCs w:val="24"/>
        </w:rPr>
        <w:t> </w:t>
      </w:r>
      <w:r w:rsidRPr="00C03604">
        <w:rPr>
          <w:rFonts w:ascii="微软雅黑" w:eastAsia="微软雅黑" w:hAnsi="微软雅黑" w:cs="宋体"/>
          <w:kern w:val="0"/>
          <w:sz w:val="24"/>
          <w:szCs w:val="24"/>
        </w:rPr>
        <w:t>分别显示了所有乳腺癌样本、ER </w:t>
      </w:r>
      <w:r w:rsidRPr="00C03604">
        <w:rPr>
          <w:rFonts w:ascii="微软雅黑" w:eastAsia="微软雅黑" w:hAnsi="微软雅黑" w:cs="宋体"/>
          <w:kern w:val="0"/>
          <w:sz w:val="24"/>
          <w:szCs w:val="24"/>
          <w:vertAlign w:val="superscript"/>
        </w:rPr>
        <w:t>+</w:t>
      </w:r>
      <w:r w:rsidRPr="00C03604">
        <w:rPr>
          <w:rFonts w:ascii="微软雅黑" w:eastAsia="微软雅黑" w:hAnsi="微软雅黑" w:cs="宋体"/>
          <w:kern w:val="0"/>
          <w:sz w:val="24"/>
          <w:szCs w:val="24"/>
        </w:rPr>
        <w:t>样本、 ER </w:t>
      </w:r>
      <w:r w:rsidRPr="00C03604">
        <w:rPr>
          <w:rFonts w:ascii="微软雅黑" w:eastAsia="微软雅黑" w:hAnsi="微软雅黑" w:cs="宋体"/>
          <w:kern w:val="0"/>
          <w:sz w:val="24"/>
          <w:szCs w:val="24"/>
          <w:vertAlign w:val="superscript"/>
        </w:rPr>
        <w:t>+</w:t>
      </w:r>
      <w:r w:rsidRPr="00C03604">
        <w:rPr>
          <w:rFonts w:ascii="微软雅黑" w:eastAsia="微软雅黑" w:hAnsi="微软雅黑" w:cs="宋体"/>
          <w:kern w:val="0"/>
          <w:sz w:val="24"/>
          <w:szCs w:val="24"/>
        </w:rPr>
        <w:t> /PR </w:t>
      </w:r>
      <w:r w:rsidRPr="00C03604">
        <w:rPr>
          <w:rFonts w:ascii="微软雅黑" w:eastAsia="微软雅黑" w:hAnsi="微软雅黑" w:cs="宋体"/>
          <w:kern w:val="0"/>
          <w:sz w:val="24"/>
          <w:szCs w:val="24"/>
          <w:vertAlign w:val="superscript"/>
        </w:rPr>
        <w:t>+</w:t>
      </w:r>
      <w:r w:rsidRPr="00C03604">
        <w:rPr>
          <w:rFonts w:ascii="微软雅黑" w:eastAsia="微软雅黑" w:hAnsi="微软雅黑" w:cs="宋体"/>
          <w:kern w:val="0"/>
          <w:sz w:val="24"/>
          <w:szCs w:val="24"/>
        </w:rPr>
        <w:t>样本、HER2 </w:t>
      </w:r>
      <w:r w:rsidRPr="00C03604">
        <w:rPr>
          <w:rFonts w:ascii="微软雅黑" w:eastAsia="微软雅黑" w:hAnsi="微软雅黑" w:cs="宋体"/>
          <w:kern w:val="0"/>
          <w:sz w:val="24"/>
          <w:szCs w:val="24"/>
          <w:vertAlign w:val="superscript"/>
        </w:rPr>
        <w:t>+</w:t>
      </w:r>
      <w:r w:rsidRPr="00C03604">
        <w:rPr>
          <w:rFonts w:ascii="微软雅黑" w:eastAsia="微软雅黑" w:hAnsi="微软雅黑" w:cs="宋体"/>
          <w:kern w:val="0"/>
          <w:sz w:val="24"/>
          <w:szCs w:val="24"/>
        </w:rPr>
        <w:t>样本和TNBC 样本中总 ACK1 和 pY284-ACK1 的相对丰度。</w:t>
      </w:r>
    </w:p>
    <w:p w14:paraId="0015F7A1" w14:textId="77777777" w:rsidR="00C03604" w:rsidRPr="00C03604" w:rsidRDefault="00C03604" w:rsidP="00C03604">
      <w:pPr>
        <w:widowControl/>
        <w:spacing w:line="450" w:lineRule="atLeast"/>
        <w:outlineLvl w:val="2"/>
        <w:rPr>
          <w:rFonts w:ascii="微软雅黑" w:eastAsia="微软雅黑" w:hAnsi="微软雅黑" w:cs="宋体"/>
          <w:kern w:val="0"/>
          <w:sz w:val="32"/>
          <w:szCs w:val="32"/>
        </w:rPr>
      </w:pPr>
      <w:r w:rsidRPr="00C03604">
        <w:rPr>
          <w:rFonts w:ascii="微软雅黑" w:eastAsia="微软雅黑" w:hAnsi="微软雅黑" w:cs="宋体"/>
          <w:kern w:val="0"/>
          <w:sz w:val="32"/>
          <w:szCs w:val="32"/>
        </w:rPr>
        <w:t>ACK1抑制剂( </w:t>
      </w:r>
      <w:r w:rsidRPr="00C03604">
        <w:rPr>
          <w:rFonts w:ascii="微软雅黑" w:eastAsia="微软雅黑" w:hAnsi="微软雅黑" w:cs="宋体"/>
          <w:i/>
          <w:iCs/>
          <w:kern w:val="0"/>
          <w:sz w:val="32"/>
          <w:szCs w:val="32"/>
        </w:rPr>
        <w:t>R</w:t>
      </w:r>
      <w:r w:rsidRPr="00C03604">
        <w:rPr>
          <w:rFonts w:ascii="微软雅黑" w:eastAsia="微软雅黑" w:hAnsi="微软雅黑" w:cs="宋体"/>
          <w:kern w:val="0"/>
          <w:sz w:val="32"/>
          <w:szCs w:val="32"/>
        </w:rPr>
        <w:t> )-9b具有类药特性</w:t>
      </w:r>
    </w:p>
    <w:p w14:paraId="65C995E5" w14:textId="77777777"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kern w:val="0"/>
          <w:sz w:val="24"/>
          <w:szCs w:val="24"/>
        </w:rPr>
        <w:t>多种分子亚型中均存在活化的ACK1，这表明靶向ACK1的疗法不仅可能对ER </w:t>
      </w:r>
      <w:r w:rsidRPr="00C03604">
        <w:rPr>
          <w:rFonts w:ascii="微软雅黑" w:eastAsia="微软雅黑" w:hAnsi="微软雅黑" w:cs="宋体"/>
          <w:kern w:val="0"/>
          <w:sz w:val="24"/>
          <w:szCs w:val="24"/>
          <w:vertAlign w:val="superscript"/>
        </w:rPr>
        <w:t>+</w:t>
      </w:r>
      <w:r w:rsidRPr="00C03604">
        <w:rPr>
          <w:rFonts w:ascii="微软雅黑" w:eastAsia="微软雅黑" w:hAnsi="微软雅黑" w:cs="宋体"/>
          <w:kern w:val="0"/>
          <w:sz w:val="24"/>
          <w:szCs w:val="24"/>
        </w:rPr>
        <w:t>、ER </w:t>
      </w:r>
      <w:r w:rsidRPr="00C03604">
        <w:rPr>
          <w:rFonts w:ascii="微软雅黑" w:eastAsia="微软雅黑" w:hAnsi="微软雅黑" w:cs="宋体"/>
          <w:kern w:val="0"/>
          <w:sz w:val="24"/>
          <w:szCs w:val="24"/>
          <w:vertAlign w:val="superscript"/>
        </w:rPr>
        <w:t>+</w:t>
      </w:r>
      <w:r w:rsidRPr="00C03604">
        <w:rPr>
          <w:rFonts w:ascii="微软雅黑" w:eastAsia="微软雅黑" w:hAnsi="微软雅黑" w:cs="宋体"/>
          <w:kern w:val="0"/>
          <w:sz w:val="24"/>
          <w:szCs w:val="24"/>
        </w:rPr>
        <w:t> /PR </w:t>
      </w:r>
      <w:r w:rsidRPr="00C03604">
        <w:rPr>
          <w:rFonts w:ascii="微软雅黑" w:eastAsia="微软雅黑" w:hAnsi="微软雅黑" w:cs="宋体"/>
          <w:kern w:val="0"/>
          <w:sz w:val="24"/>
          <w:szCs w:val="24"/>
          <w:vertAlign w:val="superscript"/>
        </w:rPr>
        <w:t>+</w:t>
      </w:r>
      <w:r w:rsidRPr="00C03604">
        <w:rPr>
          <w:rFonts w:ascii="微软雅黑" w:eastAsia="微软雅黑" w:hAnsi="微软雅黑" w:cs="宋体"/>
          <w:kern w:val="0"/>
          <w:sz w:val="24"/>
          <w:szCs w:val="24"/>
        </w:rPr>
        <w:t>和HER2 </w:t>
      </w:r>
      <w:r w:rsidRPr="00C03604">
        <w:rPr>
          <w:rFonts w:ascii="微软雅黑" w:eastAsia="微软雅黑" w:hAnsi="微软雅黑" w:cs="宋体"/>
          <w:kern w:val="0"/>
          <w:sz w:val="24"/>
          <w:szCs w:val="24"/>
          <w:vertAlign w:val="superscript"/>
        </w:rPr>
        <w:t>+</w:t>
      </w:r>
      <w:r w:rsidRPr="00C03604">
        <w:rPr>
          <w:rFonts w:ascii="微软雅黑" w:eastAsia="微软雅黑" w:hAnsi="微软雅黑" w:cs="宋体"/>
          <w:kern w:val="0"/>
          <w:sz w:val="24"/>
          <w:szCs w:val="24"/>
        </w:rPr>
        <w:t>肿瘤有效，而且可能对其他亚型有效，尤其是在缺乏明确治疗靶点的三阴性乳腺癌（TNBC）中，因为TNBC的死亡率很高。我们开发了一类新型ACK1小分子抑制剂(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"Fig2"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2A</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）及其多种衍生物。体外激酶活性测定表明，(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是最有效的ACK1抑制剂，IC50</w:t>
      </w:r>
      <w:r w:rsidRPr="00C03604">
        <w:rPr>
          <w:rFonts w:ascii="微软雅黑" w:eastAsia="微软雅黑" w:hAnsi="微软雅黑" w:cs="宋体"/>
          <w:kern w:val="0"/>
          <w:sz w:val="24"/>
          <w:szCs w:val="24"/>
          <w:vertAlign w:val="subscript"/>
        </w:rPr>
        <w:t>值为</w:t>
      </w:r>
      <w:r w:rsidRPr="00C03604">
        <w:rPr>
          <w:rFonts w:ascii="微软雅黑" w:eastAsia="微软雅黑" w:hAnsi="微软雅黑" w:cs="宋体"/>
          <w:kern w:val="0"/>
          <w:sz w:val="24"/>
          <w:szCs w:val="24"/>
        </w:rPr>
        <w:t xml:space="preserve">13 </w:t>
      </w:r>
      <w:proofErr w:type="spellStart"/>
      <w:r w:rsidRPr="00C03604">
        <w:rPr>
          <w:rFonts w:ascii="微软雅黑" w:eastAsia="微软雅黑" w:hAnsi="微软雅黑" w:cs="宋体"/>
          <w:kern w:val="0"/>
          <w:sz w:val="24"/>
          <w:szCs w:val="24"/>
        </w:rPr>
        <w:t>nM</w:t>
      </w:r>
      <w:proofErr w:type="spellEnd"/>
      <w:r w:rsidRPr="00C03604">
        <w:rPr>
          <w:rFonts w:ascii="微软雅黑" w:eastAsia="微软雅黑" w:hAnsi="微软雅黑" w:cs="宋体"/>
          <w:kern w:val="0"/>
          <w:sz w:val="24"/>
          <w:szCs w:val="24"/>
        </w:rPr>
        <w:t>（补充表</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"MOESM1"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S2 ）。( </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的甲磺酸盐( MS)在水性介质中具有很高的溶解度，并且在Caco-2细胞膜渗透性测定中表现出很高的膜渗透性（补充表</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"MOESM1"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S3</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）。体外人肝微粒体研究表明，(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对细胞色素 P450 (CYP) 同工酶的抑制潜力较低，包括与人体药物代谢最相关的同工酶（CYP1A1/2、CYP2C9、CYP2C19、CYP2D6 和 CYP3A4）（补充表</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"MOESM1"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S4</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）。药物从血浆到靶组织的分布受其血浆蛋白结合率 (PPB) 的影响。与血浆蛋白广泛结合的化合物分布容积 (</w:t>
      </w:r>
      <w:proofErr w:type="spellStart"/>
      <w:r w:rsidRPr="00C03604">
        <w:rPr>
          <w:rFonts w:ascii="微软雅黑" w:eastAsia="微软雅黑" w:hAnsi="微软雅黑" w:cs="宋体"/>
          <w:kern w:val="0"/>
          <w:sz w:val="24"/>
          <w:szCs w:val="24"/>
        </w:rPr>
        <w:t>VDss</w:t>
      </w:r>
      <w:proofErr w:type="spellEnd"/>
      <w:r w:rsidRPr="00C03604">
        <w:rPr>
          <w:rFonts w:ascii="微软雅黑" w:eastAsia="微软雅黑" w:hAnsi="微软雅黑" w:cs="宋体"/>
          <w:kern w:val="0"/>
          <w:sz w:val="24"/>
          <w:szCs w:val="24"/>
        </w:rPr>
        <w:t>) 低，血浆半衰期 (T1 </w:t>
      </w:r>
      <w:r w:rsidRPr="00C03604">
        <w:rPr>
          <w:rFonts w:ascii="微软雅黑" w:eastAsia="微软雅黑" w:hAnsi="微软雅黑" w:cs="宋体"/>
          <w:kern w:val="0"/>
          <w:sz w:val="24"/>
          <w:szCs w:val="24"/>
          <w:vertAlign w:val="subscript"/>
        </w:rPr>
        <w:t>/2</w:t>
      </w:r>
      <w:r w:rsidRPr="00C03604">
        <w:rPr>
          <w:rFonts w:ascii="微软雅黑" w:eastAsia="微软雅黑" w:hAnsi="微软雅黑" w:cs="宋体"/>
          <w:kern w:val="0"/>
          <w:sz w:val="24"/>
          <w:szCs w:val="24"/>
        </w:rPr>
        <w:t> ) 长，且经肝脏和肾脏途径的清除率 (Cl) 均低，从而影响疗效。(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 的</w:t>
      </w:r>
      <w:r w:rsidRPr="00C03604">
        <w:rPr>
          <w:rFonts w:ascii="微软雅黑" w:eastAsia="微软雅黑" w:hAnsi="微软雅黑" w:cs="宋体"/>
          <w:kern w:val="0"/>
          <w:sz w:val="24"/>
          <w:szCs w:val="24"/>
        </w:rPr>
        <w:t>PPB 较高 (83%)，治疗 6 小时后仍有超过 96% 的药物残留（补充表</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"MOESM1"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S5</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）。此外，(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在胃液和肠液中表现出良好的稳定性，表明它可以口服给药（补充表</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"MOESM1"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S6</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w:t>
      </w:r>
    </w:p>
    <w:p w14:paraId="01884F72" w14:textId="77777777" w:rsidR="00C03604" w:rsidRPr="00C03604" w:rsidRDefault="00C03604" w:rsidP="00C03604">
      <w:pPr>
        <w:widowControl/>
        <w:spacing w:line="450" w:lineRule="atLeast"/>
        <w:outlineLvl w:val="3"/>
        <w:rPr>
          <w:rFonts w:ascii="微软雅黑" w:eastAsia="微软雅黑" w:hAnsi="微软雅黑" w:cs="宋体"/>
          <w:kern w:val="0"/>
          <w:sz w:val="30"/>
          <w:szCs w:val="30"/>
        </w:rPr>
      </w:pPr>
      <w:r w:rsidRPr="00C03604">
        <w:rPr>
          <w:rFonts w:ascii="微软雅黑" w:eastAsia="微软雅黑" w:hAnsi="微软雅黑" w:cs="宋体"/>
          <w:kern w:val="0"/>
          <w:sz w:val="30"/>
          <w:szCs w:val="30"/>
        </w:rPr>
        <w:lastRenderedPageBreak/>
        <w:t>图 2. ACK1 调控乳腺癌转录组，影响与细胞周期进程相关的基因。</w:t>
      </w:r>
    </w:p>
    <w:p w14:paraId="655C785E" w14:textId="2266A98A"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noProof/>
          <w:kern w:val="0"/>
          <w:sz w:val="24"/>
          <w:szCs w:val="24"/>
        </w:rPr>
        <w:drawing>
          <wp:inline distT="0" distB="0" distL="0" distR="0" wp14:anchorId="637A0B2C" wp14:editId="5B03231B">
            <wp:extent cx="5274310" cy="5233670"/>
            <wp:effectExtent l="0" t="0" r="2540" b="5080"/>
            <wp:docPr id="6" name="图片 6" descr="图 2">
              <a:hlinkClick xmlns:a="http://schemas.openxmlformats.org/drawingml/2006/main" r:id="rId4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32e935" descr="图 2">
                      <a:hlinkClick r:id="rId46" tgtFrame="&quot;_blank&quo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274310" cy="5233670"/>
                    </a:xfrm>
                    <a:prstGeom prst="rect">
                      <a:avLst/>
                    </a:prstGeom>
                    <a:noFill/>
                    <a:ln>
                      <a:noFill/>
                    </a:ln>
                  </pic:spPr>
                </pic:pic>
              </a:graphicData>
            </a:graphic>
          </wp:inline>
        </w:drawing>
      </w:r>
    </w:p>
    <w:p w14:paraId="5717C17E" w14:textId="77777777" w:rsidR="00C03604" w:rsidRPr="00C03604" w:rsidRDefault="00C03604" w:rsidP="00C03604">
      <w:pPr>
        <w:widowControl/>
        <w:rPr>
          <w:rFonts w:ascii="微软雅黑" w:eastAsia="微软雅黑" w:hAnsi="微软雅黑" w:cs="宋体"/>
          <w:kern w:val="0"/>
          <w:sz w:val="24"/>
          <w:szCs w:val="24"/>
        </w:rPr>
      </w:pPr>
      <w:r w:rsidRPr="00C03604">
        <w:rPr>
          <w:rFonts w:ascii="微软雅黑" w:eastAsia="微软雅黑" w:hAnsi="微软雅黑" w:cs="宋体"/>
          <w:b/>
          <w:bCs/>
          <w:kern w:val="0"/>
          <w:sz w:val="24"/>
          <w:szCs w:val="24"/>
        </w:rPr>
        <w:t>A.</w:t>
      </w:r>
      <w:r w:rsidRPr="00C03604">
        <w:rPr>
          <w:rFonts w:ascii="微软雅黑" w:eastAsia="微软雅黑" w:hAnsi="微软雅黑" w:cs="宋体"/>
          <w:kern w:val="0"/>
          <w:sz w:val="24"/>
          <w:szCs w:val="24"/>
        </w:rPr>
        <w:t> </w:t>
      </w:r>
      <w:proofErr w:type="gramStart"/>
      <w:r w:rsidRPr="00C03604">
        <w:rPr>
          <w:rFonts w:ascii="微软雅黑" w:eastAsia="微软雅黑" w:hAnsi="微软雅黑" w:cs="宋体"/>
          <w:kern w:val="0"/>
          <w:sz w:val="24"/>
          <w:szCs w:val="24"/>
        </w:rPr>
        <w:t>( </w:t>
      </w:r>
      <w:r w:rsidRPr="00C03604">
        <w:rPr>
          <w:rFonts w:ascii="微软雅黑" w:eastAsia="微软雅黑" w:hAnsi="微软雅黑" w:cs="宋体"/>
          <w:i/>
          <w:iCs/>
          <w:kern w:val="0"/>
          <w:sz w:val="24"/>
          <w:szCs w:val="24"/>
        </w:rPr>
        <w:t>R</w:t>
      </w:r>
      <w:proofErr w:type="gramEnd"/>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-9b的化学</w:t>
      </w:r>
      <w:r w:rsidRPr="00C03604">
        <w:rPr>
          <w:rFonts w:ascii="微软雅黑" w:eastAsia="微软雅黑" w:hAnsi="微软雅黑" w:cs="宋体"/>
          <w:kern w:val="0"/>
          <w:sz w:val="24"/>
          <w:szCs w:val="24"/>
        </w:rPr>
        <w:t>结构。B .将乳腺癌细胞系用载体或 (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处理过夜，提取细胞裂解液，用 ACK1 抗体进行免疫沉淀，然后用 pY284-ACK1 抗体进行免疫印迹。裂解液也用总 ACK1 和肌动蛋白抗体进行免疫印迹，结果显示在下方。每张印迹图下方显示了相对于对照组的蛋白质丰度密度值。C </w:t>
      </w:r>
      <w:r w:rsidRPr="00C03604">
        <w:rPr>
          <w:rFonts w:ascii="微软雅黑" w:eastAsia="微软雅黑" w:hAnsi="微软雅黑" w:cs="宋体"/>
          <w:b/>
          <w:bCs/>
          <w:kern w:val="0"/>
          <w:sz w:val="24"/>
          <w:szCs w:val="24"/>
        </w:rPr>
        <w:t>.</w:t>
      </w:r>
      <w:r w:rsidRPr="00C03604">
        <w:rPr>
          <w:rFonts w:ascii="微软雅黑" w:eastAsia="微软雅黑" w:hAnsi="微软雅黑" w:cs="宋体"/>
          <w:kern w:val="0"/>
          <w:sz w:val="24"/>
          <w:szCs w:val="24"/>
        </w:rPr>
        <w:t>将乳腺癌细胞系用不同浓度的 (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处理96 小时，并使用台盼蓝排除法检测细胞增殖。D - </w:t>
      </w:r>
      <w:r w:rsidRPr="00C03604">
        <w:rPr>
          <w:rFonts w:ascii="微软雅黑" w:eastAsia="微软雅黑" w:hAnsi="微软雅黑" w:cs="宋体"/>
          <w:b/>
          <w:bCs/>
          <w:kern w:val="0"/>
          <w:sz w:val="24"/>
          <w:szCs w:val="24"/>
        </w:rPr>
        <w:t>H .</w:t>
      </w:r>
      <w:r w:rsidRPr="00C03604">
        <w:rPr>
          <w:rFonts w:ascii="微软雅黑" w:eastAsia="微软雅黑" w:hAnsi="微软雅黑" w:cs="宋体"/>
          <w:kern w:val="0"/>
          <w:sz w:val="24"/>
          <w:szCs w:val="24"/>
        </w:rPr>
        <w:t>将乳腺癌细胞用载体或不同浓度的 (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-9b处理过夜，提取 RNA，并</w:t>
      </w:r>
      <w:r w:rsidRPr="00C03604">
        <w:rPr>
          <w:rFonts w:ascii="微软雅黑" w:eastAsia="微软雅黑" w:hAnsi="微软雅黑" w:cs="宋体"/>
          <w:b/>
          <w:bCs/>
          <w:kern w:val="0"/>
          <w:sz w:val="24"/>
          <w:szCs w:val="24"/>
        </w:rPr>
        <w:lastRenderedPageBreak/>
        <w:t>使用</w:t>
      </w:r>
      <w:r w:rsidRPr="00C03604">
        <w:rPr>
          <w:rFonts w:ascii="微软雅黑" w:eastAsia="微软雅黑" w:hAnsi="微软雅黑" w:cs="宋体"/>
          <w:i/>
          <w:iCs/>
          <w:kern w:val="0"/>
          <w:sz w:val="24"/>
          <w:szCs w:val="24"/>
        </w:rPr>
        <w:t>CCNB1</w:t>
      </w:r>
      <w:r w:rsidRPr="00C03604">
        <w:rPr>
          <w:rFonts w:ascii="微软雅黑" w:eastAsia="微软雅黑" w:hAnsi="微软雅黑" w:cs="宋体"/>
          <w:kern w:val="0"/>
          <w:sz w:val="24"/>
          <w:szCs w:val="24"/>
        </w:rPr>
        <w:t>、</w:t>
      </w:r>
      <w:r w:rsidRPr="00C03604">
        <w:rPr>
          <w:rFonts w:ascii="微软雅黑" w:eastAsia="微软雅黑" w:hAnsi="微软雅黑" w:cs="宋体"/>
          <w:i/>
          <w:iCs/>
          <w:kern w:val="0"/>
          <w:sz w:val="24"/>
          <w:szCs w:val="24"/>
        </w:rPr>
        <w:t>CCNB2</w:t>
      </w:r>
      <w:r w:rsidRPr="00C03604">
        <w:rPr>
          <w:rFonts w:ascii="微软雅黑" w:eastAsia="微软雅黑" w:hAnsi="微软雅黑" w:cs="宋体"/>
          <w:kern w:val="0"/>
          <w:sz w:val="24"/>
          <w:szCs w:val="24"/>
        </w:rPr>
        <w:t>和</w:t>
      </w:r>
      <w:r w:rsidRPr="00C03604">
        <w:rPr>
          <w:rFonts w:ascii="微软雅黑" w:eastAsia="微软雅黑" w:hAnsi="微软雅黑" w:cs="宋体"/>
          <w:i/>
          <w:iCs/>
          <w:kern w:val="0"/>
          <w:sz w:val="24"/>
          <w:szCs w:val="24"/>
        </w:rPr>
        <w:t>CDC20</w:t>
      </w:r>
      <w:r w:rsidRPr="00C03604">
        <w:rPr>
          <w:rFonts w:ascii="微软雅黑" w:eastAsia="微软雅黑" w:hAnsi="微软雅黑" w:cs="宋体"/>
          <w:kern w:val="0"/>
          <w:sz w:val="24"/>
          <w:szCs w:val="24"/>
        </w:rPr>
        <w:t xml:space="preserve">引物进行 </w:t>
      </w:r>
      <w:proofErr w:type="spellStart"/>
      <w:r w:rsidRPr="00C03604">
        <w:rPr>
          <w:rFonts w:ascii="微软雅黑" w:eastAsia="微软雅黑" w:hAnsi="微软雅黑" w:cs="宋体"/>
          <w:kern w:val="0"/>
          <w:sz w:val="24"/>
          <w:szCs w:val="24"/>
        </w:rPr>
        <w:t>qRT</w:t>
      </w:r>
      <w:proofErr w:type="spellEnd"/>
      <w:r w:rsidRPr="00C03604">
        <w:rPr>
          <w:rFonts w:ascii="微软雅黑" w:eastAsia="微软雅黑" w:hAnsi="微软雅黑" w:cs="宋体"/>
          <w:kern w:val="0"/>
          <w:sz w:val="24"/>
          <w:szCs w:val="24"/>
        </w:rPr>
        <w:t>-PCR 。</w:t>
      </w:r>
      <w:r w:rsidRPr="00C03604">
        <w:rPr>
          <w:rFonts w:ascii="微软雅黑" w:eastAsia="微软雅黑" w:hAnsi="微软雅黑" w:cs="宋体"/>
          <w:i/>
          <w:iCs/>
          <w:kern w:val="0"/>
          <w:sz w:val="24"/>
          <w:szCs w:val="24"/>
        </w:rPr>
        <w:t>肌动蛋白</w:t>
      </w:r>
      <w:r w:rsidRPr="00C03604">
        <w:rPr>
          <w:rFonts w:ascii="微软雅黑" w:eastAsia="微软雅黑" w:hAnsi="微软雅黑" w:cs="宋体"/>
          <w:kern w:val="0"/>
          <w:sz w:val="24"/>
          <w:szCs w:val="24"/>
        </w:rPr>
        <w:t>或</w:t>
      </w:r>
      <w:r w:rsidRPr="00C03604">
        <w:rPr>
          <w:rFonts w:ascii="微软雅黑" w:eastAsia="微软雅黑" w:hAnsi="微软雅黑" w:cs="宋体"/>
          <w:i/>
          <w:iCs/>
          <w:kern w:val="0"/>
          <w:sz w:val="24"/>
          <w:szCs w:val="24"/>
        </w:rPr>
        <w:t>18S rRNA</w:t>
      </w:r>
      <w:r w:rsidRPr="00C03604">
        <w:rPr>
          <w:rFonts w:ascii="微软雅黑" w:eastAsia="微软雅黑" w:hAnsi="微软雅黑" w:cs="宋体"/>
          <w:kern w:val="0"/>
          <w:sz w:val="24"/>
          <w:szCs w:val="24"/>
        </w:rPr>
        <w:t>用作管家基因对照。对于 ( </w:t>
      </w:r>
      <w:r w:rsidRPr="00C03604">
        <w:rPr>
          <w:rFonts w:ascii="微软雅黑" w:eastAsia="微软雅黑" w:hAnsi="微软雅黑" w:cs="宋体"/>
          <w:b/>
          <w:bCs/>
          <w:kern w:val="0"/>
          <w:sz w:val="24"/>
          <w:szCs w:val="24"/>
        </w:rPr>
        <w:t>B</w:t>
      </w:r>
      <w:r w:rsidRPr="00C03604">
        <w:rPr>
          <w:rFonts w:ascii="微软雅黑" w:eastAsia="微软雅黑" w:hAnsi="微软雅黑" w:cs="宋体"/>
          <w:kern w:val="0"/>
          <w:sz w:val="24"/>
          <w:szCs w:val="24"/>
        </w:rPr>
        <w:t> )，显示了三个独立实验的代表性图像。对于 ( </w:t>
      </w:r>
      <w:r w:rsidRPr="00C03604">
        <w:rPr>
          <w:rFonts w:ascii="微软雅黑" w:eastAsia="微软雅黑" w:hAnsi="微软雅黑" w:cs="宋体"/>
          <w:b/>
          <w:bCs/>
          <w:kern w:val="0"/>
          <w:sz w:val="24"/>
          <w:szCs w:val="24"/>
        </w:rPr>
        <w:t>C</w:t>
      </w:r>
      <w:r w:rsidRPr="00C03604">
        <w:rPr>
          <w:rFonts w:ascii="微软雅黑" w:eastAsia="微软雅黑" w:hAnsi="微软雅黑" w:cs="宋体"/>
          <w:kern w:val="0"/>
          <w:sz w:val="24"/>
          <w:szCs w:val="24"/>
        </w:rPr>
        <w:t> )，计算了一条四参数、可变斜率的非线性回归曲线，代表了三个独立实验的结果。对于 ( </w:t>
      </w:r>
      <w:r w:rsidRPr="00C03604">
        <w:rPr>
          <w:rFonts w:ascii="微软雅黑" w:eastAsia="微软雅黑" w:hAnsi="微软雅黑" w:cs="宋体"/>
          <w:b/>
          <w:bCs/>
          <w:kern w:val="0"/>
          <w:sz w:val="24"/>
          <w:szCs w:val="24"/>
        </w:rPr>
        <w:t>D</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H</w:t>
      </w:r>
      <w:r w:rsidRPr="00C03604">
        <w:rPr>
          <w:rFonts w:ascii="微软雅黑" w:eastAsia="微软雅黑" w:hAnsi="微软雅黑" w:cs="宋体"/>
          <w:kern w:val="0"/>
          <w:sz w:val="24"/>
          <w:szCs w:val="24"/>
        </w:rPr>
        <w:t> )，数据以平均值 ± 标准误差 (SEM) 表示。* </w:t>
      </w:r>
      <w:r w:rsidRPr="00C03604">
        <w:rPr>
          <w:rFonts w:ascii="微软雅黑" w:eastAsia="微软雅黑" w:hAnsi="微软雅黑" w:cs="宋体"/>
          <w:i/>
          <w:iCs/>
          <w:kern w:val="0"/>
          <w:sz w:val="24"/>
          <w:szCs w:val="24"/>
        </w:rPr>
        <w:t>p</w:t>
      </w:r>
      <w:r w:rsidRPr="00C03604">
        <w:rPr>
          <w:rFonts w:ascii="微软雅黑" w:eastAsia="微软雅黑" w:hAnsi="微软雅黑" w:cs="宋体"/>
          <w:kern w:val="0"/>
          <w:sz w:val="24"/>
          <w:szCs w:val="24"/>
        </w:rPr>
        <w:t> </w:t>
      </w:r>
      <w:r w:rsidRPr="00C03604">
        <w:rPr>
          <w:rFonts w:ascii="MS Gothic" w:eastAsia="MS Gothic" w:hAnsi="MS Gothic" w:cs="MS Gothic" w:hint="eastAsia"/>
          <w:kern w:val="0"/>
          <w:sz w:val="24"/>
          <w:szCs w:val="24"/>
        </w:rPr>
        <w:t> </w:t>
      </w:r>
      <w:r w:rsidRPr="00C03604">
        <w:rPr>
          <w:rFonts w:ascii="微软雅黑" w:eastAsia="微软雅黑" w:hAnsi="微软雅黑" w:cs="宋体"/>
          <w:kern w:val="0"/>
          <w:sz w:val="24"/>
          <w:szCs w:val="24"/>
        </w:rPr>
        <w:t>&lt; 0.05，** </w:t>
      </w:r>
      <w:r w:rsidRPr="00C03604">
        <w:rPr>
          <w:rFonts w:ascii="微软雅黑" w:eastAsia="微软雅黑" w:hAnsi="微软雅黑" w:cs="宋体"/>
          <w:i/>
          <w:iCs/>
          <w:kern w:val="0"/>
          <w:sz w:val="24"/>
          <w:szCs w:val="24"/>
        </w:rPr>
        <w:t>p</w:t>
      </w:r>
      <w:r w:rsidRPr="00C03604">
        <w:rPr>
          <w:rFonts w:ascii="微软雅黑" w:eastAsia="微软雅黑" w:hAnsi="微软雅黑" w:cs="宋体"/>
          <w:kern w:val="0"/>
          <w:sz w:val="24"/>
          <w:szCs w:val="24"/>
        </w:rPr>
        <w:t> </w:t>
      </w:r>
      <w:r w:rsidRPr="00C03604">
        <w:rPr>
          <w:rFonts w:ascii="MS Gothic" w:eastAsia="MS Gothic" w:hAnsi="MS Gothic" w:cs="MS Gothic" w:hint="eastAsia"/>
          <w:kern w:val="0"/>
          <w:sz w:val="24"/>
          <w:szCs w:val="24"/>
        </w:rPr>
        <w:t> </w:t>
      </w:r>
      <w:r w:rsidRPr="00C03604">
        <w:rPr>
          <w:rFonts w:ascii="微软雅黑" w:eastAsia="微软雅黑" w:hAnsi="微软雅黑" w:cs="宋体"/>
          <w:kern w:val="0"/>
          <w:sz w:val="24"/>
          <w:szCs w:val="24"/>
        </w:rPr>
        <w:t>&lt; 0.01，*** </w:t>
      </w:r>
      <w:r w:rsidRPr="00C03604">
        <w:rPr>
          <w:rFonts w:ascii="微软雅黑" w:eastAsia="微软雅黑" w:hAnsi="微软雅黑" w:cs="宋体"/>
          <w:i/>
          <w:iCs/>
          <w:kern w:val="0"/>
          <w:sz w:val="24"/>
          <w:szCs w:val="24"/>
        </w:rPr>
        <w:t>p</w:t>
      </w:r>
      <w:r w:rsidRPr="00C03604">
        <w:rPr>
          <w:rFonts w:ascii="微软雅黑" w:eastAsia="微软雅黑" w:hAnsi="微软雅黑" w:cs="宋体"/>
          <w:kern w:val="0"/>
          <w:sz w:val="24"/>
          <w:szCs w:val="24"/>
        </w:rPr>
        <w:t> </w:t>
      </w:r>
      <w:r w:rsidRPr="00C03604">
        <w:rPr>
          <w:rFonts w:ascii="MS Gothic" w:eastAsia="MS Gothic" w:hAnsi="MS Gothic" w:cs="MS Gothic" w:hint="eastAsia"/>
          <w:kern w:val="0"/>
          <w:sz w:val="24"/>
          <w:szCs w:val="24"/>
        </w:rPr>
        <w:t> </w:t>
      </w:r>
      <w:r w:rsidRPr="00C03604">
        <w:rPr>
          <w:rFonts w:ascii="微软雅黑" w:eastAsia="微软雅黑" w:hAnsi="微软雅黑" w:cs="宋体"/>
          <w:kern w:val="0"/>
          <w:sz w:val="24"/>
          <w:szCs w:val="24"/>
        </w:rPr>
        <w:t>&lt; 0.001，采用非配对双尾 Student's </w:t>
      </w:r>
      <w:r w:rsidRPr="00C03604">
        <w:rPr>
          <w:rFonts w:ascii="微软雅黑" w:eastAsia="微软雅黑" w:hAnsi="微软雅黑" w:cs="宋体"/>
          <w:i/>
          <w:iCs/>
          <w:kern w:val="0"/>
          <w:sz w:val="24"/>
          <w:szCs w:val="24"/>
        </w:rPr>
        <w:t>t</w:t>
      </w:r>
      <w:r w:rsidRPr="00C03604">
        <w:rPr>
          <w:rFonts w:ascii="微软雅黑" w:eastAsia="微软雅黑" w:hAnsi="微软雅黑" w:cs="宋体"/>
          <w:kern w:val="0"/>
          <w:sz w:val="24"/>
          <w:szCs w:val="24"/>
        </w:rPr>
        <w:t>检验。</w:t>
      </w:r>
    </w:p>
    <w:p w14:paraId="4566D9BD" w14:textId="0B351DC0"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kern w:val="0"/>
          <w:sz w:val="24"/>
          <w:szCs w:val="24"/>
        </w:rPr>
        <w:t>综合来看，这些数据表明 (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是一种“安全化合物”，具有良好的类药特性。</w:t>
      </w:r>
    </w:p>
    <w:p w14:paraId="15BBEEC5" w14:textId="77777777" w:rsidR="00C03604" w:rsidRPr="00C03604" w:rsidRDefault="00C03604" w:rsidP="00C03604">
      <w:pPr>
        <w:widowControl/>
        <w:spacing w:line="450" w:lineRule="atLeast"/>
        <w:outlineLvl w:val="2"/>
        <w:rPr>
          <w:rFonts w:ascii="微软雅黑" w:eastAsia="微软雅黑" w:hAnsi="微软雅黑" w:cs="宋体"/>
          <w:kern w:val="0"/>
          <w:sz w:val="32"/>
          <w:szCs w:val="32"/>
        </w:rPr>
      </w:pPr>
      <w:r w:rsidRPr="00C03604">
        <w:rPr>
          <w:rFonts w:ascii="微软雅黑" w:eastAsia="微软雅黑" w:hAnsi="微软雅黑" w:cs="宋体"/>
          <w:i/>
          <w:iCs/>
          <w:kern w:val="0"/>
          <w:sz w:val="32"/>
          <w:szCs w:val="32"/>
        </w:rPr>
        <w:t>( R</w:t>
      </w:r>
      <w:r w:rsidRPr="00C03604">
        <w:rPr>
          <w:rFonts w:ascii="微软雅黑" w:eastAsia="微软雅黑" w:hAnsi="微软雅黑" w:cs="宋体"/>
          <w:kern w:val="0"/>
          <w:sz w:val="32"/>
          <w:szCs w:val="32"/>
        </w:rPr>
        <w:t> )-9b对 ACK1 的抑制诱导乳腺癌细胞凋亡</w:t>
      </w:r>
    </w:p>
    <w:p w14:paraId="65C3BD80" w14:textId="77777777"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kern w:val="0"/>
          <w:sz w:val="24"/>
          <w:szCs w:val="24"/>
        </w:rPr>
        <w:t>为了检测活化 ACK1 的表达及其对 (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的敏感性，我们对多种乳腺癌细胞系进行了 ( R)-9b处理，包括三阴性乳腺癌细胞系（MDA-MB-231、HCC-1395 和 Cal148）、ER </w:t>
      </w:r>
      <w:r w:rsidRPr="00C03604">
        <w:rPr>
          <w:rFonts w:ascii="微软雅黑" w:eastAsia="微软雅黑" w:hAnsi="微软雅黑" w:cs="宋体"/>
          <w:kern w:val="0"/>
          <w:sz w:val="24"/>
          <w:szCs w:val="24"/>
          <w:vertAlign w:val="superscript"/>
        </w:rPr>
        <w:t>+</w:t>
      </w:r>
      <w:r w:rsidRPr="00C03604">
        <w:rPr>
          <w:rFonts w:ascii="微软雅黑" w:eastAsia="微软雅黑" w:hAnsi="微软雅黑" w:cs="宋体"/>
          <w:kern w:val="0"/>
          <w:sz w:val="24"/>
          <w:szCs w:val="24"/>
        </w:rPr>
        <w:t> /PR </w:t>
      </w:r>
      <w:r w:rsidRPr="00C03604">
        <w:rPr>
          <w:rFonts w:ascii="微软雅黑" w:eastAsia="微软雅黑" w:hAnsi="微软雅黑" w:cs="宋体"/>
          <w:kern w:val="0"/>
          <w:sz w:val="24"/>
          <w:szCs w:val="24"/>
          <w:vertAlign w:val="superscript"/>
        </w:rPr>
        <w:t>+</w:t>
      </w:r>
      <w:r w:rsidRPr="00C03604">
        <w:rPr>
          <w:rFonts w:ascii="微软雅黑" w:eastAsia="微软雅黑" w:hAnsi="微软雅黑" w:cs="宋体"/>
          <w:kern w:val="0"/>
          <w:sz w:val="24"/>
          <w:szCs w:val="24"/>
        </w:rPr>
        <w:t>细胞系（T47D 和 MCF7）以及 HER2 </w:t>
      </w:r>
      <w:r w:rsidRPr="00C03604">
        <w:rPr>
          <w:rFonts w:ascii="微软雅黑" w:eastAsia="微软雅黑" w:hAnsi="微软雅黑" w:cs="宋体"/>
          <w:kern w:val="0"/>
          <w:sz w:val="24"/>
          <w:szCs w:val="24"/>
          <w:vertAlign w:val="superscript"/>
        </w:rPr>
        <w:t>+细胞系（SKBR3 和 MDA-MB-453） </w:t>
      </w:r>
      <w:r w:rsidRPr="00C03604">
        <w:rPr>
          <w:rFonts w:ascii="微软雅黑" w:eastAsia="微软雅黑" w:hAnsi="微软雅黑" w:cs="宋体"/>
          <w:b/>
          <w:bCs/>
          <w:kern w:val="0"/>
          <w:sz w:val="24"/>
          <w:szCs w:val="24"/>
        </w:rPr>
        <w:t>。</w:t>
      </w:r>
      <w:r w:rsidRPr="00C03604">
        <w:rPr>
          <w:rFonts w:ascii="微软雅黑" w:eastAsia="微软雅黑" w:hAnsi="微软雅黑" w:cs="宋体"/>
          <w:kern w:val="0"/>
          <w:sz w:val="24"/>
          <w:szCs w:val="24"/>
        </w:rPr>
        <w:t>处理后，我们使用 pY284-ACK1 抗体进行免疫印迹分析。结果显示，所有这些细胞系均表现出显著的 ACK1 活化，而(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处理可抑制这种活化，表现为 pY284-ACK1 水平降低</w:t>
      </w:r>
      <w:r w:rsidRPr="00C03604">
        <w:rPr>
          <w:rFonts w:ascii="微软雅黑" w:eastAsia="微软雅黑" w:hAnsi="微软雅黑" w:cs="宋体"/>
          <w:i/>
          <w:iCs/>
          <w:kern w:val="0"/>
          <w:sz w:val="24"/>
          <w:szCs w:val="24"/>
        </w:rPr>
        <w:t>，</w:t>
      </w:r>
      <w:r w:rsidRPr="00C03604">
        <w:rPr>
          <w:rFonts w:ascii="微软雅黑" w:eastAsia="微软雅黑" w:hAnsi="微软雅黑" w:cs="宋体"/>
          <w:kern w:val="0"/>
          <w:sz w:val="24"/>
          <w:szCs w:val="24"/>
        </w:rPr>
        <w:t>且与激素受体状态无关（图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"Fig2"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2B</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）。用(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处理乳腺癌细胞系后，细胞增殖呈浓度依赖性显著降低，IC50值</w:t>
      </w:r>
      <w:r w:rsidRPr="00C03604">
        <w:rPr>
          <w:rFonts w:ascii="微软雅黑" w:eastAsia="微软雅黑" w:hAnsi="微软雅黑" w:cs="宋体"/>
          <w:b/>
          <w:bCs/>
          <w:kern w:val="0"/>
          <w:sz w:val="24"/>
          <w:szCs w:val="24"/>
          <w:vertAlign w:val="subscript"/>
        </w:rPr>
        <w:t>介于</w:t>
      </w:r>
      <w:r w:rsidRPr="00C03604">
        <w:rPr>
          <w:rFonts w:ascii="微软雅黑" w:eastAsia="微软雅黑" w:hAnsi="微软雅黑" w:cs="宋体"/>
          <w:kern w:val="0"/>
          <w:sz w:val="24"/>
          <w:szCs w:val="24"/>
        </w:rPr>
        <w:t>0.25–1.22 µM之间；相比之下，正常乳腺细胞系MCF10A的IC50</w:t>
      </w:r>
      <w:r w:rsidRPr="00C03604">
        <w:rPr>
          <w:rFonts w:ascii="微软雅黑" w:eastAsia="微软雅黑" w:hAnsi="微软雅黑" w:cs="宋体"/>
          <w:kern w:val="0"/>
          <w:sz w:val="24"/>
          <w:szCs w:val="24"/>
          <w:vertAlign w:val="subscript"/>
        </w:rPr>
        <w:t>值为</w:t>
      </w:r>
      <w:r w:rsidRPr="00C03604">
        <w:rPr>
          <w:rFonts w:ascii="微软雅黑" w:eastAsia="微软雅黑" w:hAnsi="微软雅黑" w:cs="宋体"/>
          <w:kern w:val="0"/>
          <w:sz w:val="24"/>
          <w:szCs w:val="24"/>
        </w:rPr>
        <w:t>1.49 µM（图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"Fig2"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2C</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和补充表</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"MOESM1"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S8 ）。在MCF7、SKBR3、HCC-1395和MDA-MB-453细胞中，使用( </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抑制ACK1可显著增加凋亡细胞的数量（补充图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"MOESM1"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2A、B</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），表明乳腺癌细胞对ACK1激酶活性的抑制敏感。</w:t>
      </w:r>
    </w:p>
    <w:p w14:paraId="2149D1B6" w14:textId="77777777" w:rsidR="00C03604" w:rsidRPr="00C03604" w:rsidRDefault="00C03604" w:rsidP="00C03604">
      <w:pPr>
        <w:widowControl/>
        <w:spacing w:line="450" w:lineRule="atLeast"/>
        <w:outlineLvl w:val="2"/>
        <w:rPr>
          <w:rFonts w:ascii="微软雅黑" w:eastAsia="微软雅黑" w:hAnsi="微软雅黑" w:cs="宋体"/>
          <w:kern w:val="0"/>
          <w:sz w:val="32"/>
          <w:szCs w:val="32"/>
        </w:rPr>
      </w:pPr>
      <w:r w:rsidRPr="00C03604">
        <w:rPr>
          <w:rFonts w:ascii="微软雅黑" w:eastAsia="微软雅黑" w:hAnsi="微软雅黑" w:cs="宋体"/>
          <w:kern w:val="0"/>
          <w:sz w:val="32"/>
          <w:szCs w:val="32"/>
        </w:rPr>
        <w:t>ACK1调控乳腺癌转录组，影响与细胞周期进程相关的基因</w:t>
      </w:r>
    </w:p>
    <w:p w14:paraId="27FEF069" w14:textId="77777777"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kern w:val="0"/>
          <w:sz w:val="24"/>
          <w:szCs w:val="24"/>
        </w:rPr>
        <w:lastRenderedPageBreak/>
        <w:t>由于(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处理抑制了四种不同亚型乳腺癌的增殖，这提示乳腺癌细胞可能通过激活ACK1信号通路（依赖于激素但不依赖于该通路）来促进增殖。为了揭示激活ACK1的潜在下游调控因子，我们通过对MDA-MB-453和HCC-1395两种细胞系进行RNA测序，研究了抑制ACK1对乳腺癌</w:t>
      </w:r>
      <w:proofErr w:type="gramStart"/>
      <w:r w:rsidRPr="00C03604">
        <w:rPr>
          <w:rFonts w:ascii="微软雅黑" w:eastAsia="微软雅黑" w:hAnsi="微软雅黑" w:cs="宋体"/>
          <w:kern w:val="0"/>
          <w:sz w:val="24"/>
          <w:szCs w:val="24"/>
        </w:rPr>
        <w:t>转录组</w:t>
      </w:r>
      <w:proofErr w:type="gramEnd"/>
      <w:r w:rsidRPr="00C03604">
        <w:rPr>
          <w:rFonts w:ascii="微软雅黑" w:eastAsia="微软雅黑" w:hAnsi="微软雅黑" w:cs="宋体"/>
          <w:kern w:val="0"/>
          <w:sz w:val="24"/>
          <w:szCs w:val="24"/>
        </w:rPr>
        <w:t>的影响。KEGG分析显示，调控最显著的基因属于细胞周期通路（补充图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"MOESM1"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S3A、B</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和补充表</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"MOESM1"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S9</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）。整合RNA测序数据（补充图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"MOESM1"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S3C</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 xml:space="preserve">）和pY88-H4 </w:t>
      </w:r>
      <w:proofErr w:type="spellStart"/>
      <w:r w:rsidRPr="00C03604">
        <w:rPr>
          <w:rFonts w:ascii="微软雅黑" w:eastAsia="微软雅黑" w:hAnsi="微软雅黑" w:cs="宋体"/>
          <w:kern w:val="0"/>
          <w:sz w:val="24"/>
          <w:szCs w:val="24"/>
        </w:rPr>
        <w:t>ChIP</w:t>
      </w:r>
      <w:proofErr w:type="spellEnd"/>
      <w:r w:rsidRPr="00C03604">
        <w:rPr>
          <w:rFonts w:ascii="微软雅黑" w:eastAsia="微软雅黑" w:hAnsi="微软雅黑" w:cs="宋体"/>
          <w:kern w:val="0"/>
          <w:sz w:val="24"/>
          <w:szCs w:val="24"/>
        </w:rPr>
        <w:t>-Seq数据（详见下文）（补充图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"MOESM1"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S4A</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），我们重点关注了细胞周期调控基因</w:t>
      </w:r>
      <w:r w:rsidRPr="00C03604">
        <w:rPr>
          <w:rFonts w:ascii="微软雅黑" w:eastAsia="微软雅黑" w:hAnsi="微软雅黑" w:cs="宋体"/>
          <w:i/>
          <w:iCs/>
          <w:kern w:val="0"/>
          <w:sz w:val="24"/>
          <w:szCs w:val="24"/>
        </w:rPr>
        <w:t>CDC20、CCNB1</w:t>
      </w:r>
      <w:r w:rsidRPr="00C03604">
        <w:rPr>
          <w:rFonts w:ascii="微软雅黑" w:eastAsia="微软雅黑" w:hAnsi="微软雅黑" w:cs="宋体"/>
          <w:kern w:val="0"/>
          <w:sz w:val="24"/>
          <w:szCs w:val="24"/>
        </w:rPr>
        <w:t>和</w:t>
      </w:r>
      <w:r w:rsidRPr="00C03604">
        <w:rPr>
          <w:rFonts w:ascii="微软雅黑" w:eastAsia="微软雅黑" w:hAnsi="微软雅黑" w:cs="宋体"/>
          <w:i/>
          <w:iCs/>
          <w:kern w:val="0"/>
          <w:sz w:val="24"/>
          <w:szCs w:val="24"/>
        </w:rPr>
        <w:t>CCNB2</w:t>
      </w:r>
      <w:r w:rsidRPr="00C03604">
        <w:rPr>
          <w:rFonts w:ascii="微软雅黑" w:eastAsia="微软雅黑" w:hAnsi="微软雅黑" w:cs="宋体"/>
          <w:kern w:val="0"/>
          <w:sz w:val="24"/>
          <w:szCs w:val="24"/>
        </w:rPr>
        <w:t>。为了评估 ACK1 抑</w:t>
      </w:r>
      <w:r w:rsidRPr="00C03604">
        <w:rPr>
          <w:rFonts w:ascii="MS Gothic" w:eastAsia="MS Gothic" w:hAnsi="MS Gothic" w:cs="MS Gothic" w:hint="eastAsia"/>
          <w:kern w:val="0"/>
          <w:sz w:val="24"/>
          <w:szCs w:val="24"/>
        </w:rPr>
        <w:t>​​</w:t>
      </w:r>
      <w:r w:rsidRPr="00C03604">
        <w:rPr>
          <w:rFonts w:ascii="微软雅黑" w:eastAsia="微软雅黑" w:hAnsi="微软雅黑" w:cs="宋体"/>
          <w:kern w:val="0"/>
          <w:sz w:val="24"/>
          <w:szCs w:val="24"/>
        </w:rPr>
        <w:t>制的效果，我们用 (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 xml:space="preserve">处理乳腺细胞系，然后进行 </w:t>
      </w:r>
      <w:proofErr w:type="spellStart"/>
      <w:r w:rsidRPr="00C03604">
        <w:rPr>
          <w:rFonts w:ascii="微软雅黑" w:eastAsia="微软雅黑" w:hAnsi="微软雅黑" w:cs="宋体"/>
          <w:kern w:val="0"/>
          <w:sz w:val="24"/>
          <w:szCs w:val="24"/>
        </w:rPr>
        <w:t>qRT</w:t>
      </w:r>
      <w:proofErr w:type="spellEnd"/>
      <w:r w:rsidRPr="00C03604">
        <w:rPr>
          <w:rFonts w:ascii="微软雅黑" w:eastAsia="微软雅黑" w:hAnsi="微软雅黑" w:cs="宋体"/>
          <w:kern w:val="0"/>
          <w:sz w:val="24"/>
          <w:szCs w:val="24"/>
        </w:rPr>
        <w:t>-PCR 分析。正如预期的那样，在 MCF7、MDA-MB-453、SKBR3 和 HCC-1395 细胞中观察到这些 mRNA 转录本的显著下调，但在正常的 MCF10a 细胞中未观察到（图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"Fig2"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2D–H</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w:t>
      </w:r>
    </w:p>
    <w:p w14:paraId="7A59B5F2" w14:textId="77777777"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kern w:val="0"/>
          <w:sz w:val="24"/>
          <w:szCs w:val="24"/>
        </w:rPr>
        <w:t>转录水平的降低也反映在(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处理</w:t>
      </w:r>
      <w:proofErr w:type="gramStart"/>
      <w:r w:rsidRPr="00C03604">
        <w:rPr>
          <w:rFonts w:ascii="微软雅黑" w:eastAsia="微软雅黑" w:hAnsi="微软雅黑" w:cs="宋体"/>
          <w:kern w:val="0"/>
          <w:sz w:val="24"/>
          <w:szCs w:val="24"/>
        </w:rPr>
        <w:t>后相应</w:t>
      </w:r>
      <w:proofErr w:type="gramEnd"/>
      <w:r w:rsidRPr="00C03604">
        <w:rPr>
          <w:rFonts w:ascii="微软雅黑" w:eastAsia="微软雅黑" w:hAnsi="微软雅黑" w:cs="宋体"/>
          <w:kern w:val="0"/>
          <w:sz w:val="24"/>
          <w:szCs w:val="24"/>
        </w:rPr>
        <w:t>蛋白丰度的下降上（图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"Fig3"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3A</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）。在HCC-1395和MDA-MB-231细胞系中沉默ACK1进一步验证了其在细胞周期调控基因中的作用。ACK1</w:t>
      </w:r>
      <w:proofErr w:type="gramStart"/>
      <w:r w:rsidRPr="00C03604">
        <w:rPr>
          <w:rFonts w:ascii="微软雅黑" w:eastAsia="微软雅黑" w:hAnsi="微软雅黑" w:cs="宋体"/>
          <w:kern w:val="0"/>
          <w:sz w:val="24"/>
          <w:szCs w:val="24"/>
        </w:rPr>
        <w:t>敲低显著</w:t>
      </w:r>
      <w:proofErr w:type="gramEnd"/>
      <w:r w:rsidRPr="00C03604">
        <w:rPr>
          <w:rFonts w:ascii="微软雅黑" w:eastAsia="微软雅黑" w:hAnsi="微软雅黑" w:cs="宋体"/>
          <w:kern w:val="0"/>
          <w:sz w:val="24"/>
          <w:szCs w:val="24"/>
        </w:rPr>
        <w:t>抑制了</w:t>
      </w:r>
      <w:r w:rsidRPr="00C03604">
        <w:rPr>
          <w:rFonts w:ascii="微软雅黑" w:eastAsia="微软雅黑" w:hAnsi="微软雅黑" w:cs="宋体"/>
          <w:i/>
          <w:iCs/>
          <w:kern w:val="0"/>
          <w:sz w:val="24"/>
          <w:szCs w:val="24"/>
        </w:rPr>
        <w:t>CCNB1</w:t>
      </w:r>
      <w:r w:rsidRPr="00C03604">
        <w:rPr>
          <w:rFonts w:ascii="微软雅黑" w:eastAsia="微软雅黑" w:hAnsi="微软雅黑" w:cs="宋体"/>
          <w:kern w:val="0"/>
          <w:sz w:val="24"/>
          <w:szCs w:val="24"/>
        </w:rPr>
        <w:t>、</w:t>
      </w:r>
      <w:r w:rsidRPr="00C03604">
        <w:rPr>
          <w:rFonts w:ascii="微软雅黑" w:eastAsia="微软雅黑" w:hAnsi="微软雅黑" w:cs="宋体"/>
          <w:i/>
          <w:iCs/>
          <w:kern w:val="0"/>
          <w:sz w:val="24"/>
          <w:szCs w:val="24"/>
        </w:rPr>
        <w:t>CCNB2</w:t>
      </w:r>
      <w:r w:rsidRPr="00C03604">
        <w:rPr>
          <w:rFonts w:ascii="微软雅黑" w:eastAsia="微软雅黑" w:hAnsi="微软雅黑" w:cs="宋体"/>
          <w:kern w:val="0"/>
          <w:sz w:val="24"/>
          <w:szCs w:val="24"/>
        </w:rPr>
        <w:t>和</w:t>
      </w:r>
      <w:r w:rsidRPr="00C03604">
        <w:rPr>
          <w:rFonts w:ascii="微软雅黑" w:eastAsia="微软雅黑" w:hAnsi="微软雅黑" w:cs="宋体"/>
          <w:i/>
          <w:iCs/>
          <w:kern w:val="0"/>
          <w:sz w:val="24"/>
          <w:szCs w:val="24"/>
        </w:rPr>
        <w:t>CDC20</w:t>
      </w:r>
      <w:r w:rsidRPr="00C03604">
        <w:rPr>
          <w:rFonts w:ascii="微软雅黑" w:eastAsia="微软雅黑" w:hAnsi="微软雅黑" w:cs="宋体"/>
          <w:kern w:val="0"/>
          <w:sz w:val="24"/>
          <w:szCs w:val="24"/>
        </w:rPr>
        <w:t>的转录（图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"Fig3"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3B-E</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w:t>
      </w:r>
    </w:p>
    <w:p w14:paraId="5EA601E5" w14:textId="77777777" w:rsidR="00C03604" w:rsidRPr="00C03604" w:rsidRDefault="00C03604" w:rsidP="00C03604">
      <w:pPr>
        <w:widowControl/>
        <w:spacing w:line="450" w:lineRule="atLeast"/>
        <w:outlineLvl w:val="3"/>
        <w:rPr>
          <w:rFonts w:ascii="微软雅黑" w:eastAsia="微软雅黑" w:hAnsi="微软雅黑" w:cs="宋体"/>
          <w:kern w:val="0"/>
          <w:sz w:val="30"/>
          <w:szCs w:val="30"/>
        </w:rPr>
      </w:pPr>
      <w:r w:rsidRPr="00C03604">
        <w:rPr>
          <w:rFonts w:ascii="微软雅黑" w:eastAsia="微软雅黑" w:hAnsi="微软雅黑" w:cs="宋体"/>
          <w:kern w:val="0"/>
          <w:sz w:val="30"/>
          <w:szCs w:val="30"/>
        </w:rPr>
        <w:t>图 3. ACK1 抑</w:t>
      </w:r>
      <w:r w:rsidRPr="00C03604">
        <w:rPr>
          <w:rFonts w:ascii="MS Gothic" w:eastAsia="MS Gothic" w:hAnsi="MS Gothic" w:cs="MS Gothic" w:hint="eastAsia"/>
          <w:kern w:val="0"/>
          <w:sz w:val="30"/>
          <w:szCs w:val="30"/>
        </w:rPr>
        <w:t>​​</w:t>
      </w:r>
      <w:r w:rsidRPr="00C03604">
        <w:rPr>
          <w:rFonts w:ascii="微软雅黑" w:eastAsia="微软雅黑" w:hAnsi="微软雅黑" w:cs="宋体"/>
          <w:kern w:val="0"/>
          <w:sz w:val="30"/>
          <w:szCs w:val="30"/>
        </w:rPr>
        <w:t>制剂抑制细胞周期基因的表达。</w:t>
      </w:r>
    </w:p>
    <w:p w14:paraId="21A38722" w14:textId="41186005"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noProof/>
          <w:kern w:val="0"/>
          <w:sz w:val="24"/>
          <w:szCs w:val="24"/>
        </w:rPr>
        <w:lastRenderedPageBreak/>
        <w:drawing>
          <wp:inline distT="0" distB="0" distL="0" distR="0" wp14:anchorId="5C0B82E1" wp14:editId="37473065">
            <wp:extent cx="5274310" cy="6059170"/>
            <wp:effectExtent l="0" t="0" r="2540" b="0"/>
            <wp:docPr id="5" name="图片 5" descr="图 3">
              <a:hlinkClick xmlns:a="http://schemas.openxmlformats.org/drawingml/2006/main" r:id="rId4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32e1173" descr="图 3">
                      <a:hlinkClick r:id="rId48" tgtFrame="&quot;_blank&quot;"/>
                    </pic:cNvPr>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274310" cy="6059170"/>
                    </a:xfrm>
                    <a:prstGeom prst="rect">
                      <a:avLst/>
                    </a:prstGeom>
                    <a:noFill/>
                    <a:ln>
                      <a:noFill/>
                    </a:ln>
                  </pic:spPr>
                </pic:pic>
              </a:graphicData>
            </a:graphic>
          </wp:inline>
        </w:drawing>
      </w:r>
    </w:p>
    <w:p w14:paraId="75534C77" w14:textId="77777777" w:rsidR="00C03604" w:rsidRPr="00C03604" w:rsidRDefault="00C03604" w:rsidP="00C03604">
      <w:pPr>
        <w:widowControl/>
        <w:rPr>
          <w:rFonts w:ascii="微软雅黑" w:eastAsia="微软雅黑" w:hAnsi="微软雅黑" w:cs="宋体"/>
          <w:kern w:val="0"/>
          <w:sz w:val="24"/>
          <w:szCs w:val="24"/>
        </w:rPr>
      </w:pPr>
      <w:r w:rsidRPr="00C03604">
        <w:rPr>
          <w:rFonts w:ascii="微软雅黑" w:eastAsia="微软雅黑" w:hAnsi="微软雅黑" w:cs="宋体"/>
          <w:kern w:val="0"/>
          <w:sz w:val="24"/>
          <w:szCs w:val="24"/>
        </w:rPr>
        <w:t>A. 使用CCNB1、CCNB2和CDC20</w:t>
      </w:r>
      <w:proofErr w:type="gramStart"/>
      <w:r w:rsidRPr="00C03604">
        <w:rPr>
          <w:rFonts w:ascii="微软雅黑" w:eastAsia="微软雅黑" w:hAnsi="微软雅黑" w:cs="宋体"/>
          <w:kern w:val="0"/>
          <w:sz w:val="24"/>
          <w:szCs w:val="24"/>
        </w:rPr>
        <w:t>抗体对载体或( </w:t>
      </w:r>
      <w:r w:rsidRPr="00C03604">
        <w:rPr>
          <w:rFonts w:ascii="微软雅黑" w:eastAsia="微软雅黑" w:hAnsi="微软雅黑" w:cs="宋体"/>
          <w:i/>
          <w:iCs/>
          <w:kern w:val="0"/>
          <w:sz w:val="24"/>
          <w:szCs w:val="24"/>
        </w:rPr>
        <w:t>R</w:t>
      </w:r>
      <w:proofErr w:type="gramEnd"/>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-9b处理的细胞裂解液进行免疫印迹分析。B .</w:t>
      </w:r>
      <w:r w:rsidRPr="00C03604">
        <w:rPr>
          <w:rFonts w:ascii="微软雅黑" w:eastAsia="微软雅黑" w:hAnsi="微软雅黑" w:cs="宋体"/>
          <w:kern w:val="0"/>
          <w:sz w:val="24"/>
          <w:szCs w:val="24"/>
        </w:rPr>
        <w:t>将HCC-1395和MDA-MB-231细胞转染ACK1和对照siRNA，然后使用ACK1引物进行qPCR，以18S rRNA作为内参。C </w:t>
      </w:r>
      <w:r w:rsidRPr="00C03604">
        <w:rPr>
          <w:rFonts w:ascii="微软雅黑" w:eastAsia="微软雅黑" w:hAnsi="微软雅黑" w:cs="宋体"/>
          <w:b/>
          <w:bCs/>
          <w:kern w:val="0"/>
          <w:sz w:val="24"/>
          <w:szCs w:val="24"/>
        </w:rPr>
        <w:t>.</w:t>
      </w:r>
      <w:r w:rsidRPr="00C03604">
        <w:rPr>
          <w:rFonts w:ascii="微软雅黑" w:eastAsia="微软雅黑" w:hAnsi="微软雅黑" w:cs="宋体"/>
          <w:kern w:val="0"/>
          <w:sz w:val="24"/>
          <w:szCs w:val="24"/>
        </w:rPr>
        <w:t>使用ACK1抗体对siRNA转染的细胞进行Western blot分析，以Actin作为上样对照。D. 和E. 分别提取沉默细胞（HCC-1395和MDA-MB-231）的RNA </w:t>
      </w:r>
      <w:r w:rsidRPr="00C03604">
        <w:rPr>
          <w:rFonts w:ascii="微软雅黑" w:eastAsia="微软雅黑" w:hAnsi="微软雅黑" w:cs="宋体"/>
          <w:b/>
          <w:bCs/>
          <w:kern w:val="0"/>
          <w:sz w:val="24"/>
          <w:szCs w:val="24"/>
        </w:rPr>
        <w:t>，使用</w:t>
      </w:r>
      <w:r w:rsidRPr="00C03604">
        <w:rPr>
          <w:rFonts w:ascii="微软雅黑" w:eastAsia="微软雅黑" w:hAnsi="微软雅黑" w:cs="宋体"/>
          <w:kern w:val="0"/>
          <w:sz w:val="24"/>
          <w:szCs w:val="24"/>
        </w:rPr>
        <w:t>CCNB1 </w:t>
      </w:r>
      <w:r w:rsidRPr="00C03604">
        <w:rPr>
          <w:rFonts w:ascii="微软雅黑" w:eastAsia="微软雅黑" w:hAnsi="微软雅黑" w:cs="宋体"/>
          <w:i/>
          <w:iCs/>
          <w:kern w:val="0"/>
          <w:sz w:val="24"/>
          <w:szCs w:val="24"/>
        </w:rPr>
        <w:t>、</w:t>
      </w:r>
      <w:r w:rsidRPr="00C03604">
        <w:rPr>
          <w:rFonts w:ascii="微软雅黑" w:eastAsia="微软雅黑" w:hAnsi="微软雅黑" w:cs="宋体"/>
          <w:kern w:val="0"/>
          <w:sz w:val="24"/>
          <w:szCs w:val="24"/>
        </w:rPr>
        <w:t> CCNB2</w:t>
      </w:r>
      <w:r w:rsidRPr="00C03604">
        <w:rPr>
          <w:rFonts w:ascii="微软雅黑" w:eastAsia="微软雅黑" w:hAnsi="微软雅黑" w:cs="宋体"/>
          <w:i/>
          <w:iCs/>
          <w:kern w:val="0"/>
          <w:sz w:val="24"/>
          <w:szCs w:val="24"/>
        </w:rPr>
        <w:t>和</w:t>
      </w:r>
      <w:r w:rsidRPr="00C03604">
        <w:rPr>
          <w:rFonts w:ascii="微软雅黑" w:eastAsia="微软雅黑" w:hAnsi="微软雅黑" w:cs="宋体"/>
          <w:kern w:val="0"/>
          <w:sz w:val="24"/>
          <w:szCs w:val="24"/>
        </w:rPr>
        <w:t>CDC20</w:t>
      </w:r>
      <w:r w:rsidRPr="00C03604">
        <w:rPr>
          <w:rFonts w:ascii="微软雅黑" w:eastAsia="微软雅黑" w:hAnsi="微软雅黑" w:cs="宋体"/>
          <w:i/>
          <w:iCs/>
          <w:kern w:val="0"/>
          <w:sz w:val="24"/>
          <w:szCs w:val="24"/>
        </w:rPr>
        <w:t>引</w:t>
      </w:r>
      <w:r w:rsidRPr="00C03604">
        <w:rPr>
          <w:rFonts w:ascii="微软雅黑" w:eastAsia="微软雅黑" w:hAnsi="微软雅黑" w:cs="宋体"/>
          <w:kern w:val="0"/>
          <w:sz w:val="24"/>
          <w:szCs w:val="24"/>
        </w:rPr>
        <w:t>物进行qPCR分析，以18S rRNA作为管家基因对照。图</w:t>
      </w:r>
      <w:r w:rsidRPr="00C03604">
        <w:rPr>
          <w:rFonts w:ascii="微软雅黑" w:eastAsia="微软雅黑" w:hAnsi="微软雅黑" w:cs="宋体"/>
          <w:b/>
          <w:bCs/>
          <w:kern w:val="0"/>
          <w:sz w:val="24"/>
          <w:szCs w:val="24"/>
        </w:rPr>
        <w:t>A</w:t>
      </w:r>
      <w:r w:rsidRPr="00C03604">
        <w:rPr>
          <w:rFonts w:ascii="微软雅黑" w:eastAsia="微软雅黑" w:hAnsi="微软雅黑" w:cs="宋体"/>
          <w:kern w:val="0"/>
          <w:sz w:val="24"/>
          <w:szCs w:val="24"/>
        </w:rPr>
        <w:t>和</w:t>
      </w:r>
      <w:r w:rsidRPr="00C03604">
        <w:rPr>
          <w:rFonts w:ascii="微软雅黑" w:eastAsia="微软雅黑" w:hAnsi="微软雅黑" w:cs="宋体"/>
          <w:b/>
          <w:bCs/>
          <w:kern w:val="0"/>
          <w:sz w:val="24"/>
          <w:szCs w:val="24"/>
        </w:rPr>
        <w:t>C</w:t>
      </w:r>
      <w:r w:rsidRPr="00C03604">
        <w:rPr>
          <w:rFonts w:ascii="微软雅黑" w:eastAsia="微软雅黑" w:hAnsi="微软雅黑" w:cs="宋体"/>
          <w:kern w:val="0"/>
          <w:sz w:val="24"/>
          <w:szCs w:val="24"/>
        </w:rPr>
        <w:t>展示了三个独立实验的代表性图像。图</w:t>
      </w:r>
      <w:r w:rsidRPr="00C03604">
        <w:rPr>
          <w:rFonts w:ascii="微软雅黑" w:eastAsia="微软雅黑" w:hAnsi="微软雅黑" w:cs="宋体"/>
          <w:b/>
          <w:bCs/>
          <w:kern w:val="0"/>
          <w:sz w:val="24"/>
          <w:szCs w:val="24"/>
        </w:rPr>
        <w:t>B</w:t>
      </w:r>
      <w:r w:rsidRPr="00C03604">
        <w:rPr>
          <w:rFonts w:ascii="微软雅黑" w:eastAsia="微软雅黑" w:hAnsi="微软雅黑" w:cs="宋体"/>
          <w:kern w:val="0"/>
          <w:sz w:val="24"/>
          <w:szCs w:val="24"/>
        </w:rPr>
        <w:t>、</w:t>
      </w:r>
      <w:r w:rsidRPr="00C03604">
        <w:rPr>
          <w:rFonts w:ascii="微软雅黑" w:eastAsia="微软雅黑" w:hAnsi="微软雅黑" w:cs="宋体"/>
          <w:b/>
          <w:bCs/>
          <w:kern w:val="0"/>
          <w:sz w:val="24"/>
          <w:szCs w:val="24"/>
        </w:rPr>
        <w:t>D</w:t>
      </w:r>
      <w:r w:rsidRPr="00C03604">
        <w:rPr>
          <w:rFonts w:ascii="微软雅黑" w:eastAsia="微软雅黑" w:hAnsi="微软雅黑" w:cs="宋体"/>
          <w:kern w:val="0"/>
          <w:sz w:val="24"/>
          <w:szCs w:val="24"/>
        </w:rPr>
        <w:t>、</w:t>
      </w:r>
      <w:r w:rsidRPr="00C03604">
        <w:rPr>
          <w:rFonts w:ascii="微软雅黑" w:eastAsia="微软雅黑" w:hAnsi="微软雅黑" w:cs="宋体"/>
          <w:b/>
          <w:bCs/>
          <w:kern w:val="0"/>
          <w:sz w:val="24"/>
          <w:szCs w:val="24"/>
        </w:rPr>
        <w:t>E</w:t>
      </w:r>
      <w:r w:rsidRPr="00C03604">
        <w:rPr>
          <w:rFonts w:ascii="微软雅黑" w:eastAsia="微软雅黑" w:hAnsi="微软雅黑" w:cs="宋体"/>
          <w:kern w:val="0"/>
          <w:sz w:val="24"/>
          <w:szCs w:val="24"/>
        </w:rPr>
        <w:t>的数据以平</w:t>
      </w:r>
      <w:r w:rsidRPr="00C03604">
        <w:rPr>
          <w:rFonts w:ascii="微软雅黑" w:eastAsia="微软雅黑" w:hAnsi="微软雅黑" w:cs="宋体"/>
          <w:kern w:val="0"/>
          <w:sz w:val="24"/>
          <w:szCs w:val="24"/>
        </w:rPr>
        <w:lastRenderedPageBreak/>
        <w:t>均值±标准误(SEM)表示。 * </w:t>
      </w:r>
      <w:r w:rsidRPr="00C03604">
        <w:rPr>
          <w:rFonts w:ascii="微软雅黑" w:eastAsia="微软雅黑" w:hAnsi="微软雅黑" w:cs="宋体"/>
          <w:i/>
          <w:iCs/>
          <w:kern w:val="0"/>
          <w:sz w:val="24"/>
          <w:szCs w:val="24"/>
        </w:rPr>
        <w:t>p</w:t>
      </w:r>
      <w:r w:rsidRPr="00C03604">
        <w:rPr>
          <w:rFonts w:ascii="微软雅黑" w:eastAsia="微软雅黑" w:hAnsi="微软雅黑" w:cs="宋体"/>
          <w:kern w:val="0"/>
          <w:sz w:val="24"/>
          <w:szCs w:val="24"/>
        </w:rPr>
        <w:t> </w:t>
      </w:r>
      <w:r w:rsidRPr="00C03604">
        <w:rPr>
          <w:rFonts w:ascii="MS Gothic" w:eastAsia="MS Gothic" w:hAnsi="MS Gothic" w:cs="MS Gothic" w:hint="eastAsia"/>
          <w:kern w:val="0"/>
          <w:sz w:val="24"/>
          <w:szCs w:val="24"/>
        </w:rPr>
        <w:t> </w:t>
      </w:r>
      <w:r w:rsidRPr="00C03604">
        <w:rPr>
          <w:rFonts w:ascii="微软雅黑" w:eastAsia="微软雅黑" w:hAnsi="微软雅黑" w:cs="宋体"/>
          <w:kern w:val="0"/>
          <w:sz w:val="24"/>
          <w:szCs w:val="24"/>
        </w:rPr>
        <w:t>&lt; 0.05，** </w:t>
      </w:r>
      <w:r w:rsidRPr="00C03604">
        <w:rPr>
          <w:rFonts w:ascii="微软雅黑" w:eastAsia="微软雅黑" w:hAnsi="微软雅黑" w:cs="宋体"/>
          <w:i/>
          <w:iCs/>
          <w:kern w:val="0"/>
          <w:sz w:val="24"/>
          <w:szCs w:val="24"/>
        </w:rPr>
        <w:t>p</w:t>
      </w:r>
      <w:r w:rsidRPr="00C03604">
        <w:rPr>
          <w:rFonts w:ascii="微软雅黑" w:eastAsia="微软雅黑" w:hAnsi="微软雅黑" w:cs="宋体"/>
          <w:kern w:val="0"/>
          <w:sz w:val="24"/>
          <w:szCs w:val="24"/>
        </w:rPr>
        <w:t> </w:t>
      </w:r>
      <w:r w:rsidRPr="00C03604">
        <w:rPr>
          <w:rFonts w:ascii="MS Gothic" w:eastAsia="MS Gothic" w:hAnsi="MS Gothic" w:cs="MS Gothic" w:hint="eastAsia"/>
          <w:kern w:val="0"/>
          <w:sz w:val="24"/>
          <w:szCs w:val="24"/>
        </w:rPr>
        <w:t> </w:t>
      </w:r>
      <w:r w:rsidRPr="00C03604">
        <w:rPr>
          <w:rFonts w:ascii="微软雅黑" w:eastAsia="微软雅黑" w:hAnsi="微软雅黑" w:cs="宋体"/>
          <w:kern w:val="0"/>
          <w:sz w:val="24"/>
          <w:szCs w:val="24"/>
        </w:rPr>
        <w:t>&lt; 0.01，*** </w:t>
      </w:r>
      <w:r w:rsidRPr="00C03604">
        <w:rPr>
          <w:rFonts w:ascii="微软雅黑" w:eastAsia="微软雅黑" w:hAnsi="微软雅黑" w:cs="宋体"/>
          <w:i/>
          <w:iCs/>
          <w:kern w:val="0"/>
          <w:sz w:val="24"/>
          <w:szCs w:val="24"/>
        </w:rPr>
        <w:t>p</w:t>
      </w:r>
      <w:r w:rsidRPr="00C03604">
        <w:rPr>
          <w:rFonts w:ascii="微软雅黑" w:eastAsia="微软雅黑" w:hAnsi="微软雅黑" w:cs="宋体"/>
          <w:kern w:val="0"/>
          <w:sz w:val="24"/>
          <w:szCs w:val="24"/>
        </w:rPr>
        <w:t> </w:t>
      </w:r>
      <w:r w:rsidRPr="00C03604">
        <w:rPr>
          <w:rFonts w:ascii="MS Gothic" w:eastAsia="MS Gothic" w:hAnsi="MS Gothic" w:cs="MS Gothic" w:hint="eastAsia"/>
          <w:kern w:val="0"/>
          <w:sz w:val="24"/>
          <w:szCs w:val="24"/>
        </w:rPr>
        <w:t> </w:t>
      </w:r>
      <w:r w:rsidRPr="00C03604">
        <w:rPr>
          <w:rFonts w:ascii="微软雅黑" w:eastAsia="微软雅黑" w:hAnsi="微软雅黑" w:cs="宋体"/>
          <w:kern w:val="0"/>
          <w:sz w:val="24"/>
          <w:szCs w:val="24"/>
        </w:rPr>
        <w:t>&lt; 0.001，非配对双尾学生</w:t>
      </w:r>
      <w:r w:rsidRPr="00C03604">
        <w:rPr>
          <w:rFonts w:ascii="微软雅黑" w:eastAsia="微软雅黑" w:hAnsi="微软雅黑" w:cs="宋体"/>
          <w:i/>
          <w:iCs/>
          <w:kern w:val="0"/>
          <w:sz w:val="24"/>
          <w:szCs w:val="24"/>
        </w:rPr>
        <w:t>t</w:t>
      </w:r>
      <w:r w:rsidRPr="00C03604">
        <w:rPr>
          <w:rFonts w:ascii="微软雅黑" w:eastAsia="微软雅黑" w:hAnsi="微软雅黑" w:cs="宋体"/>
          <w:kern w:val="0"/>
          <w:sz w:val="24"/>
          <w:szCs w:val="24"/>
        </w:rPr>
        <w:t>检验。</w:t>
      </w:r>
    </w:p>
    <w:p w14:paraId="17A96153" w14:textId="77777777" w:rsidR="00C03604" w:rsidRPr="00C03604" w:rsidRDefault="00C03604" w:rsidP="00C03604">
      <w:pPr>
        <w:widowControl/>
        <w:spacing w:line="450" w:lineRule="atLeast"/>
        <w:outlineLvl w:val="2"/>
        <w:rPr>
          <w:rFonts w:ascii="微软雅黑" w:eastAsia="微软雅黑" w:hAnsi="微软雅黑" w:cs="宋体"/>
          <w:kern w:val="0"/>
          <w:sz w:val="32"/>
          <w:szCs w:val="32"/>
        </w:rPr>
      </w:pPr>
      <w:r w:rsidRPr="00C03604">
        <w:rPr>
          <w:rFonts w:ascii="微软雅黑" w:eastAsia="微软雅黑" w:hAnsi="微软雅黑" w:cs="宋体"/>
          <w:kern w:val="0"/>
          <w:sz w:val="32"/>
          <w:szCs w:val="32"/>
        </w:rPr>
        <w:t>活化的ACK1通过沉积pY88-H4标记，以表观遗传方式调控细胞周期基因。</w:t>
      </w:r>
    </w:p>
    <w:p w14:paraId="58077CCD" w14:textId="77777777"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kern w:val="0"/>
          <w:sz w:val="24"/>
          <w:szCs w:val="24"/>
        </w:rPr>
        <w:t>表观遗传驱动因子对染色质结构的表观遗传重编程已成为药物耐药性的关键调控机制，凸显了揭示新的表观遗传靶点的紧迫性。ACK1激酶通过磷酸化组蛋白H4的Y88位点发挥表观遗传调节作用，进而募集WDR5/MLL2复合物并激活雄激素受体（AR）的转录[ </w:t>
      </w:r>
      <w:hyperlink r:id="rId50" w:anchor="CR21" w:history="1">
        <w:r w:rsidRPr="00C03604">
          <w:rPr>
            <w:rFonts w:ascii="微软雅黑" w:eastAsia="微软雅黑" w:hAnsi="微软雅黑" w:cs="宋体"/>
            <w:kern w:val="0"/>
            <w:sz w:val="24"/>
            <w:szCs w:val="24"/>
            <w:u w:val="single"/>
          </w:rPr>
          <w:t>21 ]。ChIP-seq数据也显示</w:t>
        </w:r>
      </w:hyperlink>
      <w:r w:rsidRPr="00C03604">
        <w:rPr>
          <w:rFonts w:ascii="微软雅黑" w:eastAsia="微软雅黑" w:hAnsi="微软雅黑" w:cs="宋体"/>
          <w:i/>
          <w:iCs/>
          <w:kern w:val="0"/>
          <w:sz w:val="24"/>
          <w:szCs w:val="24"/>
        </w:rPr>
        <w:t>CDC20</w:t>
      </w:r>
      <w:r w:rsidRPr="00C03604">
        <w:rPr>
          <w:rFonts w:ascii="微软雅黑" w:eastAsia="微软雅黑" w:hAnsi="微软雅黑" w:cs="宋体"/>
          <w:kern w:val="0"/>
          <w:sz w:val="24"/>
          <w:szCs w:val="24"/>
        </w:rPr>
        <w:t>、</w:t>
      </w:r>
      <w:r w:rsidRPr="00C03604">
        <w:rPr>
          <w:rFonts w:ascii="微软雅黑" w:eastAsia="微软雅黑" w:hAnsi="微软雅黑" w:cs="宋体"/>
          <w:i/>
          <w:iCs/>
          <w:kern w:val="0"/>
          <w:sz w:val="24"/>
          <w:szCs w:val="24"/>
        </w:rPr>
        <w:t>CCNB1</w:t>
      </w:r>
      <w:r w:rsidRPr="00C03604">
        <w:rPr>
          <w:rFonts w:ascii="微软雅黑" w:eastAsia="微软雅黑" w:hAnsi="微软雅黑" w:cs="宋体"/>
          <w:kern w:val="0"/>
          <w:sz w:val="24"/>
          <w:szCs w:val="24"/>
        </w:rPr>
        <w:t>和</w:t>
      </w:r>
      <w:r w:rsidRPr="00C03604">
        <w:rPr>
          <w:rFonts w:ascii="微软雅黑" w:eastAsia="微软雅黑" w:hAnsi="微软雅黑" w:cs="宋体"/>
          <w:i/>
          <w:iCs/>
          <w:kern w:val="0"/>
          <w:sz w:val="24"/>
          <w:szCs w:val="24"/>
        </w:rPr>
        <w:t>CCNB2</w:t>
      </w:r>
      <w:r w:rsidRPr="00C03604">
        <w:rPr>
          <w:rFonts w:ascii="微软雅黑" w:eastAsia="微软雅黑" w:hAnsi="微软雅黑" w:cs="宋体"/>
          <w:kern w:val="0"/>
          <w:sz w:val="24"/>
          <w:szCs w:val="24"/>
        </w:rPr>
        <w:t>基因中存在pY88-H4标记（补充图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"MOESM1"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S4A</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）。我们推测，ACK1的表观遗传活性可能是细胞周期基因转录水平显著升高的主要原因。为了探究这种可能性，我们分析了之前对乳腺癌细胞系磷酸酪氨酸蛋白质组的质谱分析结果[ </w:t>
      </w:r>
      <w:hyperlink r:id="rId51" w:anchor="CR26" w:history="1">
        <w:r w:rsidRPr="00C03604">
          <w:rPr>
            <w:rFonts w:ascii="微软雅黑" w:eastAsia="微软雅黑" w:hAnsi="微软雅黑" w:cs="宋体"/>
            <w:kern w:val="0"/>
            <w:sz w:val="24"/>
            <w:szCs w:val="24"/>
            <w:u w:val="single"/>
          </w:rPr>
          <w:t>26</w:t>
        </w:r>
      </w:hyperlink>
      <w:r w:rsidRPr="00C03604">
        <w:rPr>
          <w:rFonts w:ascii="微软雅黑" w:eastAsia="微软雅黑" w:hAnsi="微软雅黑" w:cs="宋体"/>
          <w:kern w:val="0"/>
          <w:sz w:val="24"/>
          <w:szCs w:val="24"/>
        </w:rPr>
        <w:t> , </w:t>
      </w:r>
      <w:hyperlink r:id="rId52" w:anchor="CR40" w:history="1">
        <w:r w:rsidRPr="00C03604">
          <w:rPr>
            <w:rFonts w:ascii="微软雅黑" w:eastAsia="微软雅黑" w:hAnsi="微软雅黑" w:cs="宋体"/>
            <w:kern w:val="0"/>
            <w:sz w:val="24"/>
            <w:szCs w:val="24"/>
            <w:u w:val="single"/>
          </w:rPr>
          <w:t>40</w:t>
        </w:r>
      </w:hyperlink>
      <w:r w:rsidRPr="00C03604">
        <w:rPr>
          <w:rFonts w:ascii="微软雅黑" w:eastAsia="微软雅黑" w:hAnsi="微软雅黑" w:cs="宋体"/>
          <w:kern w:val="0"/>
          <w:sz w:val="24"/>
          <w:szCs w:val="24"/>
        </w:rPr>
        <w:t> ]，发现5种乳腺癌细胞系（BT549、HCC1178、MDA-MB-435、MDA-MB-436和SUM149）中存在pY88-H4表观遗传事件（补充图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"MOESM1"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S4B、C ）。为了进一步验证活化的ACK1</w:t>
      </w:r>
      <w:proofErr w:type="gramStart"/>
      <w:r w:rsidRPr="00C03604">
        <w:rPr>
          <w:rFonts w:ascii="微软雅黑" w:eastAsia="微软雅黑" w:hAnsi="微软雅黑" w:cs="宋体"/>
          <w:kern w:val="0"/>
          <w:sz w:val="24"/>
          <w:szCs w:val="24"/>
          <w:u w:val="single"/>
        </w:rPr>
        <w:t>介</w:t>
      </w:r>
      <w:proofErr w:type="gramEnd"/>
      <w:r w:rsidRPr="00C03604">
        <w:rPr>
          <w:rFonts w:ascii="微软雅黑" w:eastAsia="微软雅黑" w:hAnsi="微软雅黑" w:cs="宋体"/>
          <w:kern w:val="0"/>
          <w:sz w:val="24"/>
          <w:szCs w:val="24"/>
          <w:u w:val="single"/>
        </w:rPr>
        <w:t>导的pY88-H4标记的沉积，我们用( </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处理乳腺癌细胞系，然后进行免疫印迹分析。结果显示，所有细胞系中</w:t>
      </w:r>
      <w:proofErr w:type="gramStart"/>
      <w:r w:rsidRPr="00C03604">
        <w:rPr>
          <w:rFonts w:ascii="微软雅黑" w:eastAsia="微软雅黑" w:hAnsi="微软雅黑" w:cs="宋体"/>
          <w:kern w:val="0"/>
          <w:sz w:val="24"/>
          <w:szCs w:val="24"/>
        </w:rPr>
        <w:t>均观察</w:t>
      </w:r>
      <w:proofErr w:type="gramEnd"/>
      <w:r w:rsidRPr="00C03604">
        <w:rPr>
          <w:rFonts w:ascii="微软雅黑" w:eastAsia="微软雅黑" w:hAnsi="微软雅黑" w:cs="宋体"/>
          <w:kern w:val="0"/>
          <w:sz w:val="24"/>
          <w:szCs w:val="24"/>
        </w:rPr>
        <w:t>到Y88-H4表观遗传标记的显著表达，而(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处理显著降低了其表达（图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"Fig4"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4A</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w:t>
      </w:r>
    </w:p>
    <w:p w14:paraId="324BA189" w14:textId="77777777" w:rsidR="00C03604" w:rsidRPr="00C03604" w:rsidRDefault="00C03604" w:rsidP="00C03604">
      <w:pPr>
        <w:widowControl/>
        <w:spacing w:line="450" w:lineRule="atLeast"/>
        <w:outlineLvl w:val="3"/>
        <w:rPr>
          <w:rFonts w:ascii="微软雅黑" w:eastAsia="微软雅黑" w:hAnsi="微软雅黑" w:cs="宋体"/>
          <w:kern w:val="0"/>
          <w:sz w:val="30"/>
          <w:szCs w:val="30"/>
        </w:rPr>
      </w:pPr>
      <w:r w:rsidRPr="00C03604">
        <w:rPr>
          <w:rFonts w:ascii="微软雅黑" w:eastAsia="微软雅黑" w:hAnsi="微软雅黑" w:cs="宋体"/>
          <w:kern w:val="0"/>
          <w:sz w:val="30"/>
          <w:szCs w:val="30"/>
        </w:rPr>
        <w:t>图 4. ACK1 通过沉积 pY88-H4 激活标记，对染色质进行表观遗传修饰，从而调节细胞周期基因。</w:t>
      </w:r>
    </w:p>
    <w:p w14:paraId="1A80CF2D" w14:textId="6FB1C10E"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noProof/>
          <w:kern w:val="0"/>
          <w:sz w:val="24"/>
          <w:szCs w:val="24"/>
        </w:rPr>
        <w:lastRenderedPageBreak/>
        <w:drawing>
          <wp:inline distT="0" distB="0" distL="0" distR="0" wp14:anchorId="40A8E128" wp14:editId="41FBB093">
            <wp:extent cx="5274310" cy="7504430"/>
            <wp:effectExtent l="0" t="0" r="2540" b="1270"/>
            <wp:docPr id="4" name="图片 4" descr="图 4">
              <a:hlinkClick xmlns:a="http://schemas.openxmlformats.org/drawingml/2006/main" r:id="rId5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32e1301" descr="图 4">
                      <a:hlinkClick r:id="rId53" tgtFrame="&quot;_blank&quot;"/>
                    </pic:cNvPr>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274310" cy="7504430"/>
                    </a:xfrm>
                    <a:prstGeom prst="rect">
                      <a:avLst/>
                    </a:prstGeom>
                    <a:noFill/>
                    <a:ln>
                      <a:noFill/>
                    </a:ln>
                  </pic:spPr>
                </pic:pic>
              </a:graphicData>
            </a:graphic>
          </wp:inline>
        </w:drawing>
      </w:r>
    </w:p>
    <w:p w14:paraId="2F174BE2" w14:textId="77777777" w:rsidR="00C03604" w:rsidRPr="00C03604" w:rsidRDefault="00C03604" w:rsidP="00C03604">
      <w:pPr>
        <w:widowControl/>
        <w:rPr>
          <w:rFonts w:ascii="微软雅黑" w:eastAsia="微软雅黑" w:hAnsi="微软雅黑" w:cs="宋体"/>
          <w:kern w:val="0"/>
          <w:sz w:val="24"/>
          <w:szCs w:val="24"/>
        </w:rPr>
      </w:pPr>
      <w:r w:rsidRPr="00C03604">
        <w:rPr>
          <w:rFonts w:ascii="微软雅黑" w:eastAsia="微软雅黑" w:hAnsi="微软雅黑" w:cs="宋体"/>
          <w:b/>
          <w:bCs/>
          <w:kern w:val="0"/>
          <w:sz w:val="24"/>
          <w:szCs w:val="24"/>
        </w:rPr>
        <w:t>A.</w:t>
      </w:r>
      <w:r w:rsidRPr="00C03604">
        <w:rPr>
          <w:rFonts w:ascii="微软雅黑" w:eastAsia="微软雅黑" w:hAnsi="微软雅黑" w:cs="宋体"/>
          <w:kern w:val="0"/>
          <w:sz w:val="24"/>
          <w:szCs w:val="24"/>
        </w:rPr>
        <w:t>将乳腺癌细胞系用 (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处理过夜，然后提取细胞裂解液，用 pY88-H4 抗体进行免疫沉淀，再用 H4 抗体进行免疫印迹分析。裂解液也用总 H4 和肌动蛋白抗体进行免疫印迹分析，结果显示在下方。每张印迹图下方显示了相对于</w:t>
      </w:r>
      <w:r w:rsidRPr="00C03604">
        <w:rPr>
          <w:rFonts w:ascii="微软雅黑" w:eastAsia="微软雅黑" w:hAnsi="微软雅黑" w:cs="宋体"/>
          <w:kern w:val="0"/>
          <w:sz w:val="24"/>
          <w:szCs w:val="24"/>
        </w:rPr>
        <w:lastRenderedPageBreak/>
        <w:t>对照组的蛋白质丰度密度测量值。B. </w:t>
      </w:r>
      <w:r w:rsidRPr="00C03604">
        <w:rPr>
          <w:rFonts w:ascii="微软雅黑" w:eastAsia="微软雅黑" w:hAnsi="微软雅黑" w:cs="宋体"/>
          <w:b/>
          <w:bCs/>
          <w:kern w:val="0"/>
          <w:sz w:val="24"/>
          <w:szCs w:val="24"/>
        </w:rPr>
        <w:t>Venn</w:t>
      </w:r>
      <w:r w:rsidRPr="00C03604">
        <w:rPr>
          <w:rFonts w:ascii="微软雅黑" w:eastAsia="微软雅黑" w:hAnsi="微软雅黑" w:cs="宋体"/>
          <w:kern w:val="0"/>
          <w:sz w:val="24"/>
          <w:szCs w:val="24"/>
        </w:rPr>
        <w:t xml:space="preserve">图总结了载体处理组和 </w:t>
      </w:r>
      <w:proofErr w:type="gramStart"/>
      <w:r w:rsidRPr="00C03604">
        <w:rPr>
          <w:rFonts w:ascii="微软雅黑" w:eastAsia="微软雅黑" w:hAnsi="微软雅黑" w:cs="宋体"/>
          <w:kern w:val="0"/>
          <w:sz w:val="24"/>
          <w:szCs w:val="24"/>
        </w:rPr>
        <w:t>( </w:t>
      </w:r>
      <w:r w:rsidRPr="00C03604">
        <w:rPr>
          <w:rFonts w:ascii="微软雅黑" w:eastAsia="微软雅黑" w:hAnsi="微软雅黑" w:cs="宋体"/>
          <w:i/>
          <w:iCs/>
          <w:kern w:val="0"/>
          <w:sz w:val="24"/>
          <w:szCs w:val="24"/>
        </w:rPr>
        <w:t>R</w:t>
      </w:r>
      <w:proofErr w:type="gramEnd"/>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处理组 MDA-MB-453 细胞中 pY88-H4 结合位点的重叠情况。C </w:t>
      </w:r>
      <w:r w:rsidRPr="00C03604">
        <w:rPr>
          <w:rFonts w:ascii="微软雅黑" w:eastAsia="微软雅黑" w:hAnsi="微软雅黑" w:cs="宋体"/>
          <w:b/>
          <w:bCs/>
          <w:kern w:val="0"/>
          <w:sz w:val="24"/>
          <w:szCs w:val="24"/>
        </w:rPr>
        <w:t xml:space="preserve">.使用 pY88-H4 抗体对 MDA-MB-453 细胞进行 </w:t>
      </w:r>
      <w:proofErr w:type="spellStart"/>
      <w:r w:rsidRPr="00C03604">
        <w:rPr>
          <w:rFonts w:ascii="微软雅黑" w:eastAsia="微软雅黑" w:hAnsi="微软雅黑" w:cs="宋体"/>
          <w:b/>
          <w:bCs/>
          <w:kern w:val="0"/>
          <w:sz w:val="24"/>
          <w:szCs w:val="24"/>
        </w:rPr>
        <w:t>ChIP</w:t>
      </w:r>
      <w:proofErr w:type="spellEnd"/>
      <w:r w:rsidRPr="00C03604">
        <w:rPr>
          <w:rFonts w:ascii="微软雅黑" w:eastAsia="微软雅黑" w:hAnsi="微软雅黑" w:cs="宋体"/>
          <w:b/>
          <w:bCs/>
          <w:kern w:val="0"/>
          <w:sz w:val="24"/>
          <w:szCs w:val="24"/>
        </w:rPr>
        <w:t>-Seq 分析，结果显示在</w:t>
      </w:r>
      <w:r w:rsidRPr="00C03604">
        <w:rPr>
          <w:rFonts w:ascii="微软雅黑" w:eastAsia="微软雅黑" w:hAnsi="微软雅黑" w:cs="宋体"/>
          <w:i/>
          <w:iCs/>
          <w:kern w:val="0"/>
          <w:sz w:val="24"/>
          <w:szCs w:val="24"/>
        </w:rPr>
        <w:t>CCNB1</w:t>
      </w:r>
      <w:r w:rsidRPr="00C03604">
        <w:rPr>
          <w:rFonts w:ascii="微软雅黑" w:eastAsia="微软雅黑" w:hAnsi="微软雅黑" w:cs="宋体"/>
          <w:kern w:val="0"/>
          <w:sz w:val="24"/>
          <w:szCs w:val="24"/>
        </w:rPr>
        <w:t>、</w:t>
      </w:r>
      <w:r w:rsidRPr="00C03604">
        <w:rPr>
          <w:rFonts w:ascii="微软雅黑" w:eastAsia="微软雅黑" w:hAnsi="微软雅黑" w:cs="宋体"/>
          <w:i/>
          <w:iCs/>
          <w:kern w:val="0"/>
          <w:sz w:val="24"/>
          <w:szCs w:val="24"/>
        </w:rPr>
        <w:t>CCNB2</w:t>
      </w:r>
      <w:r w:rsidRPr="00C03604">
        <w:rPr>
          <w:rFonts w:ascii="微软雅黑" w:eastAsia="微软雅黑" w:hAnsi="微软雅黑" w:cs="宋体"/>
          <w:kern w:val="0"/>
          <w:sz w:val="24"/>
          <w:szCs w:val="24"/>
        </w:rPr>
        <w:t>和</w:t>
      </w:r>
      <w:r w:rsidRPr="00C03604">
        <w:rPr>
          <w:rFonts w:ascii="微软雅黑" w:eastAsia="微软雅黑" w:hAnsi="微软雅黑" w:cs="宋体"/>
          <w:i/>
          <w:iCs/>
          <w:kern w:val="0"/>
          <w:sz w:val="24"/>
          <w:szCs w:val="24"/>
        </w:rPr>
        <w:t>CDC20</w:t>
      </w:r>
      <w:r w:rsidRPr="00C03604">
        <w:rPr>
          <w:rFonts w:ascii="微软雅黑" w:eastAsia="微软雅黑" w:hAnsi="微软雅黑" w:cs="宋体"/>
          <w:kern w:val="0"/>
          <w:sz w:val="24"/>
          <w:szCs w:val="24"/>
        </w:rPr>
        <w:t xml:space="preserve">基因中出现峰值。将乳腺癌细胞用 pY88-H4 抗体进行 </w:t>
      </w:r>
      <w:proofErr w:type="spellStart"/>
      <w:r w:rsidRPr="00C03604">
        <w:rPr>
          <w:rFonts w:ascii="微软雅黑" w:eastAsia="微软雅黑" w:hAnsi="微软雅黑" w:cs="宋体"/>
          <w:kern w:val="0"/>
          <w:sz w:val="24"/>
          <w:szCs w:val="24"/>
        </w:rPr>
        <w:t>ChIP</w:t>
      </w:r>
      <w:proofErr w:type="spellEnd"/>
      <w:r w:rsidRPr="00C03604">
        <w:rPr>
          <w:rFonts w:ascii="微软雅黑" w:eastAsia="微软雅黑" w:hAnsi="微软雅黑" w:cs="宋体"/>
          <w:kern w:val="0"/>
          <w:sz w:val="24"/>
          <w:szCs w:val="24"/>
        </w:rPr>
        <w:t xml:space="preserve"> 分析，然后进行 qPCR 检测，分别检测 ( </w:t>
      </w:r>
      <w:r w:rsidRPr="00C03604">
        <w:rPr>
          <w:rFonts w:ascii="微软雅黑" w:eastAsia="微软雅黑" w:hAnsi="微软雅黑" w:cs="宋体"/>
          <w:b/>
          <w:bCs/>
          <w:kern w:val="0"/>
          <w:sz w:val="24"/>
          <w:szCs w:val="24"/>
        </w:rPr>
        <w:t>D</w:t>
      </w:r>
      <w:r w:rsidRPr="00C03604">
        <w:rPr>
          <w:rFonts w:ascii="微软雅黑" w:eastAsia="微软雅黑" w:hAnsi="微软雅黑" w:cs="宋体"/>
          <w:kern w:val="0"/>
          <w:sz w:val="24"/>
          <w:szCs w:val="24"/>
        </w:rPr>
        <w:t> ) </w:t>
      </w:r>
      <w:r w:rsidRPr="00C03604">
        <w:rPr>
          <w:rFonts w:ascii="微软雅黑" w:eastAsia="微软雅黑" w:hAnsi="微软雅黑" w:cs="宋体"/>
          <w:i/>
          <w:iCs/>
          <w:kern w:val="0"/>
          <w:sz w:val="24"/>
          <w:szCs w:val="24"/>
        </w:rPr>
        <w:t>CCNB1</w:t>
      </w:r>
      <w:r w:rsidRPr="00C03604">
        <w:rPr>
          <w:rFonts w:ascii="微软雅黑" w:eastAsia="微软雅黑" w:hAnsi="微软雅黑" w:cs="宋体"/>
          <w:kern w:val="0"/>
          <w:sz w:val="24"/>
          <w:szCs w:val="24"/>
        </w:rPr>
        <w:t>、( </w:t>
      </w:r>
      <w:r w:rsidRPr="00C03604">
        <w:rPr>
          <w:rFonts w:ascii="微软雅黑" w:eastAsia="微软雅黑" w:hAnsi="微软雅黑" w:cs="宋体"/>
          <w:b/>
          <w:bCs/>
          <w:kern w:val="0"/>
          <w:sz w:val="24"/>
          <w:szCs w:val="24"/>
        </w:rPr>
        <w:t>E</w:t>
      </w:r>
      <w:r w:rsidRPr="00C03604">
        <w:rPr>
          <w:rFonts w:ascii="微软雅黑" w:eastAsia="微软雅黑" w:hAnsi="微软雅黑" w:cs="宋体"/>
          <w:kern w:val="0"/>
          <w:sz w:val="24"/>
          <w:szCs w:val="24"/>
        </w:rPr>
        <w:t> ) </w:t>
      </w:r>
      <w:r w:rsidRPr="00C03604">
        <w:rPr>
          <w:rFonts w:ascii="微软雅黑" w:eastAsia="微软雅黑" w:hAnsi="微软雅黑" w:cs="宋体"/>
          <w:i/>
          <w:iCs/>
          <w:kern w:val="0"/>
          <w:sz w:val="24"/>
          <w:szCs w:val="24"/>
        </w:rPr>
        <w:t>CCNB2</w:t>
      </w:r>
      <w:r w:rsidRPr="00C03604">
        <w:rPr>
          <w:rFonts w:ascii="微软雅黑" w:eastAsia="微软雅黑" w:hAnsi="微软雅黑" w:cs="宋体"/>
          <w:kern w:val="0"/>
          <w:sz w:val="24"/>
          <w:szCs w:val="24"/>
        </w:rPr>
        <w:t>和 ( </w:t>
      </w:r>
      <w:r w:rsidRPr="00C03604">
        <w:rPr>
          <w:rFonts w:ascii="微软雅黑" w:eastAsia="微软雅黑" w:hAnsi="微软雅黑" w:cs="宋体"/>
          <w:b/>
          <w:bCs/>
          <w:kern w:val="0"/>
          <w:sz w:val="24"/>
          <w:szCs w:val="24"/>
        </w:rPr>
        <w:t>F</w:t>
      </w:r>
      <w:r w:rsidRPr="00C03604">
        <w:rPr>
          <w:rFonts w:ascii="微软雅黑" w:eastAsia="微软雅黑" w:hAnsi="微软雅黑" w:cs="宋体"/>
          <w:kern w:val="0"/>
          <w:sz w:val="24"/>
          <w:szCs w:val="24"/>
        </w:rPr>
        <w:t> ) </w:t>
      </w:r>
      <w:r w:rsidRPr="00C03604">
        <w:rPr>
          <w:rFonts w:ascii="微软雅黑" w:eastAsia="微软雅黑" w:hAnsi="微软雅黑" w:cs="宋体"/>
          <w:i/>
          <w:iCs/>
          <w:kern w:val="0"/>
          <w:sz w:val="24"/>
          <w:szCs w:val="24"/>
        </w:rPr>
        <w:t>CDC20</w:t>
      </w:r>
      <w:r w:rsidRPr="00C03604">
        <w:rPr>
          <w:rFonts w:ascii="微软雅黑" w:eastAsia="微软雅黑" w:hAnsi="微软雅黑" w:cs="宋体"/>
          <w:kern w:val="0"/>
          <w:sz w:val="24"/>
          <w:szCs w:val="24"/>
        </w:rPr>
        <w:t>基因。图 ( </w:t>
      </w:r>
      <w:r w:rsidRPr="00C03604">
        <w:rPr>
          <w:rFonts w:ascii="微软雅黑" w:eastAsia="微软雅黑" w:hAnsi="微软雅黑" w:cs="宋体"/>
          <w:b/>
          <w:bCs/>
          <w:kern w:val="0"/>
          <w:sz w:val="24"/>
          <w:szCs w:val="24"/>
        </w:rPr>
        <w:t>A</w:t>
      </w:r>
      <w:r w:rsidRPr="00C03604">
        <w:rPr>
          <w:rFonts w:ascii="微软雅黑" w:eastAsia="微软雅黑" w:hAnsi="微软雅黑" w:cs="宋体"/>
          <w:kern w:val="0"/>
          <w:sz w:val="24"/>
          <w:szCs w:val="24"/>
        </w:rPr>
        <w:t> ) 展示了三个独立实验的代表性图像。图 ( </w:t>
      </w:r>
      <w:r w:rsidRPr="00C03604">
        <w:rPr>
          <w:rFonts w:ascii="微软雅黑" w:eastAsia="微软雅黑" w:hAnsi="微软雅黑" w:cs="宋体"/>
          <w:b/>
          <w:bCs/>
          <w:kern w:val="0"/>
          <w:sz w:val="24"/>
          <w:szCs w:val="24"/>
        </w:rPr>
        <w:t>D</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F</w:t>
      </w:r>
      <w:r w:rsidRPr="00C03604">
        <w:rPr>
          <w:rFonts w:ascii="微软雅黑" w:eastAsia="微软雅黑" w:hAnsi="微软雅黑" w:cs="宋体"/>
          <w:kern w:val="0"/>
          <w:sz w:val="24"/>
          <w:szCs w:val="24"/>
        </w:rPr>
        <w:t> ) 中的数据以平均值 ± 标准误差 (SEM) 表示。* </w:t>
      </w:r>
      <w:r w:rsidRPr="00C03604">
        <w:rPr>
          <w:rFonts w:ascii="微软雅黑" w:eastAsia="微软雅黑" w:hAnsi="微软雅黑" w:cs="宋体"/>
          <w:i/>
          <w:iCs/>
          <w:kern w:val="0"/>
          <w:sz w:val="24"/>
          <w:szCs w:val="24"/>
        </w:rPr>
        <w:t>p</w:t>
      </w:r>
      <w:r w:rsidRPr="00C03604">
        <w:rPr>
          <w:rFonts w:ascii="微软雅黑" w:eastAsia="微软雅黑" w:hAnsi="微软雅黑" w:cs="宋体"/>
          <w:kern w:val="0"/>
          <w:sz w:val="24"/>
          <w:szCs w:val="24"/>
        </w:rPr>
        <w:t> </w:t>
      </w:r>
      <w:r w:rsidRPr="00C03604">
        <w:rPr>
          <w:rFonts w:ascii="MS Gothic" w:eastAsia="MS Gothic" w:hAnsi="MS Gothic" w:cs="MS Gothic" w:hint="eastAsia"/>
          <w:kern w:val="0"/>
          <w:sz w:val="24"/>
          <w:szCs w:val="24"/>
        </w:rPr>
        <w:t> </w:t>
      </w:r>
      <w:r w:rsidRPr="00C03604">
        <w:rPr>
          <w:rFonts w:ascii="微软雅黑" w:eastAsia="微软雅黑" w:hAnsi="微软雅黑" w:cs="宋体"/>
          <w:kern w:val="0"/>
          <w:sz w:val="24"/>
          <w:szCs w:val="24"/>
        </w:rPr>
        <w:t>&lt; 0.05，** </w:t>
      </w:r>
      <w:r w:rsidRPr="00C03604">
        <w:rPr>
          <w:rFonts w:ascii="微软雅黑" w:eastAsia="微软雅黑" w:hAnsi="微软雅黑" w:cs="宋体"/>
          <w:i/>
          <w:iCs/>
          <w:kern w:val="0"/>
          <w:sz w:val="24"/>
          <w:szCs w:val="24"/>
        </w:rPr>
        <w:t>p</w:t>
      </w:r>
      <w:r w:rsidRPr="00C03604">
        <w:rPr>
          <w:rFonts w:ascii="微软雅黑" w:eastAsia="微软雅黑" w:hAnsi="微软雅黑" w:cs="宋体"/>
          <w:kern w:val="0"/>
          <w:sz w:val="24"/>
          <w:szCs w:val="24"/>
        </w:rPr>
        <w:t> </w:t>
      </w:r>
      <w:r w:rsidRPr="00C03604">
        <w:rPr>
          <w:rFonts w:ascii="MS Gothic" w:eastAsia="MS Gothic" w:hAnsi="MS Gothic" w:cs="MS Gothic" w:hint="eastAsia"/>
          <w:kern w:val="0"/>
          <w:sz w:val="24"/>
          <w:szCs w:val="24"/>
        </w:rPr>
        <w:t> </w:t>
      </w:r>
      <w:r w:rsidRPr="00C03604">
        <w:rPr>
          <w:rFonts w:ascii="微软雅黑" w:eastAsia="微软雅黑" w:hAnsi="微软雅黑" w:cs="宋体"/>
          <w:kern w:val="0"/>
          <w:sz w:val="24"/>
          <w:szCs w:val="24"/>
        </w:rPr>
        <w:t>&lt; 0.01，*** </w:t>
      </w:r>
      <w:r w:rsidRPr="00C03604">
        <w:rPr>
          <w:rFonts w:ascii="微软雅黑" w:eastAsia="微软雅黑" w:hAnsi="微软雅黑" w:cs="宋体"/>
          <w:i/>
          <w:iCs/>
          <w:kern w:val="0"/>
          <w:sz w:val="24"/>
          <w:szCs w:val="24"/>
        </w:rPr>
        <w:t>p</w:t>
      </w:r>
      <w:r w:rsidRPr="00C03604">
        <w:rPr>
          <w:rFonts w:ascii="微软雅黑" w:eastAsia="微软雅黑" w:hAnsi="微软雅黑" w:cs="宋体"/>
          <w:kern w:val="0"/>
          <w:sz w:val="24"/>
          <w:szCs w:val="24"/>
        </w:rPr>
        <w:t> </w:t>
      </w:r>
      <w:r w:rsidRPr="00C03604">
        <w:rPr>
          <w:rFonts w:ascii="MS Gothic" w:eastAsia="MS Gothic" w:hAnsi="MS Gothic" w:cs="MS Gothic" w:hint="eastAsia"/>
          <w:kern w:val="0"/>
          <w:sz w:val="24"/>
          <w:szCs w:val="24"/>
        </w:rPr>
        <w:t> </w:t>
      </w:r>
      <w:r w:rsidRPr="00C03604">
        <w:rPr>
          <w:rFonts w:ascii="微软雅黑" w:eastAsia="微软雅黑" w:hAnsi="微软雅黑" w:cs="宋体"/>
          <w:kern w:val="0"/>
          <w:sz w:val="24"/>
          <w:szCs w:val="24"/>
        </w:rPr>
        <w:t>&lt; 0.001，采用非配对双尾 Student's </w:t>
      </w:r>
      <w:r w:rsidRPr="00C03604">
        <w:rPr>
          <w:rFonts w:ascii="微软雅黑" w:eastAsia="微软雅黑" w:hAnsi="微软雅黑" w:cs="宋体"/>
          <w:i/>
          <w:iCs/>
          <w:kern w:val="0"/>
          <w:sz w:val="24"/>
          <w:szCs w:val="24"/>
        </w:rPr>
        <w:t>t</w:t>
      </w:r>
      <w:r w:rsidRPr="00C03604">
        <w:rPr>
          <w:rFonts w:ascii="微软雅黑" w:eastAsia="微软雅黑" w:hAnsi="微软雅黑" w:cs="宋体"/>
          <w:kern w:val="0"/>
          <w:sz w:val="24"/>
          <w:szCs w:val="24"/>
        </w:rPr>
        <w:t>检验。</w:t>
      </w:r>
    </w:p>
    <w:p w14:paraId="2BC6EAE1" w14:textId="77777777"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kern w:val="0"/>
          <w:sz w:val="24"/>
          <w:szCs w:val="24"/>
        </w:rPr>
        <w:t>为了研究pY88-H4调控的转录程序，我们用pY88-H4抗体对载体或(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处理的MDA-MB-453细胞的染色质进行免疫沉淀(</w:t>
      </w:r>
      <w:proofErr w:type="spellStart"/>
      <w:r w:rsidRPr="00C03604">
        <w:rPr>
          <w:rFonts w:ascii="微软雅黑" w:eastAsia="微软雅黑" w:hAnsi="微软雅黑" w:cs="宋体"/>
          <w:kern w:val="0"/>
          <w:sz w:val="24"/>
          <w:szCs w:val="24"/>
        </w:rPr>
        <w:t>ChIP</w:t>
      </w:r>
      <w:proofErr w:type="spellEnd"/>
      <w:r w:rsidRPr="00C03604">
        <w:rPr>
          <w:rFonts w:ascii="微软雅黑" w:eastAsia="微软雅黑" w:hAnsi="微软雅黑" w:cs="宋体"/>
          <w:kern w:val="0"/>
          <w:sz w:val="24"/>
          <w:szCs w:val="24"/>
        </w:rPr>
        <w:t>)，随后进行二代测序(</w:t>
      </w:r>
      <w:proofErr w:type="spellStart"/>
      <w:r w:rsidRPr="00C03604">
        <w:rPr>
          <w:rFonts w:ascii="微软雅黑" w:eastAsia="微软雅黑" w:hAnsi="微软雅黑" w:cs="宋体"/>
          <w:kern w:val="0"/>
          <w:sz w:val="24"/>
          <w:szCs w:val="24"/>
        </w:rPr>
        <w:t>ChIP</w:t>
      </w:r>
      <w:proofErr w:type="spellEnd"/>
      <w:r w:rsidRPr="00C03604">
        <w:rPr>
          <w:rFonts w:ascii="微软雅黑" w:eastAsia="微软雅黑" w:hAnsi="微软雅黑" w:cs="宋体"/>
          <w:kern w:val="0"/>
          <w:sz w:val="24"/>
          <w:szCs w:val="24"/>
        </w:rPr>
        <w:t>-seq)。</w:t>
      </w:r>
      <w:proofErr w:type="gramStart"/>
      <w:r w:rsidRPr="00C03604">
        <w:rPr>
          <w:rFonts w:ascii="微软雅黑" w:eastAsia="微软雅黑" w:hAnsi="微软雅黑" w:cs="宋体"/>
          <w:kern w:val="0"/>
          <w:sz w:val="24"/>
          <w:szCs w:val="24"/>
        </w:rPr>
        <w:t>峰分析</w:t>
      </w:r>
      <w:proofErr w:type="gramEnd"/>
      <w:r w:rsidRPr="00C03604">
        <w:rPr>
          <w:rFonts w:ascii="微软雅黑" w:eastAsia="微软雅黑" w:hAnsi="微软雅黑" w:cs="宋体"/>
          <w:kern w:val="0"/>
          <w:sz w:val="24"/>
          <w:szCs w:val="24"/>
        </w:rPr>
        <w:t>显示pY88-H4结合于935个位点（854个基因）（补充表</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"MOESM2"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S10</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）。pY88-H4</w:t>
      </w:r>
      <w:proofErr w:type="gramStart"/>
      <w:r w:rsidRPr="00C03604">
        <w:rPr>
          <w:rFonts w:ascii="微软雅黑" w:eastAsia="微软雅黑" w:hAnsi="微软雅黑" w:cs="宋体"/>
          <w:kern w:val="0"/>
          <w:sz w:val="24"/>
          <w:szCs w:val="24"/>
        </w:rPr>
        <w:t>峰主要</w:t>
      </w:r>
      <w:proofErr w:type="gramEnd"/>
      <w:r w:rsidRPr="00C03604">
        <w:rPr>
          <w:rFonts w:ascii="微软雅黑" w:eastAsia="微软雅黑" w:hAnsi="微软雅黑" w:cs="宋体"/>
          <w:kern w:val="0"/>
          <w:sz w:val="24"/>
          <w:szCs w:val="24"/>
        </w:rPr>
        <w:t>位于基因间区和内含子（补充表</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"MOESM1"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S11A</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），且主要位于蛋白质编码基因（补充表</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"MOESM1"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S11B ）。此外，维恩图(VD)分析显示pY88-H4占据854个独特的位点，其中载体处理组和( </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处理组细胞共有16个位点（图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"Fig4"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4B</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 MDA-MB-453细胞的</w:t>
      </w:r>
      <w:proofErr w:type="spellStart"/>
      <w:r w:rsidRPr="00C03604">
        <w:rPr>
          <w:rFonts w:ascii="微软雅黑" w:eastAsia="微软雅黑" w:hAnsi="微软雅黑" w:cs="宋体"/>
          <w:kern w:val="0"/>
          <w:sz w:val="24"/>
          <w:szCs w:val="24"/>
        </w:rPr>
        <w:t>ChIP</w:t>
      </w:r>
      <w:proofErr w:type="spellEnd"/>
      <w:r w:rsidRPr="00C03604">
        <w:rPr>
          <w:rFonts w:ascii="微软雅黑" w:eastAsia="微软雅黑" w:hAnsi="微软雅黑" w:cs="宋体"/>
          <w:kern w:val="0"/>
          <w:sz w:val="24"/>
          <w:szCs w:val="24"/>
        </w:rPr>
        <w:t>-seq结果也显示，pY88-H4标记沉积于</w:t>
      </w:r>
      <w:r w:rsidRPr="00C03604">
        <w:rPr>
          <w:rFonts w:ascii="微软雅黑" w:eastAsia="微软雅黑" w:hAnsi="微软雅黑" w:cs="宋体"/>
          <w:i/>
          <w:iCs/>
          <w:kern w:val="0"/>
          <w:sz w:val="24"/>
          <w:szCs w:val="24"/>
        </w:rPr>
        <w:t>CDC20、CCNB1</w:t>
      </w:r>
      <w:r w:rsidRPr="00C03604">
        <w:rPr>
          <w:rFonts w:ascii="微软雅黑" w:eastAsia="微软雅黑" w:hAnsi="微软雅黑" w:cs="宋体"/>
          <w:kern w:val="0"/>
          <w:sz w:val="24"/>
          <w:szCs w:val="24"/>
        </w:rPr>
        <w:t>和</w:t>
      </w:r>
      <w:r w:rsidRPr="00C03604">
        <w:rPr>
          <w:rFonts w:ascii="微软雅黑" w:eastAsia="微软雅黑" w:hAnsi="微软雅黑" w:cs="宋体"/>
          <w:i/>
          <w:iCs/>
          <w:kern w:val="0"/>
          <w:sz w:val="24"/>
          <w:szCs w:val="24"/>
        </w:rPr>
        <w:t>CCNB2</w:t>
      </w:r>
      <w:r w:rsidRPr="00C03604">
        <w:rPr>
          <w:rFonts w:ascii="微软雅黑" w:eastAsia="微软雅黑" w:hAnsi="微软雅黑" w:cs="宋体"/>
          <w:kern w:val="0"/>
          <w:sz w:val="24"/>
          <w:szCs w:val="24"/>
        </w:rPr>
        <w:t>基因中（图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"Fig4"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4C</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）。HOMER预测的pY88-H4结合基序，包括相应的相对评分、序列和转录因子，如图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"MOESM1"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S5A所示，其中显示了pY88-H4使用的3个不同的基序。预测的基因本体（GO）分子通路和KEGG通路分析结果分别如图</w:t>
      </w:r>
      <w:r w:rsidRPr="00C03604">
        <w:rPr>
          <w:rFonts w:ascii="微软雅黑" w:eastAsia="微软雅黑" w:hAnsi="微软雅黑" w:cs="宋体"/>
          <w:kern w:val="0"/>
          <w:sz w:val="24"/>
          <w:szCs w:val="24"/>
        </w:rPr>
        <w:fldChar w:fldCharType="end"/>
      </w:r>
      <w:hyperlink r:id="rId55" w:anchor="MOESM1" w:history="1">
        <w:r w:rsidRPr="00C03604">
          <w:rPr>
            <w:rFonts w:ascii="微软雅黑" w:eastAsia="微软雅黑" w:hAnsi="微软雅黑" w:cs="宋体"/>
            <w:kern w:val="0"/>
            <w:sz w:val="24"/>
            <w:szCs w:val="24"/>
            <w:u w:val="single"/>
          </w:rPr>
          <w:t>S5B和S5C</w:t>
        </w:r>
      </w:hyperlink>
      <w:r w:rsidRPr="00C03604">
        <w:rPr>
          <w:rFonts w:ascii="微软雅黑" w:eastAsia="微软雅黑" w:hAnsi="微软雅黑" w:cs="宋体"/>
          <w:kern w:val="0"/>
          <w:sz w:val="24"/>
          <w:szCs w:val="24"/>
        </w:rPr>
        <w:t>所示。</w:t>
      </w:r>
    </w:p>
    <w:p w14:paraId="092D820C" w14:textId="77777777"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kern w:val="0"/>
          <w:sz w:val="24"/>
          <w:szCs w:val="24"/>
        </w:rPr>
        <w:t xml:space="preserve">为了验证这些标记的沉积，我们使用 pY88-H4 抗体对乳腺癌细胞系进行 </w:t>
      </w:r>
      <w:proofErr w:type="spellStart"/>
      <w:r w:rsidRPr="00C03604">
        <w:rPr>
          <w:rFonts w:ascii="微软雅黑" w:eastAsia="微软雅黑" w:hAnsi="微软雅黑" w:cs="宋体"/>
          <w:kern w:val="0"/>
          <w:sz w:val="24"/>
          <w:szCs w:val="24"/>
        </w:rPr>
        <w:t>ChIP</w:t>
      </w:r>
      <w:proofErr w:type="spellEnd"/>
      <w:r w:rsidRPr="00C03604">
        <w:rPr>
          <w:rFonts w:ascii="微软雅黑" w:eastAsia="微软雅黑" w:hAnsi="微软雅黑" w:cs="宋体"/>
          <w:kern w:val="0"/>
          <w:sz w:val="24"/>
          <w:szCs w:val="24"/>
        </w:rPr>
        <w:t xml:space="preserve"> 分析，然后对</w:t>
      </w:r>
      <w:r w:rsidRPr="00C03604">
        <w:rPr>
          <w:rFonts w:ascii="微软雅黑" w:eastAsia="微软雅黑" w:hAnsi="微软雅黑" w:cs="宋体"/>
          <w:i/>
          <w:iCs/>
          <w:kern w:val="0"/>
          <w:sz w:val="24"/>
          <w:szCs w:val="24"/>
        </w:rPr>
        <w:t>CDC20、CCNB1</w:t>
      </w:r>
      <w:r w:rsidRPr="00C03604">
        <w:rPr>
          <w:rFonts w:ascii="微软雅黑" w:eastAsia="微软雅黑" w:hAnsi="微软雅黑" w:cs="宋体"/>
          <w:kern w:val="0"/>
          <w:sz w:val="24"/>
          <w:szCs w:val="24"/>
        </w:rPr>
        <w:t>和</w:t>
      </w:r>
      <w:r w:rsidRPr="00C03604">
        <w:rPr>
          <w:rFonts w:ascii="微软雅黑" w:eastAsia="微软雅黑" w:hAnsi="微软雅黑" w:cs="宋体"/>
          <w:i/>
          <w:iCs/>
          <w:kern w:val="0"/>
          <w:sz w:val="24"/>
          <w:szCs w:val="24"/>
        </w:rPr>
        <w:t>CCNB2</w:t>
      </w:r>
      <w:r w:rsidRPr="00C03604">
        <w:rPr>
          <w:rFonts w:ascii="微软雅黑" w:eastAsia="微软雅黑" w:hAnsi="微软雅黑" w:cs="宋体"/>
          <w:kern w:val="0"/>
          <w:sz w:val="24"/>
          <w:szCs w:val="24"/>
        </w:rPr>
        <w:t>峰对应的位点进行 qPCR 分析。结</w:t>
      </w:r>
      <w:r w:rsidRPr="00C03604">
        <w:rPr>
          <w:rFonts w:ascii="微软雅黑" w:eastAsia="微软雅黑" w:hAnsi="微软雅黑" w:cs="宋体"/>
          <w:kern w:val="0"/>
          <w:sz w:val="24"/>
          <w:szCs w:val="24"/>
        </w:rPr>
        <w:lastRenderedPageBreak/>
        <w:t>果显示这些基因位点存在 pY88-H4 标记，而经 (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处理后，这些标记显著减少（图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"Fig4"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4D–F</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w:t>
      </w:r>
    </w:p>
    <w:p w14:paraId="31E2C4B3" w14:textId="77777777" w:rsidR="00C03604" w:rsidRPr="00C03604" w:rsidRDefault="00C03604" w:rsidP="00C03604">
      <w:pPr>
        <w:widowControl/>
        <w:spacing w:line="450" w:lineRule="atLeast"/>
        <w:outlineLvl w:val="2"/>
        <w:rPr>
          <w:rFonts w:ascii="微软雅黑" w:eastAsia="微软雅黑" w:hAnsi="微软雅黑" w:cs="宋体"/>
          <w:kern w:val="0"/>
          <w:sz w:val="32"/>
          <w:szCs w:val="32"/>
        </w:rPr>
      </w:pPr>
      <w:r w:rsidRPr="00C03604">
        <w:rPr>
          <w:rFonts w:ascii="微软雅黑" w:eastAsia="微软雅黑" w:hAnsi="微软雅黑" w:cs="宋体"/>
          <w:kern w:val="0"/>
          <w:sz w:val="32"/>
          <w:szCs w:val="32"/>
        </w:rPr>
        <w:t>( </w:t>
      </w:r>
      <w:r w:rsidRPr="00C03604">
        <w:rPr>
          <w:rFonts w:ascii="微软雅黑" w:eastAsia="微软雅黑" w:hAnsi="微软雅黑" w:cs="宋体"/>
          <w:i/>
          <w:iCs/>
          <w:kern w:val="0"/>
          <w:sz w:val="32"/>
          <w:szCs w:val="32"/>
        </w:rPr>
        <w:t>R</w:t>
      </w:r>
      <w:r w:rsidRPr="00C03604">
        <w:rPr>
          <w:rFonts w:ascii="微软雅黑" w:eastAsia="微软雅黑" w:hAnsi="微软雅黑" w:cs="宋体"/>
          <w:kern w:val="0"/>
          <w:sz w:val="32"/>
          <w:szCs w:val="32"/>
        </w:rPr>
        <w:t> )-9b 可诱导 G2/M 期细胞周期阻滞并克服 CDK4/6 抑制剂耐药性。</w:t>
      </w:r>
    </w:p>
    <w:p w14:paraId="63A0E5A9" w14:textId="77777777"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i/>
          <w:iCs/>
          <w:kern w:val="0"/>
          <w:sz w:val="24"/>
          <w:szCs w:val="24"/>
        </w:rPr>
        <w:t>CDC20</w:t>
      </w:r>
      <w:r w:rsidRPr="00C03604">
        <w:rPr>
          <w:rFonts w:ascii="微软雅黑" w:eastAsia="微软雅黑" w:hAnsi="微软雅黑" w:cs="宋体"/>
          <w:kern w:val="0"/>
          <w:sz w:val="24"/>
          <w:szCs w:val="24"/>
        </w:rPr>
        <w:t>是后期和染色体分离所必需的，而</w:t>
      </w:r>
      <w:r w:rsidRPr="00C03604">
        <w:rPr>
          <w:rFonts w:ascii="微软雅黑" w:eastAsia="微软雅黑" w:hAnsi="微软雅黑" w:cs="宋体"/>
          <w:i/>
          <w:iCs/>
          <w:kern w:val="0"/>
          <w:sz w:val="24"/>
          <w:szCs w:val="24"/>
        </w:rPr>
        <w:t>CCNB1</w:t>
      </w:r>
      <w:r w:rsidRPr="00C03604">
        <w:rPr>
          <w:rFonts w:ascii="微软雅黑" w:eastAsia="微软雅黑" w:hAnsi="微软雅黑" w:cs="宋体"/>
          <w:kern w:val="0"/>
          <w:sz w:val="24"/>
          <w:szCs w:val="24"/>
        </w:rPr>
        <w:t>和</w:t>
      </w:r>
      <w:r w:rsidRPr="00C03604">
        <w:rPr>
          <w:rFonts w:ascii="微软雅黑" w:eastAsia="微软雅黑" w:hAnsi="微软雅黑" w:cs="宋体"/>
          <w:i/>
          <w:iCs/>
          <w:kern w:val="0"/>
          <w:sz w:val="24"/>
          <w:szCs w:val="24"/>
        </w:rPr>
        <w:t>CCNB2</w:t>
      </w:r>
      <w:r w:rsidRPr="00C03604">
        <w:rPr>
          <w:rFonts w:ascii="微软雅黑" w:eastAsia="微软雅黑" w:hAnsi="微软雅黑" w:cs="宋体"/>
          <w:kern w:val="0"/>
          <w:sz w:val="24"/>
          <w:szCs w:val="24"/>
        </w:rPr>
        <w:t>是早期有丝分裂事件所必需的[ </w:t>
      </w:r>
      <w:hyperlink r:id="rId56" w:anchor="CR41" w:history="1">
        <w:r w:rsidRPr="00C03604">
          <w:rPr>
            <w:rFonts w:ascii="微软雅黑" w:eastAsia="微软雅黑" w:hAnsi="微软雅黑" w:cs="宋体"/>
            <w:kern w:val="0"/>
            <w:sz w:val="24"/>
            <w:szCs w:val="24"/>
            <w:u w:val="single"/>
          </w:rPr>
          <w:t>41-44 </w:t>
        </w:r>
      </w:hyperlink>
      <w:hyperlink r:id="rId57" w:anchor="CR44" w:history="1">
        <w:r w:rsidRPr="00C03604">
          <w:rPr>
            <w:rFonts w:ascii="微软雅黑" w:eastAsia="微软雅黑" w:hAnsi="微软雅黑" w:cs="宋体"/>
            <w:kern w:val="0"/>
            <w:sz w:val="24"/>
            <w:szCs w:val="24"/>
            <w:u w:val="single"/>
          </w:rPr>
          <w:t>]</w:t>
        </w:r>
      </w:hyperlink>
      <w:r w:rsidRPr="00C03604">
        <w:rPr>
          <w:rFonts w:ascii="微软雅黑" w:eastAsia="微软雅黑" w:hAnsi="微软雅黑" w:cs="宋体"/>
          <w:kern w:val="0"/>
          <w:sz w:val="24"/>
          <w:szCs w:val="24"/>
        </w:rPr>
        <w:t>，这表明这些基因表达受损可能导致细胞周期阻滞。我们采用细胞周期分析来评估ACK1抑制和细胞周期基因转录抑制的累积效应，结果显示，在乳腺癌细胞系MDA-MB-453、MCF7、HCC-1395、SKBR3和T47D中，(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处理导致G2/M期阻滞，但在正常乳腺细胞MCF10a中未观察到G2/M期阻滞（图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"Fig5"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5A-F</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 xml:space="preserve">）。此外，在 HCC-1395 和 MDA-MB-231 细胞中沉默 ACK1 也导致这些细胞发生 G2/M 期阻滞，验证了 ACK1 在细胞周期 G2/M </w:t>
      </w:r>
      <w:proofErr w:type="gramStart"/>
      <w:r w:rsidRPr="00C03604">
        <w:rPr>
          <w:rFonts w:ascii="微软雅黑" w:eastAsia="微软雅黑" w:hAnsi="微软雅黑" w:cs="宋体"/>
          <w:kern w:val="0"/>
          <w:sz w:val="24"/>
          <w:szCs w:val="24"/>
        </w:rPr>
        <w:t>期进展</w:t>
      </w:r>
      <w:proofErr w:type="gramEnd"/>
      <w:r w:rsidRPr="00C03604">
        <w:rPr>
          <w:rFonts w:ascii="微软雅黑" w:eastAsia="微软雅黑" w:hAnsi="微软雅黑" w:cs="宋体"/>
          <w:kern w:val="0"/>
          <w:sz w:val="24"/>
          <w:szCs w:val="24"/>
        </w:rPr>
        <w:t>中的作用（补充图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"MOESM1"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S6A、B</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w:t>
      </w:r>
    </w:p>
    <w:p w14:paraId="2E976E0B" w14:textId="77777777" w:rsidR="00C03604" w:rsidRPr="00C03604" w:rsidRDefault="00C03604" w:rsidP="00C03604">
      <w:pPr>
        <w:widowControl/>
        <w:spacing w:line="450" w:lineRule="atLeast"/>
        <w:outlineLvl w:val="3"/>
        <w:rPr>
          <w:rFonts w:ascii="微软雅黑" w:eastAsia="微软雅黑" w:hAnsi="微软雅黑" w:cs="宋体"/>
          <w:kern w:val="0"/>
          <w:sz w:val="30"/>
          <w:szCs w:val="30"/>
        </w:rPr>
      </w:pPr>
      <w:r w:rsidRPr="00C03604">
        <w:rPr>
          <w:rFonts w:ascii="微软雅黑" w:eastAsia="微软雅黑" w:hAnsi="微软雅黑" w:cs="宋体"/>
          <w:kern w:val="0"/>
          <w:sz w:val="30"/>
          <w:szCs w:val="30"/>
        </w:rPr>
        <w:t>图 5. ACK1 抑</w:t>
      </w:r>
      <w:r w:rsidRPr="00C03604">
        <w:rPr>
          <w:rFonts w:ascii="MS Gothic" w:eastAsia="MS Gothic" w:hAnsi="MS Gothic" w:cs="MS Gothic" w:hint="eastAsia"/>
          <w:kern w:val="0"/>
          <w:sz w:val="30"/>
          <w:szCs w:val="30"/>
        </w:rPr>
        <w:t>​​</w:t>
      </w:r>
      <w:r w:rsidRPr="00C03604">
        <w:rPr>
          <w:rFonts w:ascii="微软雅黑" w:eastAsia="微软雅黑" w:hAnsi="微软雅黑" w:cs="宋体"/>
          <w:kern w:val="0"/>
          <w:sz w:val="30"/>
          <w:szCs w:val="30"/>
        </w:rPr>
        <w:t>制导致乳腺癌细胞 G2/M 期细胞周期停滞。</w:t>
      </w:r>
    </w:p>
    <w:p w14:paraId="02657A2F" w14:textId="4911E875"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noProof/>
          <w:kern w:val="0"/>
          <w:sz w:val="24"/>
          <w:szCs w:val="24"/>
        </w:rPr>
        <w:lastRenderedPageBreak/>
        <w:drawing>
          <wp:inline distT="0" distB="0" distL="0" distR="0" wp14:anchorId="29D29931" wp14:editId="7B0D520E">
            <wp:extent cx="5274310" cy="6449060"/>
            <wp:effectExtent l="0" t="0" r="2540" b="8890"/>
            <wp:docPr id="3" name="图片 3" descr="图 5">
              <a:hlinkClick xmlns:a="http://schemas.openxmlformats.org/drawingml/2006/main" r:id="rId5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32e1456" descr="图 5">
                      <a:hlinkClick r:id="rId58" tgtFrame="&quot;_blank&quot;"/>
                    </pic:cNvPr>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274310" cy="6449060"/>
                    </a:xfrm>
                    <a:prstGeom prst="rect">
                      <a:avLst/>
                    </a:prstGeom>
                    <a:noFill/>
                    <a:ln>
                      <a:noFill/>
                    </a:ln>
                  </pic:spPr>
                </pic:pic>
              </a:graphicData>
            </a:graphic>
          </wp:inline>
        </w:drawing>
      </w:r>
    </w:p>
    <w:p w14:paraId="341B0D8F" w14:textId="77777777" w:rsidR="00C03604" w:rsidRPr="00C03604" w:rsidRDefault="00C03604" w:rsidP="00C03604">
      <w:pPr>
        <w:widowControl/>
        <w:rPr>
          <w:rFonts w:ascii="微软雅黑" w:eastAsia="微软雅黑" w:hAnsi="微软雅黑" w:cs="宋体"/>
          <w:kern w:val="0"/>
          <w:sz w:val="24"/>
          <w:szCs w:val="24"/>
        </w:rPr>
      </w:pPr>
      <w:r w:rsidRPr="00C03604">
        <w:rPr>
          <w:rFonts w:ascii="微软雅黑" w:eastAsia="微软雅黑" w:hAnsi="微软雅黑" w:cs="宋体"/>
          <w:b/>
          <w:bCs/>
          <w:kern w:val="0"/>
          <w:sz w:val="24"/>
          <w:szCs w:val="24"/>
        </w:rPr>
        <w:t>A</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F：</w:t>
      </w:r>
      <w:r w:rsidRPr="00C03604">
        <w:rPr>
          <w:rFonts w:ascii="微软雅黑" w:eastAsia="微软雅黑" w:hAnsi="微软雅黑" w:cs="宋体"/>
          <w:kern w:val="0"/>
          <w:sz w:val="24"/>
          <w:szCs w:val="24"/>
        </w:rPr>
        <w:t>乳腺癌细胞分别用载体或(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处理48小时；收集细胞，用碘化丙</w:t>
      </w:r>
      <w:proofErr w:type="gramStart"/>
      <w:r w:rsidRPr="00C03604">
        <w:rPr>
          <w:rFonts w:ascii="微软雅黑" w:eastAsia="微软雅黑" w:hAnsi="微软雅黑" w:cs="宋体"/>
          <w:kern w:val="0"/>
          <w:sz w:val="24"/>
          <w:szCs w:val="24"/>
        </w:rPr>
        <w:t>啶</w:t>
      </w:r>
      <w:proofErr w:type="gramEnd"/>
      <w:r w:rsidRPr="00C03604">
        <w:rPr>
          <w:rFonts w:ascii="微软雅黑" w:eastAsia="微软雅黑" w:hAnsi="微软雅黑" w:cs="宋体"/>
          <w:kern w:val="0"/>
          <w:sz w:val="24"/>
          <w:szCs w:val="24"/>
        </w:rPr>
        <w:t>染色进行细胞周期分析，随后进行流式细胞术分析。G </w:t>
      </w:r>
      <w:r w:rsidRPr="00C03604">
        <w:rPr>
          <w:rFonts w:ascii="微软雅黑" w:eastAsia="微软雅黑" w:hAnsi="微软雅黑" w:cs="宋体"/>
          <w:b/>
          <w:bCs/>
          <w:kern w:val="0"/>
          <w:sz w:val="24"/>
          <w:szCs w:val="24"/>
        </w:rPr>
        <w:t>：</w:t>
      </w:r>
      <w:r w:rsidRPr="00C03604">
        <w:rPr>
          <w:rFonts w:ascii="微软雅黑" w:eastAsia="微软雅黑" w:hAnsi="微软雅黑" w:cs="宋体"/>
          <w:kern w:val="0"/>
          <w:sz w:val="24"/>
          <w:szCs w:val="24"/>
        </w:rPr>
        <w:t> BT549细胞和</w:t>
      </w:r>
      <w:r w:rsidRPr="00C03604">
        <w:rPr>
          <w:rFonts w:ascii="微软雅黑" w:eastAsia="微软雅黑" w:hAnsi="微软雅黑" w:cs="宋体"/>
          <w:b/>
          <w:bCs/>
          <w:kern w:val="0"/>
          <w:sz w:val="24"/>
          <w:szCs w:val="24"/>
        </w:rPr>
        <w:t>H： MDA-MB-468细胞分别用不同浓度的帕博西尼或(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处理96小时，</w:t>
      </w:r>
      <w:proofErr w:type="gramStart"/>
      <w:r w:rsidRPr="00C03604">
        <w:rPr>
          <w:rFonts w:ascii="微软雅黑" w:eastAsia="微软雅黑" w:hAnsi="微软雅黑" w:cs="宋体"/>
          <w:kern w:val="0"/>
          <w:sz w:val="24"/>
          <w:szCs w:val="24"/>
        </w:rPr>
        <w:t>并用台盼蓝</w:t>
      </w:r>
      <w:proofErr w:type="gramEnd"/>
      <w:r w:rsidRPr="00C03604">
        <w:rPr>
          <w:rFonts w:ascii="微软雅黑" w:eastAsia="微软雅黑" w:hAnsi="微软雅黑" w:cs="宋体"/>
          <w:kern w:val="0"/>
          <w:sz w:val="24"/>
          <w:szCs w:val="24"/>
        </w:rPr>
        <w:t>排除法评估细胞活力。I </w:t>
      </w:r>
      <w:r w:rsidRPr="00C03604">
        <w:rPr>
          <w:rFonts w:ascii="微软雅黑" w:eastAsia="微软雅黑" w:hAnsi="微软雅黑" w:cs="宋体"/>
          <w:b/>
          <w:bCs/>
          <w:kern w:val="0"/>
          <w:sz w:val="24"/>
          <w:szCs w:val="24"/>
        </w:rPr>
        <w:t>：</w:t>
      </w:r>
      <w:r w:rsidRPr="00C03604">
        <w:rPr>
          <w:rFonts w:ascii="微软雅黑" w:eastAsia="微软雅黑" w:hAnsi="微软雅黑" w:cs="宋体"/>
          <w:kern w:val="0"/>
          <w:sz w:val="24"/>
          <w:szCs w:val="24"/>
        </w:rPr>
        <w:t> BT549细胞和</w:t>
      </w:r>
      <w:r w:rsidRPr="00C03604">
        <w:rPr>
          <w:rFonts w:ascii="微软雅黑" w:eastAsia="微软雅黑" w:hAnsi="微软雅黑" w:cs="宋体"/>
          <w:b/>
          <w:bCs/>
          <w:kern w:val="0"/>
          <w:sz w:val="24"/>
          <w:szCs w:val="24"/>
        </w:rPr>
        <w:t>J ：MDA-MB-468细胞分别用1 µM帕博西尼或(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处理48小时，并用碘化丙</w:t>
      </w:r>
      <w:proofErr w:type="gramStart"/>
      <w:r w:rsidRPr="00C03604">
        <w:rPr>
          <w:rFonts w:ascii="微软雅黑" w:eastAsia="微软雅黑" w:hAnsi="微软雅黑" w:cs="宋体"/>
          <w:kern w:val="0"/>
          <w:sz w:val="24"/>
          <w:szCs w:val="24"/>
        </w:rPr>
        <w:t>啶</w:t>
      </w:r>
      <w:proofErr w:type="gramEnd"/>
      <w:r w:rsidRPr="00C03604">
        <w:rPr>
          <w:rFonts w:ascii="微软雅黑" w:eastAsia="微软雅黑" w:hAnsi="微软雅黑" w:cs="宋体"/>
          <w:kern w:val="0"/>
          <w:sz w:val="24"/>
          <w:szCs w:val="24"/>
        </w:rPr>
        <w:t>染色进行细胞周期分析，随后进行流式细胞术分析。构建了对帕博西尼耐药的MDA-MB-231（</w:t>
      </w:r>
      <w:r w:rsidRPr="00C03604">
        <w:rPr>
          <w:rFonts w:ascii="微软雅黑" w:eastAsia="微软雅黑" w:hAnsi="微软雅黑" w:cs="宋体"/>
          <w:b/>
          <w:bCs/>
          <w:kern w:val="0"/>
          <w:sz w:val="24"/>
          <w:szCs w:val="24"/>
        </w:rPr>
        <w:t>K</w:t>
      </w:r>
      <w:r w:rsidRPr="00C03604">
        <w:rPr>
          <w:rFonts w:ascii="微软雅黑" w:eastAsia="微软雅黑" w:hAnsi="微软雅黑" w:cs="宋体"/>
          <w:kern w:val="0"/>
          <w:sz w:val="24"/>
          <w:szCs w:val="24"/>
        </w:rPr>
        <w:t>）</w:t>
      </w:r>
      <w:r w:rsidRPr="00C03604">
        <w:rPr>
          <w:rFonts w:ascii="微软雅黑" w:eastAsia="微软雅黑" w:hAnsi="微软雅黑" w:cs="宋体"/>
          <w:kern w:val="0"/>
          <w:sz w:val="24"/>
          <w:szCs w:val="24"/>
        </w:rPr>
        <w:lastRenderedPageBreak/>
        <w:t>和HCC-1395（</w:t>
      </w:r>
      <w:r w:rsidRPr="00C03604">
        <w:rPr>
          <w:rFonts w:ascii="微软雅黑" w:eastAsia="微软雅黑" w:hAnsi="微软雅黑" w:cs="宋体"/>
          <w:b/>
          <w:bCs/>
          <w:kern w:val="0"/>
          <w:sz w:val="24"/>
          <w:szCs w:val="24"/>
        </w:rPr>
        <w:t>L ）细胞系，并用不同药物浓度的帕博西尼或（ </w:t>
      </w:r>
      <w:r w:rsidRPr="00C03604">
        <w:rPr>
          <w:rFonts w:ascii="微软雅黑" w:eastAsia="微软雅黑" w:hAnsi="微软雅黑" w:cs="宋体"/>
          <w:b/>
          <w:bCs/>
          <w:i/>
          <w:iCs/>
          <w:kern w:val="0"/>
          <w:sz w:val="24"/>
          <w:szCs w:val="24"/>
        </w:rPr>
        <w:t>R</w:t>
      </w:r>
      <w:r w:rsidRPr="00C03604">
        <w:rPr>
          <w:rFonts w:ascii="微软雅黑" w:eastAsia="微软雅黑" w:hAnsi="微软雅黑" w:cs="宋体"/>
          <w:kern w:val="0"/>
          <w:sz w:val="24"/>
          <w:szCs w:val="24"/>
        </w:rPr>
        <w:t>）</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处理96小时，然后使用</w:t>
      </w:r>
      <w:proofErr w:type="gramStart"/>
      <w:r w:rsidRPr="00C03604">
        <w:rPr>
          <w:rFonts w:ascii="微软雅黑" w:eastAsia="微软雅黑" w:hAnsi="微软雅黑" w:cs="宋体"/>
          <w:kern w:val="0"/>
          <w:sz w:val="24"/>
          <w:szCs w:val="24"/>
        </w:rPr>
        <w:t>台盼蓝</w:t>
      </w:r>
      <w:proofErr w:type="gramEnd"/>
      <w:r w:rsidRPr="00C03604">
        <w:rPr>
          <w:rFonts w:ascii="微软雅黑" w:eastAsia="微软雅黑" w:hAnsi="微软雅黑" w:cs="宋体"/>
          <w:kern w:val="0"/>
          <w:sz w:val="24"/>
          <w:szCs w:val="24"/>
        </w:rPr>
        <w:t>排除法评估细胞活力。</w:t>
      </w:r>
    </w:p>
    <w:p w14:paraId="0CE3FB8A" w14:textId="77777777"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kern w:val="0"/>
          <w:sz w:val="24"/>
          <w:szCs w:val="24"/>
        </w:rPr>
        <w:t>G1期中期由CDK4和CDK6调控，这两种丝氨酸/苏氨酸激酶的催化活性受D型细胞周期蛋白（D1、D2和D3）的调节[ </w:t>
      </w:r>
      <w:hyperlink r:id="rId60" w:anchor="CR45" w:history="1">
        <w:r w:rsidRPr="00C03604">
          <w:rPr>
            <w:rFonts w:ascii="微软雅黑" w:eastAsia="微软雅黑" w:hAnsi="微软雅黑" w:cs="宋体"/>
            <w:kern w:val="0"/>
            <w:sz w:val="24"/>
            <w:szCs w:val="24"/>
            <w:u w:val="single"/>
          </w:rPr>
          <w:t>45</w:t>
        </w:r>
      </w:hyperlink>
      <w:r w:rsidRPr="00C03604">
        <w:rPr>
          <w:rFonts w:ascii="微软雅黑" w:eastAsia="微软雅黑" w:hAnsi="微软雅黑" w:cs="宋体"/>
          <w:kern w:val="0"/>
          <w:sz w:val="24"/>
          <w:szCs w:val="24"/>
        </w:rPr>
        <w:t> ]。细胞周期蛋白D-CDK4/6复合物选择性地磷酸化并灭活视网膜母细胞瘤相关蛋白（</w:t>
      </w:r>
      <w:proofErr w:type="spellStart"/>
      <w:r w:rsidRPr="00C03604">
        <w:rPr>
          <w:rFonts w:ascii="微软雅黑" w:eastAsia="微软雅黑" w:hAnsi="微软雅黑" w:cs="宋体"/>
          <w:kern w:val="0"/>
          <w:sz w:val="24"/>
          <w:szCs w:val="24"/>
        </w:rPr>
        <w:t>pRb</w:t>
      </w:r>
      <w:proofErr w:type="spellEnd"/>
      <w:r w:rsidRPr="00C03604">
        <w:rPr>
          <w:rFonts w:ascii="微软雅黑" w:eastAsia="微软雅黑" w:hAnsi="微软雅黑" w:cs="宋体"/>
          <w:kern w:val="0"/>
          <w:sz w:val="24"/>
          <w:szCs w:val="24"/>
        </w:rPr>
        <w:t>）的成员，例如p110（由</w:t>
      </w:r>
      <w:r w:rsidRPr="00C03604">
        <w:rPr>
          <w:rFonts w:ascii="微软雅黑" w:eastAsia="微软雅黑" w:hAnsi="微软雅黑" w:cs="宋体"/>
          <w:i/>
          <w:iCs/>
          <w:kern w:val="0"/>
          <w:sz w:val="24"/>
          <w:szCs w:val="24"/>
        </w:rPr>
        <w:t>RB1</w:t>
      </w:r>
      <w:r w:rsidRPr="00C03604">
        <w:rPr>
          <w:rFonts w:ascii="微软雅黑" w:eastAsia="微软雅黑" w:hAnsi="微软雅黑" w:cs="宋体"/>
          <w:kern w:val="0"/>
          <w:sz w:val="24"/>
          <w:szCs w:val="24"/>
        </w:rPr>
        <w:t>编码）、相关的口袋蛋白p107（由</w:t>
      </w:r>
      <w:r w:rsidRPr="00C03604">
        <w:rPr>
          <w:rFonts w:ascii="微软雅黑" w:eastAsia="微软雅黑" w:hAnsi="微软雅黑" w:cs="宋体"/>
          <w:i/>
          <w:iCs/>
          <w:kern w:val="0"/>
          <w:sz w:val="24"/>
          <w:szCs w:val="24"/>
        </w:rPr>
        <w:t>RBL1</w:t>
      </w:r>
      <w:r w:rsidRPr="00C03604">
        <w:rPr>
          <w:rFonts w:ascii="微软雅黑" w:eastAsia="微软雅黑" w:hAnsi="微软雅黑" w:cs="宋体"/>
          <w:kern w:val="0"/>
          <w:sz w:val="24"/>
          <w:szCs w:val="24"/>
        </w:rPr>
        <w:t>编码）和p130（由</w:t>
      </w:r>
      <w:r w:rsidRPr="00C03604">
        <w:rPr>
          <w:rFonts w:ascii="微软雅黑" w:eastAsia="微软雅黑" w:hAnsi="微软雅黑" w:cs="宋体"/>
          <w:i/>
          <w:iCs/>
          <w:kern w:val="0"/>
          <w:sz w:val="24"/>
          <w:szCs w:val="24"/>
        </w:rPr>
        <w:t>RB2</w:t>
      </w:r>
      <w:r w:rsidRPr="00C03604">
        <w:rPr>
          <w:rFonts w:ascii="微软雅黑" w:eastAsia="微软雅黑" w:hAnsi="微软雅黑" w:cs="宋体"/>
          <w:kern w:val="0"/>
          <w:sz w:val="24"/>
          <w:szCs w:val="24"/>
        </w:rPr>
        <w:t>编码）[ </w:t>
      </w:r>
      <w:hyperlink r:id="rId61" w:anchor="CR46" w:history="1">
        <w:r w:rsidRPr="00C03604">
          <w:rPr>
            <w:rFonts w:ascii="微软雅黑" w:eastAsia="微软雅黑" w:hAnsi="微软雅黑" w:cs="宋体"/>
            <w:kern w:val="0"/>
            <w:sz w:val="24"/>
            <w:szCs w:val="24"/>
            <w:u w:val="single"/>
          </w:rPr>
          <w:t>46</w:t>
        </w:r>
      </w:hyperlink>
      <w:r w:rsidRPr="00C03604">
        <w:rPr>
          <w:rFonts w:ascii="微软雅黑" w:eastAsia="微软雅黑" w:hAnsi="微软雅黑" w:cs="宋体"/>
          <w:kern w:val="0"/>
          <w:sz w:val="24"/>
          <w:szCs w:val="24"/>
        </w:rPr>
        <w:t> ]。CDK抑制剂抑制下游CDK4/6</w:t>
      </w:r>
      <w:proofErr w:type="gramStart"/>
      <w:r w:rsidRPr="00C03604">
        <w:rPr>
          <w:rFonts w:ascii="微软雅黑" w:eastAsia="微软雅黑" w:hAnsi="微软雅黑" w:cs="宋体"/>
          <w:kern w:val="0"/>
          <w:sz w:val="24"/>
          <w:szCs w:val="24"/>
        </w:rPr>
        <w:t>介</w:t>
      </w:r>
      <w:proofErr w:type="gramEnd"/>
      <w:r w:rsidRPr="00C03604">
        <w:rPr>
          <w:rFonts w:ascii="微软雅黑" w:eastAsia="微软雅黑" w:hAnsi="微软雅黑" w:cs="宋体"/>
          <w:kern w:val="0"/>
          <w:sz w:val="24"/>
          <w:szCs w:val="24"/>
        </w:rPr>
        <w:t>导的Rb磷酸化，虽然这种磷酸化能有效阻滞细胞周期，但需要功能性Rb蛋白[ </w:t>
      </w:r>
      <w:hyperlink r:id="rId62" w:anchor="CR47" w:history="1">
        <w:r w:rsidRPr="00C03604">
          <w:rPr>
            <w:rFonts w:ascii="微软雅黑" w:eastAsia="微软雅黑" w:hAnsi="微软雅黑" w:cs="宋体"/>
            <w:kern w:val="0"/>
            <w:sz w:val="24"/>
            <w:szCs w:val="24"/>
            <w:u w:val="single"/>
          </w:rPr>
          <w:t>47</w:t>
        </w:r>
      </w:hyperlink>
      <w:r w:rsidRPr="00C03604">
        <w:rPr>
          <w:rFonts w:ascii="微软雅黑" w:eastAsia="微软雅黑" w:hAnsi="微软雅黑" w:cs="宋体"/>
          <w:kern w:val="0"/>
          <w:sz w:val="24"/>
          <w:szCs w:val="24"/>
        </w:rPr>
        <w:t> ]。由于细胞周期分析表明 ACK1 抑</w:t>
      </w:r>
      <w:r w:rsidRPr="00C03604">
        <w:rPr>
          <w:rFonts w:ascii="MS Gothic" w:eastAsia="MS Gothic" w:hAnsi="MS Gothic" w:cs="MS Gothic" w:hint="eastAsia"/>
          <w:kern w:val="0"/>
          <w:sz w:val="24"/>
          <w:szCs w:val="24"/>
        </w:rPr>
        <w:t>​​</w:t>
      </w:r>
      <w:r w:rsidRPr="00C03604">
        <w:rPr>
          <w:rFonts w:ascii="微软雅黑" w:eastAsia="微软雅黑" w:hAnsi="微软雅黑" w:cs="宋体"/>
          <w:kern w:val="0"/>
          <w:sz w:val="24"/>
          <w:szCs w:val="24"/>
        </w:rPr>
        <w:t>制会导致 G2/M 期阻滞，我们推测，能够克服 G1 期阻滞的 CDK4/6 抑制剂（帕博西尼、瑞博西尼和阿贝西利）耐药细胞，现在可以通过 (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治疗使其对 (R)-9b 敏感，从而导致 G2/M 期阻滞。为了验证这一可能性，我们检测了本身缺乏 Rb 基因（MDA-MB-468 和 BT549）因而对帕博西尼耐药的细胞系的增殖情况。结果发现，BT549 和 MDA-MB-468 细胞系均对 (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治疗敏感（图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"Fig5"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5G、H</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），表明对 CDK4/6 抑制剂耐药的乳腺癌细胞可以通过 ACK1 抑</w:t>
      </w:r>
      <w:r w:rsidRPr="00C03604">
        <w:rPr>
          <w:rFonts w:ascii="MS Gothic" w:eastAsia="MS Gothic" w:hAnsi="MS Gothic" w:cs="MS Gothic" w:hint="eastAsia"/>
          <w:kern w:val="0"/>
          <w:sz w:val="24"/>
          <w:szCs w:val="24"/>
        </w:rPr>
        <w:t>​​</w:t>
      </w:r>
      <w:r w:rsidRPr="00C03604">
        <w:rPr>
          <w:rFonts w:ascii="微软雅黑" w:eastAsia="微软雅黑" w:hAnsi="微软雅黑" w:cs="宋体"/>
          <w:kern w:val="0"/>
          <w:sz w:val="24"/>
          <w:szCs w:val="24"/>
        </w:rPr>
        <w:t>制而变得敏感。 (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也成功诱导了对帕博西尼耐药的 BT549 和 MDA-MB-468 细胞发生 G2/M 期细胞周期阻滞（图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"Fig5"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5I、J ）。为了进一步验证，我们用帕博西尼处理对帕博西尼敏感的 MDA-MB-231 和 HCC-1395 细胞，并筛选出耐药细胞系。这些帕博西尼耐药细胞系对 ( </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敏感，并表现出增殖能力下降（图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"Fig5"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5K、L</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w:t>
      </w:r>
    </w:p>
    <w:p w14:paraId="21358423" w14:textId="77777777" w:rsidR="00C03604" w:rsidRPr="00C03604" w:rsidRDefault="00C03604" w:rsidP="00C03604">
      <w:pPr>
        <w:widowControl/>
        <w:spacing w:line="450" w:lineRule="atLeast"/>
        <w:outlineLvl w:val="2"/>
        <w:rPr>
          <w:rFonts w:ascii="微软雅黑" w:eastAsia="微软雅黑" w:hAnsi="微软雅黑" w:cs="宋体"/>
          <w:kern w:val="0"/>
          <w:sz w:val="32"/>
          <w:szCs w:val="32"/>
        </w:rPr>
      </w:pPr>
      <w:r w:rsidRPr="00C03604">
        <w:rPr>
          <w:rFonts w:ascii="微软雅黑" w:eastAsia="微软雅黑" w:hAnsi="微软雅黑" w:cs="宋体"/>
          <w:kern w:val="0"/>
          <w:sz w:val="32"/>
          <w:szCs w:val="32"/>
        </w:rPr>
        <w:t>ACK1抑制剂( </w:t>
      </w:r>
      <w:r w:rsidRPr="00C03604">
        <w:rPr>
          <w:rFonts w:ascii="微软雅黑" w:eastAsia="微软雅黑" w:hAnsi="微软雅黑" w:cs="宋体"/>
          <w:i/>
          <w:iCs/>
          <w:kern w:val="0"/>
          <w:sz w:val="32"/>
          <w:szCs w:val="32"/>
        </w:rPr>
        <w:t>R</w:t>
      </w:r>
      <w:r w:rsidRPr="00C03604">
        <w:rPr>
          <w:rFonts w:ascii="微软雅黑" w:eastAsia="微软雅黑" w:hAnsi="微软雅黑" w:cs="宋体"/>
          <w:kern w:val="0"/>
          <w:sz w:val="32"/>
          <w:szCs w:val="32"/>
        </w:rPr>
        <w:t> )-9b抑制乳腺肿瘤生长</w:t>
      </w:r>
    </w:p>
    <w:p w14:paraId="1D1AE7E1" w14:textId="77777777"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kern w:val="0"/>
          <w:sz w:val="24"/>
          <w:szCs w:val="24"/>
        </w:rPr>
        <w:lastRenderedPageBreak/>
        <w:t>为了评估 ACK1 抑</w:t>
      </w:r>
      <w:r w:rsidRPr="00C03604">
        <w:rPr>
          <w:rFonts w:ascii="MS Gothic" w:eastAsia="MS Gothic" w:hAnsi="MS Gothic" w:cs="MS Gothic" w:hint="eastAsia"/>
          <w:kern w:val="0"/>
          <w:sz w:val="24"/>
          <w:szCs w:val="24"/>
        </w:rPr>
        <w:t>​​</w:t>
      </w:r>
      <w:r w:rsidRPr="00C03604">
        <w:rPr>
          <w:rFonts w:ascii="微软雅黑" w:eastAsia="微软雅黑" w:hAnsi="微软雅黑" w:cs="宋体"/>
          <w:kern w:val="0"/>
          <w:sz w:val="24"/>
          <w:szCs w:val="24"/>
        </w:rPr>
        <w:t>制在三阴性乳腺癌 (TNBC) 中的体内作用，我们在雌性 SCID 小鼠的乳腺脂肪垫中建立了 Cal-148 异种移植瘤模型。待肿瘤可触及后，小鼠皮下注射 24 mg/kg 的 (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，持续 4 周，并测量肿瘤体积。达到实验终点后，处死小鼠，取出肿瘤组织，称重并拍照。(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显著抑制了 TNBC 异种移植瘤的生长（图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"Fig6"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6A-C</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 xml:space="preserve">）。提取肿瘤组织 RNA，进行 </w:t>
      </w:r>
      <w:proofErr w:type="spellStart"/>
      <w:r w:rsidRPr="00C03604">
        <w:rPr>
          <w:rFonts w:ascii="微软雅黑" w:eastAsia="微软雅黑" w:hAnsi="微软雅黑" w:cs="宋体"/>
          <w:kern w:val="0"/>
          <w:sz w:val="24"/>
          <w:szCs w:val="24"/>
        </w:rPr>
        <w:t>qRT</w:t>
      </w:r>
      <w:proofErr w:type="spellEnd"/>
      <w:r w:rsidRPr="00C03604">
        <w:rPr>
          <w:rFonts w:ascii="微软雅黑" w:eastAsia="微软雅黑" w:hAnsi="微软雅黑" w:cs="宋体"/>
          <w:kern w:val="0"/>
          <w:sz w:val="24"/>
          <w:szCs w:val="24"/>
        </w:rPr>
        <w:t>-PCR 分析。结果显示，(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-9b处理后</w:t>
      </w:r>
      <w:r w:rsidRPr="00C03604">
        <w:rPr>
          <w:rFonts w:ascii="微软雅黑" w:eastAsia="微软雅黑" w:hAnsi="微软雅黑" w:cs="宋体"/>
          <w:i/>
          <w:iCs/>
          <w:kern w:val="0"/>
          <w:sz w:val="24"/>
          <w:szCs w:val="24"/>
        </w:rPr>
        <w:t>CCNB1、CCNB2</w:t>
      </w:r>
      <w:r w:rsidRPr="00C03604">
        <w:rPr>
          <w:rFonts w:ascii="微软雅黑" w:eastAsia="微软雅黑" w:hAnsi="微软雅黑" w:cs="宋体"/>
          <w:kern w:val="0"/>
          <w:sz w:val="24"/>
          <w:szCs w:val="24"/>
        </w:rPr>
        <w:t>和</w:t>
      </w:r>
      <w:r w:rsidRPr="00C03604">
        <w:rPr>
          <w:rFonts w:ascii="微软雅黑" w:eastAsia="微软雅黑" w:hAnsi="微软雅黑" w:cs="宋体"/>
          <w:i/>
          <w:iCs/>
          <w:kern w:val="0"/>
          <w:sz w:val="24"/>
          <w:szCs w:val="24"/>
        </w:rPr>
        <w:t>CDC20 的</w:t>
      </w:r>
      <w:r w:rsidRPr="00C03604">
        <w:rPr>
          <w:rFonts w:ascii="微软雅黑" w:eastAsia="微软雅黑" w:hAnsi="微软雅黑" w:cs="宋体"/>
          <w:kern w:val="0"/>
          <w:sz w:val="24"/>
          <w:szCs w:val="24"/>
        </w:rPr>
        <w:t>mRNA 水平显著降低（图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"Fig6"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6D</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w:t>
      </w:r>
    </w:p>
    <w:p w14:paraId="2C3E6490" w14:textId="77777777" w:rsidR="00C03604" w:rsidRPr="00C03604" w:rsidRDefault="00C03604" w:rsidP="00C03604">
      <w:pPr>
        <w:widowControl/>
        <w:spacing w:line="450" w:lineRule="atLeast"/>
        <w:outlineLvl w:val="3"/>
        <w:rPr>
          <w:rFonts w:ascii="微软雅黑" w:eastAsia="微软雅黑" w:hAnsi="微软雅黑" w:cs="宋体"/>
          <w:kern w:val="0"/>
          <w:sz w:val="30"/>
          <w:szCs w:val="30"/>
        </w:rPr>
      </w:pPr>
      <w:r w:rsidRPr="00C03604">
        <w:rPr>
          <w:rFonts w:ascii="微软雅黑" w:eastAsia="微软雅黑" w:hAnsi="微软雅黑" w:cs="宋体"/>
          <w:kern w:val="0"/>
          <w:sz w:val="30"/>
          <w:szCs w:val="30"/>
        </w:rPr>
        <w:t>图 6. ( </w:t>
      </w:r>
      <w:r w:rsidRPr="00C03604">
        <w:rPr>
          <w:rFonts w:ascii="微软雅黑" w:eastAsia="微软雅黑" w:hAnsi="微软雅黑" w:cs="宋体"/>
          <w:i/>
          <w:iCs/>
          <w:kern w:val="0"/>
          <w:sz w:val="30"/>
          <w:szCs w:val="30"/>
        </w:rPr>
        <w:t>R</w:t>
      </w:r>
      <w:r w:rsidRPr="00C03604">
        <w:rPr>
          <w:rFonts w:ascii="微软雅黑" w:eastAsia="微软雅黑" w:hAnsi="微软雅黑" w:cs="宋体"/>
          <w:kern w:val="0"/>
          <w:sz w:val="30"/>
          <w:szCs w:val="30"/>
        </w:rPr>
        <w:t> )-9b 在体内抑制乳腺癌异种移植瘤的生长。</w:t>
      </w:r>
    </w:p>
    <w:p w14:paraId="70A4C4E2" w14:textId="750E65E2"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noProof/>
          <w:kern w:val="0"/>
          <w:sz w:val="24"/>
          <w:szCs w:val="24"/>
        </w:rPr>
        <w:lastRenderedPageBreak/>
        <w:drawing>
          <wp:inline distT="0" distB="0" distL="0" distR="0" wp14:anchorId="0F4BC897" wp14:editId="27D016FB">
            <wp:extent cx="5274310" cy="7245985"/>
            <wp:effectExtent l="0" t="0" r="2540" b="0"/>
            <wp:docPr id="2" name="图片 2" descr="图 6">
              <a:hlinkClick xmlns:a="http://schemas.openxmlformats.org/drawingml/2006/main" r:id="rId6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32e1676" descr="图 6">
                      <a:hlinkClick r:id="rId63" tgtFrame="&quot;_blank&quot;"/>
                    </pic:cNvPr>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274310" cy="7245985"/>
                    </a:xfrm>
                    <a:prstGeom prst="rect">
                      <a:avLst/>
                    </a:prstGeom>
                    <a:noFill/>
                    <a:ln>
                      <a:noFill/>
                    </a:ln>
                  </pic:spPr>
                </pic:pic>
              </a:graphicData>
            </a:graphic>
          </wp:inline>
        </w:drawing>
      </w:r>
    </w:p>
    <w:p w14:paraId="41AAE19E" w14:textId="77777777" w:rsidR="00C03604" w:rsidRPr="00C03604" w:rsidRDefault="00C03604" w:rsidP="00C03604">
      <w:pPr>
        <w:widowControl/>
        <w:rPr>
          <w:rFonts w:ascii="微软雅黑" w:eastAsia="微软雅黑" w:hAnsi="微软雅黑" w:cs="宋体"/>
          <w:kern w:val="0"/>
          <w:sz w:val="24"/>
          <w:szCs w:val="24"/>
        </w:rPr>
      </w:pPr>
      <w:r w:rsidRPr="00C03604">
        <w:rPr>
          <w:rFonts w:ascii="微软雅黑" w:eastAsia="微软雅黑" w:hAnsi="微软雅黑" w:cs="宋体"/>
          <w:b/>
          <w:bCs/>
          <w:kern w:val="0"/>
          <w:sz w:val="24"/>
          <w:szCs w:val="24"/>
        </w:rPr>
        <w:t>将2</w:t>
      </w:r>
      <w:r w:rsidRPr="00C03604">
        <w:rPr>
          <w:rFonts w:ascii="微软雅黑" w:eastAsia="微软雅黑" w:hAnsi="微软雅黑" w:cs="宋体"/>
          <w:kern w:val="0"/>
          <w:sz w:val="24"/>
          <w:szCs w:val="24"/>
        </w:rPr>
        <w:t> × 10</w:t>
      </w:r>
      <w:r w:rsidRPr="00C03604">
        <w:rPr>
          <w:rFonts w:ascii="MS Gothic" w:eastAsia="MS Gothic" w:hAnsi="MS Gothic" w:cs="MS Gothic" w:hint="eastAsia"/>
          <w:kern w:val="0"/>
          <w:sz w:val="24"/>
          <w:szCs w:val="24"/>
        </w:rPr>
        <w:t>⁶</w:t>
      </w:r>
      <w:proofErr w:type="gramStart"/>
      <w:r w:rsidRPr="00C03604">
        <w:rPr>
          <w:rFonts w:ascii="微软雅黑" w:eastAsia="微软雅黑" w:hAnsi="微软雅黑" w:cs="宋体"/>
          <w:kern w:val="0"/>
          <w:sz w:val="24"/>
          <w:szCs w:val="24"/>
          <w:vertAlign w:val="superscript"/>
        </w:rPr>
        <w:t>个</w:t>
      </w:r>
      <w:proofErr w:type="gramEnd"/>
      <w:r w:rsidRPr="00C03604">
        <w:rPr>
          <w:rFonts w:ascii="微软雅黑" w:eastAsia="微软雅黑" w:hAnsi="微软雅黑" w:cs="宋体"/>
          <w:kern w:val="0"/>
          <w:sz w:val="24"/>
          <w:szCs w:val="24"/>
        </w:rPr>
        <w:t>Cal-148 细胞注射到雌性 SCID 小鼠的第四腹股沟乳腺脂肪垫中。待肿瘤可触及后，小鼠分别皮下注射赋形剂（</w:t>
      </w:r>
      <w:proofErr w:type="spellStart"/>
      <w:r w:rsidRPr="00C03604">
        <w:rPr>
          <w:rFonts w:ascii="微软雅黑" w:eastAsia="微软雅黑" w:hAnsi="微软雅黑" w:cs="宋体"/>
          <w:kern w:val="0"/>
          <w:sz w:val="24"/>
          <w:szCs w:val="24"/>
        </w:rPr>
        <w:t>Captisol</w:t>
      </w:r>
      <w:proofErr w:type="spellEnd"/>
      <w:r w:rsidRPr="00C03604">
        <w:rPr>
          <w:rFonts w:ascii="微软雅黑" w:eastAsia="微软雅黑" w:hAnsi="微软雅黑" w:cs="宋体"/>
          <w:kern w:val="0"/>
          <w:sz w:val="24"/>
          <w:szCs w:val="24"/>
        </w:rPr>
        <w:t>；</w:t>
      </w:r>
      <w:r w:rsidRPr="00C03604">
        <w:rPr>
          <w:rFonts w:ascii="微软雅黑" w:eastAsia="微软雅黑" w:hAnsi="微软雅黑" w:cs="宋体"/>
          <w:i/>
          <w:iCs/>
          <w:kern w:val="0"/>
          <w:sz w:val="24"/>
          <w:szCs w:val="24"/>
        </w:rPr>
        <w:t>n</w:t>
      </w:r>
      <w:r w:rsidRPr="00C03604">
        <w:rPr>
          <w:rFonts w:ascii="微软雅黑" w:eastAsia="微软雅黑" w:hAnsi="微软雅黑" w:cs="宋体"/>
          <w:kern w:val="0"/>
          <w:sz w:val="24"/>
          <w:szCs w:val="24"/>
        </w:rPr>
        <w:t> </w:t>
      </w:r>
      <w:r w:rsidRPr="00C03604">
        <w:rPr>
          <w:rFonts w:ascii="MS Gothic" w:eastAsia="MS Gothic" w:hAnsi="MS Gothic" w:cs="MS Gothic" w:hint="eastAsia"/>
          <w:kern w:val="0"/>
          <w:sz w:val="24"/>
          <w:szCs w:val="24"/>
        </w:rPr>
        <w:t> </w:t>
      </w:r>
      <w:r w:rsidRPr="00C03604">
        <w:rPr>
          <w:rFonts w:ascii="微软雅黑" w:eastAsia="微软雅黑" w:hAnsi="微软雅黑" w:cs="宋体"/>
          <w:kern w:val="0"/>
          <w:sz w:val="24"/>
          <w:szCs w:val="24"/>
        </w:rPr>
        <w:t>= 8）或 (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 （ 24 mg/kg；</w:t>
      </w:r>
      <w:r w:rsidRPr="00C03604">
        <w:rPr>
          <w:rFonts w:ascii="微软雅黑" w:eastAsia="微软雅黑" w:hAnsi="微软雅黑" w:cs="宋体"/>
          <w:i/>
          <w:iCs/>
          <w:kern w:val="0"/>
          <w:sz w:val="24"/>
          <w:szCs w:val="24"/>
        </w:rPr>
        <w:t>n</w:t>
      </w:r>
      <w:r w:rsidRPr="00C03604">
        <w:rPr>
          <w:rFonts w:ascii="微软雅黑" w:eastAsia="微软雅黑" w:hAnsi="微软雅黑" w:cs="宋体"/>
          <w:kern w:val="0"/>
          <w:sz w:val="24"/>
          <w:szCs w:val="24"/>
        </w:rPr>
        <w:t> </w:t>
      </w:r>
      <w:r w:rsidRPr="00C03604">
        <w:rPr>
          <w:rFonts w:ascii="MS Gothic" w:eastAsia="MS Gothic" w:hAnsi="MS Gothic" w:cs="MS Gothic" w:hint="eastAsia"/>
          <w:kern w:val="0"/>
          <w:sz w:val="24"/>
          <w:szCs w:val="24"/>
        </w:rPr>
        <w:t> </w:t>
      </w:r>
      <w:r w:rsidRPr="00C03604">
        <w:rPr>
          <w:rFonts w:ascii="微软雅黑" w:eastAsia="微软雅黑" w:hAnsi="微软雅黑" w:cs="宋体"/>
          <w:kern w:val="0"/>
          <w:sz w:val="24"/>
          <w:szCs w:val="24"/>
        </w:rPr>
        <w:t>= 8），每周 5 次，持续 4 周。每周测量两次肿瘤体积。B </w:t>
      </w:r>
      <w:r w:rsidRPr="00C03604">
        <w:rPr>
          <w:rFonts w:ascii="微软雅黑" w:eastAsia="微软雅黑" w:hAnsi="微软雅黑" w:cs="宋体"/>
          <w:b/>
          <w:bCs/>
          <w:kern w:val="0"/>
          <w:sz w:val="24"/>
          <w:szCs w:val="24"/>
        </w:rPr>
        <w:t>、C：</w:t>
      </w:r>
      <w:r w:rsidRPr="00C03604">
        <w:rPr>
          <w:rFonts w:ascii="微软雅黑" w:eastAsia="微软雅黑" w:hAnsi="微软雅黑" w:cs="宋体"/>
          <w:kern w:val="0"/>
          <w:sz w:val="24"/>
          <w:szCs w:val="24"/>
        </w:rPr>
        <w:t xml:space="preserve">取出肿瘤并拍照，记录重量。D ：提取肿瘤 RNA，然后进行 </w:t>
      </w:r>
      <w:proofErr w:type="spellStart"/>
      <w:r w:rsidRPr="00C03604">
        <w:rPr>
          <w:rFonts w:ascii="微软雅黑" w:eastAsia="微软雅黑" w:hAnsi="微软雅黑" w:cs="宋体"/>
          <w:kern w:val="0"/>
          <w:sz w:val="24"/>
          <w:szCs w:val="24"/>
        </w:rPr>
        <w:t>qRT</w:t>
      </w:r>
      <w:proofErr w:type="spellEnd"/>
      <w:r w:rsidRPr="00C03604">
        <w:rPr>
          <w:rFonts w:ascii="微软雅黑" w:eastAsia="微软雅黑" w:hAnsi="微软雅黑" w:cs="宋体"/>
          <w:kern w:val="0"/>
          <w:sz w:val="24"/>
          <w:szCs w:val="24"/>
        </w:rPr>
        <w:t xml:space="preserve">-PCR </w:t>
      </w:r>
      <w:r w:rsidRPr="00C03604">
        <w:rPr>
          <w:rFonts w:ascii="微软雅黑" w:eastAsia="微软雅黑" w:hAnsi="微软雅黑" w:cs="宋体"/>
          <w:kern w:val="0"/>
          <w:sz w:val="24"/>
          <w:szCs w:val="24"/>
        </w:rPr>
        <w:lastRenderedPageBreak/>
        <w:t>检测 CCNB1、CCNB2 和 CDC20 mRNA 的表达水平</w:t>
      </w:r>
      <w:r w:rsidRPr="00C03604">
        <w:rPr>
          <w:rFonts w:ascii="微软雅黑" w:eastAsia="微软雅黑" w:hAnsi="微软雅黑" w:cs="宋体"/>
          <w:b/>
          <w:bCs/>
          <w:kern w:val="0"/>
          <w:sz w:val="24"/>
          <w:szCs w:val="24"/>
        </w:rPr>
        <w:t>（</w:t>
      </w:r>
      <w:r w:rsidRPr="00C03604">
        <w:rPr>
          <w:rFonts w:ascii="微软雅黑" w:eastAsia="微软雅黑" w:hAnsi="微软雅黑" w:cs="宋体"/>
          <w:i/>
          <w:iCs/>
          <w:kern w:val="0"/>
          <w:sz w:val="24"/>
          <w:szCs w:val="24"/>
        </w:rPr>
        <w:t>每组</w:t>
      </w:r>
      <w:r w:rsidRPr="00C03604">
        <w:rPr>
          <w:rFonts w:ascii="微软雅黑" w:eastAsia="微软雅黑" w:hAnsi="微软雅黑" w:cs="宋体"/>
          <w:kern w:val="0"/>
          <w:sz w:val="24"/>
          <w:szCs w:val="24"/>
        </w:rPr>
        <w:t>n </w:t>
      </w:r>
      <w:r w:rsidRPr="00C03604">
        <w:rPr>
          <w:rFonts w:ascii="微软雅黑" w:eastAsia="微软雅黑" w:hAnsi="微软雅黑" w:cs="宋体"/>
          <w:i/>
          <w:iCs/>
          <w:kern w:val="0"/>
          <w:sz w:val="24"/>
          <w:szCs w:val="24"/>
        </w:rPr>
        <w:t>=</w:t>
      </w:r>
      <w:r w:rsidRPr="00C03604">
        <w:rPr>
          <w:rFonts w:ascii="微软雅黑" w:eastAsia="微软雅黑" w:hAnsi="微软雅黑" w:cs="宋体"/>
          <w:kern w:val="0"/>
          <w:sz w:val="24"/>
          <w:szCs w:val="24"/>
        </w:rPr>
        <w:t> 3 </w:t>
      </w:r>
      <w:r w:rsidRPr="00C03604">
        <w:rPr>
          <w:rFonts w:ascii="MS Gothic" w:eastAsia="MS Gothic" w:hAnsi="MS Gothic" w:cs="MS Gothic" w:hint="eastAsia"/>
          <w:kern w:val="0"/>
          <w:sz w:val="24"/>
          <w:szCs w:val="24"/>
        </w:rPr>
        <w:t> </w:t>
      </w:r>
      <w:r w:rsidRPr="00C03604">
        <w:rPr>
          <w:rFonts w:ascii="微软雅黑" w:eastAsia="微软雅黑" w:hAnsi="微软雅黑" w:cs="宋体"/>
          <w:kern w:val="0"/>
          <w:sz w:val="24"/>
          <w:szCs w:val="24"/>
        </w:rPr>
        <w:t>）。E</w:t>
      </w:r>
      <w:r w:rsidRPr="00C03604">
        <w:rPr>
          <w:rFonts w:ascii="微软雅黑" w:eastAsia="微软雅黑" w:hAnsi="微软雅黑" w:cs="宋体"/>
          <w:i/>
          <w:iCs/>
          <w:kern w:val="0"/>
          <w:sz w:val="24"/>
          <w:szCs w:val="24"/>
        </w:rPr>
        <w:t>和</w:t>
      </w:r>
      <w:r w:rsidRPr="00C03604">
        <w:rPr>
          <w:rFonts w:ascii="微软雅黑" w:eastAsia="微软雅黑" w:hAnsi="微软雅黑" w:cs="宋体"/>
          <w:kern w:val="0"/>
          <w:sz w:val="24"/>
          <w:szCs w:val="24"/>
        </w:rPr>
        <w:t>F </w:t>
      </w:r>
      <w:r w:rsidRPr="00C03604">
        <w:rPr>
          <w:rFonts w:ascii="微软雅黑" w:eastAsia="微软雅黑" w:hAnsi="微软雅黑" w:cs="宋体"/>
          <w:b/>
          <w:bCs/>
          <w:kern w:val="0"/>
          <w:sz w:val="24"/>
          <w:szCs w:val="24"/>
        </w:rPr>
        <w:t>：将</w:t>
      </w:r>
      <w:r w:rsidRPr="00C03604">
        <w:rPr>
          <w:rFonts w:ascii="微软雅黑" w:eastAsia="微软雅黑" w:hAnsi="微软雅黑" w:cs="宋体"/>
          <w:kern w:val="0"/>
          <w:sz w:val="24"/>
          <w:szCs w:val="24"/>
        </w:rPr>
        <w:t>2 × 10</w:t>
      </w:r>
      <w:r w:rsidRPr="00C03604">
        <w:rPr>
          <w:rFonts w:ascii="MS Gothic" w:eastAsia="MS Gothic" w:hAnsi="MS Gothic" w:cs="MS Gothic" w:hint="eastAsia"/>
          <w:kern w:val="0"/>
          <w:sz w:val="24"/>
          <w:szCs w:val="24"/>
        </w:rPr>
        <w:t>⁶</w:t>
      </w:r>
      <w:proofErr w:type="gramStart"/>
      <w:r w:rsidRPr="00C03604">
        <w:rPr>
          <w:rFonts w:ascii="微软雅黑" w:eastAsia="微软雅黑" w:hAnsi="微软雅黑" w:cs="宋体"/>
          <w:kern w:val="0"/>
          <w:sz w:val="24"/>
          <w:szCs w:val="24"/>
          <w:vertAlign w:val="superscript"/>
        </w:rPr>
        <w:t>个</w:t>
      </w:r>
      <w:proofErr w:type="gramEnd"/>
      <w:r w:rsidRPr="00C03604">
        <w:rPr>
          <w:rFonts w:ascii="微软雅黑" w:eastAsia="微软雅黑" w:hAnsi="微软雅黑" w:cs="宋体"/>
          <w:kern w:val="0"/>
          <w:sz w:val="24"/>
          <w:szCs w:val="24"/>
        </w:rPr>
        <w:t>MCF7 细胞注射到雌性 SCID 小鼠的第四腹股沟乳腺脂肪垫中，并持续补充雌激素。当肿瘤可触及后，小鼠分别接受赋形剂（</w:t>
      </w:r>
      <w:proofErr w:type="spellStart"/>
      <w:r w:rsidRPr="00C03604">
        <w:rPr>
          <w:rFonts w:ascii="微软雅黑" w:eastAsia="微软雅黑" w:hAnsi="微软雅黑" w:cs="宋体"/>
          <w:kern w:val="0"/>
          <w:sz w:val="24"/>
          <w:szCs w:val="24"/>
        </w:rPr>
        <w:t>Captisol</w:t>
      </w:r>
      <w:proofErr w:type="spellEnd"/>
      <w:r w:rsidRPr="00C03604">
        <w:rPr>
          <w:rFonts w:ascii="微软雅黑" w:eastAsia="微软雅黑" w:hAnsi="微软雅黑" w:cs="宋体"/>
          <w:kern w:val="0"/>
          <w:sz w:val="24"/>
          <w:szCs w:val="24"/>
        </w:rPr>
        <w:t>；</w:t>
      </w:r>
      <w:r w:rsidRPr="00C03604">
        <w:rPr>
          <w:rFonts w:ascii="微软雅黑" w:eastAsia="微软雅黑" w:hAnsi="微软雅黑" w:cs="宋体"/>
          <w:i/>
          <w:iCs/>
          <w:kern w:val="0"/>
          <w:sz w:val="24"/>
          <w:szCs w:val="24"/>
        </w:rPr>
        <w:t>n</w:t>
      </w:r>
      <w:r w:rsidRPr="00C03604">
        <w:rPr>
          <w:rFonts w:ascii="微软雅黑" w:eastAsia="微软雅黑" w:hAnsi="微软雅黑" w:cs="宋体"/>
          <w:kern w:val="0"/>
          <w:sz w:val="24"/>
          <w:szCs w:val="24"/>
        </w:rPr>
        <w:t> </w:t>
      </w:r>
      <w:r w:rsidRPr="00C03604">
        <w:rPr>
          <w:rFonts w:ascii="MS Gothic" w:eastAsia="MS Gothic" w:hAnsi="MS Gothic" w:cs="MS Gothic" w:hint="eastAsia"/>
          <w:kern w:val="0"/>
          <w:sz w:val="24"/>
          <w:szCs w:val="24"/>
        </w:rPr>
        <w:t> </w:t>
      </w:r>
      <w:r w:rsidRPr="00C03604">
        <w:rPr>
          <w:rFonts w:ascii="微软雅黑" w:eastAsia="微软雅黑" w:hAnsi="微软雅黑" w:cs="宋体"/>
          <w:kern w:val="0"/>
          <w:sz w:val="24"/>
          <w:szCs w:val="24"/>
        </w:rPr>
        <w:t>= 7）、皮下注射(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 （24 mg/kg； </w:t>
      </w:r>
      <w:r w:rsidRPr="00C03604">
        <w:rPr>
          <w:rFonts w:ascii="微软雅黑" w:eastAsia="微软雅黑" w:hAnsi="微软雅黑" w:cs="宋体"/>
          <w:i/>
          <w:iCs/>
          <w:kern w:val="0"/>
          <w:sz w:val="24"/>
          <w:szCs w:val="24"/>
        </w:rPr>
        <w:t>n</w:t>
      </w:r>
      <w:r w:rsidRPr="00C03604">
        <w:rPr>
          <w:rFonts w:ascii="微软雅黑" w:eastAsia="微软雅黑" w:hAnsi="微软雅黑" w:cs="宋体"/>
          <w:kern w:val="0"/>
          <w:sz w:val="24"/>
          <w:szCs w:val="24"/>
        </w:rPr>
        <w:t> </w:t>
      </w:r>
      <w:r w:rsidRPr="00C03604">
        <w:rPr>
          <w:rFonts w:ascii="MS Gothic" w:eastAsia="MS Gothic" w:hAnsi="MS Gothic" w:cs="MS Gothic" w:hint="eastAsia"/>
          <w:kern w:val="0"/>
          <w:sz w:val="24"/>
          <w:szCs w:val="24"/>
        </w:rPr>
        <w:t> </w:t>
      </w:r>
      <w:r w:rsidRPr="00C03604">
        <w:rPr>
          <w:rFonts w:ascii="微软雅黑" w:eastAsia="微软雅黑" w:hAnsi="微软雅黑" w:cs="宋体"/>
          <w:kern w:val="0"/>
          <w:sz w:val="24"/>
          <w:szCs w:val="24"/>
        </w:rPr>
        <w:t>= 8）或口服(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（36 mg/kg；</w:t>
      </w:r>
      <w:r w:rsidRPr="00C03604">
        <w:rPr>
          <w:rFonts w:ascii="微软雅黑" w:eastAsia="微软雅黑" w:hAnsi="微软雅黑" w:cs="宋体"/>
          <w:i/>
          <w:iCs/>
          <w:kern w:val="0"/>
          <w:sz w:val="24"/>
          <w:szCs w:val="24"/>
        </w:rPr>
        <w:t>n</w:t>
      </w:r>
      <w:r w:rsidRPr="00C03604">
        <w:rPr>
          <w:rFonts w:ascii="微软雅黑" w:eastAsia="微软雅黑" w:hAnsi="微软雅黑" w:cs="宋体"/>
          <w:kern w:val="0"/>
          <w:sz w:val="24"/>
          <w:szCs w:val="24"/>
        </w:rPr>
        <w:t> </w:t>
      </w:r>
      <w:r w:rsidRPr="00C03604">
        <w:rPr>
          <w:rFonts w:ascii="MS Gothic" w:eastAsia="MS Gothic" w:hAnsi="MS Gothic" w:cs="MS Gothic" w:hint="eastAsia"/>
          <w:kern w:val="0"/>
          <w:sz w:val="24"/>
          <w:szCs w:val="24"/>
        </w:rPr>
        <w:t> </w:t>
      </w:r>
      <w:r w:rsidRPr="00C03604">
        <w:rPr>
          <w:rFonts w:ascii="微软雅黑" w:eastAsia="微软雅黑" w:hAnsi="微软雅黑" w:cs="宋体"/>
          <w:kern w:val="0"/>
          <w:sz w:val="24"/>
          <w:szCs w:val="24"/>
        </w:rPr>
        <w:t>= 8）治疗，每周5次，持续4周。取出肿瘤，记录其重量并拍照。G </w:t>
      </w:r>
      <w:r w:rsidRPr="00C03604">
        <w:rPr>
          <w:rFonts w:ascii="微软雅黑" w:eastAsia="微软雅黑" w:hAnsi="微软雅黑" w:cs="宋体"/>
          <w:b/>
          <w:bCs/>
          <w:kern w:val="0"/>
          <w:sz w:val="24"/>
          <w:szCs w:val="24"/>
        </w:rPr>
        <w:t>.</w:t>
      </w:r>
      <w:r w:rsidRPr="00C03604">
        <w:rPr>
          <w:rFonts w:ascii="微软雅黑" w:eastAsia="微软雅黑" w:hAnsi="微软雅黑" w:cs="宋体"/>
          <w:kern w:val="0"/>
          <w:sz w:val="24"/>
          <w:szCs w:val="24"/>
        </w:rPr>
        <w:t>使用pACK1、CCNB1、CCNB2、CDC20和Actin抗体对肿瘤裂解液进行免疫印迹分析（每种</w:t>
      </w:r>
      <w:r w:rsidRPr="00C03604">
        <w:rPr>
          <w:rFonts w:ascii="微软雅黑" w:eastAsia="微软雅黑" w:hAnsi="微软雅黑" w:cs="宋体"/>
          <w:i/>
          <w:iCs/>
          <w:kern w:val="0"/>
          <w:sz w:val="24"/>
          <w:szCs w:val="24"/>
        </w:rPr>
        <w:t>n</w:t>
      </w:r>
      <w:r w:rsidRPr="00C03604">
        <w:rPr>
          <w:rFonts w:ascii="微软雅黑" w:eastAsia="微软雅黑" w:hAnsi="微软雅黑" w:cs="宋体"/>
          <w:kern w:val="0"/>
          <w:sz w:val="24"/>
          <w:szCs w:val="24"/>
        </w:rPr>
        <w:t> </w:t>
      </w:r>
      <w:r w:rsidRPr="00C03604">
        <w:rPr>
          <w:rFonts w:ascii="MS Gothic" w:eastAsia="MS Gothic" w:hAnsi="MS Gothic" w:cs="MS Gothic" w:hint="eastAsia"/>
          <w:kern w:val="0"/>
          <w:sz w:val="24"/>
          <w:szCs w:val="24"/>
        </w:rPr>
        <w:t> </w:t>
      </w:r>
      <w:r w:rsidRPr="00C03604">
        <w:rPr>
          <w:rFonts w:ascii="微软雅黑" w:eastAsia="微软雅黑" w:hAnsi="微软雅黑" w:cs="宋体"/>
          <w:kern w:val="0"/>
          <w:sz w:val="24"/>
          <w:szCs w:val="24"/>
        </w:rPr>
        <w:t>= 3）。H.</w:t>
      </w:r>
      <w:r w:rsidRPr="00C03604">
        <w:rPr>
          <w:rFonts w:ascii="微软雅黑" w:eastAsia="微软雅黑" w:hAnsi="微软雅黑" w:cs="宋体"/>
          <w:b/>
          <w:bCs/>
          <w:kern w:val="0"/>
          <w:sz w:val="24"/>
          <w:szCs w:val="24"/>
        </w:rPr>
        <w:t>从</w:t>
      </w:r>
      <w:r w:rsidRPr="00C03604">
        <w:rPr>
          <w:rFonts w:ascii="微软雅黑" w:eastAsia="微软雅黑" w:hAnsi="微软雅黑" w:cs="宋体"/>
          <w:kern w:val="0"/>
          <w:sz w:val="24"/>
          <w:szCs w:val="24"/>
        </w:rPr>
        <w:t>肿瘤中提取RNA，然后进行</w:t>
      </w:r>
      <w:proofErr w:type="spellStart"/>
      <w:r w:rsidRPr="00C03604">
        <w:rPr>
          <w:rFonts w:ascii="微软雅黑" w:eastAsia="微软雅黑" w:hAnsi="微软雅黑" w:cs="宋体"/>
          <w:kern w:val="0"/>
          <w:sz w:val="24"/>
          <w:szCs w:val="24"/>
        </w:rPr>
        <w:t>qRT</w:t>
      </w:r>
      <w:proofErr w:type="spellEnd"/>
      <w:r w:rsidRPr="00C03604">
        <w:rPr>
          <w:rFonts w:ascii="微软雅黑" w:eastAsia="微软雅黑" w:hAnsi="微软雅黑" w:cs="宋体"/>
          <w:kern w:val="0"/>
          <w:sz w:val="24"/>
          <w:szCs w:val="24"/>
        </w:rPr>
        <w:t>-PCR以测定</w:t>
      </w:r>
      <w:r w:rsidRPr="00C03604">
        <w:rPr>
          <w:rFonts w:ascii="微软雅黑" w:eastAsia="微软雅黑" w:hAnsi="微软雅黑" w:cs="宋体"/>
          <w:i/>
          <w:iCs/>
          <w:kern w:val="0"/>
          <w:sz w:val="24"/>
          <w:szCs w:val="24"/>
        </w:rPr>
        <w:t>CCNB1、CCNB2</w:t>
      </w:r>
      <w:r w:rsidRPr="00C03604">
        <w:rPr>
          <w:rFonts w:ascii="微软雅黑" w:eastAsia="微软雅黑" w:hAnsi="微软雅黑" w:cs="宋体"/>
          <w:kern w:val="0"/>
          <w:sz w:val="24"/>
          <w:szCs w:val="24"/>
        </w:rPr>
        <w:t>和</w:t>
      </w:r>
      <w:r w:rsidRPr="00C03604">
        <w:rPr>
          <w:rFonts w:ascii="微软雅黑" w:eastAsia="微软雅黑" w:hAnsi="微软雅黑" w:cs="宋体"/>
          <w:i/>
          <w:iCs/>
          <w:kern w:val="0"/>
          <w:sz w:val="24"/>
          <w:szCs w:val="24"/>
        </w:rPr>
        <w:t>CDC20</w:t>
      </w:r>
      <w:r w:rsidRPr="00C03604">
        <w:rPr>
          <w:rFonts w:ascii="微软雅黑" w:eastAsia="微软雅黑" w:hAnsi="微软雅黑" w:cs="宋体"/>
          <w:kern w:val="0"/>
          <w:sz w:val="24"/>
          <w:szCs w:val="24"/>
        </w:rPr>
        <w:t> mRNA的水平（每种</w:t>
      </w:r>
      <w:r w:rsidRPr="00C03604">
        <w:rPr>
          <w:rFonts w:ascii="微软雅黑" w:eastAsia="微软雅黑" w:hAnsi="微软雅黑" w:cs="宋体"/>
          <w:i/>
          <w:iCs/>
          <w:kern w:val="0"/>
          <w:sz w:val="24"/>
          <w:szCs w:val="24"/>
        </w:rPr>
        <w:t>n</w:t>
      </w:r>
      <w:r w:rsidRPr="00C03604">
        <w:rPr>
          <w:rFonts w:ascii="微软雅黑" w:eastAsia="微软雅黑" w:hAnsi="微软雅黑" w:cs="宋体"/>
          <w:kern w:val="0"/>
          <w:sz w:val="24"/>
          <w:szCs w:val="24"/>
        </w:rPr>
        <w:t> </w:t>
      </w:r>
      <w:r w:rsidRPr="00C03604">
        <w:rPr>
          <w:rFonts w:ascii="MS Gothic" w:eastAsia="MS Gothic" w:hAnsi="MS Gothic" w:cs="MS Gothic" w:hint="eastAsia"/>
          <w:kern w:val="0"/>
          <w:sz w:val="24"/>
          <w:szCs w:val="24"/>
        </w:rPr>
        <w:t> </w:t>
      </w:r>
      <w:r w:rsidRPr="00C03604">
        <w:rPr>
          <w:rFonts w:ascii="微软雅黑" w:eastAsia="微软雅黑" w:hAnsi="微软雅黑" w:cs="宋体"/>
          <w:kern w:val="0"/>
          <w:sz w:val="24"/>
          <w:szCs w:val="24"/>
        </w:rPr>
        <w:t>= 3）。数据以平均值±标准误（SEM）表示。* </w:t>
      </w:r>
      <w:r w:rsidRPr="00C03604">
        <w:rPr>
          <w:rFonts w:ascii="微软雅黑" w:eastAsia="微软雅黑" w:hAnsi="微软雅黑" w:cs="宋体"/>
          <w:i/>
          <w:iCs/>
          <w:kern w:val="0"/>
          <w:sz w:val="24"/>
          <w:szCs w:val="24"/>
        </w:rPr>
        <w:t>p</w:t>
      </w:r>
      <w:r w:rsidRPr="00C03604">
        <w:rPr>
          <w:rFonts w:ascii="微软雅黑" w:eastAsia="微软雅黑" w:hAnsi="微软雅黑" w:cs="宋体"/>
          <w:kern w:val="0"/>
          <w:sz w:val="24"/>
          <w:szCs w:val="24"/>
        </w:rPr>
        <w:t> </w:t>
      </w:r>
      <w:r w:rsidRPr="00C03604">
        <w:rPr>
          <w:rFonts w:ascii="MS Gothic" w:eastAsia="MS Gothic" w:hAnsi="MS Gothic" w:cs="MS Gothic" w:hint="eastAsia"/>
          <w:kern w:val="0"/>
          <w:sz w:val="24"/>
          <w:szCs w:val="24"/>
        </w:rPr>
        <w:t> </w:t>
      </w:r>
      <w:r w:rsidRPr="00C03604">
        <w:rPr>
          <w:rFonts w:ascii="微软雅黑" w:eastAsia="微软雅黑" w:hAnsi="微软雅黑" w:cs="宋体"/>
          <w:kern w:val="0"/>
          <w:sz w:val="24"/>
          <w:szCs w:val="24"/>
        </w:rPr>
        <w:t>&lt; 0.05；** </w:t>
      </w:r>
      <w:r w:rsidRPr="00C03604">
        <w:rPr>
          <w:rFonts w:ascii="微软雅黑" w:eastAsia="微软雅黑" w:hAnsi="微软雅黑" w:cs="宋体"/>
          <w:i/>
          <w:iCs/>
          <w:kern w:val="0"/>
          <w:sz w:val="24"/>
          <w:szCs w:val="24"/>
        </w:rPr>
        <w:t>p</w:t>
      </w:r>
      <w:r w:rsidRPr="00C03604">
        <w:rPr>
          <w:rFonts w:ascii="微软雅黑" w:eastAsia="微软雅黑" w:hAnsi="微软雅黑" w:cs="宋体"/>
          <w:kern w:val="0"/>
          <w:sz w:val="24"/>
          <w:szCs w:val="24"/>
        </w:rPr>
        <w:t> </w:t>
      </w:r>
      <w:r w:rsidRPr="00C03604">
        <w:rPr>
          <w:rFonts w:ascii="MS Gothic" w:eastAsia="MS Gothic" w:hAnsi="MS Gothic" w:cs="MS Gothic" w:hint="eastAsia"/>
          <w:kern w:val="0"/>
          <w:sz w:val="24"/>
          <w:szCs w:val="24"/>
        </w:rPr>
        <w:t> </w:t>
      </w:r>
      <w:r w:rsidRPr="00C03604">
        <w:rPr>
          <w:rFonts w:ascii="微软雅黑" w:eastAsia="微软雅黑" w:hAnsi="微软雅黑" w:cs="宋体"/>
          <w:kern w:val="0"/>
          <w:sz w:val="24"/>
          <w:szCs w:val="24"/>
        </w:rPr>
        <w:t>&lt; 0.01；*** </w:t>
      </w:r>
      <w:r w:rsidRPr="00C03604">
        <w:rPr>
          <w:rFonts w:ascii="微软雅黑" w:eastAsia="微软雅黑" w:hAnsi="微软雅黑" w:cs="宋体"/>
          <w:i/>
          <w:iCs/>
          <w:kern w:val="0"/>
          <w:sz w:val="24"/>
          <w:szCs w:val="24"/>
        </w:rPr>
        <w:t>p</w:t>
      </w:r>
      <w:r w:rsidRPr="00C03604">
        <w:rPr>
          <w:rFonts w:ascii="微软雅黑" w:eastAsia="微软雅黑" w:hAnsi="微软雅黑" w:cs="宋体"/>
          <w:kern w:val="0"/>
          <w:sz w:val="24"/>
          <w:szCs w:val="24"/>
        </w:rPr>
        <w:t> </w:t>
      </w:r>
      <w:r w:rsidRPr="00C03604">
        <w:rPr>
          <w:rFonts w:ascii="MS Gothic" w:eastAsia="MS Gothic" w:hAnsi="MS Gothic" w:cs="MS Gothic" w:hint="eastAsia"/>
          <w:kern w:val="0"/>
          <w:sz w:val="24"/>
          <w:szCs w:val="24"/>
        </w:rPr>
        <w:t> </w:t>
      </w:r>
      <w:r w:rsidRPr="00C03604">
        <w:rPr>
          <w:rFonts w:ascii="微软雅黑" w:eastAsia="微软雅黑" w:hAnsi="微软雅黑" w:cs="宋体"/>
          <w:kern w:val="0"/>
          <w:sz w:val="24"/>
          <w:szCs w:val="24"/>
        </w:rPr>
        <w:t>&lt; 0.001。对于（</w:t>
      </w:r>
      <w:r w:rsidRPr="00C03604">
        <w:rPr>
          <w:rFonts w:ascii="微软雅黑" w:eastAsia="微软雅黑" w:hAnsi="微软雅黑" w:cs="宋体"/>
          <w:b/>
          <w:bCs/>
          <w:kern w:val="0"/>
          <w:sz w:val="24"/>
          <w:szCs w:val="24"/>
        </w:rPr>
        <w:t>C</w:t>
      </w:r>
      <w:r w:rsidRPr="00C03604">
        <w:rPr>
          <w:rFonts w:ascii="微软雅黑" w:eastAsia="微软雅黑" w:hAnsi="微软雅黑" w:cs="宋体"/>
          <w:kern w:val="0"/>
          <w:sz w:val="24"/>
          <w:szCs w:val="24"/>
        </w:rPr>
        <w:t>）和（</w:t>
      </w:r>
      <w:r w:rsidRPr="00C03604">
        <w:rPr>
          <w:rFonts w:ascii="微软雅黑" w:eastAsia="微软雅黑" w:hAnsi="微软雅黑" w:cs="宋体"/>
          <w:b/>
          <w:bCs/>
          <w:kern w:val="0"/>
          <w:sz w:val="24"/>
          <w:szCs w:val="24"/>
        </w:rPr>
        <w:t>D</w:t>
      </w:r>
      <w:r w:rsidRPr="00C03604">
        <w:rPr>
          <w:rFonts w:ascii="微软雅黑" w:eastAsia="微软雅黑" w:hAnsi="微软雅黑" w:cs="宋体"/>
          <w:kern w:val="0"/>
          <w:sz w:val="24"/>
          <w:szCs w:val="24"/>
        </w:rPr>
        <w:t>），采用非配对双尾学生</w:t>
      </w:r>
      <w:r w:rsidRPr="00C03604">
        <w:rPr>
          <w:rFonts w:ascii="微软雅黑" w:eastAsia="微软雅黑" w:hAnsi="微软雅黑" w:cs="宋体"/>
          <w:i/>
          <w:iCs/>
          <w:kern w:val="0"/>
          <w:sz w:val="24"/>
          <w:szCs w:val="24"/>
        </w:rPr>
        <w:t>t</w:t>
      </w:r>
      <w:r w:rsidRPr="00C03604">
        <w:rPr>
          <w:rFonts w:ascii="微软雅黑" w:eastAsia="微软雅黑" w:hAnsi="微软雅黑" w:cs="宋体"/>
          <w:kern w:val="0"/>
          <w:sz w:val="24"/>
          <w:szCs w:val="24"/>
        </w:rPr>
        <w:t>检验；对于（</w:t>
      </w:r>
      <w:r w:rsidRPr="00C03604">
        <w:rPr>
          <w:rFonts w:ascii="微软雅黑" w:eastAsia="微软雅黑" w:hAnsi="微软雅黑" w:cs="宋体"/>
          <w:b/>
          <w:bCs/>
          <w:kern w:val="0"/>
          <w:sz w:val="24"/>
          <w:szCs w:val="24"/>
        </w:rPr>
        <w:t>E</w:t>
      </w:r>
      <w:r w:rsidRPr="00C03604">
        <w:rPr>
          <w:rFonts w:ascii="微软雅黑" w:eastAsia="微软雅黑" w:hAnsi="微软雅黑" w:cs="宋体"/>
          <w:kern w:val="0"/>
          <w:sz w:val="24"/>
          <w:szCs w:val="24"/>
        </w:rPr>
        <w:t>）和（</w:t>
      </w:r>
      <w:r w:rsidRPr="00C03604">
        <w:rPr>
          <w:rFonts w:ascii="微软雅黑" w:eastAsia="微软雅黑" w:hAnsi="微软雅黑" w:cs="宋体"/>
          <w:b/>
          <w:bCs/>
          <w:kern w:val="0"/>
          <w:sz w:val="24"/>
          <w:szCs w:val="24"/>
        </w:rPr>
        <w:t>H</w:t>
      </w:r>
      <w:r w:rsidRPr="00C03604">
        <w:rPr>
          <w:rFonts w:ascii="微软雅黑" w:eastAsia="微软雅黑" w:hAnsi="微软雅黑" w:cs="宋体"/>
          <w:kern w:val="0"/>
          <w:sz w:val="24"/>
          <w:szCs w:val="24"/>
        </w:rPr>
        <w:t>），采用单因素方差分析。</w:t>
      </w:r>
    </w:p>
    <w:p w14:paraId="539E3DA5" w14:textId="77777777"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kern w:val="0"/>
          <w:sz w:val="24"/>
          <w:szCs w:val="24"/>
        </w:rPr>
        <w:t>此外，我们还评估了(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-9b在ER </w:t>
      </w:r>
      <w:r w:rsidRPr="00C03604">
        <w:rPr>
          <w:rFonts w:ascii="微软雅黑" w:eastAsia="微软雅黑" w:hAnsi="微软雅黑" w:cs="宋体"/>
          <w:kern w:val="0"/>
          <w:sz w:val="24"/>
          <w:szCs w:val="24"/>
          <w:vertAlign w:val="superscript"/>
        </w:rPr>
        <w:t>+</w:t>
      </w:r>
      <w:r w:rsidRPr="00C03604">
        <w:rPr>
          <w:rFonts w:ascii="微软雅黑" w:eastAsia="微软雅黑" w:hAnsi="微软雅黑" w:cs="宋体"/>
          <w:kern w:val="0"/>
          <w:sz w:val="24"/>
          <w:szCs w:val="24"/>
        </w:rPr>
        <w:t> /PR </w:t>
      </w:r>
      <w:r w:rsidRPr="00C03604">
        <w:rPr>
          <w:rFonts w:ascii="微软雅黑" w:eastAsia="微软雅黑" w:hAnsi="微软雅黑" w:cs="宋体"/>
          <w:kern w:val="0"/>
          <w:sz w:val="24"/>
          <w:szCs w:val="24"/>
          <w:vertAlign w:val="superscript"/>
        </w:rPr>
        <w:t>+</w:t>
      </w:r>
      <w:r w:rsidRPr="00C03604">
        <w:rPr>
          <w:rFonts w:ascii="微软雅黑" w:eastAsia="微软雅黑" w:hAnsi="微软雅黑" w:cs="宋体"/>
          <w:kern w:val="0"/>
          <w:sz w:val="24"/>
          <w:szCs w:val="24"/>
        </w:rPr>
        <w:t>乳腺癌异种移植瘤中的作用。简而言之，我们将MCF7细胞植入雌性SCID小鼠的乳腺脂肪垫中。待肿瘤可触及后，小鼠分别接受(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的口服（36 mg/kg）或皮下注射（24 mg/kg）治疗，持续4周。(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治疗组小鼠的肿瘤生长显著受到抑制（图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"Fig6"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6E、F</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）。为了确定肿瘤生长抑制是否是由于细胞周期基因表达受损所致，我们对异种移植瘤裂解液进行了免疫印迹分析；结果显示，(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治疗导致CDC20、CCNB1和CCNB2蛋白水平显著降低（图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"Fig6"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6G</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）。此外，我们还从异种移植瘤中提取RNA，并检测了</w:t>
      </w:r>
      <w:r w:rsidRPr="00C03604">
        <w:rPr>
          <w:rFonts w:ascii="微软雅黑" w:eastAsia="微软雅黑" w:hAnsi="微软雅黑" w:cs="宋体"/>
          <w:i/>
          <w:iCs/>
          <w:kern w:val="0"/>
          <w:sz w:val="24"/>
          <w:szCs w:val="24"/>
        </w:rPr>
        <w:t>CDC20、CCNB1</w:t>
      </w:r>
      <w:r w:rsidRPr="00C03604">
        <w:rPr>
          <w:rFonts w:ascii="微软雅黑" w:eastAsia="微软雅黑" w:hAnsi="微软雅黑" w:cs="宋体"/>
          <w:kern w:val="0"/>
          <w:sz w:val="24"/>
          <w:szCs w:val="24"/>
        </w:rPr>
        <w:t>和</w:t>
      </w:r>
      <w:r w:rsidRPr="00C03604">
        <w:rPr>
          <w:rFonts w:ascii="微软雅黑" w:eastAsia="微软雅黑" w:hAnsi="微软雅黑" w:cs="宋体"/>
          <w:i/>
          <w:iCs/>
          <w:kern w:val="0"/>
          <w:sz w:val="24"/>
          <w:szCs w:val="24"/>
        </w:rPr>
        <w:t>CCNB2的</w:t>
      </w:r>
      <w:r w:rsidRPr="00C03604">
        <w:rPr>
          <w:rFonts w:ascii="微软雅黑" w:eastAsia="微软雅黑" w:hAnsi="微软雅黑" w:cs="宋体"/>
          <w:kern w:val="0"/>
          <w:sz w:val="24"/>
          <w:szCs w:val="24"/>
        </w:rPr>
        <w:t>mRNA水平。与载体对照组小鼠相比，(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-9b处理的乳腺异种移植瘤中</w:t>
      </w:r>
      <w:r w:rsidRPr="00C03604">
        <w:rPr>
          <w:rFonts w:ascii="微软雅黑" w:eastAsia="微软雅黑" w:hAnsi="微软雅黑" w:cs="宋体"/>
          <w:i/>
          <w:iCs/>
          <w:kern w:val="0"/>
          <w:sz w:val="24"/>
          <w:szCs w:val="24"/>
        </w:rPr>
        <w:t>CDC20、CCNB1</w:t>
      </w:r>
      <w:r w:rsidRPr="00C03604">
        <w:rPr>
          <w:rFonts w:ascii="微软雅黑" w:eastAsia="微软雅黑" w:hAnsi="微软雅黑" w:cs="宋体"/>
          <w:kern w:val="0"/>
          <w:sz w:val="24"/>
          <w:szCs w:val="24"/>
        </w:rPr>
        <w:t>和</w:t>
      </w:r>
      <w:r w:rsidRPr="00C03604">
        <w:rPr>
          <w:rFonts w:ascii="微软雅黑" w:eastAsia="微软雅黑" w:hAnsi="微软雅黑" w:cs="宋体"/>
          <w:i/>
          <w:iCs/>
          <w:kern w:val="0"/>
          <w:sz w:val="24"/>
          <w:szCs w:val="24"/>
        </w:rPr>
        <w:t>CCNB2</w:t>
      </w:r>
      <w:r w:rsidRPr="00C03604">
        <w:rPr>
          <w:rFonts w:ascii="微软雅黑" w:eastAsia="微软雅黑" w:hAnsi="微软雅黑" w:cs="宋体"/>
          <w:kern w:val="0"/>
          <w:sz w:val="24"/>
          <w:szCs w:val="24"/>
        </w:rPr>
        <w:t> mRNA 水平显著降低（图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"Fig6"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6H</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）。这些数据共同表明，ACK1 抑</w:t>
      </w:r>
      <w:r w:rsidRPr="00C03604">
        <w:rPr>
          <w:rFonts w:ascii="MS Gothic" w:eastAsia="MS Gothic" w:hAnsi="MS Gothic" w:cs="MS Gothic" w:hint="eastAsia"/>
          <w:kern w:val="0"/>
          <w:sz w:val="24"/>
          <w:szCs w:val="24"/>
        </w:rPr>
        <w:t>​​</w:t>
      </w:r>
      <w:r w:rsidRPr="00C03604">
        <w:rPr>
          <w:rFonts w:ascii="微软雅黑" w:eastAsia="微软雅黑" w:hAnsi="微软雅黑" w:cs="宋体"/>
          <w:kern w:val="0"/>
          <w:sz w:val="24"/>
          <w:szCs w:val="24"/>
        </w:rPr>
        <w:t>制不仅可以通过抑制细胞周期</w:t>
      </w:r>
      <w:r w:rsidRPr="00C03604">
        <w:rPr>
          <w:rFonts w:ascii="微软雅黑" w:eastAsia="微软雅黑" w:hAnsi="微软雅黑" w:cs="宋体"/>
          <w:kern w:val="0"/>
          <w:sz w:val="24"/>
          <w:szCs w:val="24"/>
        </w:rPr>
        <w:lastRenderedPageBreak/>
        <w:t>调控基因的表达来抑制 ER </w:t>
      </w:r>
      <w:r w:rsidRPr="00C03604">
        <w:rPr>
          <w:rFonts w:ascii="微软雅黑" w:eastAsia="微软雅黑" w:hAnsi="微软雅黑" w:cs="宋体"/>
          <w:kern w:val="0"/>
          <w:sz w:val="24"/>
          <w:szCs w:val="24"/>
          <w:vertAlign w:val="superscript"/>
        </w:rPr>
        <w:t>+</w:t>
      </w:r>
      <w:r w:rsidRPr="00C03604">
        <w:rPr>
          <w:rFonts w:ascii="微软雅黑" w:eastAsia="微软雅黑" w:hAnsi="微软雅黑" w:cs="宋体"/>
          <w:kern w:val="0"/>
          <w:sz w:val="24"/>
          <w:szCs w:val="24"/>
        </w:rPr>
        <w:t> /PR </w:t>
      </w:r>
      <w:r w:rsidRPr="00C03604">
        <w:rPr>
          <w:rFonts w:ascii="微软雅黑" w:eastAsia="微软雅黑" w:hAnsi="微软雅黑" w:cs="宋体"/>
          <w:kern w:val="0"/>
          <w:sz w:val="24"/>
          <w:szCs w:val="24"/>
          <w:vertAlign w:val="superscript"/>
        </w:rPr>
        <w:t>+</w:t>
      </w:r>
      <w:r w:rsidRPr="00C03604">
        <w:rPr>
          <w:rFonts w:ascii="微软雅黑" w:eastAsia="微软雅黑" w:hAnsi="微软雅黑" w:cs="宋体"/>
          <w:kern w:val="0"/>
          <w:sz w:val="24"/>
          <w:szCs w:val="24"/>
        </w:rPr>
        <w:t>和 TNBC 异种移植瘤的生长，而且还揭示了口服给药是一种可行的药物递送方式。</w:t>
      </w:r>
    </w:p>
    <w:p w14:paraId="78AFB536" w14:textId="77777777" w:rsidR="00C03604" w:rsidRPr="00C03604" w:rsidRDefault="00C03604" w:rsidP="00C03604">
      <w:pPr>
        <w:widowControl/>
        <w:spacing w:line="450" w:lineRule="atLeast"/>
        <w:outlineLvl w:val="2"/>
        <w:rPr>
          <w:rFonts w:ascii="微软雅黑" w:eastAsia="微软雅黑" w:hAnsi="微软雅黑" w:cs="宋体"/>
          <w:kern w:val="0"/>
          <w:sz w:val="32"/>
          <w:szCs w:val="32"/>
        </w:rPr>
      </w:pPr>
      <w:r w:rsidRPr="00C03604">
        <w:rPr>
          <w:rFonts w:ascii="微软雅黑" w:eastAsia="微软雅黑" w:hAnsi="微软雅黑" w:cs="宋体"/>
          <w:kern w:val="0"/>
          <w:sz w:val="32"/>
          <w:szCs w:val="32"/>
        </w:rPr>
        <w:t>ACK1抑制剂( </w:t>
      </w:r>
      <w:r w:rsidRPr="00C03604">
        <w:rPr>
          <w:rFonts w:ascii="微软雅黑" w:eastAsia="微软雅黑" w:hAnsi="微软雅黑" w:cs="宋体"/>
          <w:i/>
          <w:iCs/>
          <w:kern w:val="0"/>
          <w:sz w:val="32"/>
          <w:szCs w:val="32"/>
        </w:rPr>
        <w:t>R</w:t>
      </w:r>
      <w:r w:rsidRPr="00C03604">
        <w:rPr>
          <w:rFonts w:ascii="微软雅黑" w:eastAsia="微软雅黑" w:hAnsi="微软雅黑" w:cs="宋体"/>
          <w:kern w:val="0"/>
          <w:sz w:val="32"/>
          <w:szCs w:val="32"/>
        </w:rPr>
        <w:t> )-9b克服了对帕博西尼耐药的乳腺肿瘤生长</w:t>
      </w:r>
    </w:p>
    <w:p w14:paraId="07C7C365" w14:textId="77777777"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kern w:val="0"/>
          <w:sz w:val="24"/>
          <w:szCs w:val="24"/>
        </w:rPr>
        <w:t>对 CDK4/6 抑制剂耐药的 BT549 和 MDA-MB-468 细胞系被观察到对 (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治疗敏感（图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"Fig5"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5G、H</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）。为了在乳腺肿瘤中验证这些发现，将 MDA-MB-468 细胞注射到雌性 SCID 小鼠体内。</w:t>
      </w:r>
      <w:proofErr w:type="gramStart"/>
      <w:r w:rsidRPr="00C03604">
        <w:rPr>
          <w:rFonts w:ascii="微软雅黑" w:eastAsia="微软雅黑" w:hAnsi="微软雅黑" w:cs="宋体"/>
          <w:kern w:val="0"/>
          <w:sz w:val="24"/>
          <w:szCs w:val="24"/>
        </w:rPr>
        <w:t>待可触及</w:t>
      </w:r>
      <w:proofErr w:type="gramEnd"/>
      <w:r w:rsidRPr="00C03604">
        <w:rPr>
          <w:rFonts w:ascii="微软雅黑" w:eastAsia="微软雅黑" w:hAnsi="微软雅黑" w:cs="宋体"/>
          <w:kern w:val="0"/>
          <w:sz w:val="24"/>
          <w:szCs w:val="24"/>
        </w:rPr>
        <w:t>的肿瘤形成后（5 周），小鼠分别接受以下治疗：口服载体（6% 卡匹西林）、帕博西尼（80 mg/kg 体重）、(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（36 mg/kg 体重）或皮下注射(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 （24 mg/kg 体重），每周 5 次。监测肿瘤形成情况 3 周，载体组和帕博西尼组</w:t>
      </w:r>
      <w:r w:rsidRPr="00C03604">
        <w:rPr>
          <w:rFonts w:ascii="微软雅黑" w:eastAsia="微软雅黑" w:hAnsi="微软雅黑" w:cs="宋体"/>
          <w:kern w:val="0"/>
          <w:sz w:val="24"/>
          <w:szCs w:val="24"/>
        </w:rPr>
        <w:t>小鼠的肿瘤生长旺盛，而口服和皮下注射(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 的小鼠肿瘤生长均受到抑制（图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"Fig7"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7A</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）。实验结束时，对小鼠实施安乐死，切除肿瘤（图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"Fig7"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7B</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），并称重（图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"Fig7"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7C</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），结果显示肿瘤重量显著降低。实验期间也监测了小鼠的体重，结果显示注射帕博西尼的小鼠体重略有下降，而注射(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的小鼠体重未见明显下降（补充图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"MOESM1"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S6C ）。为了进一步评估( </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)-9b治疗的任何病理副作用，切取小鼠的心脏、脾脏、肾脏和肝脏，并进行苏木精-伊红（H&amp;E）染色。载体组、(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-9b组</w:t>
      </w:r>
      <w:r w:rsidRPr="00C03604">
        <w:rPr>
          <w:rFonts w:ascii="微软雅黑" w:eastAsia="微软雅黑" w:hAnsi="微软雅黑" w:cs="宋体"/>
          <w:kern w:val="0"/>
          <w:sz w:val="24"/>
          <w:szCs w:val="24"/>
        </w:rPr>
        <w:t>（口服和皮下注射）以及帕博西尼治疗组的小鼠的器官均未显示组织学异常（补充图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"MOESM1"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S7A</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）。总体而言，这些数据表明，对 CDK4/6 抑制剂产生耐药性的乳腺肿瘤可以对 ACK1 抑</w:t>
      </w:r>
      <w:r w:rsidRPr="00C03604">
        <w:rPr>
          <w:rFonts w:ascii="MS Gothic" w:eastAsia="MS Gothic" w:hAnsi="MS Gothic" w:cs="MS Gothic" w:hint="eastAsia"/>
          <w:kern w:val="0"/>
          <w:sz w:val="24"/>
          <w:szCs w:val="24"/>
        </w:rPr>
        <w:t>​​</w:t>
      </w:r>
      <w:r w:rsidRPr="00C03604">
        <w:rPr>
          <w:rFonts w:ascii="微软雅黑" w:eastAsia="微软雅黑" w:hAnsi="微软雅黑" w:cs="宋体"/>
          <w:kern w:val="0"/>
          <w:sz w:val="24"/>
          <w:szCs w:val="24"/>
        </w:rPr>
        <w:t>制剂 (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产生敏感性。</w:t>
      </w:r>
    </w:p>
    <w:p w14:paraId="159FA707" w14:textId="77777777" w:rsidR="00C03604" w:rsidRPr="00C03604" w:rsidRDefault="00C03604" w:rsidP="00C03604">
      <w:pPr>
        <w:widowControl/>
        <w:spacing w:line="450" w:lineRule="atLeast"/>
        <w:outlineLvl w:val="3"/>
        <w:rPr>
          <w:rFonts w:ascii="微软雅黑" w:eastAsia="微软雅黑" w:hAnsi="微软雅黑" w:cs="宋体"/>
          <w:kern w:val="0"/>
          <w:sz w:val="30"/>
          <w:szCs w:val="30"/>
        </w:rPr>
      </w:pPr>
      <w:r w:rsidRPr="00C03604">
        <w:rPr>
          <w:rFonts w:ascii="微软雅黑" w:eastAsia="微软雅黑" w:hAnsi="微软雅黑" w:cs="宋体"/>
          <w:kern w:val="0"/>
          <w:sz w:val="30"/>
          <w:szCs w:val="30"/>
        </w:rPr>
        <w:t>图 7. ACK1 抑</w:t>
      </w:r>
      <w:r w:rsidRPr="00C03604">
        <w:rPr>
          <w:rFonts w:ascii="MS Gothic" w:eastAsia="MS Gothic" w:hAnsi="MS Gothic" w:cs="MS Gothic" w:hint="eastAsia"/>
          <w:kern w:val="0"/>
          <w:sz w:val="30"/>
          <w:szCs w:val="30"/>
        </w:rPr>
        <w:t>​​</w:t>
      </w:r>
      <w:r w:rsidRPr="00C03604">
        <w:rPr>
          <w:rFonts w:ascii="微软雅黑" w:eastAsia="微软雅黑" w:hAnsi="微软雅黑" w:cs="宋体"/>
          <w:kern w:val="0"/>
          <w:sz w:val="30"/>
          <w:szCs w:val="30"/>
        </w:rPr>
        <w:t xml:space="preserve">制剂克服了对 </w:t>
      </w:r>
      <w:proofErr w:type="spellStart"/>
      <w:r w:rsidRPr="00C03604">
        <w:rPr>
          <w:rFonts w:ascii="微软雅黑" w:eastAsia="微软雅黑" w:hAnsi="微软雅黑" w:cs="宋体"/>
          <w:kern w:val="0"/>
          <w:sz w:val="30"/>
          <w:szCs w:val="30"/>
        </w:rPr>
        <w:t>palbociclib</w:t>
      </w:r>
      <w:proofErr w:type="spellEnd"/>
      <w:r w:rsidRPr="00C03604">
        <w:rPr>
          <w:rFonts w:ascii="微软雅黑" w:eastAsia="微软雅黑" w:hAnsi="微软雅黑" w:cs="宋体"/>
          <w:kern w:val="0"/>
          <w:sz w:val="30"/>
          <w:szCs w:val="30"/>
        </w:rPr>
        <w:t xml:space="preserve"> 耐药的乳腺癌的生长和转移。</w:t>
      </w:r>
    </w:p>
    <w:p w14:paraId="28D766E6" w14:textId="549866A9"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noProof/>
          <w:kern w:val="0"/>
          <w:sz w:val="24"/>
          <w:szCs w:val="24"/>
        </w:rPr>
        <w:lastRenderedPageBreak/>
        <w:drawing>
          <wp:inline distT="0" distB="0" distL="0" distR="0" wp14:anchorId="695B0FE3" wp14:editId="0E46FE59">
            <wp:extent cx="5274310" cy="6978650"/>
            <wp:effectExtent l="0" t="0" r="2540" b="0"/>
            <wp:docPr id="1" name="图片 1" descr="图 7">
              <a:hlinkClick xmlns:a="http://schemas.openxmlformats.org/drawingml/2006/main" r:id="rId6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32e1967" descr="图 7">
                      <a:hlinkClick r:id="rId65" tgtFrame="&quot;_blank&quot;"/>
                    </pic:cNvPr>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274310" cy="6978650"/>
                    </a:xfrm>
                    <a:prstGeom prst="rect">
                      <a:avLst/>
                    </a:prstGeom>
                    <a:noFill/>
                    <a:ln>
                      <a:noFill/>
                    </a:ln>
                  </pic:spPr>
                </pic:pic>
              </a:graphicData>
            </a:graphic>
          </wp:inline>
        </w:drawing>
      </w:r>
    </w:p>
    <w:p w14:paraId="319484D0" w14:textId="77777777" w:rsidR="00C03604" w:rsidRPr="00C03604" w:rsidRDefault="00C03604" w:rsidP="00C03604">
      <w:pPr>
        <w:widowControl/>
        <w:rPr>
          <w:rFonts w:ascii="微软雅黑" w:eastAsia="微软雅黑" w:hAnsi="微软雅黑" w:cs="宋体"/>
          <w:kern w:val="0"/>
          <w:sz w:val="24"/>
          <w:szCs w:val="24"/>
        </w:rPr>
      </w:pPr>
      <w:r w:rsidRPr="00C03604">
        <w:rPr>
          <w:rFonts w:ascii="微软雅黑" w:eastAsia="微软雅黑" w:hAnsi="微软雅黑" w:cs="宋体"/>
          <w:b/>
          <w:bCs/>
          <w:kern w:val="0"/>
          <w:sz w:val="24"/>
          <w:szCs w:val="24"/>
        </w:rPr>
        <w:t>将 3</w:t>
      </w:r>
      <w:r w:rsidRPr="00C03604">
        <w:rPr>
          <w:rFonts w:ascii="微软雅黑" w:eastAsia="微软雅黑" w:hAnsi="微软雅黑" w:cs="宋体"/>
          <w:kern w:val="0"/>
          <w:sz w:val="24"/>
          <w:szCs w:val="24"/>
        </w:rPr>
        <w:t> × 10</w:t>
      </w:r>
      <w:r w:rsidRPr="00C03604">
        <w:rPr>
          <w:rFonts w:ascii="MS Gothic" w:eastAsia="MS Gothic" w:hAnsi="MS Gothic" w:cs="MS Gothic" w:hint="eastAsia"/>
          <w:kern w:val="0"/>
          <w:sz w:val="24"/>
          <w:szCs w:val="24"/>
        </w:rPr>
        <w:t>⁶</w:t>
      </w:r>
      <w:proofErr w:type="gramStart"/>
      <w:r w:rsidRPr="00C03604">
        <w:rPr>
          <w:rFonts w:ascii="微软雅黑" w:eastAsia="微软雅黑" w:hAnsi="微软雅黑" w:cs="宋体"/>
          <w:kern w:val="0"/>
          <w:sz w:val="24"/>
          <w:szCs w:val="24"/>
          <w:vertAlign w:val="superscript"/>
        </w:rPr>
        <w:t>个</w:t>
      </w:r>
      <w:proofErr w:type="gramEnd"/>
      <w:r w:rsidRPr="00C03604">
        <w:rPr>
          <w:rFonts w:ascii="微软雅黑" w:eastAsia="微软雅黑" w:hAnsi="微软雅黑" w:cs="宋体"/>
          <w:kern w:val="0"/>
          <w:sz w:val="24"/>
          <w:szCs w:val="24"/>
        </w:rPr>
        <w:t>MDA-MB-468 细胞注射到雌性 SCID 小鼠的第四腹股沟乳腺脂肪垫中。待肿瘤可触及后，小鼠分别接受口服载体（</w:t>
      </w:r>
      <w:proofErr w:type="spellStart"/>
      <w:r w:rsidRPr="00C03604">
        <w:rPr>
          <w:rFonts w:ascii="微软雅黑" w:eastAsia="微软雅黑" w:hAnsi="微软雅黑" w:cs="宋体"/>
          <w:kern w:val="0"/>
          <w:sz w:val="24"/>
          <w:szCs w:val="24"/>
        </w:rPr>
        <w:t>Captisol</w:t>
      </w:r>
      <w:proofErr w:type="spellEnd"/>
      <w:r w:rsidRPr="00C03604">
        <w:rPr>
          <w:rFonts w:ascii="微软雅黑" w:eastAsia="微软雅黑" w:hAnsi="微软雅黑" w:cs="宋体"/>
          <w:kern w:val="0"/>
          <w:sz w:val="24"/>
          <w:szCs w:val="24"/>
        </w:rPr>
        <w:t>；</w:t>
      </w:r>
      <w:r w:rsidRPr="00C03604">
        <w:rPr>
          <w:rFonts w:ascii="微软雅黑" w:eastAsia="微软雅黑" w:hAnsi="微软雅黑" w:cs="宋体"/>
          <w:i/>
          <w:iCs/>
          <w:kern w:val="0"/>
          <w:sz w:val="24"/>
          <w:szCs w:val="24"/>
        </w:rPr>
        <w:t>n</w:t>
      </w:r>
      <w:r w:rsidRPr="00C03604">
        <w:rPr>
          <w:rFonts w:ascii="微软雅黑" w:eastAsia="微软雅黑" w:hAnsi="微软雅黑" w:cs="宋体"/>
          <w:kern w:val="0"/>
          <w:sz w:val="24"/>
          <w:szCs w:val="24"/>
        </w:rPr>
        <w:t> </w:t>
      </w:r>
      <w:r w:rsidRPr="00C03604">
        <w:rPr>
          <w:rFonts w:ascii="MS Gothic" w:eastAsia="MS Gothic" w:hAnsi="MS Gothic" w:cs="MS Gothic" w:hint="eastAsia"/>
          <w:kern w:val="0"/>
          <w:sz w:val="24"/>
          <w:szCs w:val="24"/>
        </w:rPr>
        <w:t> </w:t>
      </w:r>
      <w:r w:rsidRPr="00C03604">
        <w:rPr>
          <w:rFonts w:ascii="微软雅黑" w:eastAsia="微软雅黑" w:hAnsi="微软雅黑" w:cs="宋体"/>
          <w:kern w:val="0"/>
          <w:sz w:val="24"/>
          <w:szCs w:val="24"/>
        </w:rPr>
        <w:t>= 7）、80 mg/kg 帕博西尼（Palbociclib；</w:t>
      </w:r>
      <w:r w:rsidRPr="00C03604">
        <w:rPr>
          <w:rFonts w:ascii="微软雅黑" w:eastAsia="微软雅黑" w:hAnsi="微软雅黑" w:cs="宋体"/>
          <w:i/>
          <w:iCs/>
          <w:kern w:val="0"/>
          <w:sz w:val="24"/>
          <w:szCs w:val="24"/>
        </w:rPr>
        <w:t>n</w:t>
      </w:r>
      <w:r w:rsidRPr="00C03604">
        <w:rPr>
          <w:rFonts w:ascii="微软雅黑" w:eastAsia="微软雅黑" w:hAnsi="微软雅黑" w:cs="宋体"/>
          <w:kern w:val="0"/>
          <w:sz w:val="24"/>
          <w:szCs w:val="24"/>
        </w:rPr>
        <w:t> </w:t>
      </w:r>
      <w:r w:rsidRPr="00C03604">
        <w:rPr>
          <w:rFonts w:ascii="MS Gothic" w:eastAsia="MS Gothic" w:hAnsi="MS Gothic" w:cs="MS Gothic" w:hint="eastAsia"/>
          <w:kern w:val="0"/>
          <w:sz w:val="24"/>
          <w:szCs w:val="24"/>
        </w:rPr>
        <w:t> </w:t>
      </w:r>
      <w:r w:rsidRPr="00C03604">
        <w:rPr>
          <w:rFonts w:ascii="微软雅黑" w:eastAsia="微软雅黑" w:hAnsi="微软雅黑" w:cs="宋体"/>
          <w:kern w:val="0"/>
          <w:sz w:val="24"/>
          <w:szCs w:val="24"/>
        </w:rPr>
        <w:t>= 6）或36 mg/kg (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 （ </w:t>
      </w:r>
      <w:r w:rsidRPr="00C03604">
        <w:rPr>
          <w:rFonts w:ascii="微软雅黑" w:eastAsia="微软雅黑" w:hAnsi="微软雅黑" w:cs="宋体"/>
          <w:i/>
          <w:iCs/>
          <w:kern w:val="0"/>
          <w:sz w:val="24"/>
          <w:szCs w:val="24"/>
        </w:rPr>
        <w:t>n</w:t>
      </w:r>
      <w:r w:rsidRPr="00C03604">
        <w:rPr>
          <w:rFonts w:ascii="微软雅黑" w:eastAsia="微软雅黑" w:hAnsi="微软雅黑" w:cs="宋体"/>
          <w:kern w:val="0"/>
          <w:sz w:val="24"/>
          <w:szCs w:val="24"/>
        </w:rPr>
        <w:t> </w:t>
      </w:r>
      <w:r w:rsidRPr="00C03604">
        <w:rPr>
          <w:rFonts w:ascii="MS Gothic" w:eastAsia="MS Gothic" w:hAnsi="MS Gothic" w:cs="MS Gothic" w:hint="eastAsia"/>
          <w:kern w:val="0"/>
          <w:sz w:val="24"/>
          <w:szCs w:val="24"/>
        </w:rPr>
        <w:t> </w:t>
      </w:r>
      <w:r w:rsidRPr="00C03604">
        <w:rPr>
          <w:rFonts w:ascii="微软雅黑" w:eastAsia="微软雅黑" w:hAnsi="微软雅黑" w:cs="宋体"/>
          <w:kern w:val="0"/>
          <w:sz w:val="24"/>
          <w:szCs w:val="24"/>
        </w:rPr>
        <w:t>= 6）治疗。此外，部分小鼠还接受了皮下注射24 mg/kg (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 （ </w:t>
      </w:r>
      <w:r w:rsidRPr="00C03604">
        <w:rPr>
          <w:rFonts w:ascii="微软雅黑" w:eastAsia="微软雅黑" w:hAnsi="微软雅黑" w:cs="宋体"/>
          <w:i/>
          <w:iCs/>
          <w:kern w:val="0"/>
          <w:sz w:val="24"/>
          <w:szCs w:val="24"/>
        </w:rPr>
        <w:t>n</w:t>
      </w:r>
      <w:r w:rsidRPr="00C03604">
        <w:rPr>
          <w:rFonts w:ascii="微软雅黑" w:eastAsia="微软雅黑" w:hAnsi="微软雅黑" w:cs="宋体"/>
          <w:kern w:val="0"/>
          <w:sz w:val="24"/>
          <w:szCs w:val="24"/>
        </w:rPr>
        <w:t> </w:t>
      </w:r>
      <w:r w:rsidRPr="00C03604">
        <w:rPr>
          <w:rFonts w:ascii="MS Gothic" w:eastAsia="MS Gothic" w:hAnsi="MS Gothic" w:cs="MS Gothic" w:hint="eastAsia"/>
          <w:kern w:val="0"/>
          <w:sz w:val="24"/>
          <w:szCs w:val="24"/>
        </w:rPr>
        <w:t> </w:t>
      </w:r>
      <w:r w:rsidRPr="00C03604">
        <w:rPr>
          <w:rFonts w:ascii="微软雅黑" w:eastAsia="微软雅黑" w:hAnsi="微软雅黑" w:cs="宋体"/>
          <w:kern w:val="0"/>
          <w:sz w:val="24"/>
          <w:szCs w:val="24"/>
        </w:rPr>
        <w:t>= 7）。小</w:t>
      </w:r>
      <w:r w:rsidRPr="00C03604">
        <w:rPr>
          <w:rFonts w:ascii="微软雅黑" w:eastAsia="微软雅黑" w:hAnsi="微软雅黑" w:cs="宋体"/>
          <w:kern w:val="0"/>
          <w:sz w:val="24"/>
          <w:szCs w:val="24"/>
        </w:rPr>
        <w:lastRenderedPageBreak/>
        <w:t>鼠每周治疗 5 次，持续 22 天。B </w:t>
      </w:r>
      <w:r w:rsidRPr="00C03604">
        <w:rPr>
          <w:rFonts w:ascii="微软雅黑" w:eastAsia="微软雅黑" w:hAnsi="微软雅黑" w:cs="宋体"/>
          <w:b/>
          <w:bCs/>
          <w:kern w:val="0"/>
          <w:sz w:val="24"/>
          <w:szCs w:val="24"/>
        </w:rPr>
        <w:t>、C：</w:t>
      </w:r>
      <w:r w:rsidRPr="00C03604">
        <w:rPr>
          <w:rFonts w:ascii="微软雅黑" w:eastAsia="微软雅黑" w:hAnsi="微软雅黑" w:cs="宋体"/>
          <w:kern w:val="0"/>
          <w:sz w:val="24"/>
          <w:szCs w:val="24"/>
        </w:rPr>
        <w:t>收集肿瘤并拍照，记录重量。D：使用 pY88-H4 抗体对</w:t>
      </w:r>
      <w:r w:rsidRPr="00C03604">
        <w:rPr>
          <w:rFonts w:ascii="微软雅黑" w:eastAsia="微软雅黑" w:hAnsi="微软雅黑" w:cs="宋体"/>
          <w:b/>
          <w:bCs/>
          <w:kern w:val="0"/>
          <w:sz w:val="24"/>
          <w:szCs w:val="24"/>
        </w:rPr>
        <w:t>载体</w:t>
      </w:r>
      <w:r w:rsidRPr="00C03604">
        <w:rPr>
          <w:rFonts w:ascii="微软雅黑" w:eastAsia="微软雅黑" w:hAnsi="微软雅黑" w:cs="宋体"/>
          <w:kern w:val="0"/>
          <w:sz w:val="24"/>
          <w:szCs w:val="24"/>
        </w:rPr>
        <w:t>或 (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处理的乳腺癌细胞进行染色质免疫沉淀 (</w:t>
      </w:r>
      <w:proofErr w:type="spellStart"/>
      <w:r w:rsidRPr="00C03604">
        <w:rPr>
          <w:rFonts w:ascii="微软雅黑" w:eastAsia="微软雅黑" w:hAnsi="微软雅黑" w:cs="宋体"/>
          <w:kern w:val="0"/>
          <w:sz w:val="24"/>
          <w:szCs w:val="24"/>
        </w:rPr>
        <w:t>ChIP</w:t>
      </w:r>
      <w:proofErr w:type="spellEnd"/>
      <w:r w:rsidRPr="00C03604">
        <w:rPr>
          <w:rFonts w:ascii="微软雅黑" w:eastAsia="微软雅黑" w:hAnsi="微软雅黑" w:cs="宋体"/>
          <w:kern w:val="0"/>
          <w:sz w:val="24"/>
          <w:szCs w:val="24"/>
        </w:rPr>
        <w:t>)，随后进行 CXCR4 基因的定量 PCR (qPCR )</w:t>
      </w:r>
      <w:r w:rsidRPr="00C03604">
        <w:rPr>
          <w:rFonts w:ascii="微软雅黑" w:eastAsia="微软雅黑" w:hAnsi="微软雅黑" w:cs="宋体"/>
          <w:i/>
          <w:iCs/>
          <w:kern w:val="0"/>
          <w:sz w:val="24"/>
          <w:szCs w:val="24"/>
        </w:rPr>
        <w:t>分析</w:t>
      </w:r>
      <w:r w:rsidRPr="00C03604">
        <w:rPr>
          <w:rFonts w:ascii="微软雅黑" w:eastAsia="微软雅黑" w:hAnsi="微软雅黑" w:cs="宋体"/>
          <w:kern w:val="0"/>
          <w:sz w:val="24"/>
          <w:szCs w:val="24"/>
        </w:rPr>
        <w:t>。</w:t>
      </w:r>
      <w:r w:rsidRPr="00C03604">
        <w:rPr>
          <w:rFonts w:ascii="微软雅黑" w:eastAsia="微软雅黑" w:hAnsi="微软雅黑" w:cs="宋体"/>
          <w:b/>
          <w:bCs/>
          <w:kern w:val="0"/>
          <w:sz w:val="24"/>
          <w:szCs w:val="24"/>
        </w:rPr>
        <w:t>E.检测载体或(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处理的MDA-MB-231细胞中</w:t>
      </w:r>
      <w:r w:rsidRPr="00C03604">
        <w:rPr>
          <w:rFonts w:ascii="微软雅黑" w:eastAsia="微软雅黑" w:hAnsi="微软雅黑" w:cs="宋体"/>
          <w:i/>
          <w:iCs/>
          <w:kern w:val="0"/>
          <w:sz w:val="24"/>
          <w:szCs w:val="24"/>
        </w:rPr>
        <w:t>CXCR4</w:t>
      </w:r>
      <w:r w:rsidRPr="00C03604">
        <w:rPr>
          <w:rFonts w:ascii="微软雅黑" w:eastAsia="微软雅黑" w:hAnsi="微软雅黑" w:cs="宋体"/>
          <w:kern w:val="0"/>
          <w:sz w:val="24"/>
          <w:szCs w:val="24"/>
        </w:rPr>
        <w:t> mRNA的转录水平。以</w:t>
      </w:r>
      <w:r w:rsidRPr="00C03604">
        <w:rPr>
          <w:rFonts w:ascii="微软雅黑" w:eastAsia="微软雅黑" w:hAnsi="微软雅黑" w:cs="宋体"/>
          <w:i/>
          <w:iCs/>
          <w:kern w:val="0"/>
          <w:sz w:val="24"/>
          <w:szCs w:val="24"/>
        </w:rPr>
        <w:t>18S rRNA</w:t>
      </w:r>
      <w:r w:rsidRPr="00C03604">
        <w:rPr>
          <w:rFonts w:ascii="微软雅黑" w:eastAsia="微软雅黑" w:hAnsi="微软雅黑" w:cs="宋体"/>
          <w:kern w:val="0"/>
          <w:sz w:val="24"/>
          <w:szCs w:val="24"/>
        </w:rPr>
        <w:t>作为管家基因。F </w:t>
      </w:r>
      <w:r w:rsidRPr="00C03604">
        <w:rPr>
          <w:rFonts w:ascii="微软雅黑" w:eastAsia="微软雅黑" w:hAnsi="微软雅黑" w:cs="宋体"/>
          <w:b/>
          <w:bCs/>
          <w:kern w:val="0"/>
          <w:sz w:val="24"/>
          <w:szCs w:val="24"/>
        </w:rPr>
        <w:t>.</w:t>
      </w:r>
      <w:r w:rsidRPr="00C03604">
        <w:rPr>
          <w:rFonts w:ascii="微软雅黑" w:eastAsia="微软雅黑" w:hAnsi="微软雅黑" w:cs="宋体"/>
          <w:kern w:val="0"/>
          <w:sz w:val="24"/>
          <w:szCs w:val="24"/>
        </w:rPr>
        <w:t>将MDA-MB-231细胞转染</w:t>
      </w:r>
      <w:r w:rsidRPr="00C03604">
        <w:rPr>
          <w:rFonts w:ascii="微软雅黑" w:eastAsia="微软雅黑" w:hAnsi="微软雅黑" w:cs="宋体"/>
          <w:i/>
          <w:iCs/>
          <w:kern w:val="0"/>
          <w:sz w:val="24"/>
          <w:szCs w:val="24"/>
        </w:rPr>
        <w:t>ACK1</w:t>
      </w:r>
      <w:r w:rsidRPr="00C03604">
        <w:rPr>
          <w:rFonts w:ascii="微软雅黑" w:eastAsia="微软雅黑" w:hAnsi="微软雅黑" w:cs="宋体"/>
          <w:kern w:val="0"/>
          <w:sz w:val="24"/>
          <w:szCs w:val="24"/>
        </w:rPr>
        <w:t>或对照siRNA，然后进行</w:t>
      </w:r>
      <w:proofErr w:type="spellStart"/>
      <w:r w:rsidRPr="00C03604">
        <w:rPr>
          <w:rFonts w:ascii="微软雅黑" w:eastAsia="微软雅黑" w:hAnsi="微软雅黑" w:cs="宋体"/>
          <w:kern w:val="0"/>
          <w:sz w:val="24"/>
          <w:szCs w:val="24"/>
        </w:rPr>
        <w:t>qRT</w:t>
      </w:r>
      <w:proofErr w:type="spellEnd"/>
      <w:r w:rsidRPr="00C03604">
        <w:rPr>
          <w:rFonts w:ascii="微软雅黑" w:eastAsia="微软雅黑" w:hAnsi="微软雅黑" w:cs="宋体"/>
          <w:kern w:val="0"/>
          <w:sz w:val="24"/>
          <w:szCs w:val="24"/>
        </w:rPr>
        <w:t>-PCR以检测</w:t>
      </w:r>
      <w:r w:rsidRPr="00C03604">
        <w:rPr>
          <w:rFonts w:ascii="微软雅黑" w:eastAsia="微软雅黑" w:hAnsi="微软雅黑" w:cs="宋体"/>
          <w:i/>
          <w:iCs/>
          <w:kern w:val="0"/>
          <w:sz w:val="24"/>
          <w:szCs w:val="24"/>
        </w:rPr>
        <w:t>CXCR4</w:t>
      </w:r>
      <w:r w:rsidRPr="00C03604">
        <w:rPr>
          <w:rFonts w:ascii="微软雅黑" w:eastAsia="微软雅黑" w:hAnsi="微软雅黑" w:cs="宋体"/>
          <w:kern w:val="0"/>
          <w:sz w:val="24"/>
          <w:szCs w:val="24"/>
        </w:rPr>
        <w:t> mRNA的转录水平。G </w:t>
      </w:r>
      <w:r w:rsidRPr="00C03604">
        <w:rPr>
          <w:rFonts w:ascii="微软雅黑" w:eastAsia="微软雅黑" w:hAnsi="微软雅黑" w:cs="宋体"/>
          <w:b/>
          <w:bCs/>
          <w:kern w:val="0"/>
          <w:sz w:val="24"/>
          <w:szCs w:val="24"/>
        </w:rPr>
        <w:t>.</w:t>
      </w:r>
      <w:r w:rsidRPr="00C03604">
        <w:rPr>
          <w:rFonts w:ascii="微软雅黑" w:eastAsia="微软雅黑" w:hAnsi="微软雅黑" w:cs="宋体"/>
          <w:kern w:val="0"/>
          <w:sz w:val="24"/>
          <w:szCs w:val="24"/>
        </w:rPr>
        <w:t>将MDA-MB-231细胞经尾静脉注射到雌性SCID小鼠体内，分别给予载体或24 mg/kg (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口服治疗，观察肺转移灶的代表性图像。</w:t>
      </w:r>
      <w:proofErr w:type="gramStart"/>
      <w:r w:rsidRPr="00C03604">
        <w:rPr>
          <w:rFonts w:ascii="微软雅黑" w:eastAsia="微软雅黑" w:hAnsi="微软雅黑" w:cs="宋体"/>
          <w:kern w:val="0"/>
          <w:sz w:val="24"/>
          <w:szCs w:val="24"/>
        </w:rPr>
        <w:t>H </w:t>
      </w:r>
      <w:r w:rsidRPr="00C03604">
        <w:rPr>
          <w:rFonts w:ascii="微软雅黑" w:eastAsia="微软雅黑" w:hAnsi="微软雅黑" w:cs="宋体"/>
          <w:b/>
          <w:bCs/>
          <w:kern w:val="0"/>
          <w:sz w:val="24"/>
          <w:szCs w:val="24"/>
        </w:rPr>
        <w:t>.</w:t>
      </w:r>
      <w:proofErr w:type="gramEnd"/>
      <w:r w:rsidRPr="00C03604">
        <w:rPr>
          <w:rFonts w:ascii="微软雅黑" w:eastAsia="微软雅黑" w:hAnsi="微软雅黑" w:cs="宋体"/>
          <w:b/>
          <w:bCs/>
          <w:kern w:val="0"/>
          <w:sz w:val="24"/>
          <w:szCs w:val="24"/>
        </w:rPr>
        <w:t xml:space="preserve"> 肺转移灶的定量分析图。I和J.将</w:t>
      </w:r>
      <w:r w:rsidRPr="00C03604">
        <w:rPr>
          <w:rFonts w:ascii="微软雅黑" w:eastAsia="微软雅黑" w:hAnsi="微软雅黑" w:cs="宋体"/>
          <w:kern w:val="0"/>
          <w:sz w:val="24"/>
          <w:szCs w:val="24"/>
        </w:rPr>
        <w:t>5 × </w:t>
      </w:r>
      <w:r w:rsidRPr="00C03604">
        <w:rPr>
          <w:rFonts w:ascii="微软雅黑" w:eastAsia="微软雅黑" w:hAnsi="微软雅黑" w:cs="宋体"/>
          <w:b/>
          <w:bCs/>
          <w:kern w:val="0"/>
          <w:sz w:val="24"/>
          <w:szCs w:val="24"/>
        </w:rPr>
        <w:t>10</w:t>
      </w:r>
      <w:r w:rsidRPr="00C03604">
        <w:rPr>
          <w:rFonts w:ascii="微软雅黑" w:eastAsia="微软雅黑" w:hAnsi="微软雅黑" w:cs="微软雅黑" w:hint="eastAsia"/>
          <w:b/>
          <w:bCs/>
          <w:kern w:val="0"/>
          <w:sz w:val="24"/>
          <w:szCs w:val="24"/>
        </w:rPr>
        <w:t>⁵</w:t>
      </w:r>
      <w:proofErr w:type="gramStart"/>
      <w:r w:rsidRPr="00C03604">
        <w:rPr>
          <w:rFonts w:ascii="微软雅黑" w:eastAsia="微软雅黑" w:hAnsi="微软雅黑" w:cs="宋体"/>
          <w:kern w:val="0"/>
          <w:sz w:val="24"/>
          <w:szCs w:val="24"/>
        </w:rPr>
        <w:t>个</w:t>
      </w:r>
      <w:proofErr w:type="gramEnd"/>
      <w:r w:rsidRPr="00C03604">
        <w:rPr>
          <w:rFonts w:ascii="微软雅黑" w:eastAsia="微软雅黑" w:hAnsi="微软雅黑" w:cs="宋体"/>
          <w:kern w:val="0"/>
          <w:sz w:val="24"/>
          <w:szCs w:val="24"/>
          <w:vertAlign w:val="superscript"/>
        </w:rPr>
        <w:t>表达</w:t>
      </w:r>
      <w:r w:rsidRPr="00C03604">
        <w:rPr>
          <w:rFonts w:ascii="微软雅黑" w:eastAsia="微软雅黑" w:hAnsi="微软雅黑" w:cs="宋体"/>
          <w:kern w:val="0"/>
          <w:sz w:val="24"/>
          <w:szCs w:val="24"/>
        </w:rPr>
        <w:t>荧光素酶的4T1细胞注射到雌性BALB/c小鼠的第四腹股沟乳腺脂肪垫中。当肿瘤可触及后，小鼠分别接受载体或(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（24 mg/kg ，每组</w:t>
      </w:r>
      <w:r w:rsidRPr="00C03604">
        <w:rPr>
          <w:rFonts w:ascii="微软雅黑" w:eastAsia="微软雅黑" w:hAnsi="微软雅黑" w:cs="宋体"/>
          <w:i/>
          <w:iCs/>
          <w:kern w:val="0"/>
          <w:sz w:val="24"/>
          <w:szCs w:val="24"/>
        </w:rPr>
        <w:t>n</w:t>
      </w:r>
      <w:r w:rsidRPr="00C03604">
        <w:rPr>
          <w:rFonts w:ascii="微软雅黑" w:eastAsia="微软雅黑" w:hAnsi="微软雅黑" w:cs="宋体"/>
          <w:kern w:val="0"/>
          <w:sz w:val="24"/>
          <w:szCs w:val="24"/>
        </w:rPr>
        <w:t> </w:t>
      </w:r>
      <w:r w:rsidRPr="00C03604">
        <w:rPr>
          <w:rFonts w:ascii="MS Gothic" w:eastAsia="MS Gothic" w:hAnsi="MS Gothic" w:cs="MS Gothic" w:hint="eastAsia"/>
          <w:kern w:val="0"/>
          <w:sz w:val="24"/>
          <w:szCs w:val="24"/>
        </w:rPr>
        <w:t> </w:t>
      </w:r>
      <w:r w:rsidRPr="00C03604">
        <w:rPr>
          <w:rFonts w:ascii="微软雅黑" w:eastAsia="微软雅黑" w:hAnsi="微软雅黑" w:cs="宋体"/>
          <w:kern w:val="0"/>
          <w:sz w:val="24"/>
          <w:szCs w:val="24"/>
        </w:rPr>
        <w:t>=3）皮下注射治疗，持续2周，每周5次。采用IVIS评估转移情况。数据以平均值±标准误(SEM)表示。* </w:t>
      </w:r>
      <w:r w:rsidRPr="00C03604">
        <w:rPr>
          <w:rFonts w:ascii="微软雅黑" w:eastAsia="微软雅黑" w:hAnsi="微软雅黑" w:cs="宋体"/>
          <w:i/>
          <w:iCs/>
          <w:kern w:val="0"/>
          <w:sz w:val="24"/>
          <w:szCs w:val="24"/>
        </w:rPr>
        <w:t>p</w:t>
      </w:r>
      <w:r w:rsidRPr="00C03604">
        <w:rPr>
          <w:rFonts w:ascii="微软雅黑" w:eastAsia="微软雅黑" w:hAnsi="微软雅黑" w:cs="宋体"/>
          <w:kern w:val="0"/>
          <w:sz w:val="24"/>
          <w:szCs w:val="24"/>
        </w:rPr>
        <w:t> </w:t>
      </w:r>
      <w:r w:rsidRPr="00C03604">
        <w:rPr>
          <w:rFonts w:ascii="MS Gothic" w:eastAsia="MS Gothic" w:hAnsi="MS Gothic" w:cs="MS Gothic" w:hint="eastAsia"/>
          <w:kern w:val="0"/>
          <w:sz w:val="24"/>
          <w:szCs w:val="24"/>
        </w:rPr>
        <w:t> </w:t>
      </w:r>
      <w:r w:rsidRPr="00C03604">
        <w:rPr>
          <w:rFonts w:ascii="微软雅黑" w:eastAsia="微软雅黑" w:hAnsi="微软雅黑" w:cs="宋体"/>
          <w:kern w:val="0"/>
          <w:sz w:val="24"/>
          <w:szCs w:val="24"/>
        </w:rPr>
        <w:t>&lt; 0.05；** </w:t>
      </w:r>
      <w:r w:rsidRPr="00C03604">
        <w:rPr>
          <w:rFonts w:ascii="微软雅黑" w:eastAsia="微软雅黑" w:hAnsi="微软雅黑" w:cs="宋体"/>
          <w:i/>
          <w:iCs/>
          <w:kern w:val="0"/>
          <w:sz w:val="24"/>
          <w:szCs w:val="24"/>
        </w:rPr>
        <w:t>p</w:t>
      </w:r>
      <w:r w:rsidRPr="00C03604">
        <w:rPr>
          <w:rFonts w:ascii="微软雅黑" w:eastAsia="微软雅黑" w:hAnsi="微软雅黑" w:cs="宋体"/>
          <w:kern w:val="0"/>
          <w:sz w:val="24"/>
          <w:szCs w:val="24"/>
        </w:rPr>
        <w:t> </w:t>
      </w:r>
      <w:r w:rsidRPr="00C03604">
        <w:rPr>
          <w:rFonts w:ascii="MS Gothic" w:eastAsia="MS Gothic" w:hAnsi="MS Gothic" w:cs="MS Gothic" w:hint="eastAsia"/>
          <w:kern w:val="0"/>
          <w:sz w:val="24"/>
          <w:szCs w:val="24"/>
        </w:rPr>
        <w:t> </w:t>
      </w:r>
      <w:r w:rsidRPr="00C03604">
        <w:rPr>
          <w:rFonts w:ascii="微软雅黑" w:eastAsia="微软雅黑" w:hAnsi="微软雅黑" w:cs="宋体"/>
          <w:kern w:val="0"/>
          <w:sz w:val="24"/>
          <w:szCs w:val="24"/>
        </w:rPr>
        <w:t>&lt; 0.01；*** </w:t>
      </w:r>
      <w:r w:rsidRPr="00C03604">
        <w:rPr>
          <w:rFonts w:ascii="微软雅黑" w:eastAsia="微软雅黑" w:hAnsi="微软雅黑" w:cs="宋体"/>
          <w:i/>
          <w:iCs/>
          <w:kern w:val="0"/>
          <w:sz w:val="24"/>
          <w:szCs w:val="24"/>
        </w:rPr>
        <w:t>p</w:t>
      </w:r>
      <w:r w:rsidRPr="00C03604">
        <w:rPr>
          <w:rFonts w:ascii="微软雅黑" w:eastAsia="微软雅黑" w:hAnsi="微软雅黑" w:cs="宋体"/>
          <w:kern w:val="0"/>
          <w:sz w:val="24"/>
          <w:szCs w:val="24"/>
        </w:rPr>
        <w:t> </w:t>
      </w:r>
      <w:r w:rsidRPr="00C03604">
        <w:rPr>
          <w:rFonts w:ascii="MS Gothic" w:eastAsia="MS Gothic" w:hAnsi="MS Gothic" w:cs="MS Gothic" w:hint="eastAsia"/>
          <w:kern w:val="0"/>
          <w:sz w:val="24"/>
          <w:szCs w:val="24"/>
        </w:rPr>
        <w:t> </w:t>
      </w:r>
      <w:r w:rsidRPr="00C03604">
        <w:rPr>
          <w:rFonts w:ascii="微软雅黑" w:eastAsia="微软雅黑" w:hAnsi="微软雅黑" w:cs="宋体"/>
          <w:kern w:val="0"/>
          <w:sz w:val="24"/>
          <w:szCs w:val="24"/>
        </w:rPr>
        <w:t>&lt; 0.001。对于( </w:t>
      </w:r>
      <w:r w:rsidRPr="00C03604">
        <w:rPr>
          <w:rFonts w:ascii="微软雅黑" w:eastAsia="微软雅黑" w:hAnsi="微软雅黑" w:cs="宋体"/>
          <w:b/>
          <w:bCs/>
          <w:kern w:val="0"/>
          <w:sz w:val="24"/>
          <w:szCs w:val="24"/>
        </w:rPr>
        <w:t>A</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C</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F</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I</w:t>
      </w:r>
      <w:r w:rsidRPr="00C03604">
        <w:rPr>
          <w:rFonts w:ascii="微软雅黑" w:eastAsia="微软雅黑" w:hAnsi="微软雅黑" w:cs="宋体"/>
          <w:kern w:val="0"/>
          <w:sz w:val="24"/>
          <w:szCs w:val="24"/>
        </w:rPr>
        <w:t> )，</w:t>
      </w:r>
      <w:r w:rsidRPr="00C03604">
        <w:rPr>
          <w:rFonts w:ascii="微软雅黑" w:eastAsia="微软雅黑" w:hAnsi="微软雅黑" w:cs="宋体"/>
          <w:i/>
          <w:iCs/>
          <w:kern w:val="0"/>
          <w:sz w:val="24"/>
          <w:szCs w:val="24"/>
        </w:rPr>
        <w:t>p</w:t>
      </w:r>
      <w:r w:rsidRPr="00C03604">
        <w:rPr>
          <w:rFonts w:ascii="微软雅黑" w:eastAsia="微软雅黑" w:hAnsi="微软雅黑" w:cs="宋体"/>
          <w:kern w:val="0"/>
          <w:sz w:val="24"/>
          <w:szCs w:val="24"/>
        </w:rPr>
        <w:t>值采用非配对双尾Student's </w:t>
      </w:r>
      <w:r w:rsidRPr="00C03604">
        <w:rPr>
          <w:rFonts w:ascii="微软雅黑" w:eastAsia="微软雅黑" w:hAnsi="微软雅黑" w:cs="宋体"/>
          <w:i/>
          <w:iCs/>
          <w:kern w:val="0"/>
          <w:sz w:val="24"/>
          <w:szCs w:val="24"/>
        </w:rPr>
        <w:t>t</w:t>
      </w:r>
      <w:r w:rsidRPr="00C03604">
        <w:rPr>
          <w:rFonts w:ascii="微软雅黑" w:eastAsia="微软雅黑" w:hAnsi="微软雅黑" w:cs="宋体"/>
          <w:kern w:val="0"/>
          <w:sz w:val="24"/>
          <w:szCs w:val="24"/>
        </w:rPr>
        <w:t>检验计算。</w:t>
      </w:r>
    </w:p>
    <w:p w14:paraId="29B7FF8C" w14:textId="77777777" w:rsidR="00C03604" w:rsidRPr="00C03604" w:rsidRDefault="00C03604" w:rsidP="00C03604">
      <w:pPr>
        <w:widowControl/>
        <w:spacing w:line="450" w:lineRule="atLeast"/>
        <w:outlineLvl w:val="2"/>
        <w:rPr>
          <w:rFonts w:ascii="微软雅黑" w:eastAsia="微软雅黑" w:hAnsi="微软雅黑" w:cs="宋体"/>
          <w:kern w:val="0"/>
          <w:sz w:val="32"/>
          <w:szCs w:val="32"/>
        </w:rPr>
      </w:pPr>
      <w:r w:rsidRPr="00C03604">
        <w:rPr>
          <w:rFonts w:ascii="微软雅黑" w:eastAsia="微软雅黑" w:hAnsi="微软雅黑" w:cs="宋体"/>
          <w:kern w:val="0"/>
          <w:sz w:val="32"/>
          <w:szCs w:val="32"/>
        </w:rPr>
        <w:t>( </w:t>
      </w:r>
      <w:r w:rsidRPr="00C03604">
        <w:rPr>
          <w:rFonts w:ascii="微软雅黑" w:eastAsia="微软雅黑" w:hAnsi="微软雅黑" w:cs="宋体"/>
          <w:i/>
          <w:iCs/>
          <w:kern w:val="0"/>
          <w:sz w:val="32"/>
          <w:szCs w:val="32"/>
        </w:rPr>
        <w:t>R</w:t>
      </w:r>
      <w:r w:rsidRPr="00C03604">
        <w:rPr>
          <w:rFonts w:ascii="微软雅黑" w:eastAsia="微软雅黑" w:hAnsi="微软雅黑" w:cs="宋体"/>
          <w:kern w:val="0"/>
          <w:sz w:val="32"/>
          <w:szCs w:val="32"/>
        </w:rPr>
        <w:t> )-9b抑制CXCR4并损害乳腺癌转移</w:t>
      </w:r>
    </w:p>
    <w:p w14:paraId="12D36B7D" w14:textId="77777777"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kern w:val="0"/>
          <w:sz w:val="24"/>
          <w:szCs w:val="24"/>
        </w:rPr>
        <w:t>除了细胞周期调控基因</w:t>
      </w:r>
      <w:r w:rsidRPr="00C03604">
        <w:rPr>
          <w:rFonts w:ascii="微软雅黑" w:eastAsia="微软雅黑" w:hAnsi="微软雅黑" w:cs="宋体"/>
          <w:i/>
          <w:iCs/>
          <w:kern w:val="0"/>
          <w:sz w:val="24"/>
          <w:szCs w:val="24"/>
        </w:rPr>
        <w:t>CDC20</w:t>
      </w:r>
      <w:r w:rsidRPr="00C03604">
        <w:rPr>
          <w:rFonts w:ascii="微软雅黑" w:eastAsia="微软雅黑" w:hAnsi="微软雅黑" w:cs="宋体"/>
          <w:kern w:val="0"/>
          <w:sz w:val="24"/>
          <w:szCs w:val="24"/>
        </w:rPr>
        <w:t>、</w:t>
      </w:r>
      <w:r w:rsidRPr="00C03604">
        <w:rPr>
          <w:rFonts w:ascii="微软雅黑" w:eastAsia="微软雅黑" w:hAnsi="微软雅黑" w:cs="宋体"/>
          <w:i/>
          <w:iCs/>
          <w:kern w:val="0"/>
          <w:sz w:val="24"/>
          <w:szCs w:val="24"/>
        </w:rPr>
        <w:t>CCNB1</w:t>
      </w:r>
      <w:r w:rsidRPr="00C03604">
        <w:rPr>
          <w:rFonts w:ascii="微软雅黑" w:eastAsia="微软雅黑" w:hAnsi="微软雅黑" w:cs="宋体"/>
          <w:kern w:val="0"/>
          <w:sz w:val="24"/>
          <w:szCs w:val="24"/>
        </w:rPr>
        <w:t>和</w:t>
      </w:r>
      <w:r w:rsidRPr="00C03604">
        <w:rPr>
          <w:rFonts w:ascii="微软雅黑" w:eastAsia="微软雅黑" w:hAnsi="微软雅黑" w:cs="宋体"/>
          <w:i/>
          <w:iCs/>
          <w:kern w:val="0"/>
          <w:sz w:val="24"/>
          <w:szCs w:val="24"/>
        </w:rPr>
        <w:t>CCNB2</w:t>
      </w:r>
      <w:r w:rsidRPr="00C03604">
        <w:rPr>
          <w:rFonts w:ascii="微软雅黑" w:eastAsia="微软雅黑" w:hAnsi="微软雅黑" w:cs="宋体"/>
          <w:kern w:val="0"/>
          <w:sz w:val="24"/>
          <w:szCs w:val="24"/>
        </w:rPr>
        <w:t>之外，在RNA测序数据集（补充图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"MOESM1"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S6D ）中， </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i/>
          <w:iCs/>
          <w:kern w:val="0"/>
          <w:sz w:val="24"/>
          <w:szCs w:val="24"/>
        </w:rPr>
        <w:t>CXCR4是另一个在( 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处理后表达显著改变的基因。近期研究报道了</w:t>
      </w:r>
      <w:r w:rsidRPr="00C03604">
        <w:rPr>
          <w:rFonts w:ascii="微软雅黑" w:eastAsia="微软雅黑" w:hAnsi="微软雅黑" w:cs="宋体"/>
          <w:i/>
          <w:iCs/>
          <w:kern w:val="0"/>
          <w:sz w:val="24"/>
          <w:szCs w:val="24"/>
        </w:rPr>
        <w:t>CXCR4</w:t>
      </w:r>
      <w:r w:rsidRPr="00C03604">
        <w:rPr>
          <w:rFonts w:ascii="微软雅黑" w:eastAsia="微软雅黑" w:hAnsi="微软雅黑" w:cs="宋体"/>
          <w:kern w:val="0"/>
          <w:sz w:val="24"/>
          <w:szCs w:val="24"/>
        </w:rPr>
        <w:t>在乳腺癌间质增生、转移和不良临床预后中的重要作用[ </w:t>
      </w:r>
      <w:hyperlink r:id="rId67" w:anchor="CR51" w:history="1">
        <w:r w:rsidRPr="00C03604">
          <w:rPr>
            <w:rFonts w:ascii="微软雅黑" w:eastAsia="微软雅黑" w:hAnsi="微软雅黑" w:cs="宋体"/>
            <w:kern w:val="0"/>
            <w:sz w:val="24"/>
            <w:szCs w:val="24"/>
            <w:u w:val="single"/>
          </w:rPr>
          <w:t>48-51</w:t>
        </w:r>
      </w:hyperlink>
      <w:r w:rsidRPr="00C03604">
        <w:rPr>
          <w:rFonts w:ascii="微软雅黑" w:eastAsia="微软雅黑" w:hAnsi="微软雅黑" w:cs="宋体"/>
          <w:kern w:val="0"/>
          <w:sz w:val="24"/>
          <w:szCs w:val="24"/>
        </w:rPr>
        <w:t> ] </w:t>
      </w:r>
      <w:hyperlink r:id="rId68" w:anchor="CR48" w:history="1">
        <w:r w:rsidRPr="00C03604">
          <w:rPr>
            <w:rFonts w:ascii="微软雅黑" w:eastAsia="微软雅黑" w:hAnsi="微软雅黑" w:cs="宋体"/>
            <w:kern w:val="0"/>
            <w:sz w:val="24"/>
            <w:szCs w:val="24"/>
            <w:u w:val="single"/>
          </w:rPr>
          <w:t>。</w:t>
        </w:r>
      </w:hyperlink>
      <w:r w:rsidRPr="00C03604">
        <w:rPr>
          <w:rFonts w:ascii="微软雅黑" w:eastAsia="微软雅黑" w:hAnsi="微软雅黑" w:cs="宋体"/>
          <w:kern w:val="0"/>
          <w:sz w:val="24"/>
          <w:szCs w:val="24"/>
        </w:rPr>
        <w:t>我们观察到ACK1在</w:t>
      </w:r>
      <w:r w:rsidRPr="00C03604">
        <w:rPr>
          <w:rFonts w:ascii="微软雅黑" w:eastAsia="微软雅黑" w:hAnsi="微软雅黑" w:cs="宋体"/>
          <w:i/>
          <w:iCs/>
          <w:kern w:val="0"/>
          <w:sz w:val="24"/>
          <w:szCs w:val="24"/>
        </w:rPr>
        <w:t>CXCR4</w:t>
      </w:r>
      <w:r w:rsidRPr="00C03604">
        <w:rPr>
          <w:rFonts w:ascii="微软雅黑" w:eastAsia="微软雅黑" w:hAnsi="微软雅黑" w:cs="宋体"/>
          <w:kern w:val="0"/>
          <w:sz w:val="24"/>
          <w:szCs w:val="24"/>
        </w:rPr>
        <w:t>启动子区域沉积了pY88-H4表观遗传标记（补充图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"MOESM1"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S6E ）。此外，使用( </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抑制ACK1不仅消除了这些标记，还抑制了</w:t>
      </w:r>
      <w:r w:rsidRPr="00C03604">
        <w:rPr>
          <w:rFonts w:ascii="微软雅黑" w:eastAsia="微软雅黑" w:hAnsi="微软雅黑" w:cs="宋体"/>
          <w:i/>
          <w:iCs/>
          <w:kern w:val="0"/>
          <w:sz w:val="24"/>
          <w:szCs w:val="24"/>
        </w:rPr>
        <w:t>CXCR4的</w:t>
      </w:r>
      <w:r w:rsidRPr="00C03604">
        <w:rPr>
          <w:rFonts w:ascii="微软雅黑" w:eastAsia="微软雅黑" w:hAnsi="微软雅黑" w:cs="宋体"/>
          <w:kern w:val="0"/>
          <w:sz w:val="24"/>
          <w:szCs w:val="24"/>
        </w:rPr>
        <w:t>转录（图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"Fig7"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7D、E ）。进一步地，使用siRNA进行ACK1基因敲除也抑制了</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i/>
          <w:iCs/>
          <w:kern w:val="0"/>
          <w:sz w:val="24"/>
          <w:szCs w:val="24"/>
        </w:rPr>
        <w:t>CXCR4</w:t>
      </w:r>
      <w:r w:rsidRPr="00C03604">
        <w:rPr>
          <w:rFonts w:ascii="微软雅黑" w:eastAsia="微软雅黑" w:hAnsi="微软雅黑" w:cs="宋体"/>
          <w:kern w:val="0"/>
          <w:sz w:val="24"/>
          <w:szCs w:val="24"/>
        </w:rPr>
        <w:t>的转录（图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"Fig7"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7F</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w:t>
      </w:r>
    </w:p>
    <w:p w14:paraId="53CF54C7" w14:textId="77777777"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kern w:val="0"/>
          <w:sz w:val="24"/>
          <w:szCs w:val="24"/>
        </w:rPr>
        <w:lastRenderedPageBreak/>
        <w:t>为了验证其体内功能意义，我们进行了尾静脉注射法检测癌症转移。简而言之，将MDA-MB-231细胞注射到雌性SCID小鼠的尾静脉中，并分别给予载体或24 mg/kg (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皮下或口服治疗，每周5天。处死小鼠后取出肺组织，用10%中性缓冲福尔马林固定，然后进行苏木精-伊红（H&amp;E）染色。病理学家（CW）对切片进行检查，并对12 × 10 mm肺组织区域内的转移结节/沉积物进行评分。载体处理组在12 × 10 mm的肺组织区域内观察到约20个沉积物，大小为0.11–1.81 mm；相比之下，(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（口服）处理组仅观察到2个沉积物（1个0.44 mm的沉积物位于14 × 12 mm区域，1个0.15 mm的沉积物位于15 × 14 mm区域）（图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"Fig7"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7G、H</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）。此外，(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（皮下）处理组未观察到沉积物（图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"Fig7"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7G、H</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w:t>
      </w:r>
    </w:p>
    <w:p w14:paraId="53F4433D" w14:textId="77777777"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kern w:val="0"/>
          <w:sz w:val="24"/>
          <w:szCs w:val="24"/>
        </w:rPr>
        <w:t>此外，我们对原位注射表达荧光素酶的4T1细胞（5 × 10</w:t>
      </w:r>
      <w:r w:rsidRPr="00C03604">
        <w:rPr>
          <w:rFonts w:ascii="微软雅黑" w:eastAsia="微软雅黑" w:hAnsi="微软雅黑" w:cs="微软雅黑" w:hint="eastAsia"/>
          <w:kern w:val="0"/>
          <w:sz w:val="24"/>
          <w:szCs w:val="24"/>
        </w:rPr>
        <w:t>⁵</w:t>
      </w:r>
      <w:r w:rsidRPr="00C03604">
        <w:rPr>
          <w:rFonts w:ascii="微软雅黑" w:eastAsia="微软雅黑" w:hAnsi="微软雅黑" w:cs="宋体"/>
          <w:kern w:val="0"/>
          <w:sz w:val="24"/>
          <w:szCs w:val="24"/>
        </w:rPr>
        <w:t>）的小鼠进行了荧光成像</w:t>
      </w:r>
      <w:r w:rsidRPr="00C03604">
        <w:rPr>
          <w:rFonts w:ascii="微软雅黑" w:eastAsia="微软雅黑" w:hAnsi="微软雅黑" w:cs="宋体"/>
          <w:kern w:val="0"/>
          <w:sz w:val="24"/>
          <w:szCs w:val="24"/>
          <w:vertAlign w:val="superscript"/>
        </w:rPr>
        <w:t>。</w:t>
      </w:r>
      <w:r w:rsidRPr="00C03604">
        <w:rPr>
          <w:rFonts w:ascii="微软雅黑" w:eastAsia="微软雅黑" w:hAnsi="微软雅黑" w:cs="宋体"/>
          <w:kern w:val="0"/>
          <w:sz w:val="24"/>
          <w:szCs w:val="24"/>
        </w:rPr>
        <w:t xml:space="preserve">接种两周后，小鼠皮下注射载体（6% </w:t>
      </w:r>
      <w:proofErr w:type="spellStart"/>
      <w:r w:rsidRPr="00C03604">
        <w:rPr>
          <w:rFonts w:ascii="微软雅黑" w:eastAsia="微软雅黑" w:hAnsi="微软雅黑" w:cs="宋体"/>
          <w:kern w:val="0"/>
          <w:sz w:val="24"/>
          <w:szCs w:val="24"/>
        </w:rPr>
        <w:t>Captisol</w:t>
      </w:r>
      <w:proofErr w:type="spellEnd"/>
      <w:r w:rsidRPr="00C03604">
        <w:rPr>
          <w:rFonts w:ascii="微软雅黑" w:eastAsia="微软雅黑" w:hAnsi="微软雅黑" w:cs="宋体"/>
          <w:kern w:val="0"/>
          <w:sz w:val="24"/>
          <w:szCs w:val="24"/>
        </w:rPr>
        <w:t>）或(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（24 mg/kg），每周五次，持续两周。随后，小鼠腹腔注射D-荧光素，切除肺组织并进行转移灶成像。结果显示，(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治疗后肺组织发光强度（光子/秒）显著降低（图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"Fig7"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7I、J</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）。肺部也进行了 H&amp;E 染色，结果显示载体处理的小鼠肺部有明显的肿瘤结节（补充图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"MOESM1"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S7B-i ），而 ( </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处理的小鼠肺部则没有结节（补充图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"MOESM1"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S7B-iii</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），这表明该抑制剂可以抑制乳腺癌向肺部的转移。</w:t>
      </w:r>
    </w:p>
    <w:p w14:paraId="5CC4590B" w14:textId="77777777" w:rsidR="00C03604" w:rsidRPr="00C03604" w:rsidRDefault="00C03604" w:rsidP="00C03604">
      <w:pPr>
        <w:widowControl/>
        <w:pBdr>
          <w:bottom w:val="single" w:sz="6" w:space="0" w:color="97B1C8"/>
        </w:pBdr>
        <w:spacing w:line="450" w:lineRule="atLeast"/>
        <w:outlineLvl w:val="1"/>
        <w:rPr>
          <w:rFonts w:ascii="微软雅黑" w:eastAsia="微软雅黑" w:hAnsi="微软雅黑" w:cs="宋体"/>
          <w:kern w:val="0"/>
          <w:sz w:val="34"/>
          <w:szCs w:val="34"/>
        </w:rPr>
      </w:pPr>
      <w:r w:rsidRPr="00C03604">
        <w:rPr>
          <w:rFonts w:ascii="微软雅黑" w:eastAsia="微软雅黑" w:hAnsi="微软雅黑" w:cs="宋体"/>
          <w:kern w:val="0"/>
          <w:sz w:val="34"/>
          <w:szCs w:val="34"/>
        </w:rPr>
        <w:t>讨论</w:t>
      </w:r>
    </w:p>
    <w:p w14:paraId="7398EBAF" w14:textId="77777777"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kern w:val="0"/>
          <w:sz w:val="24"/>
          <w:szCs w:val="24"/>
        </w:rPr>
        <w:t>已知乳腺癌细胞具有多种分子改变和不同的分子图谱，因此发现</w:t>
      </w:r>
      <w:proofErr w:type="gramStart"/>
      <w:r w:rsidRPr="00C03604">
        <w:rPr>
          <w:rFonts w:ascii="微软雅黑" w:eastAsia="微软雅黑" w:hAnsi="微软雅黑" w:cs="宋体"/>
          <w:kern w:val="0"/>
          <w:sz w:val="24"/>
          <w:szCs w:val="24"/>
        </w:rPr>
        <w:t>可靶向</w:t>
      </w:r>
      <w:proofErr w:type="gramEnd"/>
      <w:r w:rsidRPr="00C03604">
        <w:rPr>
          <w:rFonts w:ascii="微软雅黑" w:eastAsia="微软雅黑" w:hAnsi="微软雅黑" w:cs="宋体"/>
          <w:kern w:val="0"/>
          <w:sz w:val="24"/>
          <w:szCs w:val="24"/>
        </w:rPr>
        <w:t>的分子仍然是一项挑战。在本报告中，我们发现活化的ACK1是一种癌蛋白，在ER </w:t>
      </w:r>
      <w:r w:rsidRPr="00C03604">
        <w:rPr>
          <w:rFonts w:ascii="微软雅黑" w:eastAsia="微软雅黑" w:hAnsi="微软雅黑" w:cs="宋体"/>
          <w:kern w:val="0"/>
          <w:sz w:val="24"/>
          <w:szCs w:val="24"/>
          <w:vertAlign w:val="superscript"/>
        </w:rPr>
        <w:t>+</w:t>
      </w:r>
      <w:r w:rsidRPr="00C03604">
        <w:rPr>
          <w:rFonts w:ascii="微软雅黑" w:eastAsia="微软雅黑" w:hAnsi="微软雅黑" w:cs="宋体"/>
          <w:kern w:val="0"/>
          <w:sz w:val="24"/>
          <w:szCs w:val="24"/>
        </w:rPr>
        <w:t>、ER </w:t>
      </w:r>
      <w:r w:rsidRPr="00C03604">
        <w:rPr>
          <w:rFonts w:ascii="微软雅黑" w:eastAsia="微软雅黑" w:hAnsi="微软雅黑" w:cs="宋体"/>
          <w:kern w:val="0"/>
          <w:sz w:val="24"/>
          <w:szCs w:val="24"/>
          <w:vertAlign w:val="superscript"/>
        </w:rPr>
        <w:t>+</w:t>
      </w:r>
      <w:r w:rsidRPr="00C03604">
        <w:rPr>
          <w:rFonts w:ascii="微软雅黑" w:eastAsia="微软雅黑" w:hAnsi="微软雅黑" w:cs="宋体"/>
          <w:kern w:val="0"/>
          <w:sz w:val="24"/>
          <w:szCs w:val="24"/>
        </w:rPr>
        <w:t> /PR </w:t>
      </w:r>
      <w:r w:rsidRPr="00C03604">
        <w:rPr>
          <w:rFonts w:ascii="微软雅黑" w:eastAsia="微软雅黑" w:hAnsi="微软雅黑" w:cs="宋体"/>
          <w:kern w:val="0"/>
          <w:sz w:val="24"/>
          <w:szCs w:val="24"/>
          <w:vertAlign w:val="superscript"/>
        </w:rPr>
        <w:t>+</w:t>
      </w:r>
      <w:r w:rsidRPr="00C03604">
        <w:rPr>
          <w:rFonts w:ascii="微软雅黑" w:eastAsia="微软雅黑" w:hAnsi="微软雅黑" w:cs="宋体"/>
          <w:kern w:val="0"/>
          <w:sz w:val="24"/>
          <w:szCs w:val="24"/>
        </w:rPr>
        <w:t>、HER2 </w:t>
      </w:r>
      <w:r w:rsidRPr="00C03604">
        <w:rPr>
          <w:rFonts w:ascii="微软雅黑" w:eastAsia="微软雅黑" w:hAnsi="微软雅黑" w:cs="宋体"/>
          <w:kern w:val="0"/>
          <w:sz w:val="24"/>
          <w:szCs w:val="24"/>
          <w:vertAlign w:val="superscript"/>
        </w:rPr>
        <w:t>+</w:t>
      </w:r>
      <w:r w:rsidRPr="00C03604">
        <w:rPr>
          <w:rFonts w:ascii="微软雅黑" w:eastAsia="微软雅黑" w:hAnsi="微软雅黑" w:cs="宋体"/>
          <w:kern w:val="0"/>
          <w:sz w:val="24"/>
          <w:szCs w:val="24"/>
        </w:rPr>
        <w:t>和TNBC亚型乳腺癌中均被激活。两种不同的机制可能导</w:t>
      </w:r>
      <w:r w:rsidRPr="00C03604">
        <w:rPr>
          <w:rFonts w:ascii="微软雅黑" w:eastAsia="微软雅黑" w:hAnsi="微软雅黑" w:cs="宋体"/>
          <w:kern w:val="0"/>
          <w:sz w:val="24"/>
          <w:szCs w:val="24"/>
        </w:rPr>
        <w:lastRenderedPageBreak/>
        <w:t>致ACK1的激活：(1)基因扩增（约占30%的乳腺癌），以及(2)受体酪氨酸激酶（RTK）的激活，例如HER2、EGFR、MERTK、PDGFR和胰岛素受体[ </w:t>
      </w:r>
      <w:hyperlink r:id="rId69" w:anchor="CR27" w:history="1">
        <w:r w:rsidRPr="00C03604">
          <w:rPr>
            <w:rFonts w:ascii="微软雅黑" w:eastAsia="微软雅黑" w:hAnsi="微软雅黑" w:cs="宋体"/>
            <w:kern w:val="0"/>
            <w:sz w:val="24"/>
            <w:szCs w:val="24"/>
            <w:u w:val="single"/>
          </w:rPr>
          <w:t>27</w:t>
        </w:r>
      </w:hyperlink>
      <w:r w:rsidRPr="00C03604">
        <w:rPr>
          <w:rFonts w:ascii="微软雅黑" w:eastAsia="微软雅黑" w:hAnsi="微软雅黑" w:cs="宋体"/>
          <w:kern w:val="0"/>
          <w:sz w:val="24"/>
          <w:szCs w:val="24"/>
        </w:rPr>
        <w:t> , </w:t>
      </w:r>
      <w:hyperlink r:id="rId70" w:anchor="CR34" w:history="1">
        <w:r w:rsidRPr="00C03604">
          <w:rPr>
            <w:rFonts w:ascii="微软雅黑" w:eastAsia="微软雅黑" w:hAnsi="微软雅黑" w:cs="宋体"/>
            <w:kern w:val="0"/>
            <w:sz w:val="24"/>
            <w:szCs w:val="24"/>
            <w:u w:val="single"/>
          </w:rPr>
          <w:t>34</w:t>
        </w:r>
      </w:hyperlink>
      <w:r w:rsidRPr="00C03604">
        <w:rPr>
          <w:rFonts w:ascii="微软雅黑" w:eastAsia="微软雅黑" w:hAnsi="微软雅黑" w:cs="宋体"/>
          <w:kern w:val="0"/>
          <w:sz w:val="24"/>
          <w:szCs w:val="24"/>
        </w:rPr>
        <w:t> ]。这些数据为多种乳腺癌亚型的新型治疗方法——使用强效小分子抑制剂(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抑制ACK1——开辟了道路。受ACK1活性丧失影响的转录本属于细胞周期调控基因，这些基因通过沉积pY88-H4标记进行表观遗传调控。与此一致，使用(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抑制ACK1不仅消除了</w:t>
      </w:r>
      <w:r w:rsidRPr="00C03604">
        <w:rPr>
          <w:rFonts w:ascii="微软雅黑" w:eastAsia="微软雅黑" w:hAnsi="微软雅黑" w:cs="宋体"/>
          <w:i/>
          <w:iCs/>
          <w:kern w:val="0"/>
          <w:sz w:val="24"/>
          <w:szCs w:val="24"/>
        </w:rPr>
        <w:t>CCNB1</w:t>
      </w:r>
      <w:r w:rsidRPr="00C03604">
        <w:rPr>
          <w:rFonts w:ascii="微软雅黑" w:eastAsia="微软雅黑" w:hAnsi="微软雅黑" w:cs="宋体"/>
          <w:kern w:val="0"/>
          <w:sz w:val="24"/>
          <w:szCs w:val="24"/>
        </w:rPr>
        <w:t>、</w:t>
      </w:r>
      <w:r w:rsidRPr="00C03604">
        <w:rPr>
          <w:rFonts w:ascii="微软雅黑" w:eastAsia="微软雅黑" w:hAnsi="微软雅黑" w:cs="宋体"/>
          <w:i/>
          <w:iCs/>
          <w:kern w:val="0"/>
          <w:sz w:val="24"/>
          <w:szCs w:val="24"/>
        </w:rPr>
        <w:t>CCNB2</w:t>
      </w:r>
      <w:r w:rsidRPr="00C03604">
        <w:rPr>
          <w:rFonts w:ascii="微软雅黑" w:eastAsia="微软雅黑" w:hAnsi="微软雅黑" w:cs="宋体"/>
          <w:kern w:val="0"/>
          <w:sz w:val="24"/>
          <w:szCs w:val="24"/>
        </w:rPr>
        <w:t>和</w:t>
      </w:r>
      <w:r w:rsidRPr="00C03604">
        <w:rPr>
          <w:rFonts w:ascii="微软雅黑" w:eastAsia="微软雅黑" w:hAnsi="微软雅黑" w:cs="宋体"/>
          <w:i/>
          <w:iCs/>
          <w:kern w:val="0"/>
          <w:sz w:val="24"/>
          <w:szCs w:val="24"/>
        </w:rPr>
        <w:t>CDC20</w:t>
      </w:r>
      <w:r w:rsidRPr="00C03604">
        <w:rPr>
          <w:rFonts w:ascii="微软雅黑" w:eastAsia="微软雅黑" w:hAnsi="微软雅黑" w:cs="宋体"/>
          <w:kern w:val="0"/>
          <w:sz w:val="24"/>
          <w:szCs w:val="24"/>
        </w:rPr>
        <w:t>基因上的pY88-H4表观遗传标记，抑制了基因转录，而且还导致细胞周期停滞于G2/M期。据我们所知，这是首篇报道组蛋白磷酸化对细胞周期调控基因进行表观遗传调控的研究，这与乳腺癌中ACK1激酶活性的过度激活直接相关。</w:t>
      </w:r>
    </w:p>
    <w:p w14:paraId="4C969FF8" w14:textId="77777777"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kern w:val="0"/>
          <w:sz w:val="24"/>
          <w:szCs w:val="24"/>
        </w:rPr>
        <w:t>CDK4/6抑制剂耐药性是临床治疗中无法回避的问题。导致CDK4/6抑制剂耐药性的分子机制似乎多种多样，可能涉及多个信号通路。已有报道指出，CDK4/6抑制剂的适应性存在多种旁路信号通路机制[ </w:t>
      </w:r>
      <w:hyperlink r:id="rId71" w:anchor="CR20" w:history="1">
        <w:r w:rsidRPr="00C03604">
          <w:rPr>
            <w:rFonts w:ascii="微软雅黑" w:eastAsia="微软雅黑" w:hAnsi="微软雅黑" w:cs="宋体"/>
            <w:kern w:val="0"/>
            <w:sz w:val="24"/>
            <w:szCs w:val="24"/>
            <w:u w:val="single"/>
          </w:rPr>
          <w:t>18-20 </w:t>
        </w:r>
      </w:hyperlink>
      <w:hyperlink r:id="rId72" w:anchor="CR18" w:history="1">
        <w:r w:rsidRPr="00C03604">
          <w:rPr>
            <w:rFonts w:ascii="微软雅黑" w:eastAsia="微软雅黑" w:hAnsi="微软雅黑" w:cs="宋体"/>
            <w:kern w:val="0"/>
            <w:sz w:val="24"/>
            <w:szCs w:val="24"/>
            <w:u w:val="single"/>
          </w:rPr>
          <w:t>] 。由</w:t>
        </w:r>
      </w:hyperlink>
      <w:r w:rsidRPr="00C03604">
        <w:rPr>
          <w:rFonts w:ascii="微软雅黑" w:eastAsia="微软雅黑" w:hAnsi="微软雅黑" w:cs="宋体"/>
          <w:i/>
          <w:iCs/>
          <w:kern w:val="0"/>
          <w:sz w:val="24"/>
          <w:szCs w:val="24"/>
        </w:rPr>
        <w:t>CCNB1</w:t>
      </w:r>
      <w:r w:rsidRPr="00C03604">
        <w:rPr>
          <w:rFonts w:ascii="微软雅黑" w:eastAsia="微软雅黑" w:hAnsi="微软雅黑" w:cs="宋体"/>
          <w:kern w:val="0"/>
          <w:sz w:val="24"/>
          <w:szCs w:val="24"/>
        </w:rPr>
        <w:t>基因编码的细胞周期蛋白B1与CDK1协同作用，对调控细胞周期G2/M期转换至关重要，并参与纺锤体检查点信号传导[ 41 </w:t>
      </w:r>
      <w:hyperlink r:id="rId73" w:anchor="CR41" w:history="1">
        <w:r w:rsidRPr="00C03604">
          <w:rPr>
            <w:rFonts w:ascii="微软雅黑" w:eastAsia="微软雅黑" w:hAnsi="微软雅黑" w:cs="宋体"/>
            <w:kern w:val="0"/>
            <w:sz w:val="24"/>
            <w:szCs w:val="24"/>
            <w:u w:val="single"/>
          </w:rPr>
          <w:t>]</w:t>
        </w:r>
      </w:hyperlink>
      <w:r w:rsidRPr="00C03604">
        <w:rPr>
          <w:rFonts w:ascii="微软雅黑" w:eastAsia="微软雅黑" w:hAnsi="微软雅黑" w:cs="宋体"/>
          <w:kern w:val="0"/>
          <w:sz w:val="24"/>
          <w:szCs w:val="24"/>
        </w:rPr>
        <w:t>。多项研究表明，</w:t>
      </w:r>
      <w:r w:rsidRPr="00C03604">
        <w:rPr>
          <w:rFonts w:ascii="微软雅黑" w:eastAsia="微软雅黑" w:hAnsi="微软雅黑" w:cs="宋体"/>
          <w:i/>
          <w:iCs/>
          <w:kern w:val="0"/>
          <w:sz w:val="24"/>
          <w:szCs w:val="24"/>
        </w:rPr>
        <w:t>CCNB1</w:t>
      </w:r>
      <w:r w:rsidRPr="00C03604">
        <w:rPr>
          <w:rFonts w:ascii="微软雅黑" w:eastAsia="微软雅黑" w:hAnsi="微软雅黑" w:cs="宋体"/>
          <w:kern w:val="0"/>
          <w:sz w:val="24"/>
          <w:szCs w:val="24"/>
        </w:rPr>
        <w:t>在乳腺癌、宫颈癌、肺癌、食管癌和黑色素瘤中具有促肿瘤作用[ </w:t>
      </w:r>
      <w:hyperlink r:id="rId74" w:anchor="CR52" w:history="1">
        <w:r w:rsidRPr="00C03604">
          <w:rPr>
            <w:rFonts w:ascii="微软雅黑" w:eastAsia="微软雅黑" w:hAnsi="微软雅黑" w:cs="宋体"/>
            <w:kern w:val="0"/>
            <w:sz w:val="24"/>
            <w:szCs w:val="24"/>
            <w:u w:val="single"/>
          </w:rPr>
          <w:t>52</w:t>
        </w:r>
      </w:hyperlink>
      <w:r w:rsidRPr="00C03604">
        <w:rPr>
          <w:rFonts w:ascii="微软雅黑" w:eastAsia="微软雅黑" w:hAnsi="微软雅黑" w:cs="宋体"/>
          <w:kern w:val="0"/>
          <w:sz w:val="24"/>
          <w:szCs w:val="24"/>
        </w:rPr>
        <w:t> ]。CCNB1被认为是ER</w:t>
      </w:r>
      <w:r w:rsidRPr="00C03604">
        <w:rPr>
          <w:rFonts w:ascii="微软雅黑" w:eastAsia="微软雅黑" w:hAnsi="微软雅黑" w:cs="宋体"/>
          <w:kern w:val="0"/>
          <w:sz w:val="24"/>
          <w:szCs w:val="24"/>
          <w:vertAlign w:val="superscript"/>
        </w:rPr>
        <w:t>阳性</w:t>
      </w:r>
      <w:r w:rsidRPr="00C03604">
        <w:rPr>
          <w:rFonts w:ascii="微软雅黑" w:eastAsia="微软雅黑" w:hAnsi="微软雅黑" w:cs="宋体"/>
          <w:kern w:val="0"/>
          <w:sz w:val="24"/>
          <w:szCs w:val="24"/>
        </w:rPr>
        <w:t>乳腺癌的预后生物标志物</w:t>
      </w:r>
      <w:r w:rsidRPr="00C03604">
        <w:rPr>
          <w:rFonts w:ascii="微软雅黑" w:eastAsia="微软雅黑" w:hAnsi="微软雅黑" w:cs="宋体"/>
          <w:i/>
          <w:iCs/>
          <w:kern w:val="0"/>
          <w:sz w:val="24"/>
          <w:szCs w:val="24"/>
        </w:rPr>
        <w:t>，</w:t>
      </w:r>
      <w:r w:rsidRPr="00C03604">
        <w:rPr>
          <w:rFonts w:ascii="微软雅黑" w:eastAsia="微软雅黑" w:hAnsi="微软雅黑" w:cs="宋体"/>
          <w:kern w:val="0"/>
          <w:sz w:val="24"/>
          <w:szCs w:val="24"/>
        </w:rPr>
        <w:t>提示其在激素治疗耐药中发挥作用，这为开发靶向细胞周期蛋白B1的治疗方法提供了可能[ </w:t>
      </w:r>
      <w:hyperlink r:id="rId75" w:anchor="CR53" w:history="1">
        <w:r w:rsidRPr="00C03604">
          <w:rPr>
            <w:rFonts w:ascii="微软雅黑" w:eastAsia="微软雅黑" w:hAnsi="微软雅黑" w:cs="宋体"/>
            <w:kern w:val="0"/>
            <w:sz w:val="24"/>
            <w:szCs w:val="24"/>
            <w:u w:val="single"/>
          </w:rPr>
          <w:t>53</w:t>
        </w:r>
      </w:hyperlink>
      <w:r w:rsidRPr="00C03604">
        <w:rPr>
          <w:rFonts w:ascii="微软雅黑" w:eastAsia="微软雅黑" w:hAnsi="微软雅黑" w:cs="宋体"/>
          <w:kern w:val="0"/>
          <w:sz w:val="24"/>
          <w:szCs w:val="24"/>
        </w:rPr>
        <w:t> ]。与细胞周期蛋白B1类似，细胞周期蛋白B2对于G2/M期（有丝分裂期）转换也至关重要，并且在乳腺癌中过表达[ </w:t>
      </w:r>
      <w:hyperlink r:id="rId76" w:anchor="CR44" w:history="1">
        <w:r w:rsidRPr="00C03604">
          <w:rPr>
            <w:rFonts w:ascii="微软雅黑" w:eastAsia="微软雅黑" w:hAnsi="微软雅黑" w:cs="宋体"/>
            <w:kern w:val="0"/>
            <w:sz w:val="24"/>
            <w:szCs w:val="24"/>
            <w:u w:val="single"/>
          </w:rPr>
          <w:t>44</w:t>
        </w:r>
      </w:hyperlink>
      <w:r w:rsidRPr="00C03604">
        <w:rPr>
          <w:rFonts w:ascii="微软雅黑" w:eastAsia="微软雅黑" w:hAnsi="微软雅黑" w:cs="宋体"/>
          <w:kern w:val="0"/>
          <w:sz w:val="24"/>
          <w:szCs w:val="24"/>
        </w:rPr>
        <w:t> ]，这与不良预后和较差的总生存率相关[ </w:t>
      </w:r>
      <w:hyperlink r:id="rId77" w:anchor="CR44" w:history="1">
        <w:r w:rsidRPr="00C03604">
          <w:rPr>
            <w:rFonts w:ascii="微软雅黑" w:eastAsia="微软雅黑" w:hAnsi="微软雅黑" w:cs="宋体"/>
            <w:kern w:val="0"/>
            <w:sz w:val="24"/>
            <w:szCs w:val="24"/>
            <w:u w:val="single"/>
          </w:rPr>
          <w:t>44</w:t>
        </w:r>
      </w:hyperlink>
      <w:r w:rsidRPr="00C03604">
        <w:rPr>
          <w:rFonts w:ascii="微软雅黑" w:eastAsia="微软雅黑" w:hAnsi="微软雅黑" w:cs="宋体"/>
          <w:kern w:val="0"/>
          <w:sz w:val="24"/>
          <w:szCs w:val="24"/>
        </w:rPr>
        <w:t> , </w:t>
      </w:r>
      <w:hyperlink r:id="rId78" w:anchor="CR54" w:history="1">
        <w:r w:rsidRPr="00C03604">
          <w:rPr>
            <w:rFonts w:ascii="微软雅黑" w:eastAsia="微软雅黑" w:hAnsi="微软雅黑" w:cs="宋体"/>
            <w:kern w:val="0"/>
            <w:sz w:val="24"/>
            <w:szCs w:val="24"/>
            <w:u w:val="single"/>
          </w:rPr>
          <w:t>54</w:t>
        </w:r>
      </w:hyperlink>
      <w:r w:rsidRPr="00C03604">
        <w:rPr>
          <w:rFonts w:ascii="微软雅黑" w:eastAsia="微软雅黑" w:hAnsi="微软雅黑" w:cs="宋体"/>
          <w:kern w:val="0"/>
          <w:sz w:val="24"/>
          <w:szCs w:val="24"/>
        </w:rPr>
        <w:t> ]。染色体分离和有丝分裂结束由APC/C（后期促进复合物/细胞周期体）及其共激活因子CDC20启动[ </w:t>
      </w:r>
      <w:hyperlink r:id="rId79" w:anchor="CR58" w:history="1">
        <w:r w:rsidRPr="00C03604">
          <w:rPr>
            <w:rFonts w:ascii="微软雅黑" w:eastAsia="微软雅黑" w:hAnsi="微软雅黑" w:cs="宋体"/>
            <w:kern w:val="0"/>
            <w:sz w:val="24"/>
            <w:szCs w:val="24"/>
            <w:u w:val="single"/>
          </w:rPr>
          <w:t>55 </w:t>
        </w:r>
      </w:hyperlink>
      <w:hyperlink r:id="rId80" w:anchor="CR55" w:history="1">
        <w:r w:rsidRPr="00C03604">
          <w:rPr>
            <w:rFonts w:ascii="微软雅黑" w:eastAsia="微软雅黑" w:hAnsi="微软雅黑" w:cs="宋体"/>
            <w:kern w:val="0"/>
            <w:sz w:val="24"/>
            <w:szCs w:val="24"/>
            <w:u w:val="single"/>
          </w:rPr>
          <w:t>]</w:t>
        </w:r>
      </w:hyperlink>
      <w:r w:rsidRPr="00C03604">
        <w:rPr>
          <w:rFonts w:ascii="微软雅黑" w:eastAsia="微软雅黑" w:hAnsi="微软雅黑" w:cs="宋体"/>
          <w:kern w:val="0"/>
          <w:sz w:val="24"/>
          <w:szCs w:val="24"/>
        </w:rPr>
        <w:t>。CDC20在乳腺癌中过表达，并发挥促肿瘤作用[ </w:t>
      </w:r>
      <w:hyperlink r:id="rId81" w:anchor="CR56" w:history="1">
        <w:r w:rsidRPr="00C03604">
          <w:rPr>
            <w:rFonts w:ascii="微软雅黑" w:eastAsia="微软雅黑" w:hAnsi="微软雅黑" w:cs="宋体"/>
            <w:kern w:val="0"/>
            <w:sz w:val="24"/>
            <w:szCs w:val="24"/>
            <w:u w:val="single"/>
          </w:rPr>
          <w:t>56-58</w:t>
        </w:r>
      </w:hyperlink>
      <w:r w:rsidRPr="00C03604">
        <w:rPr>
          <w:rFonts w:ascii="微软雅黑" w:eastAsia="微软雅黑" w:hAnsi="微软雅黑" w:cs="宋体"/>
          <w:kern w:val="0"/>
          <w:sz w:val="24"/>
          <w:szCs w:val="24"/>
        </w:rPr>
        <w:t> ]。ACK1抑制剂</w:t>
      </w:r>
      <w:r w:rsidRPr="00C03604">
        <w:rPr>
          <w:rFonts w:ascii="微软雅黑" w:eastAsia="微软雅黑" w:hAnsi="微软雅黑" w:cs="宋体"/>
          <w:kern w:val="0"/>
          <w:sz w:val="24"/>
          <w:szCs w:val="24"/>
        </w:rPr>
        <w:lastRenderedPageBreak/>
        <w:t>同时下调这三个关键基因导致四种不同亚型乳腺癌细胞发生G2/M期阻滞，从而揭示了CDK4/6抑制剂耐药细胞的新治疗靶点。这些耐药细胞主要通过持续进行G1期向S期的细胞周期转换而对帕博西尼产生耐药性。</w:t>
      </w:r>
    </w:p>
    <w:p w14:paraId="4983CFA0" w14:textId="77777777"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kern w:val="0"/>
          <w:sz w:val="24"/>
          <w:szCs w:val="24"/>
        </w:rPr>
        <w:t>雌激素诱导ER信号通路可诱导SIAH2表达，进而导致ACK1的蛋白酶体降解[ </w:t>
      </w:r>
      <w:hyperlink r:id="rId82" w:anchor="CR59" w:history="1">
        <w:r w:rsidRPr="00C03604">
          <w:rPr>
            <w:rFonts w:ascii="微软雅黑" w:eastAsia="微软雅黑" w:hAnsi="微软雅黑" w:cs="宋体"/>
            <w:kern w:val="0"/>
            <w:sz w:val="24"/>
            <w:szCs w:val="24"/>
            <w:u w:val="single"/>
          </w:rPr>
          <w:t>59</w:t>
        </w:r>
      </w:hyperlink>
      <w:r w:rsidRPr="00C03604">
        <w:rPr>
          <w:rFonts w:ascii="微软雅黑" w:eastAsia="微软雅黑" w:hAnsi="微软雅黑" w:cs="宋体"/>
          <w:kern w:val="0"/>
          <w:sz w:val="24"/>
          <w:szCs w:val="24"/>
        </w:rPr>
        <w:t> , </w:t>
      </w:r>
      <w:hyperlink r:id="rId83" w:anchor="CR60" w:history="1">
        <w:r w:rsidRPr="00C03604">
          <w:rPr>
            <w:rFonts w:ascii="微软雅黑" w:eastAsia="微软雅黑" w:hAnsi="微软雅黑" w:cs="宋体"/>
            <w:kern w:val="0"/>
            <w:sz w:val="24"/>
            <w:szCs w:val="24"/>
            <w:u w:val="single"/>
          </w:rPr>
          <w:t>60</w:t>
        </w:r>
      </w:hyperlink>
      <w:r w:rsidRPr="00C03604">
        <w:rPr>
          <w:rFonts w:ascii="微软雅黑" w:eastAsia="微软雅黑" w:hAnsi="微软雅黑" w:cs="宋体"/>
          <w:kern w:val="0"/>
          <w:sz w:val="24"/>
          <w:szCs w:val="24"/>
        </w:rPr>
        <w:t> ]。ER</w:t>
      </w:r>
      <w:r w:rsidRPr="00C03604">
        <w:rPr>
          <w:rFonts w:ascii="微软雅黑" w:eastAsia="微软雅黑" w:hAnsi="微软雅黑" w:cs="宋体"/>
          <w:kern w:val="0"/>
          <w:sz w:val="24"/>
          <w:szCs w:val="24"/>
          <w:vertAlign w:val="superscript"/>
        </w:rPr>
        <w:t>阳性</w:t>
      </w:r>
      <w:r w:rsidRPr="00C03604">
        <w:rPr>
          <w:rFonts w:ascii="微软雅黑" w:eastAsia="微软雅黑" w:hAnsi="微软雅黑" w:cs="宋体"/>
          <w:kern w:val="0"/>
          <w:sz w:val="24"/>
          <w:szCs w:val="24"/>
        </w:rPr>
        <w:t>乳腺癌样本中ACK1的染色强度可能因雌激素/ER/SIAH信号通路而降低。有趣的是，管腔型、ER</w:t>
      </w:r>
      <w:r w:rsidRPr="00C03604">
        <w:rPr>
          <w:rFonts w:ascii="微软雅黑" w:eastAsia="微软雅黑" w:hAnsi="微软雅黑" w:cs="宋体"/>
          <w:kern w:val="0"/>
          <w:sz w:val="24"/>
          <w:szCs w:val="24"/>
          <w:vertAlign w:val="superscript"/>
        </w:rPr>
        <w:t>阳性</w:t>
      </w:r>
      <w:r w:rsidRPr="00C03604">
        <w:rPr>
          <w:rFonts w:ascii="微软雅黑" w:eastAsia="微软雅黑" w:hAnsi="微软雅黑" w:cs="宋体"/>
          <w:kern w:val="0"/>
          <w:sz w:val="24"/>
          <w:szCs w:val="24"/>
        </w:rPr>
        <w:t>和PR阳性</w:t>
      </w:r>
      <w:r w:rsidRPr="00C03604">
        <w:rPr>
          <w:rFonts w:ascii="微软雅黑" w:eastAsia="微软雅黑" w:hAnsi="微软雅黑" w:cs="宋体"/>
          <w:kern w:val="0"/>
          <w:sz w:val="24"/>
          <w:szCs w:val="24"/>
          <w:vertAlign w:val="superscript"/>
        </w:rPr>
        <w:t>肿瘤</w:t>
      </w:r>
      <w:r w:rsidRPr="00C03604">
        <w:rPr>
          <w:rFonts w:ascii="微软雅黑" w:eastAsia="微软雅黑" w:hAnsi="微软雅黑" w:cs="宋体"/>
          <w:kern w:val="0"/>
          <w:sz w:val="24"/>
          <w:szCs w:val="24"/>
        </w:rPr>
        <w:t>均表现出较高的pACK1水平（图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"Fig1"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1A</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），这提示</w:t>
      </w:r>
      <w:proofErr w:type="gramStart"/>
      <w:r w:rsidRPr="00C03604">
        <w:rPr>
          <w:rFonts w:ascii="微软雅黑" w:eastAsia="微软雅黑" w:hAnsi="微软雅黑" w:cs="宋体"/>
          <w:kern w:val="0"/>
          <w:sz w:val="24"/>
          <w:szCs w:val="24"/>
        </w:rPr>
        <w:t>管腔型肿瘤</w:t>
      </w:r>
      <w:proofErr w:type="gramEnd"/>
      <w:r w:rsidRPr="00C03604">
        <w:rPr>
          <w:rFonts w:ascii="微软雅黑" w:eastAsia="微软雅黑" w:hAnsi="微软雅黑" w:cs="宋体"/>
          <w:kern w:val="0"/>
          <w:sz w:val="24"/>
          <w:szCs w:val="24"/>
        </w:rPr>
        <w:t>可能通过增强ACK1的激活来补偿雌激素对ACK1蛋白水平的负面影响。</w:t>
      </w:r>
    </w:p>
    <w:p w14:paraId="60C1017E" w14:textId="77777777"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kern w:val="0"/>
          <w:sz w:val="24"/>
          <w:szCs w:val="24"/>
        </w:rPr>
        <w:t>组蛋白去乙酰化酶HDAC1/HDAC2维持检查点激酶ATM、CHK1和CHK2的磷酸化，细胞周期守门激酶WEE1和CDK1的活性，以及</w:t>
      </w:r>
      <w:r w:rsidRPr="00C03604">
        <w:rPr>
          <w:rFonts w:ascii="MS Gothic" w:eastAsia="MS Gothic" w:hAnsi="MS Gothic" w:cs="MS Gothic" w:hint="eastAsia"/>
          <w:kern w:val="0"/>
          <w:sz w:val="24"/>
          <w:szCs w:val="24"/>
        </w:rPr>
        <w:t>​​</w:t>
      </w:r>
      <w:r w:rsidRPr="00C03604">
        <w:rPr>
          <w:rFonts w:ascii="微软雅黑" w:eastAsia="微软雅黑" w:hAnsi="微软雅黑" w:cs="宋体"/>
          <w:kern w:val="0"/>
          <w:sz w:val="24"/>
          <w:szCs w:val="24"/>
        </w:rPr>
        <w:t>在DNA复制停滞时诱导肿瘤抑制因子p53的表达[ </w:t>
      </w:r>
      <w:hyperlink r:id="rId84" w:anchor="CR61" w:history="1">
        <w:r w:rsidRPr="00C03604">
          <w:rPr>
            <w:rFonts w:ascii="微软雅黑" w:eastAsia="微软雅黑" w:hAnsi="微软雅黑" w:cs="宋体"/>
            <w:kern w:val="0"/>
            <w:sz w:val="24"/>
            <w:szCs w:val="24"/>
            <w:u w:val="single"/>
          </w:rPr>
          <w:t>61</w:t>
        </w:r>
      </w:hyperlink>
      <w:r w:rsidRPr="00C03604">
        <w:rPr>
          <w:rFonts w:ascii="微软雅黑" w:eastAsia="微软雅黑" w:hAnsi="微软雅黑" w:cs="宋体"/>
          <w:kern w:val="0"/>
          <w:sz w:val="24"/>
          <w:szCs w:val="24"/>
        </w:rPr>
        <w:t> ]。我们评估了ACK1抑制的效果；(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处理后γH2AX染色较弱，表明该化合物不会引起DNA损伤，尤其是双链断裂（补充图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"MOESM1"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S8 ）。有趣的是，( </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处理会影响MCF-7和MDA-MB-453细胞中CDK1和CDK2以及WEE1的表达，但在SKBR3或正常MCF10A细胞中则不会（补充图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"MOESM1"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S9</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 CDK 和 WEE1 的表达究竟如何受到 ACK1 抑</w:t>
      </w:r>
      <w:r w:rsidRPr="00C03604">
        <w:rPr>
          <w:rFonts w:ascii="MS Gothic" w:eastAsia="MS Gothic" w:hAnsi="MS Gothic" w:cs="MS Gothic" w:hint="eastAsia"/>
          <w:kern w:val="0"/>
          <w:sz w:val="24"/>
          <w:szCs w:val="24"/>
        </w:rPr>
        <w:t>​​</w:t>
      </w:r>
      <w:r w:rsidRPr="00C03604">
        <w:rPr>
          <w:rFonts w:ascii="微软雅黑" w:eastAsia="微软雅黑" w:hAnsi="微软雅黑" w:cs="宋体"/>
          <w:kern w:val="0"/>
          <w:sz w:val="24"/>
          <w:szCs w:val="24"/>
        </w:rPr>
        <w:t>制的影响尚不完全清楚，但这也可能有助于 (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处理后细胞周期停滞。</w:t>
      </w:r>
    </w:p>
    <w:p w14:paraId="67632CD7" w14:textId="77777777"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kern w:val="0"/>
          <w:sz w:val="24"/>
          <w:szCs w:val="24"/>
        </w:rPr>
        <w:t>紫杉醇等纺锤体毒素已广泛用于乳腺癌治疗。紫杉</w:t>
      </w:r>
      <w:proofErr w:type="gramStart"/>
      <w:r w:rsidRPr="00C03604">
        <w:rPr>
          <w:rFonts w:ascii="微软雅黑" w:eastAsia="微软雅黑" w:hAnsi="微软雅黑" w:cs="宋体"/>
          <w:kern w:val="0"/>
          <w:sz w:val="24"/>
          <w:szCs w:val="24"/>
        </w:rPr>
        <w:t>醇</w:t>
      </w:r>
      <w:proofErr w:type="gramEnd"/>
      <w:r w:rsidRPr="00C03604">
        <w:rPr>
          <w:rFonts w:ascii="微软雅黑" w:eastAsia="微软雅黑" w:hAnsi="微软雅黑" w:cs="宋体"/>
          <w:kern w:val="0"/>
          <w:sz w:val="24"/>
          <w:szCs w:val="24"/>
        </w:rPr>
        <w:t>通过促进稳定微管（尤其是β-微管蛋白异二聚体）的组装并抑制其解聚来阻止细胞分裂，从而使暴露于紫杉醇的细胞停滞在细胞周期的G2/M期。(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也能引起G2/M期阻滞，但其表观遗传机制与紫杉</w:t>
      </w:r>
      <w:proofErr w:type="gramStart"/>
      <w:r w:rsidRPr="00C03604">
        <w:rPr>
          <w:rFonts w:ascii="微软雅黑" w:eastAsia="微软雅黑" w:hAnsi="微软雅黑" w:cs="宋体"/>
          <w:kern w:val="0"/>
          <w:sz w:val="24"/>
          <w:szCs w:val="24"/>
        </w:rPr>
        <w:t>醇</w:t>
      </w:r>
      <w:proofErr w:type="gramEnd"/>
      <w:r w:rsidRPr="00C03604">
        <w:rPr>
          <w:rFonts w:ascii="微软雅黑" w:eastAsia="微软雅黑" w:hAnsi="微软雅黑" w:cs="宋体"/>
          <w:kern w:val="0"/>
          <w:sz w:val="24"/>
          <w:szCs w:val="24"/>
        </w:rPr>
        <w:t>不同。周围神经病变是紫杉醇的主要剂量限制性副作用</w:t>
      </w:r>
      <w:r w:rsidRPr="00C03604">
        <w:rPr>
          <w:rFonts w:ascii="微软雅黑" w:eastAsia="微软雅黑" w:hAnsi="微软雅黑" w:cs="宋体"/>
          <w:kern w:val="0"/>
          <w:sz w:val="24"/>
          <w:szCs w:val="24"/>
        </w:rPr>
        <w:lastRenderedPageBreak/>
        <w:t>[ </w:t>
      </w:r>
      <w:hyperlink r:id="rId85" w:anchor="CR62" w:history="1">
        <w:r w:rsidRPr="00C03604">
          <w:rPr>
            <w:rFonts w:ascii="微软雅黑" w:eastAsia="微软雅黑" w:hAnsi="微软雅黑" w:cs="宋体"/>
            <w:kern w:val="0"/>
            <w:sz w:val="24"/>
            <w:szCs w:val="24"/>
            <w:u w:val="single"/>
          </w:rPr>
          <w:t>62 ]，因此，将( </w:t>
        </w:r>
      </w:hyperlink>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与较低浓度的紫杉</w:t>
      </w:r>
      <w:proofErr w:type="gramStart"/>
      <w:r w:rsidRPr="00C03604">
        <w:rPr>
          <w:rFonts w:ascii="微软雅黑" w:eastAsia="微软雅黑" w:hAnsi="微软雅黑" w:cs="宋体"/>
          <w:kern w:val="0"/>
          <w:sz w:val="24"/>
          <w:szCs w:val="24"/>
        </w:rPr>
        <w:t>醇</w:t>
      </w:r>
      <w:proofErr w:type="gramEnd"/>
      <w:r w:rsidRPr="00C03604">
        <w:rPr>
          <w:rFonts w:ascii="微软雅黑" w:eastAsia="微软雅黑" w:hAnsi="微软雅黑" w:cs="宋体"/>
          <w:kern w:val="0"/>
          <w:sz w:val="24"/>
          <w:szCs w:val="24"/>
        </w:rPr>
        <w:t>联合使用，有望在不增加副作用的情况下达到疗效。</w:t>
      </w:r>
    </w:p>
    <w:p w14:paraId="62BC2DCA" w14:textId="77777777"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kern w:val="0"/>
          <w:sz w:val="24"/>
          <w:szCs w:val="24"/>
        </w:rPr>
        <w:t>(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对帕博西尼耐药和敏感的细胞系均有效。例如，BT549 和 MDA-MB-468 细胞系 Rb 阴性且对帕博西尼耐药，但这两个细胞系对 (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治疗敏感（图</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"Fig5"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5G-J</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）。此外，MCF7、SKBR 和 HCC-1395 细胞系 Rb 阳性且对帕博西尼敏感，(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也使其对帕博西尼敏感。我们最近的研究表明，ACK1 调控 AR 水平，而 AR</w:t>
      </w:r>
      <w:r w:rsidRPr="00C03604">
        <w:rPr>
          <w:rFonts w:ascii="微软雅黑" w:eastAsia="微软雅黑" w:hAnsi="微软雅黑" w:cs="宋体"/>
          <w:kern w:val="0"/>
          <w:sz w:val="24"/>
          <w:szCs w:val="24"/>
          <w:vertAlign w:val="superscript"/>
        </w:rPr>
        <w:t>阳性的</w:t>
      </w:r>
      <w:r w:rsidRPr="00C03604">
        <w:rPr>
          <w:rFonts w:ascii="微软雅黑" w:eastAsia="微软雅黑" w:hAnsi="微软雅黑" w:cs="宋体"/>
          <w:kern w:val="0"/>
          <w:sz w:val="24"/>
          <w:szCs w:val="24"/>
        </w:rPr>
        <w:t>前列腺癌细胞对 (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非常敏感[ </w:t>
      </w:r>
      <w:hyperlink r:id="rId86" w:anchor="CR21" w:history="1">
        <w:r w:rsidRPr="00C03604">
          <w:rPr>
            <w:rFonts w:ascii="微软雅黑" w:eastAsia="微软雅黑" w:hAnsi="微软雅黑" w:cs="宋体"/>
            <w:kern w:val="0"/>
            <w:sz w:val="24"/>
            <w:szCs w:val="24"/>
            <w:u w:val="single"/>
          </w:rPr>
          <w:t>21</w:t>
        </w:r>
      </w:hyperlink>
      <w:r w:rsidRPr="00C03604">
        <w:rPr>
          <w:rFonts w:ascii="微软雅黑" w:eastAsia="微软雅黑" w:hAnsi="微软雅黑" w:cs="宋体"/>
          <w:kern w:val="0"/>
          <w:sz w:val="24"/>
          <w:szCs w:val="24"/>
        </w:rPr>
        <w:t> , </w:t>
      </w:r>
      <w:hyperlink r:id="rId87" w:anchor="CR22" w:history="1">
        <w:r w:rsidRPr="00C03604">
          <w:rPr>
            <w:rFonts w:ascii="微软雅黑" w:eastAsia="微软雅黑" w:hAnsi="微软雅黑" w:cs="宋体"/>
            <w:kern w:val="0"/>
            <w:sz w:val="24"/>
            <w:szCs w:val="24"/>
            <w:u w:val="single"/>
          </w:rPr>
          <w:t>22</w:t>
        </w:r>
      </w:hyperlink>
      <w:r w:rsidRPr="00C03604">
        <w:rPr>
          <w:rFonts w:ascii="微软雅黑" w:eastAsia="微软雅黑" w:hAnsi="微软雅黑" w:cs="宋体"/>
          <w:kern w:val="0"/>
          <w:sz w:val="24"/>
          <w:szCs w:val="24"/>
        </w:rPr>
        <w:t> ]。AR 在超过 70% 的原发性乳腺癌中表达，且其表达与 ER 相关。在ER</w:t>
      </w:r>
      <w:r w:rsidRPr="00C03604">
        <w:rPr>
          <w:rFonts w:ascii="微软雅黑" w:eastAsia="微软雅黑" w:hAnsi="微软雅黑" w:cs="宋体"/>
          <w:kern w:val="0"/>
          <w:sz w:val="24"/>
          <w:szCs w:val="24"/>
          <w:vertAlign w:val="superscript"/>
        </w:rPr>
        <w:t>阳性</w:t>
      </w:r>
      <w:r w:rsidRPr="00C03604">
        <w:rPr>
          <w:rFonts w:ascii="微软雅黑" w:eastAsia="微软雅黑" w:hAnsi="微软雅黑" w:cs="宋体"/>
          <w:kern w:val="0"/>
          <w:sz w:val="24"/>
          <w:szCs w:val="24"/>
        </w:rPr>
        <w:t>早期乳腺癌中，AR的表达率高于ER</w:t>
      </w:r>
      <w:r w:rsidRPr="00C03604">
        <w:rPr>
          <w:rFonts w:ascii="微软雅黑" w:eastAsia="微软雅黑" w:hAnsi="微软雅黑" w:cs="宋体"/>
          <w:kern w:val="0"/>
          <w:sz w:val="24"/>
          <w:szCs w:val="24"/>
          <w:vertAlign w:val="superscript"/>
        </w:rPr>
        <w:t>阴性</w:t>
      </w:r>
      <w:r w:rsidRPr="00C03604">
        <w:rPr>
          <w:rFonts w:ascii="微软雅黑" w:eastAsia="微软雅黑" w:hAnsi="微软雅黑" w:cs="宋体"/>
          <w:kern w:val="0"/>
          <w:sz w:val="24"/>
          <w:szCs w:val="24"/>
        </w:rPr>
        <w:t>乳腺癌（分别为74.8%和31.8%）[ </w:t>
      </w:r>
      <w:hyperlink r:id="rId88" w:anchor="CR63" w:history="1">
        <w:r w:rsidRPr="00C03604">
          <w:rPr>
            <w:rFonts w:ascii="微软雅黑" w:eastAsia="微软雅黑" w:hAnsi="微软雅黑" w:cs="宋体"/>
            <w:kern w:val="0"/>
            <w:sz w:val="24"/>
            <w:szCs w:val="24"/>
            <w:u w:val="single"/>
          </w:rPr>
          <w:t>63 ]。ER</w:t>
        </w:r>
      </w:hyperlink>
      <w:r w:rsidRPr="00C03604">
        <w:rPr>
          <w:rFonts w:ascii="微软雅黑" w:eastAsia="微软雅黑" w:hAnsi="微软雅黑" w:cs="宋体"/>
          <w:kern w:val="0"/>
          <w:sz w:val="24"/>
          <w:szCs w:val="24"/>
          <w:vertAlign w:val="superscript"/>
        </w:rPr>
        <w:t>阴性</w:t>
      </w:r>
      <w:r w:rsidRPr="00C03604">
        <w:rPr>
          <w:rFonts w:ascii="微软雅黑" w:eastAsia="微软雅黑" w:hAnsi="微软雅黑" w:cs="宋体"/>
          <w:kern w:val="0"/>
          <w:sz w:val="24"/>
          <w:szCs w:val="24"/>
        </w:rPr>
        <w:t>/AR</w:t>
      </w:r>
      <w:r w:rsidRPr="00C03604">
        <w:rPr>
          <w:rFonts w:ascii="微软雅黑" w:eastAsia="微软雅黑" w:hAnsi="微软雅黑" w:cs="宋体"/>
          <w:kern w:val="0"/>
          <w:sz w:val="24"/>
          <w:szCs w:val="24"/>
          <w:vertAlign w:val="superscript"/>
        </w:rPr>
        <w:t>阳性</w:t>
      </w:r>
      <w:r w:rsidRPr="00C03604">
        <w:rPr>
          <w:rFonts w:ascii="微软雅黑" w:eastAsia="微软雅黑" w:hAnsi="微软雅黑" w:cs="宋体"/>
          <w:kern w:val="0"/>
          <w:sz w:val="24"/>
          <w:szCs w:val="24"/>
        </w:rPr>
        <w:t>乳腺癌患者的预后较好[ </w:t>
      </w:r>
      <w:hyperlink r:id="rId89" w:anchor="CR64" w:history="1">
        <w:r w:rsidRPr="00C03604">
          <w:rPr>
            <w:rFonts w:ascii="微软雅黑" w:eastAsia="微软雅黑" w:hAnsi="微软雅黑" w:cs="宋体"/>
            <w:kern w:val="0"/>
            <w:sz w:val="24"/>
            <w:szCs w:val="24"/>
            <w:u w:val="single"/>
          </w:rPr>
          <w:t>64</w:t>
        </w:r>
      </w:hyperlink>
      <w:r w:rsidRPr="00C03604">
        <w:rPr>
          <w:rFonts w:ascii="微软雅黑" w:eastAsia="微软雅黑" w:hAnsi="微软雅黑" w:cs="宋体"/>
          <w:kern w:val="0"/>
          <w:sz w:val="24"/>
          <w:szCs w:val="24"/>
        </w:rPr>
        <w:t> ]。因此，一项评估AR拮抗</w:t>
      </w:r>
      <w:proofErr w:type="gramStart"/>
      <w:r w:rsidRPr="00C03604">
        <w:rPr>
          <w:rFonts w:ascii="微软雅黑" w:eastAsia="微软雅黑" w:hAnsi="微软雅黑" w:cs="宋体"/>
          <w:kern w:val="0"/>
          <w:sz w:val="24"/>
          <w:szCs w:val="24"/>
        </w:rPr>
        <w:t>剂恩扎卢胺治疗</w:t>
      </w:r>
      <w:proofErr w:type="gramEnd"/>
      <w:r w:rsidRPr="00C03604">
        <w:rPr>
          <w:rFonts w:ascii="微软雅黑" w:eastAsia="微软雅黑" w:hAnsi="微软雅黑" w:cs="宋体"/>
          <w:kern w:val="0"/>
          <w:sz w:val="24"/>
          <w:szCs w:val="24"/>
        </w:rPr>
        <w:t>AR</w:t>
      </w:r>
      <w:r w:rsidRPr="00C03604">
        <w:rPr>
          <w:rFonts w:ascii="微软雅黑" w:eastAsia="微软雅黑" w:hAnsi="微软雅黑" w:cs="宋体"/>
          <w:kern w:val="0"/>
          <w:sz w:val="24"/>
          <w:szCs w:val="24"/>
          <w:vertAlign w:val="superscript"/>
        </w:rPr>
        <w:t>阳性</w:t>
      </w:r>
      <w:r w:rsidRPr="00C03604">
        <w:rPr>
          <w:rFonts w:ascii="微软雅黑" w:eastAsia="微软雅黑" w:hAnsi="微软雅黑" w:cs="宋体"/>
          <w:kern w:val="0"/>
          <w:sz w:val="24"/>
          <w:szCs w:val="24"/>
        </w:rPr>
        <w:t>三阴性乳腺癌的II期临床试验显示，16周时临床获益率为33%，中位无进展生存期为3.3个月[ </w:t>
      </w:r>
      <w:hyperlink r:id="rId90" w:anchor="CR65" w:history="1">
        <w:r w:rsidRPr="00C03604">
          <w:rPr>
            <w:rFonts w:ascii="微软雅黑" w:eastAsia="微软雅黑" w:hAnsi="微软雅黑" w:cs="宋体"/>
            <w:kern w:val="0"/>
            <w:sz w:val="24"/>
            <w:szCs w:val="24"/>
            <w:u w:val="single"/>
          </w:rPr>
          <w:t>65</w:t>
        </w:r>
      </w:hyperlink>
      <w:r w:rsidRPr="00C03604">
        <w:rPr>
          <w:rFonts w:ascii="微软雅黑" w:eastAsia="微软雅黑" w:hAnsi="微软雅黑" w:cs="宋体"/>
          <w:kern w:val="0"/>
          <w:sz w:val="24"/>
          <w:szCs w:val="24"/>
        </w:rPr>
        <w:t> , </w:t>
      </w:r>
      <w:hyperlink r:id="rId91" w:anchor="CR66" w:history="1">
        <w:r w:rsidRPr="00C03604">
          <w:rPr>
            <w:rFonts w:ascii="微软雅黑" w:eastAsia="微软雅黑" w:hAnsi="微软雅黑" w:cs="宋体"/>
            <w:kern w:val="0"/>
            <w:sz w:val="24"/>
            <w:szCs w:val="24"/>
            <w:u w:val="single"/>
          </w:rPr>
          <w:t>66</w:t>
        </w:r>
      </w:hyperlink>
      <w:r w:rsidRPr="00C03604">
        <w:rPr>
          <w:rFonts w:ascii="微软雅黑" w:eastAsia="微软雅黑" w:hAnsi="微软雅黑" w:cs="宋体"/>
          <w:kern w:val="0"/>
          <w:sz w:val="24"/>
          <w:szCs w:val="24"/>
        </w:rPr>
        <w:t> ]。值得注意的是，另一项评估AR拮抗剂（雄激素合成抑制剂）阿</w:t>
      </w:r>
      <w:proofErr w:type="gramStart"/>
      <w:r w:rsidRPr="00C03604">
        <w:rPr>
          <w:rFonts w:ascii="微软雅黑" w:eastAsia="微软雅黑" w:hAnsi="微软雅黑" w:cs="宋体"/>
          <w:kern w:val="0"/>
          <w:sz w:val="24"/>
          <w:szCs w:val="24"/>
        </w:rPr>
        <w:t>比特龙治疗</w:t>
      </w:r>
      <w:proofErr w:type="gramEnd"/>
      <w:r w:rsidRPr="00C03604">
        <w:rPr>
          <w:rFonts w:ascii="微软雅黑" w:eastAsia="微软雅黑" w:hAnsi="微软雅黑" w:cs="宋体"/>
          <w:kern w:val="0"/>
          <w:sz w:val="24"/>
          <w:szCs w:val="24"/>
        </w:rPr>
        <w:t>ER</w:t>
      </w:r>
      <w:r w:rsidRPr="00C03604">
        <w:rPr>
          <w:rFonts w:ascii="微软雅黑" w:eastAsia="微软雅黑" w:hAnsi="微软雅黑" w:cs="宋体"/>
          <w:kern w:val="0"/>
          <w:sz w:val="24"/>
          <w:szCs w:val="24"/>
          <w:vertAlign w:val="superscript"/>
        </w:rPr>
        <w:t>阳性</w:t>
      </w:r>
      <w:r w:rsidRPr="00C03604">
        <w:rPr>
          <w:rFonts w:ascii="微软雅黑" w:eastAsia="微软雅黑" w:hAnsi="微软雅黑" w:cs="宋体"/>
          <w:kern w:val="0"/>
          <w:sz w:val="24"/>
          <w:szCs w:val="24"/>
        </w:rPr>
        <w:t>/AR</w:t>
      </w:r>
      <w:r w:rsidRPr="00C03604">
        <w:rPr>
          <w:rFonts w:ascii="微软雅黑" w:eastAsia="微软雅黑" w:hAnsi="微软雅黑" w:cs="宋体"/>
          <w:kern w:val="0"/>
          <w:sz w:val="24"/>
          <w:szCs w:val="24"/>
          <w:vertAlign w:val="superscript"/>
        </w:rPr>
        <w:t>阳性</w:t>
      </w:r>
      <w:r w:rsidRPr="00C03604">
        <w:rPr>
          <w:rFonts w:ascii="微软雅黑" w:eastAsia="微软雅黑" w:hAnsi="微软雅黑" w:cs="宋体"/>
          <w:kern w:val="0"/>
          <w:sz w:val="24"/>
          <w:szCs w:val="24"/>
        </w:rPr>
        <w:t>晚期乳腺癌的I/II期临床试验显示，24周时临床获益率为20%，中位无进展生存期为2.8个月（</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"https://clinicaltrials.gov/ct2/show/NCT00755885" \t "_blank"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NCT00755885</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）。因此，(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可能对乳腺癌</w:t>
      </w:r>
      <w:proofErr w:type="gramStart"/>
      <w:r w:rsidRPr="00C03604">
        <w:rPr>
          <w:rFonts w:ascii="微软雅黑" w:eastAsia="微软雅黑" w:hAnsi="微软雅黑" w:cs="宋体"/>
          <w:kern w:val="0"/>
          <w:sz w:val="24"/>
          <w:szCs w:val="24"/>
        </w:rPr>
        <w:t>具有泛致作用</w:t>
      </w:r>
      <w:proofErr w:type="gramEnd"/>
      <w:r w:rsidRPr="00C03604">
        <w:rPr>
          <w:rFonts w:ascii="微软雅黑" w:eastAsia="微软雅黑" w:hAnsi="微软雅黑" w:cs="宋体"/>
          <w:kern w:val="0"/>
          <w:sz w:val="24"/>
          <w:szCs w:val="24"/>
        </w:rPr>
        <w:t>，这不仅是因为它能够抑制细胞周期基因，还能抑制雄激素受体（AR）的表达。此外，我们最近还发现 (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具有免疫调节特性[ </w:t>
      </w:r>
      <w:hyperlink r:id="rId92" w:anchor="CR38" w:history="1">
        <w:r w:rsidRPr="00C03604">
          <w:rPr>
            <w:rFonts w:ascii="微软雅黑" w:eastAsia="微软雅黑" w:hAnsi="微软雅黑" w:cs="宋体"/>
            <w:kern w:val="0"/>
            <w:sz w:val="24"/>
            <w:szCs w:val="24"/>
            <w:u w:val="single"/>
          </w:rPr>
          <w:t>38</w:t>
        </w:r>
      </w:hyperlink>
      <w:r w:rsidRPr="00C03604">
        <w:rPr>
          <w:rFonts w:ascii="微软雅黑" w:eastAsia="微软雅黑" w:hAnsi="微软雅黑" w:cs="宋体"/>
          <w:kern w:val="0"/>
          <w:sz w:val="24"/>
          <w:szCs w:val="24"/>
        </w:rPr>
        <w:t> ]，这也有助于 (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proofErr w:type="gramStart"/>
      <w:r w:rsidRPr="00C03604">
        <w:rPr>
          <w:rFonts w:ascii="微软雅黑" w:eastAsia="微软雅黑" w:hAnsi="微软雅黑" w:cs="宋体"/>
          <w:kern w:val="0"/>
          <w:sz w:val="24"/>
          <w:szCs w:val="24"/>
        </w:rPr>
        <w:t>的泛致作用</w:t>
      </w:r>
      <w:proofErr w:type="gramEnd"/>
      <w:r w:rsidRPr="00C03604">
        <w:rPr>
          <w:rFonts w:ascii="微软雅黑" w:eastAsia="微软雅黑" w:hAnsi="微软雅黑" w:cs="宋体"/>
          <w:kern w:val="0"/>
          <w:sz w:val="24"/>
          <w:szCs w:val="24"/>
        </w:rPr>
        <w:t>。考虑到 ACK1 抑</w:t>
      </w:r>
      <w:r w:rsidRPr="00C03604">
        <w:rPr>
          <w:rFonts w:ascii="MS Gothic" w:eastAsia="MS Gothic" w:hAnsi="MS Gothic" w:cs="MS Gothic" w:hint="eastAsia"/>
          <w:kern w:val="0"/>
          <w:sz w:val="24"/>
          <w:szCs w:val="24"/>
        </w:rPr>
        <w:t>​​</w:t>
      </w:r>
      <w:r w:rsidRPr="00C03604">
        <w:rPr>
          <w:rFonts w:ascii="微软雅黑" w:eastAsia="微软雅黑" w:hAnsi="微软雅黑" w:cs="宋体"/>
          <w:kern w:val="0"/>
          <w:sz w:val="24"/>
          <w:szCs w:val="24"/>
        </w:rPr>
        <w:t>制剂已被证明能有效抑制前列腺肿瘤的生长 [ </w:t>
      </w:r>
      <w:hyperlink r:id="rId93" w:anchor="CR21" w:history="1">
        <w:r w:rsidRPr="00C03604">
          <w:rPr>
            <w:rFonts w:ascii="微软雅黑" w:eastAsia="微软雅黑" w:hAnsi="微软雅黑" w:cs="宋体"/>
            <w:kern w:val="0"/>
            <w:sz w:val="24"/>
            <w:szCs w:val="24"/>
            <w:u w:val="single"/>
          </w:rPr>
          <w:t>21</w:t>
        </w:r>
      </w:hyperlink>
      <w:r w:rsidRPr="00C03604">
        <w:rPr>
          <w:rFonts w:ascii="微软雅黑" w:eastAsia="微软雅黑" w:hAnsi="微软雅黑" w:cs="宋体"/>
          <w:kern w:val="0"/>
          <w:sz w:val="24"/>
          <w:szCs w:val="24"/>
        </w:rPr>
        <w:t> , </w:t>
      </w:r>
      <w:hyperlink r:id="rId94" w:anchor="CR22" w:history="1">
        <w:r w:rsidRPr="00C03604">
          <w:rPr>
            <w:rFonts w:ascii="微软雅黑" w:eastAsia="微软雅黑" w:hAnsi="微软雅黑" w:cs="宋体"/>
            <w:kern w:val="0"/>
            <w:sz w:val="24"/>
            <w:szCs w:val="24"/>
            <w:u w:val="single"/>
          </w:rPr>
          <w:t>22 ]，( </w:t>
        </w:r>
      </w:hyperlink>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的</w:t>
      </w:r>
      <w:proofErr w:type="gramStart"/>
      <w:r w:rsidRPr="00C03604">
        <w:rPr>
          <w:rFonts w:ascii="微软雅黑" w:eastAsia="微软雅黑" w:hAnsi="微软雅黑" w:cs="宋体"/>
          <w:kern w:val="0"/>
          <w:sz w:val="24"/>
          <w:szCs w:val="24"/>
        </w:rPr>
        <w:t>泛致作用</w:t>
      </w:r>
      <w:proofErr w:type="gramEnd"/>
      <w:r w:rsidRPr="00C03604">
        <w:rPr>
          <w:rFonts w:ascii="微软雅黑" w:eastAsia="微软雅黑" w:hAnsi="微软雅黑" w:cs="宋体"/>
          <w:kern w:val="0"/>
          <w:sz w:val="24"/>
          <w:szCs w:val="24"/>
        </w:rPr>
        <w:t>可能在这两种激素调控的肿瘤中均有体现。</w:t>
      </w:r>
    </w:p>
    <w:p w14:paraId="6835779F" w14:textId="77777777"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i/>
          <w:iCs/>
          <w:kern w:val="0"/>
          <w:sz w:val="24"/>
          <w:szCs w:val="24"/>
        </w:rPr>
        <w:t>CXCR4</w:t>
      </w:r>
      <w:r w:rsidRPr="00C03604">
        <w:rPr>
          <w:rFonts w:ascii="微软雅黑" w:eastAsia="微软雅黑" w:hAnsi="微软雅黑" w:cs="宋体"/>
          <w:kern w:val="0"/>
          <w:sz w:val="24"/>
          <w:szCs w:val="24"/>
        </w:rPr>
        <w:t>基因与乳腺癌转移密切相关，它不仅能诱导间质增生，赋予原发肿瘤免疫抵抗力，而且抑制CXCR4还能使肿瘤细胞对免疫浸润和肿瘤消退更加敏感</w:t>
      </w:r>
      <w:r w:rsidRPr="00C03604">
        <w:rPr>
          <w:rFonts w:ascii="微软雅黑" w:eastAsia="微软雅黑" w:hAnsi="微软雅黑" w:cs="宋体"/>
          <w:kern w:val="0"/>
          <w:sz w:val="24"/>
          <w:szCs w:val="24"/>
        </w:rPr>
        <w:lastRenderedPageBreak/>
        <w:t>[ </w:t>
      </w:r>
      <w:hyperlink r:id="rId95" w:anchor="CR50" w:history="1">
        <w:r w:rsidRPr="00C03604">
          <w:rPr>
            <w:rFonts w:ascii="微软雅黑" w:eastAsia="微软雅黑" w:hAnsi="微软雅黑" w:cs="宋体"/>
            <w:kern w:val="0"/>
            <w:sz w:val="24"/>
            <w:szCs w:val="24"/>
            <w:u w:val="single"/>
          </w:rPr>
          <w:t>48-50 </w:t>
        </w:r>
      </w:hyperlink>
      <w:hyperlink r:id="rId96" w:anchor="CR48" w:history="1">
        <w:r w:rsidRPr="00C03604">
          <w:rPr>
            <w:rFonts w:ascii="微软雅黑" w:eastAsia="微软雅黑" w:hAnsi="微软雅黑" w:cs="宋体"/>
            <w:kern w:val="0"/>
            <w:sz w:val="24"/>
            <w:szCs w:val="24"/>
            <w:u w:val="single"/>
          </w:rPr>
          <w:t>]</w:t>
        </w:r>
      </w:hyperlink>
      <w:r w:rsidRPr="00C03604">
        <w:rPr>
          <w:rFonts w:ascii="微软雅黑" w:eastAsia="微软雅黑" w:hAnsi="微软雅黑" w:cs="宋体"/>
          <w:kern w:val="0"/>
          <w:sz w:val="24"/>
          <w:szCs w:val="24"/>
        </w:rPr>
        <w:t>。CXCR4-LASP1轴调控核定位的Snail1的稳定性，可能是克服乳腺癌转移的潜在靶点[ </w:t>
      </w:r>
      <w:hyperlink r:id="rId97" w:anchor="CR50" w:history="1">
        <w:r w:rsidRPr="00C03604">
          <w:rPr>
            <w:rFonts w:ascii="微软雅黑" w:eastAsia="微软雅黑" w:hAnsi="微软雅黑" w:cs="宋体"/>
            <w:kern w:val="0"/>
            <w:sz w:val="24"/>
            <w:szCs w:val="24"/>
            <w:u w:val="single"/>
          </w:rPr>
          <w:t>50</w:t>
        </w:r>
      </w:hyperlink>
      <w:r w:rsidRPr="00C03604">
        <w:rPr>
          <w:rFonts w:ascii="微软雅黑" w:eastAsia="微软雅黑" w:hAnsi="微软雅黑" w:cs="宋体"/>
          <w:kern w:val="0"/>
          <w:sz w:val="24"/>
          <w:szCs w:val="24"/>
        </w:rPr>
        <w:t> , </w:t>
      </w:r>
      <w:hyperlink r:id="rId98" w:anchor="CR67" w:history="1">
        <w:r w:rsidRPr="00C03604">
          <w:rPr>
            <w:rFonts w:ascii="微软雅黑" w:eastAsia="微软雅黑" w:hAnsi="微软雅黑" w:cs="宋体"/>
            <w:kern w:val="0"/>
            <w:sz w:val="24"/>
            <w:szCs w:val="24"/>
            <w:u w:val="single"/>
          </w:rPr>
          <w:t>67</w:t>
        </w:r>
      </w:hyperlink>
      <w:r w:rsidRPr="00C03604">
        <w:rPr>
          <w:rFonts w:ascii="微软雅黑" w:eastAsia="微软雅黑" w:hAnsi="微软雅黑" w:cs="宋体"/>
          <w:kern w:val="0"/>
          <w:sz w:val="24"/>
          <w:szCs w:val="24"/>
        </w:rPr>
        <w:t> ]。(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不仅逆转了</w:t>
      </w:r>
      <w:r w:rsidRPr="00C03604">
        <w:rPr>
          <w:rFonts w:ascii="微软雅黑" w:eastAsia="微软雅黑" w:hAnsi="微软雅黑" w:cs="宋体"/>
          <w:i/>
          <w:iCs/>
          <w:kern w:val="0"/>
          <w:sz w:val="24"/>
          <w:szCs w:val="24"/>
        </w:rPr>
        <w:t>CXCR4的</w:t>
      </w:r>
      <w:r w:rsidRPr="00C03604">
        <w:rPr>
          <w:rFonts w:ascii="微软雅黑" w:eastAsia="微软雅黑" w:hAnsi="微软雅黑" w:cs="宋体"/>
          <w:kern w:val="0"/>
          <w:sz w:val="24"/>
          <w:szCs w:val="24"/>
        </w:rPr>
        <w:t>表达，还阻止了乳腺癌向肺部的转移，凸显了ACK1抑制在疾病后期阶段的生理意义。结合肿瘤抑制数据，我们的研究进一步强调了探索ACK1作为所有乳腺癌亚型潜在治疗靶点的必要性。</w:t>
      </w:r>
    </w:p>
    <w:p w14:paraId="663AF569" w14:textId="77777777" w:rsidR="00C03604" w:rsidRPr="00C03604" w:rsidRDefault="00C03604" w:rsidP="00C03604">
      <w:pPr>
        <w:widowControl/>
        <w:pBdr>
          <w:bottom w:val="single" w:sz="6" w:space="0" w:color="97B1C8"/>
        </w:pBdr>
        <w:spacing w:line="450" w:lineRule="atLeast"/>
        <w:outlineLvl w:val="1"/>
        <w:rPr>
          <w:rFonts w:ascii="微软雅黑" w:eastAsia="微软雅黑" w:hAnsi="微软雅黑" w:cs="宋体"/>
          <w:kern w:val="0"/>
          <w:sz w:val="34"/>
          <w:szCs w:val="34"/>
        </w:rPr>
      </w:pPr>
      <w:r w:rsidRPr="00C03604">
        <w:rPr>
          <w:rFonts w:ascii="微软雅黑" w:eastAsia="微软雅黑" w:hAnsi="微软雅黑" w:cs="宋体"/>
          <w:kern w:val="0"/>
          <w:sz w:val="34"/>
          <w:szCs w:val="34"/>
        </w:rPr>
        <w:t>材料与方法</w:t>
      </w:r>
    </w:p>
    <w:p w14:paraId="7EE5B780" w14:textId="77777777" w:rsidR="00C03604" w:rsidRPr="00C03604" w:rsidRDefault="00C03604" w:rsidP="00C03604">
      <w:pPr>
        <w:widowControl/>
        <w:spacing w:line="450" w:lineRule="atLeast"/>
        <w:outlineLvl w:val="2"/>
        <w:rPr>
          <w:rFonts w:ascii="微软雅黑" w:eastAsia="微软雅黑" w:hAnsi="微软雅黑" w:cs="宋体"/>
          <w:kern w:val="0"/>
          <w:sz w:val="32"/>
          <w:szCs w:val="32"/>
        </w:rPr>
      </w:pPr>
      <w:r w:rsidRPr="00C03604">
        <w:rPr>
          <w:rFonts w:ascii="微软雅黑" w:eastAsia="微软雅黑" w:hAnsi="微软雅黑" w:cs="宋体"/>
          <w:kern w:val="0"/>
          <w:sz w:val="32"/>
          <w:szCs w:val="32"/>
        </w:rPr>
        <w:t>细胞系</w:t>
      </w:r>
    </w:p>
    <w:p w14:paraId="4DBD9B17" w14:textId="77777777"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kern w:val="0"/>
          <w:sz w:val="24"/>
          <w:szCs w:val="24"/>
        </w:rPr>
        <w:t xml:space="preserve">MDA-MB-231、MDA-MB-453、MDA-MB-468、BT549、HCC-1395、T47D 和 MCF7 细胞系购自 ATCC。Cal-148 细胞系购自德国莱布尼茨微生物和细胞培养物保藏中心 (DSMZ)。MDA-MB-231 和 MDA-MB-453 细胞系培养于添加 10% FBS（Invitrogen）的 DMEM 培养基中。MCF7 细胞系培养于添加 10% FBS（Invitrogen）的 MEM 培养基中。Cal-148 细胞系培养于添加 10% FBS（Invitrogen）和人表皮生长因子 (EGF)（10 </w:t>
      </w:r>
      <w:proofErr w:type="spellStart"/>
      <w:r w:rsidRPr="00C03604">
        <w:rPr>
          <w:rFonts w:ascii="微软雅黑" w:eastAsia="微软雅黑" w:hAnsi="微软雅黑" w:cs="宋体"/>
          <w:kern w:val="0"/>
          <w:sz w:val="24"/>
          <w:szCs w:val="24"/>
        </w:rPr>
        <w:t>μg</w:t>
      </w:r>
      <w:proofErr w:type="spellEnd"/>
      <w:r w:rsidRPr="00C03604">
        <w:rPr>
          <w:rFonts w:ascii="微软雅黑" w:eastAsia="微软雅黑" w:hAnsi="微软雅黑" w:cs="宋体"/>
          <w:kern w:val="0"/>
          <w:sz w:val="24"/>
          <w:szCs w:val="24"/>
        </w:rPr>
        <w:t>/ml）的 DMEM 培养基中。HCC-1395、SKBR3 和 T47D 细胞系培养于添加 10% FBS 的 RPMI 培养基中。所有培养物均使用 50 单位/毫升的青霉素/链霉素（Invitrogen）维持，并在 5% CO</w:t>
      </w:r>
      <w:r w:rsidRPr="00C03604">
        <w:rPr>
          <w:rFonts w:ascii="Cambria Math" w:eastAsia="微软雅黑" w:hAnsi="Cambria Math" w:cs="Cambria Math"/>
          <w:kern w:val="0"/>
          <w:sz w:val="24"/>
          <w:szCs w:val="24"/>
        </w:rPr>
        <w:t>₂</w:t>
      </w:r>
      <w:r w:rsidRPr="00C03604">
        <w:rPr>
          <w:rFonts w:ascii="微软雅黑" w:eastAsia="微软雅黑" w:hAnsi="微软雅黑" w:cs="宋体"/>
          <w:kern w:val="0"/>
          <w:sz w:val="24"/>
          <w:szCs w:val="24"/>
        </w:rPr>
        <w:t xml:space="preserve"> 培养箱中培养</w:t>
      </w:r>
      <w:r w:rsidRPr="00C03604">
        <w:rPr>
          <w:rFonts w:ascii="微软雅黑" w:eastAsia="微软雅黑" w:hAnsi="微软雅黑" w:cs="宋体"/>
          <w:kern w:val="0"/>
          <w:sz w:val="24"/>
          <w:szCs w:val="24"/>
          <w:vertAlign w:val="subscript"/>
        </w:rPr>
        <w:t>。</w:t>
      </w:r>
      <w:r w:rsidRPr="00C03604">
        <w:rPr>
          <w:rFonts w:ascii="微软雅黑" w:eastAsia="微软雅黑" w:hAnsi="微软雅黑" w:cs="宋体"/>
          <w:kern w:val="0"/>
          <w:sz w:val="24"/>
          <w:szCs w:val="24"/>
        </w:rPr>
        <w:t xml:space="preserve">每 2 </w:t>
      </w:r>
      <w:proofErr w:type="gramStart"/>
      <w:r w:rsidRPr="00C03604">
        <w:rPr>
          <w:rFonts w:ascii="微软雅黑" w:eastAsia="微软雅黑" w:hAnsi="微软雅黑" w:cs="宋体"/>
          <w:kern w:val="0"/>
          <w:sz w:val="24"/>
          <w:szCs w:val="24"/>
        </w:rPr>
        <w:t>个月进行</w:t>
      </w:r>
      <w:proofErr w:type="gramEnd"/>
      <w:r w:rsidRPr="00C03604">
        <w:rPr>
          <w:rFonts w:ascii="微软雅黑" w:eastAsia="微软雅黑" w:hAnsi="微软雅黑" w:cs="宋体"/>
          <w:kern w:val="0"/>
          <w:sz w:val="24"/>
          <w:szCs w:val="24"/>
        </w:rPr>
        <w:t>一次支原体检测，并通过 STR 分型进行细胞系鉴定。</w:t>
      </w:r>
    </w:p>
    <w:p w14:paraId="7DF3A947" w14:textId="77777777" w:rsidR="00C03604" w:rsidRPr="00C03604" w:rsidRDefault="00C03604" w:rsidP="00C03604">
      <w:pPr>
        <w:widowControl/>
        <w:spacing w:line="450" w:lineRule="atLeast"/>
        <w:outlineLvl w:val="2"/>
        <w:rPr>
          <w:rFonts w:ascii="微软雅黑" w:eastAsia="微软雅黑" w:hAnsi="微软雅黑" w:cs="宋体"/>
          <w:kern w:val="0"/>
          <w:sz w:val="32"/>
          <w:szCs w:val="32"/>
        </w:rPr>
      </w:pPr>
      <w:r w:rsidRPr="00C03604">
        <w:rPr>
          <w:rFonts w:ascii="微软雅黑" w:eastAsia="微软雅黑" w:hAnsi="微软雅黑" w:cs="宋体"/>
          <w:kern w:val="0"/>
          <w:sz w:val="32"/>
          <w:szCs w:val="32"/>
        </w:rPr>
        <w:t>增殖试验、凋亡试验和细胞周期分析</w:t>
      </w:r>
    </w:p>
    <w:p w14:paraId="07B20687" w14:textId="77777777"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kern w:val="0"/>
          <w:sz w:val="24"/>
          <w:szCs w:val="24"/>
        </w:rPr>
        <w:t>在增殖实验中，将5 × 10</w:t>
      </w:r>
      <w:r w:rsidRPr="00C03604">
        <w:rPr>
          <w:rFonts w:ascii="微软雅黑" w:eastAsia="微软雅黑" w:hAnsi="微软雅黑" w:cs="微软雅黑" w:hint="eastAsia"/>
          <w:kern w:val="0"/>
          <w:sz w:val="24"/>
          <w:szCs w:val="24"/>
        </w:rPr>
        <w:t>⁴</w:t>
      </w:r>
      <w:proofErr w:type="gramStart"/>
      <w:r w:rsidRPr="00C03604">
        <w:rPr>
          <w:rFonts w:ascii="微软雅黑" w:eastAsia="微软雅黑" w:hAnsi="微软雅黑" w:cs="宋体"/>
          <w:kern w:val="0"/>
          <w:sz w:val="24"/>
          <w:szCs w:val="24"/>
          <w:vertAlign w:val="superscript"/>
        </w:rPr>
        <w:t>个</w:t>
      </w:r>
      <w:proofErr w:type="gramEnd"/>
      <w:r w:rsidRPr="00C03604">
        <w:rPr>
          <w:rFonts w:ascii="微软雅黑" w:eastAsia="微软雅黑" w:hAnsi="微软雅黑" w:cs="宋体"/>
          <w:kern w:val="0"/>
          <w:sz w:val="24"/>
          <w:szCs w:val="24"/>
        </w:rPr>
        <w:t>细胞接种于6孔板中，并用溶剂（DMSO）或不同浓度的(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或帕博西尼在完全培养基中处理96小时，然后</w:t>
      </w:r>
      <w:proofErr w:type="gramStart"/>
      <w:r w:rsidRPr="00C03604">
        <w:rPr>
          <w:rFonts w:ascii="微软雅黑" w:eastAsia="微软雅黑" w:hAnsi="微软雅黑" w:cs="宋体"/>
          <w:kern w:val="0"/>
          <w:sz w:val="24"/>
          <w:szCs w:val="24"/>
        </w:rPr>
        <w:t>通过台盼蓝染色</w:t>
      </w:r>
      <w:proofErr w:type="gramEnd"/>
      <w:r w:rsidRPr="00C03604">
        <w:rPr>
          <w:rFonts w:ascii="微软雅黑" w:eastAsia="微软雅黑" w:hAnsi="微软雅黑" w:cs="宋体"/>
          <w:kern w:val="0"/>
          <w:sz w:val="24"/>
          <w:szCs w:val="24"/>
        </w:rPr>
        <w:t>排除法计数活细胞数量。乳腺癌细胞系用溶剂或不同浓度的(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处理72小</w:t>
      </w:r>
      <w:r w:rsidRPr="00C03604">
        <w:rPr>
          <w:rFonts w:ascii="微软雅黑" w:eastAsia="微软雅黑" w:hAnsi="微软雅黑" w:cs="宋体"/>
          <w:kern w:val="0"/>
          <w:sz w:val="24"/>
          <w:szCs w:val="24"/>
        </w:rPr>
        <w:lastRenderedPageBreak/>
        <w:t xml:space="preserve">时。收集细胞，用PBS洗涤两次，并按照制造商的方案（BD Biosciences）与3 </w:t>
      </w:r>
      <w:proofErr w:type="spellStart"/>
      <w:r w:rsidRPr="00C03604">
        <w:rPr>
          <w:rFonts w:ascii="微软雅黑" w:eastAsia="微软雅黑" w:hAnsi="微软雅黑" w:cs="宋体"/>
          <w:kern w:val="0"/>
          <w:sz w:val="24"/>
          <w:szCs w:val="24"/>
        </w:rPr>
        <w:t>μl</w:t>
      </w:r>
      <w:proofErr w:type="spellEnd"/>
      <w:r w:rsidRPr="00C03604">
        <w:rPr>
          <w:rFonts w:ascii="微软雅黑" w:eastAsia="微软雅黑" w:hAnsi="微软雅黑" w:cs="宋体"/>
          <w:kern w:val="0"/>
          <w:sz w:val="24"/>
          <w:szCs w:val="24"/>
        </w:rPr>
        <w:t xml:space="preserve"> Annexin V-FITC抗体孵育。用5 </w:t>
      </w:r>
      <w:proofErr w:type="spellStart"/>
      <w:r w:rsidRPr="00C03604">
        <w:rPr>
          <w:rFonts w:ascii="微软雅黑" w:eastAsia="微软雅黑" w:hAnsi="微软雅黑" w:cs="宋体"/>
          <w:kern w:val="0"/>
          <w:sz w:val="24"/>
          <w:szCs w:val="24"/>
        </w:rPr>
        <w:t>μl</w:t>
      </w:r>
      <w:proofErr w:type="spellEnd"/>
      <w:r w:rsidRPr="00C03604">
        <w:rPr>
          <w:rFonts w:ascii="微软雅黑" w:eastAsia="微软雅黑" w:hAnsi="微软雅黑" w:cs="宋体"/>
          <w:kern w:val="0"/>
          <w:sz w:val="24"/>
          <w:szCs w:val="24"/>
        </w:rPr>
        <w:t>碘化丙</w:t>
      </w:r>
      <w:proofErr w:type="gramStart"/>
      <w:r w:rsidRPr="00C03604">
        <w:rPr>
          <w:rFonts w:ascii="微软雅黑" w:eastAsia="微软雅黑" w:hAnsi="微软雅黑" w:cs="宋体"/>
          <w:kern w:val="0"/>
          <w:sz w:val="24"/>
          <w:szCs w:val="24"/>
        </w:rPr>
        <w:t>啶</w:t>
      </w:r>
      <w:proofErr w:type="gramEnd"/>
      <w:r w:rsidRPr="00C03604">
        <w:rPr>
          <w:rFonts w:ascii="微软雅黑" w:eastAsia="微软雅黑" w:hAnsi="微软雅黑" w:cs="宋体"/>
          <w:kern w:val="0"/>
          <w:sz w:val="24"/>
          <w:szCs w:val="24"/>
        </w:rPr>
        <w:t xml:space="preserve">染色坏死细胞。使用BD </w:t>
      </w:r>
      <w:proofErr w:type="spellStart"/>
      <w:r w:rsidRPr="00C03604">
        <w:rPr>
          <w:rFonts w:ascii="微软雅黑" w:eastAsia="微软雅黑" w:hAnsi="微软雅黑" w:cs="宋体"/>
          <w:kern w:val="0"/>
          <w:sz w:val="24"/>
          <w:szCs w:val="24"/>
        </w:rPr>
        <w:t>FACSCalibur</w:t>
      </w:r>
      <w:proofErr w:type="spellEnd"/>
      <w:r w:rsidRPr="00C03604">
        <w:rPr>
          <w:rFonts w:ascii="微软雅黑" w:eastAsia="微软雅黑" w:hAnsi="微软雅黑" w:cs="宋体"/>
          <w:kern w:val="0"/>
          <w:sz w:val="24"/>
          <w:szCs w:val="24"/>
        </w:rPr>
        <w:t>流式细胞仪（BD Biosciences）采集细胞，并使用</w:t>
      </w:r>
      <w:proofErr w:type="spellStart"/>
      <w:r w:rsidRPr="00C03604">
        <w:rPr>
          <w:rFonts w:ascii="微软雅黑" w:eastAsia="微软雅黑" w:hAnsi="微软雅黑" w:cs="宋体"/>
          <w:kern w:val="0"/>
          <w:sz w:val="24"/>
          <w:szCs w:val="24"/>
        </w:rPr>
        <w:t>FlowJo</w:t>
      </w:r>
      <w:proofErr w:type="spellEnd"/>
      <w:r w:rsidRPr="00C03604">
        <w:rPr>
          <w:rFonts w:ascii="微软雅黑" w:eastAsia="微软雅黑" w:hAnsi="微软雅黑" w:cs="宋体"/>
          <w:kern w:val="0"/>
          <w:sz w:val="24"/>
          <w:szCs w:val="24"/>
        </w:rPr>
        <w:t>软件分析数据。细胞周期分析如前所述[ </w:t>
      </w:r>
      <w:hyperlink r:id="rId99" w:anchor="CR24" w:history="1">
        <w:r w:rsidRPr="00C03604">
          <w:rPr>
            <w:rFonts w:ascii="微软雅黑" w:eastAsia="微软雅黑" w:hAnsi="微软雅黑" w:cs="宋体"/>
            <w:kern w:val="0"/>
            <w:sz w:val="24"/>
            <w:szCs w:val="24"/>
            <w:u w:val="single"/>
          </w:rPr>
          <w:t>24</w:t>
        </w:r>
      </w:hyperlink>
      <w:r w:rsidRPr="00C03604">
        <w:rPr>
          <w:rFonts w:ascii="微软雅黑" w:eastAsia="微软雅黑" w:hAnsi="微软雅黑" w:cs="宋体"/>
          <w:kern w:val="0"/>
          <w:sz w:val="24"/>
          <w:szCs w:val="24"/>
        </w:rPr>
        <w:t> ]。简而言之，用胰蛋白酶消化收集载体或(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（48 h）处理的细胞，用PBS洗涤两次，然后用冰冷的70%乙醇固定1小时，再用PBS洗涤两次。将细胞沉淀物用50 µl RNase A（100 µg/ml；Sigma）在37 °C下处理15分钟，然后加入碘化丙</w:t>
      </w:r>
      <w:proofErr w:type="gramStart"/>
      <w:r w:rsidRPr="00C03604">
        <w:rPr>
          <w:rFonts w:ascii="微软雅黑" w:eastAsia="微软雅黑" w:hAnsi="微软雅黑" w:cs="宋体"/>
          <w:kern w:val="0"/>
          <w:sz w:val="24"/>
          <w:szCs w:val="24"/>
        </w:rPr>
        <w:t>啶</w:t>
      </w:r>
      <w:proofErr w:type="gramEnd"/>
      <w:r w:rsidRPr="00C03604">
        <w:rPr>
          <w:rFonts w:ascii="微软雅黑" w:eastAsia="微软雅黑" w:hAnsi="微软雅黑" w:cs="宋体"/>
          <w:kern w:val="0"/>
          <w:sz w:val="24"/>
          <w:szCs w:val="24"/>
        </w:rPr>
        <w:t>（PI；50 µg/ml，Sigma），最后使用BD FACS Canto-II或</w:t>
      </w:r>
      <w:proofErr w:type="spellStart"/>
      <w:r w:rsidRPr="00C03604">
        <w:rPr>
          <w:rFonts w:ascii="微软雅黑" w:eastAsia="微软雅黑" w:hAnsi="微软雅黑" w:cs="宋体"/>
          <w:kern w:val="0"/>
          <w:sz w:val="24"/>
          <w:szCs w:val="24"/>
        </w:rPr>
        <w:t>FACSCalibur</w:t>
      </w:r>
      <w:proofErr w:type="spellEnd"/>
      <w:r w:rsidRPr="00C03604">
        <w:rPr>
          <w:rFonts w:ascii="微软雅黑" w:eastAsia="微软雅黑" w:hAnsi="微软雅黑" w:cs="宋体"/>
          <w:kern w:val="0"/>
          <w:sz w:val="24"/>
          <w:szCs w:val="24"/>
        </w:rPr>
        <w:t>流式细胞仪进行采集。数据使用</w:t>
      </w:r>
      <w:proofErr w:type="spellStart"/>
      <w:r w:rsidRPr="00C03604">
        <w:rPr>
          <w:rFonts w:ascii="微软雅黑" w:eastAsia="微软雅黑" w:hAnsi="微软雅黑" w:cs="宋体"/>
          <w:kern w:val="0"/>
          <w:sz w:val="24"/>
          <w:szCs w:val="24"/>
        </w:rPr>
        <w:t>FlowJo</w:t>
      </w:r>
      <w:proofErr w:type="spellEnd"/>
      <w:r w:rsidRPr="00C03604">
        <w:rPr>
          <w:rFonts w:ascii="微软雅黑" w:eastAsia="微软雅黑" w:hAnsi="微软雅黑" w:cs="宋体"/>
          <w:kern w:val="0"/>
          <w:sz w:val="24"/>
          <w:szCs w:val="24"/>
        </w:rPr>
        <w:t>软件进行分析。</w:t>
      </w:r>
    </w:p>
    <w:p w14:paraId="53B114BA" w14:textId="77777777" w:rsidR="00C03604" w:rsidRPr="00C03604" w:rsidRDefault="00C03604" w:rsidP="00C03604">
      <w:pPr>
        <w:widowControl/>
        <w:spacing w:line="450" w:lineRule="atLeast"/>
        <w:outlineLvl w:val="2"/>
        <w:rPr>
          <w:rFonts w:ascii="微软雅黑" w:eastAsia="微软雅黑" w:hAnsi="微软雅黑" w:cs="宋体"/>
          <w:kern w:val="0"/>
          <w:sz w:val="32"/>
          <w:szCs w:val="32"/>
        </w:rPr>
      </w:pPr>
      <w:r w:rsidRPr="00C03604">
        <w:rPr>
          <w:rFonts w:ascii="微软雅黑" w:eastAsia="微软雅黑" w:hAnsi="微软雅黑" w:cs="宋体"/>
          <w:kern w:val="0"/>
          <w:sz w:val="32"/>
          <w:szCs w:val="32"/>
        </w:rPr>
        <w:t>免疫沉淀和蛋白质印迹分析</w:t>
      </w:r>
    </w:p>
    <w:p w14:paraId="4B74F970" w14:textId="77777777"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kern w:val="0"/>
          <w:sz w:val="24"/>
          <w:szCs w:val="24"/>
        </w:rPr>
        <w:t>将载体或 (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 （5 µM，在无血清培养基中过夜）处理的细胞在受体裂解缓冲液 (RLB) [ </w:t>
      </w:r>
      <w:hyperlink r:id="rId100" w:anchor="CR27" w:history="1">
        <w:r w:rsidRPr="00C03604">
          <w:rPr>
            <w:rFonts w:ascii="微软雅黑" w:eastAsia="微软雅黑" w:hAnsi="微软雅黑" w:cs="宋体"/>
            <w:kern w:val="0"/>
            <w:sz w:val="24"/>
            <w:szCs w:val="24"/>
            <w:u w:val="single"/>
          </w:rPr>
          <w:t>27</w:t>
        </w:r>
      </w:hyperlink>
      <w:r w:rsidRPr="00C03604">
        <w:rPr>
          <w:rFonts w:ascii="微软雅黑" w:eastAsia="微软雅黑" w:hAnsi="微软雅黑" w:cs="宋体"/>
          <w:kern w:val="0"/>
          <w:sz w:val="24"/>
          <w:szCs w:val="24"/>
        </w:rPr>
        <w:t> ]中超声破碎裂解，</w:t>
      </w:r>
      <w:proofErr w:type="gramStart"/>
      <w:r w:rsidRPr="00C03604">
        <w:rPr>
          <w:rFonts w:ascii="微软雅黑" w:eastAsia="微软雅黑" w:hAnsi="微软雅黑" w:cs="宋体"/>
          <w:kern w:val="0"/>
          <w:sz w:val="24"/>
          <w:szCs w:val="24"/>
        </w:rPr>
        <w:t>裂解物</w:t>
      </w:r>
      <w:proofErr w:type="gramEnd"/>
      <w:r w:rsidRPr="00C03604">
        <w:rPr>
          <w:rFonts w:ascii="微软雅黑" w:eastAsia="微软雅黑" w:hAnsi="微软雅黑" w:cs="宋体"/>
          <w:kern w:val="0"/>
          <w:sz w:val="24"/>
          <w:szCs w:val="24"/>
        </w:rPr>
        <w:t>通过 SDS-PAGE 进行分离，并转移到 PVDF 膜 (Immobilon) 上。将封闭后的膜（5%脱脂奶粉或3% BSA，室温，1小时）与以下</w:t>
      </w:r>
      <w:proofErr w:type="gramStart"/>
      <w:r w:rsidRPr="00C03604">
        <w:rPr>
          <w:rFonts w:ascii="微软雅黑" w:eastAsia="微软雅黑" w:hAnsi="微软雅黑" w:cs="宋体"/>
          <w:kern w:val="0"/>
          <w:sz w:val="24"/>
          <w:szCs w:val="24"/>
        </w:rPr>
        <w:t>一</w:t>
      </w:r>
      <w:proofErr w:type="gramEnd"/>
      <w:r w:rsidRPr="00C03604">
        <w:rPr>
          <w:rFonts w:ascii="微软雅黑" w:eastAsia="微软雅黑" w:hAnsi="微软雅黑" w:cs="宋体"/>
          <w:kern w:val="0"/>
          <w:sz w:val="24"/>
          <w:szCs w:val="24"/>
        </w:rPr>
        <w:t>抗孵育：ACK1小鼠单克隆抗体（1:1000；Santacruz Biotechnology）、pACK1小鼠单克隆抗体（1:1000；EMD Millipore）、肌动蛋白小鼠单克隆抗体（1:10000；Sigma）、组蛋白H4小鼠单克隆抗体（1:3000；Cell Signaling Technology）、细胞周期蛋白B1小鼠单克隆抗体（1:1000；Santacruz Biotechnology）、细胞周期蛋白B2小鼠单克隆抗体（1:1000；Santacruz Biotechnology）和CDC20</w:t>
      </w:r>
      <w:proofErr w:type="gramStart"/>
      <w:r w:rsidRPr="00C03604">
        <w:rPr>
          <w:rFonts w:ascii="微软雅黑" w:eastAsia="微软雅黑" w:hAnsi="微软雅黑" w:cs="宋体"/>
          <w:kern w:val="0"/>
          <w:sz w:val="24"/>
          <w:szCs w:val="24"/>
        </w:rPr>
        <w:t>兔</w:t>
      </w:r>
      <w:proofErr w:type="gramEnd"/>
      <w:r w:rsidRPr="00C03604">
        <w:rPr>
          <w:rFonts w:ascii="微软雅黑" w:eastAsia="微软雅黑" w:hAnsi="微软雅黑" w:cs="宋体"/>
          <w:kern w:val="0"/>
          <w:sz w:val="24"/>
          <w:szCs w:val="24"/>
        </w:rPr>
        <w:t xml:space="preserve">单克隆抗体（1:1000；Cell Signaling Technology）。洗涤膜后，根据制造商说明书（GE Healthcare），使用增强化学发光（ECL）系统显色。为了检测 pY88-H4 和 pY284-ACK1，使用 3–4 µg </w:t>
      </w:r>
      <w:r w:rsidRPr="00C03604">
        <w:rPr>
          <w:rFonts w:ascii="微软雅黑" w:eastAsia="微软雅黑" w:hAnsi="微软雅黑" w:cs="宋体"/>
          <w:kern w:val="0"/>
          <w:sz w:val="24"/>
          <w:szCs w:val="24"/>
        </w:rPr>
        <w:lastRenderedPageBreak/>
        <w:t>相应的磷酸化特异性抗体与蛋白 A/G-琼脂糖珠（Santacruz Biotechnology）偶联，对细胞裂解液进行免疫沉淀，然后分别使用 H4 或 ACK1 抗体进行免疫印迹。</w:t>
      </w:r>
    </w:p>
    <w:p w14:paraId="61921DAB" w14:textId="77777777" w:rsidR="00C03604" w:rsidRPr="00C03604" w:rsidRDefault="00C03604" w:rsidP="00C03604">
      <w:pPr>
        <w:widowControl/>
        <w:spacing w:line="450" w:lineRule="atLeast"/>
        <w:outlineLvl w:val="2"/>
        <w:rPr>
          <w:rFonts w:ascii="微软雅黑" w:eastAsia="微软雅黑" w:hAnsi="微软雅黑" w:cs="宋体"/>
          <w:kern w:val="0"/>
          <w:sz w:val="32"/>
          <w:szCs w:val="32"/>
        </w:rPr>
      </w:pPr>
      <w:r w:rsidRPr="00C03604">
        <w:rPr>
          <w:rFonts w:ascii="微软雅黑" w:eastAsia="微软雅黑" w:hAnsi="微软雅黑" w:cs="宋体"/>
          <w:kern w:val="0"/>
          <w:sz w:val="32"/>
          <w:szCs w:val="32"/>
        </w:rPr>
        <w:t>RNA测序</w:t>
      </w:r>
    </w:p>
    <w:p w14:paraId="3D891D1C" w14:textId="77777777"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i/>
          <w:iCs/>
          <w:kern w:val="0"/>
          <w:sz w:val="24"/>
          <w:szCs w:val="24"/>
        </w:rPr>
        <w:t>将MDA-MB-453和HCC-1395细胞分别用载体或( 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 （2.5 µM，过夜）处理，收集细胞并提取RNA，随后进行测序。使用</w:t>
      </w:r>
      <w:proofErr w:type="spellStart"/>
      <w:r w:rsidRPr="00C03604">
        <w:rPr>
          <w:rFonts w:ascii="微软雅黑" w:eastAsia="微软雅黑" w:hAnsi="微软雅黑" w:cs="宋体"/>
          <w:kern w:val="0"/>
          <w:sz w:val="24"/>
          <w:szCs w:val="24"/>
        </w:rPr>
        <w:t>Partek</w:t>
      </w:r>
      <w:proofErr w:type="spellEnd"/>
      <w:r w:rsidRPr="00C03604">
        <w:rPr>
          <w:rFonts w:ascii="微软雅黑" w:eastAsia="微软雅黑" w:hAnsi="微软雅黑" w:cs="宋体"/>
          <w:kern w:val="0"/>
          <w:sz w:val="24"/>
          <w:szCs w:val="24"/>
        </w:rPr>
        <w:t>流式分析仪分析原始数据文件。</w:t>
      </w:r>
    </w:p>
    <w:p w14:paraId="502E9BE7" w14:textId="77777777" w:rsidR="00C03604" w:rsidRPr="00C03604" w:rsidRDefault="00C03604" w:rsidP="00C03604">
      <w:pPr>
        <w:widowControl/>
        <w:spacing w:line="450" w:lineRule="atLeast"/>
        <w:outlineLvl w:val="2"/>
        <w:rPr>
          <w:rFonts w:ascii="微软雅黑" w:eastAsia="微软雅黑" w:hAnsi="微软雅黑" w:cs="宋体"/>
          <w:kern w:val="0"/>
          <w:sz w:val="32"/>
          <w:szCs w:val="32"/>
        </w:rPr>
      </w:pPr>
      <w:r w:rsidRPr="00C03604">
        <w:rPr>
          <w:rFonts w:ascii="微软雅黑" w:eastAsia="微软雅黑" w:hAnsi="微软雅黑" w:cs="宋体"/>
          <w:kern w:val="0"/>
          <w:sz w:val="32"/>
          <w:szCs w:val="32"/>
        </w:rPr>
        <w:t>染色质免疫沉淀 (</w:t>
      </w:r>
      <w:proofErr w:type="spellStart"/>
      <w:r w:rsidRPr="00C03604">
        <w:rPr>
          <w:rFonts w:ascii="微软雅黑" w:eastAsia="微软雅黑" w:hAnsi="微软雅黑" w:cs="宋体"/>
          <w:kern w:val="0"/>
          <w:sz w:val="32"/>
          <w:szCs w:val="32"/>
        </w:rPr>
        <w:t>ChIP</w:t>
      </w:r>
      <w:proofErr w:type="spellEnd"/>
      <w:r w:rsidRPr="00C03604">
        <w:rPr>
          <w:rFonts w:ascii="微软雅黑" w:eastAsia="微软雅黑" w:hAnsi="微软雅黑" w:cs="宋体"/>
          <w:kern w:val="0"/>
          <w:sz w:val="32"/>
          <w:szCs w:val="32"/>
        </w:rPr>
        <w:t xml:space="preserve">) 和 </w:t>
      </w:r>
      <w:proofErr w:type="spellStart"/>
      <w:r w:rsidRPr="00C03604">
        <w:rPr>
          <w:rFonts w:ascii="微软雅黑" w:eastAsia="微软雅黑" w:hAnsi="微软雅黑" w:cs="宋体"/>
          <w:kern w:val="0"/>
          <w:sz w:val="32"/>
          <w:szCs w:val="32"/>
        </w:rPr>
        <w:t>ChIP</w:t>
      </w:r>
      <w:proofErr w:type="spellEnd"/>
      <w:r w:rsidRPr="00C03604">
        <w:rPr>
          <w:rFonts w:ascii="微软雅黑" w:eastAsia="微软雅黑" w:hAnsi="微软雅黑" w:cs="宋体"/>
          <w:kern w:val="0"/>
          <w:sz w:val="32"/>
          <w:szCs w:val="32"/>
        </w:rPr>
        <w:t xml:space="preserve"> 测序</w:t>
      </w:r>
    </w:p>
    <w:p w14:paraId="271FD9DE" w14:textId="77777777"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kern w:val="0"/>
          <w:sz w:val="24"/>
          <w:szCs w:val="24"/>
        </w:rPr>
        <w:t xml:space="preserve">将细胞沉淀重悬于 RLB 缓冲液中并进行超声处理，然后将可溶性染色质与抗体和 Protein-G/A 磁珠孵育。复合物用 RLB 缓冲液洗涤，随后用 </w:t>
      </w:r>
      <w:proofErr w:type="spellStart"/>
      <w:r w:rsidRPr="00C03604">
        <w:rPr>
          <w:rFonts w:ascii="微软雅黑" w:eastAsia="微软雅黑" w:hAnsi="微软雅黑" w:cs="宋体"/>
          <w:kern w:val="0"/>
          <w:sz w:val="24"/>
          <w:szCs w:val="24"/>
        </w:rPr>
        <w:t>ChIP</w:t>
      </w:r>
      <w:proofErr w:type="spellEnd"/>
      <w:r w:rsidRPr="00C03604">
        <w:rPr>
          <w:rFonts w:ascii="微软雅黑" w:eastAsia="微软雅黑" w:hAnsi="微软雅黑" w:cs="宋体"/>
          <w:kern w:val="0"/>
          <w:sz w:val="24"/>
          <w:szCs w:val="24"/>
        </w:rPr>
        <w:t xml:space="preserve"> 缓冲液 1 和 2（Active Motif）洗涤，最后用洗脱缓冲液洗脱，并进行蛋白酶 K 处理。使用 PCR DNA 纯化柱（Qiagen）纯化 </w:t>
      </w:r>
      <w:proofErr w:type="spellStart"/>
      <w:r w:rsidRPr="00C03604">
        <w:rPr>
          <w:rFonts w:ascii="微软雅黑" w:eastAsia="微软雅黑" w:hAnsi="微软雅黑" w:cs="宋体"/>
          <w:kern w:val="0"/>
          <w:sz w:val="24"/>
          <w:szCs w:val="24"/>
        </w:rPr>
        <w:t>ChIP</w:t>
      </w:r>
      <w:proofErr w:type="spellEnd"/>
      <w:r w:rsidRPr="00C03604">
        <w:rPr>
          <w:rFonts w:ascii="微软雅黑" w:eastAsia="微软雅黑" w:hAnsi="微软雅黑" w:cs="宋体"/>
          <w:kern w:val="0"/>
          <w:sz w:val="24"/>
          <w:szCs w:val="24"/>
        </w:rPr>
        <w:t xml:space="preserve"> DNA。对于 </w:t>
      </w:r>
      <w:proofErr w:type="spellStart"/>
      <w:r w:rsidRPr="00C03604">
        <w:rPr>
          <w:rFonts w:ascii="微软雅黑" w:eastAsia="微软雅黑" w:hAnsi="微软雅黑" w:cs="宋体"/>
          <w:kern w:val="0"/>
          <w:sz w:val="24"/>
          <w:szCs w:val="24"/>
        </w:rPr>
        <w:t>ChIP</w:t>
      </w:r>
      <w:proofErr w:type="spellEnd"/>
      <w:r w:rsidRPr="00C03604">
        <w:rPr>
          <w:rFonts w:ascii="微软雅黑" w:eastAsia="微软雅黑" w:hAnsi="微软雅黑" w:cs="宋体"/>
          <w:kern w:val="0"/>
          <w:sz w:val="24"/>
          <w:szCs w:val="24"/>
        </w:rPr>
        <w:t>-Seq，将 MDA-MB-453 细胞（5 × 10</w:t>
      </w:r>
      <w:r w:rsidRPr="00C03604">
        <w:rPr>
          <w:rFonts w:ascii="微软雅黑" w:eastAsia="微软雅黑" w:hAnsi="微软雅黑" w:cs="微软雅黑" w:hint="eastAsia"/>
          <w:kern w:val="0"/>
          <w:sz w:val="24"/>
          <w:szCs w:val="24"/>
        </w:rPr>
        <w:t>⁷</w:t>
      </w:r>
      <w:proofErr w:type="gramStart"/>
      <w:r w:rsidRPr="00C03604">
        <w:rPr>
          <w:rFonts w:ascii="微软雅黑" w:eastAsia="微软雅黑" w:hAnsi="微软雅黑" w:cs="宋体"/>
          <w:kern w:val="0"/>
          <w:sz w:val="24"/>
          <w:szCs w:val="24"/>
          <w:vertAlign w:val="superscript"/>
        </w:rPr>
        <w:t>个</w:t>
      </w:r>
      <w:proofErr w:type="gramEnd"/>
      <w:r w:rsidRPr="00C03604">
        <w:rPr>
          <w:rFonts w:ascii="微软雅黑" w:eastAsia="微软雅黑" w:hAnsi="微软雅黑" w:cs="宋体"/>
          <w:kern w:val="0"/>
          <w:sz w:val="24"/>
          <w:szCs w:val="24"/>
          <w:vertAlign w:val="superscript"/>
        </w:rPr>
        <w:t>细胞）用载体或 (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处理。将细胞沉淀重悬于 RLB 缓冲液中并进行 25 秒超声处理。将可溶性染色质与抗体和 Protein-G/A 磁珠在 4 °C 下孵育过夜 [ </w:t>
      </w:r>
      <w:hyperlink r:id="rId101" w:anchor="CR21" w:history="1">
        <w:r w:rsidRPr="00C03604">
          <w:rPr>
            <w:rFonts w:ascii="微软雅黑" w:eastAsia="微软雅黑" w:hAnsi="微软雅黑" w:cs="宋体"/>
            <w:kern w:val="0"/>
            <w:sz w:val="24"/>
            <w:szCs w:val="24"/>
            <w:u w:val="single"/>
          </w:rPr>
          <w:t>21</w:t>
        </w:r>
      </w:hyperlink>
      <w:r w:rsidRPr="00C03604">
        <w:rPr>
          <w:rFonts w:ascii="微软雅黑" w:eastAsia="微软雅黑" w:hAnsi="微软雅黑" w:cs="宋体"/>
          <w:kern w:val="0"/>
          <w:sz w:val="24"/>
          <w:szCs w:val="24"/>
        </w:rPr>
        <w:t> ]。使用 10 ng 免疫沉淀的 DNA，通过 Kapa Hyper Prep Kit（Roche Sequencing Solutions Inc.，Pleasanton，CA）构建测序文库。使用安捷伦生物分析仪（Agilent Technologies, Inc.，Santa Clara，CA）评估文库的大小和质量，并使用Kapa文库定量</w:t>
      </w:r>
      <w:proofErr w:type="gramStart"/>
      <w:r w:rsidRPr="00C03604">
        <w:rPr>
          <w:rFonts w:ascii="微软雅黑" w:eastAsia="微软雅黑" w:hAnsi="微软雅黑" w:cs="宋体"/>
          <w:kern w:val="0"/>
          <w:sz w:val="24"/>
          <w:szCs w:val="24"/>
        </w:rPr>
        <w:t>试剂盒对文库</w:t>
      </w:r>
      <w:proofErr w:type="gramEnd"/>
      <w:r w:rsidRPr="00C03604">
        <w:rPr>
          <w:rFonts w:ascii="微软雅黑" w:eastAsia="微软雅黑" w:hAnsi="微软雅黑" w:cs="宋体"/>
          <w:kern w:val="0"/>
          <w:sz w:val="24"/>
          <w:szCs w:val="24"/>
        </w:rPr>
        <w:t xml:space="preserve">进行定量。随后，在Illumina </w:t>
      </w:r>
      <w:proofErr w:type="spellStart"/>
      <w:r w:rsidRPr="00C03604">
        <w:rPr>
          <w:rFonts w:ascii="微软雅黑" w:eastAsia="微软雅黑" w:hAnsi="微软雅黑" w:cs="宋体"/>
          <w:kern w:val="0"/>
          <w:sz w:val="24"/>
          <w:szCs w:val="24"/>
        </w:rPr>
        <w:t>NextSeq</w:t>
      </w:r>
      <w:proofErr w:type="spellEnd"/>
      <w:r w:rsidRPr="00C03604">
        <w:rPr>
          <w:rFonts w:ascii="微软雅黑" w:eastAsia="微软雅黑" w:hAnsi="微软雅黑" w:cs="宋体"/>
          <w:kern w:val="0"/>
          <w:sz w:val="24"/>
          <w:szCs w:val="24"/>
        </w:rPr>
        <w:t xml:space="preserve"> 500测序仪上对每个富集的DNA文库进行测序，生成4000万至5000万条75 bp双端测序序列（Illumina, Inc.，San Diego，CA）。</w:t>
      </w:r>
      <w:r w:rsidRPr="00C03604">
        <w:rPr>
          <w:rFonts w:ascii="微软雅黑" w:eastAsia="微软雅黑" w:hAnsi="微软雅黑" w:cs="宋体"/>
          <w:kern w:val="0"/>
          <w:sz w:val="24"/>
          <w:szCs w:val="24"/>
        </w:rPr>
        <w:lastRenderedPageBreak/>
        <w:t>使用</w:t>
      </w:r>
      <w:proofErr w:type="spellStart"/>
      <w:r w:rsidRPr="00C03604">
        <w:rPr>
          <w:rFonts w:ascii="微软雅黑" w:eastAsia="微软雅黑" w:hAnsi="微软雅黑" w:cs="宋体"/>
          <w:kern w:val="0"/>
          <w:sz w:val="24"/>
          <w:szCs w:val="24"/>
        </w:rPr>
        <w:t>BowTie</w:t>
      </w:r>
      <w:proofErr w:type="spellEnd"/>
      <w:r w:rsidRPr="00C03604">
        <w:rPr>
          <w:rFonts w:ascii="微软雅黑" w:eastAsia="微软雅黑" w:hAnsi="微软雅黑" w:cs="宋体"/>
          <w:kern w:val="0"/>
          <w:sz w:val="24"/>
          <w:szCs w:val="24"/>
        </w:rPr>
        <w:t xml:space="preserve"> 2 [ </w:t>
      </w:r>
      <w:hyperlink r:id="rId102" w:anchor="CR68" w:history="1">
        <w:r w:rsidRPr="00C03604">
          <w:rPr>
            <w:rFonts w:ascii="微软雅黑" w:eastAsia="微软雅黑" w:hAnsi="微软雅黑" w:cs="宋体"/>
            <w:kern w:val="0"/>
            <w:sz w:val="24"/>
            <w:szCs w:val="24"/>
            <w:u w:val="single"/>
          </w:rPr>
          <w:t>68 ]对原始序列数据进行比对，并使用MACS峰值查找软件[ </w:t>
        </w:r>
      </w:hyperlink>
      <w:hyperlink r:id="rId103" w:anchor="CR69" w:history="1">
        <w:r w:rsidRPr="00C03604">
          <w:rPr>
            <w:rFonts w:ascii="微软雅黑" w:eastAsia="微软雅黑" w:hAnsi="微软雅黑" w:cs="宋体"/>
            <w:kern w:val="0"/>
            <w:sz w:val="24"/>
            <w:szCs w:val="24"/>
            <w:u w:val="single"/>
          </w:rPr>
          <w:t>69</w:t>
        </w:r>
      </w:hyperlink>
      <w:r w:rsidRPr="00C03604">
        <w:rPr>
          <w:rFonts w:ascii="微软雅黑" w:eastAsia="微软雅黑" w:hAnsi="微软雅黑" w:cs="宋体"/>
          <w:kern w:val="0"/>
          <w:sz w:val="24"/>
          <w:szCs w:val="24"/>
        </w:rPr>
        <w:t> ]鉴定结合位点。</w:t>
      </w:r>
    </w:p>
    <w:p w14:paraId="0BF5D12C" w14:textId="77777777" w:rsidR="00C03604" w:rsidRPr="00C03604" w:rsidRDefault="00C03604" w:rsidP="00C03604">
      <w:pPr>
        <w:widowControl/>
        <w:spacing w:line="450" w:lineRule="atLeast"/>
        <w:outlineLvl w:val="2"/>
        <w:rPr>
          <w:rFonts w:ascii="微软雅黑" w:eastAsia="微软雅黑" w:hAnsi="微软雅黑" w:cs="宋体"/>
          <w:kern w:val="0"/>
          <w:sz w:val="32"/>
          <w:szCs w:val="32"/>
        </w:rPr>
      </w:pPr>
      <w:r w:rsidRPr="00C03604">
        <w:rPr>
          <w:rFonts w:ascii="微软雅黑" w:eastAsia="微软雅黑" w:hAnsi="微软雅黑" w:cs="宋体"/>
          <w:kern w:val="0"/>
          <w:sz w:val="32"/>
          <w:szCs w:val="32"/>
        </w:rPr>
        <w:t>定量RT-PCR和</w:t>
      </w:r>
      <w:proofErr w:type="spellStart"/>
      <w:r w:rsidRPr="00C03604">
        <w:rPr>
          <w:rFonts w:ascii="微软雅黑" w:eastAsia="微软雅黑" w:hAnsi="微软雅黑" w:cs="宋体"/>
          <w:kern w:val="0"/>
          <w:sz w:val="32"/>
          <w:szCs w:val="32"/>
        </w:rPr>
        <w:t>ChIP</w:t>
      </w:r>
      <w:proofErr w:type="spellEnd"/>
      <w:r w:rsidRPr="00C03604">
        <w:rPr>
          <w:rFonts w:ascii="微软雅黑" w:eastAsia="微软雅黑" w:hAnsi="微软雅黑" w:cs="宋体"/>
          <w:kern w:val="0"/>
          <w:sz w:val="32"/>
          <w:szCs w:val="32"/>
        </w:rPr>
        <w:t>-qPCR</w:t>
      </w:r>
    </w:p>
    <w:p w14:paraId="70664F50" w14:textId="77777777"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kern w:val="0"/>
          <w:sz w:val="24"/>
          <w:szCs w:val="24"/>
        </w:rPr>
        <w:t>采用ABI PRISM 7900HT序列检测系统（Applied Biosystems）进行实时定量PCR分析，具体方法如前所述[ </w:t>
      </w:r>
      <w:hyperlink r:id="rId104" w:anchor="CR70" w:history="1">
        <w:r w:rsidRPr="00C03604">
          <w:rPr>
            <w:rFonts w:ascii="微软雅黑" w:eastAsia="微软雅黑" w:hAnsi="微软雅黑" w:cs="宋体"/>
            <w:kern w:val="0"/>
            <w:sz w:val="24"/>
            <w:szCs w:val="24"/>
            <w:u w:val="single"/>
          </w:rPr>
          <w:t>70</w:t>
        </w:r>
      </w:hyperlink>
      <w:r w:rsidRPr="00C03604">
        <w:rPr>
          <w:rFonts w:ascii="微软雅黑" w:eastAsia="微软雅黑" w:hAnsi="微软雅黑" w:cs="宋体"/>
          <w:kern w:val="0"/>
          <w:sz w:val="24"/>
          <w:szCs w:val="24"/>
        </w:rPr>
        <w:t> ]。简而言之，PCR反应使用SYBR Green PCR Master Mix（Applied Biosystems），反应体系为20 µl，其中包含2 µl cDNA（或</w:t>
      </w:r>
      <w:proofErr w:type="spellStart"/>
      <w:r w:rsidRPr="00C03604">
        <w:rPr>
          <w:rFonts w:ascii="微软雅黑" w:eastAsia="微软雅黑" w:hAnsi="微软雅黑" w:cs="宋体"/>
          <w:kern w:val="0"/>
          <w:sz w:val="24"/>
          <w:szCs w:val="24"/>
        </w:rPr>
        <w:t>ChIP</w:t>
      </w:r>
      <w:proofErr w:type="spellEnd"/>
      <w:r w:rsidRPr="00C03604">
        <w:rPr>
          <w:rFonts w:ascii="微软雅黑" w:eastAsia="微软雅黑" w:hAnsi="微软雅黑" w:cs="宋体"/>
          <w:kern w:val="0"/>
          <w:sz w:val="24"/>
          <w:szCs w:val="24"/>
        </w:rPr>
        <w:t xml:space="preserve"> DNA）和引物。每个反应板均生成熔解曲线以验证引物的完整性。数据使用SDS软件2.2.2版本进行分析，并导出至Excel表格。以18S或Actin基因数据对基因表达值进行标准化。引物序列见补充表</w:t>
      </w:r>
      <w:r w:rsidRPr="00C03604">
        <w:rPr>
          <w:rFonts w:ascii="微软雅黑" w:eastAsia="微软雅黑" w:hAnsi="微软雅黑" w:cs="宋体"/>
          <w:kern w:val="0"/>
          <w:sz w:val="24"/>
          <w:szCs w:val="24"/>
        </w:rPr>
        <w:fldChar w:fldCharType="begin"/>
      </w:r>
      <w:r w:rsidRPr="00C03604">
        <w:rPr>
          <w:rFonts w:ascii="微软雅黑" w:eastAsia="微软雅黑" w:hAnsi="微软雅黑" w:cs="宋体"/>
          <w:kern w:val="0"/>
          <w:sz w:val="24"/>
          <w:szCs w:val="24"/>
        </w:rPr>
        <w:instrText xml:space="preserve"> HYPERLINK "https://pmc.ncbi.nlm.nih.gov/articles/PMC10348910/" \l "MOESM1" </w:instrText>
      </w:r>
      <w:r w:rsidRPr="00C03604">
        <w:rPr>
          <w:rFonts w:ascii="微软雅黑" w:eastAsia="微软雅黑" w:hAnsi="微软雅黑" w:cs="宋体"/>
          <w:kern w:val="0"/>
          <w:sz w:val="24"/>
          <w:szCs w:val="24"/>
        </w:rPr>
        <w:fldChar w:fldCharType="separate"/>
      </w:r>
      <w:r w:rsidRPr="00C03604">
        <w:rPr>
          <w:rFonts w:ascii="微软雅黑" w:eastAsia="微软雅黑" w:hAnsi="微软雅黑" w:cs="宋体"/>
          <w:kern w:val="0"/>
          <w:sz w:val="24"/>
          <w:szCs w:val="24"/>
          <w:u w:val="single"/>
        </w:rPr>
        <w:t>12</w:t>
      </w:r>
      <w:r w:rsidRPr="00C03604">
        <w:rPr>
          <w:rFonts w:ascii="微软雅黑" w:eastAsia="微软雅黑" w:hAnsi="微软雅黑" w:cs="宋体"/>
          <w:kern w:val="0"/>
          <w:sz w:val="24"/>
          <w:szCs w:val="24"/>
        </w:rPr>
        <w:fldChar w:fldCharType="end"/>
      </w:r>
      <w:r w:rsidRPr="00C03604">
        <w:rPr>
          <w:rFonts w:ascii="微软雅黑" w:eastAsia="微软雅黑" w:hAnsi="微软雅黑" w:cs="宋体"/>
          <w:kern w:val="0"/>
          <w:sz w:val="24"/>
          <w:szCs w:val="24"/>
        </w:rPr>
        <w:t>。</w:t>
      </w:r>
    </w:p>
    <w:p w14:paraId="1FFD9119" w14:textId="77777777" w:rsidR="00C03604" w:rsidRPr="00C03604" w:rsidRDefault="00C03604" w:rsidP="00C03604">
      <w:pPr>
        <w:widowControl/>
        <w:spacing w:line="450" w:lineRule="atLeast"/>
        <w:outlineLvl w:val="2"/>
        <w:rPr>
          <w:rFonts w:ascii="微软雅黑" w:eastAsia="微软雅黑" w:hAnsi="微软雅黑" w:cs="宋体"/>
          <w:kern w:val="0"/>
          <w:sz w:val="32"/>
          <w:szCs w:val="32"/>
        </w:rPr>
      </w:pPr>
      <w:r w:rsidRPr="00C03604">
        <w:rPr>
          <w:rFonts w:ascii="微软雅黑" w:eastAsia="微软雅黑" w:hAnsi="微软雅黑" w:cs="宋体"/>
          <w:kern w:val="0"/>
          <w:sz w:val="32"/>
          <w:szCs w:val="32"/>
        </w:rPr>
        <w:t>小鼠异种移植研究</w:t>
      </w:r>
    </w:p>
    <w:p w14:paraId="5DB4283F" w14:textId="77777777"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kern w:val="0"/>
          <w:sz w:val="24"/>
          <w:szCs w:val="24"/>
        </w:rPr>
        <w:t>所有动物实验均按照美国国立卫生研究院（NIH）《实验动物饲养和使用指南》中的人道护理标准进行。小鼠购自查尔斯河实验室（Charles River Laboratories），实验按照华盛顿大学圣路易斯分校比较医学系（DCM）书面批准的IACUC方案（IACUC编号：20180259）进行。将1.5 × 10</w:t>
      </w:r>
      <w:r w:rsidRPr="00C03604">
        <w:rPr>
          <w:rFonts w:ascii="MS Gothic" w:eastAsia="MS Gothic" w:hAnsi="MS Gothic" w:cs="MS Gothic" w:hint="eastAsia"/>
          <w:kern w:val="0"/>
          <w:sz w:val="24"/>
          <w:szCs w:val="24"/>
        </w:rPr>
        <w:t>⁶</w:t>
      </w:r>
      <w:proofErr w:type="gramStart"/>
      <w:r w:rsidRPr="00C03604">
        <w:rPr>
          <w:rFonts w:ascii="微软雅黑" w:eastAsia="微软雅黑" w:hAnsi="微软雅黑" w:cs="宋体"/>
          <w:kern w:val="0"/>
          <w:sz w:val="24"/>
          <w:szCs w:val="24"/>
          <w:vertAlign w:val="superscript"/>
        </w:rPr>
        <w:t>个</w:t>
      </w:r>
      <w:proofErr w:type="gramEnd"/>
      <w:r w:rsidRPr="00C03604">
        <w:rPr>
          <w:rFonts w:ascii="微软雅黑" w:eastAsia="微软雅黑" w:hAnsi="微软雅黑" w:cs="宋体"/>
          <w:kern w:val="0"/>
          <w:sz w:val="24"/>
          <w:szCs w:val="24"/>
        </w:rPr>
        <w:t>Cal-148或MCF7细胞，或3 × 10</w:t>
      </w:r>
      <w:r w:rsidRPr="00C03604">
        <w:rPr>
          <w:rFonts w:ascii="MS Gothic" w:eastAsia="MS Gothic" w:hAnsi="MS Gothic" w:cs="MS Gothic" w:hint="eastAsia"/>
          <w:kern w:val="0"/>
          <w:sz w:val="24"/>
          <w:szCs w:val="24"/>
        </w:rPr>
        <w:t>⁶</w:t>
      </w:r>
      <w:proofErr w:type="gramStart"/>
      <w:r w:rsidRPr="00C03604">
        <w:rPr>
          <w:rFonts w:ascii="微软雅黑" w:eastAsia="微软雅黑" w:hAnsi="微软雅黑" w:cs="宋体"/>
          <w:kern w:val="0"/>
          <w:sz w:val="24"/>
          <w:szCs w:val="24"/>
          <w:vertAlign w:val="superscript"/>
        </w:rPr>
        <w:t>个</w:t>
      </w:r>
      <w:proofErr w:type="gramEnd"/>
      <w:r w:rsidRPr="00C03604">
        <w:rPr>
          <w:rFonts w:ascii="微软雅黑" w:eastAsia="微软雅黑" w:hAnsi="微软雅黑" w:cs="宋体"/>
          <w:kern w:val="0"/>
          <w:sz w:val="24"/>
          <w:szCs w:val="24"/>
        </w:rPr>
        <w:t>MDA-MB-468细胞悬浮于200 µl含50% Matrigel（BD Biosciences）的PBS溶液中，皮下植入雌性SCID C.B17小鼠（每组</w:t>
      </w:r>
      <w:r w:rsidRPr="00C03604">
        <w:rPr>
          <w:rFonts w:ascii="微软雅黑" w:eastAsia="微软雅黑" w:hAnsi="微软雅黑" w:cs="宋体"/>
          <w:i/>
          <w:iCs/>
          <w:kern w:val="0"/>
          <w:sz w:val="24"/>
          <w:szCs w:val="24"/>
        </w:rPr>
        <w:t>n</w:t>
      </w:r>
      <w:r w:rsidRPr="00C03604">
        <w:rPr>
          <w:rFonts w:ascii="微软雅黑" w:eastAsia="微软雅黑" w:hAnsi="微软雅黑" w:cs="宋体"/>
          <w:kern w:val="0"/>
          <w:sz w:val="24"/>
          <w:szCs w:val="24"/>
        </w:rPr>
        <w:t> </w:t>
      </w:r>
      <w:r w:rsidRPr="00C03604">
        <w:rPr>
          <w:rFonts w:ascii="MS Gothic" w:eastAsia="MS Gothic" w:hAnsi="MS Gothic" w:cs="MS Gothic" w:hint="eastAsia"/>
          <w:kern w:val="0"/>
          <w:sz w:val="24"/>
          <w:szCs w:val="24"/>
        </w:rPr>
        <w:t> </w:t>
      </w:r>
      <w:r w:rsidRPr="00C03604">
        <w:rPr>
          <w:rFonts w:ascii="微软雅黑" w:eastAsia="微软雅黑" w:hAnsi="微软雅黑" w:cs="宋体"/>
          <w:kern w:val="0"/>
          <w:sz w:val="24"/>
          <w:szCs w:val="24"/>
        </w:rPr>
        <w:t>= 8）的乳腺脂肪垫（第四和第五腹股沟之间）。当肿瘤可触及（约4-5周）后，随机选择小鼠进行皮下注射（Cal-148和MCF7；24 mg/kg体重）</w:t>
      </w:r>
      <w:proofErr w:type="gramStart"/>
      <w:r w:rsidRPr="00C03604">
        <w:rPr>
          <w:rFonts w:ascii="微软雅黑" w:eastAsia="微软雅黑" w:hAnsi="微软雅黑" w:cs="宋体"/>
          <w:kern w:val="0"/>
          <w:sz w:val="24"/>
          <w:szCs w:val="24"/>
        </w:rPr>
        <w:t>或灌胃给予</w:t>
      </w:r>
      <w:proofErr w:type="gramEnd"/>
      <w:r w:rsidRPr="00C03604">
        <w:rPr>
          <w:rFonts w:ascii="微软雅黑" w:eastAsia="微软雅黑" w:hAnsi="微软雅黑" w:cs="宋体"/>
          <w:kern w:val="0"/>
          <w:sz w:val="24"/>
          <w:szCs w:val="24"/>
        </w:rPr>
        <w:t>(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 xml:space="preserve">（MCF7；36 mg/kg体重），(R)-9b悬浮于6% </w:t>
      </w:r>
      <w:proofErr w:type="spellStart"/>
      <w:r w:rsidRPr="00C03604">
        <w:rPr>
          <w:rFonts w:ascii="微软雅黑" w:eastAsia="微软雅黑" w:hAnsi="微软雅黑" w:cs="宋体"/>
          <w:kern w:val="0"/>
          <w:sz w:val="24"/>
          <w:szCs w:val="24"/>
        </w:rPr>
        <w:t>Captisol</w:t>
      </w:r>
      <w:proofErr w:type="spellEnd"/>
      <w:r w:rsidRPr="00C03604">
        <w:rPr>
          <w:rFonts w:ascii="微软雅黑" w:eastAsia="微软雅黑" w:hAnsi="微软雅黑" w:cs="宋体"/>
          <w:kern w:val="0"/>
          <w:sz w:val="24"/>
          <w:szCs w:val="24"/>
        </w:rPr>
        <w:t xml:space="preserve">溶液中（或以6% </w:t>
      </w:r>
      <w:proofErr w:type="spellStart"/>
      <w:r w:rsidRPr="00C03604">
        <w:rPr>
          <w:rFonts w:ascii="微软雅黑" w:eastAsia="微软雅黑" w:hAnsi="微软雅黑" w:cs="宋体"/>
          <w:kern w:val="0"/>
          <w:sz w:val="24"/>
          <w:szCs w:val="24"/>
        </w:rPr>
        <w:t>Captisol</w:t>
      </w:r>
      <w:proofErr w:type="spellEnd"/>
      <w:r w:rsidRPr="00C03604">
        <w:rPr>
          <w:rFonts w:ascii="微软雅黑" w:eastAsia="微软雅黑" w:hAnsi="微软雅黑" w:cs="宋体"/>
          <w:kern w:val="0"/>
          <w:sz w:val="24"/>
          <w:szCs w:val="24"/>
        </w:rPr>
        <w:t>的PBS溶液作为溶剂），每周5次，持续4-5周。每周使用游</w:t>
      </w:r>
      <w:r w:rsidRPr="00C03604">
        <w:rPr>
          <w:rFonts w:ascii="微软雅黑" w:eastAsia="微软雅黑" w:hAnsi="微软雅黑" w:cs="宋体"/>
          <w:kern w:val="0"/>
          <w:sz w:val="24"/>
          <w:szCs w:val="24"/>
        </w:rPr>
        <w:lastRenderedPageBreak/>
        <w:t>标卡尺测量两次肿瘤体积。研究结束时，所有小鼠均被实施安乐死，取出肿瘤并称重。</w:t>
      </w:r>
    </w:p>
    <w:p w14:paraId="6378F39E" w14:textId="77777777" w:rsidR="00C03604" w:rsidRPr="00C03604" w:rsidRDefault="00C03604" w:rsidP="00C03604">
      <w:pPr>
        <w:widowControl/>
        <w:spacing w:line="450" w:lineRule="atLeast"/>
        <w:outlineLvl w:val="2"/>
        <w:rPr>
          <w:rFonts w:ascii="微软雅黑" w:eastAsia="微软雅黑" w:hAnsi="微软雅黑" w:cs="宋体"/>
          <w:kern w:val="0"/>
          <w:sz w:val="32"/>
          <w:szCs w:val="32"/>
        </w:rPr>
      </w:pPr>
      <w:r w:rsidRPr="00C03604">
        <w:rPr>
          <w:rFonts w:ascii="微软雅黑" w:eastAsia="微软雅黑" w:hAnsi="微软雅黑" w:cs="宋体"/>
          <w:kern w:val="0"/>
          <w:sz w:val="32"/>
          <w:szCs w:val="32"/>
        </w:rPr>
        <w:t>尾静脉转移研究</w:t>
      </w:r>
    </w:p>
    <w:p w14:paraId="3226E278" w14:textId="77777777"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kern w:val="0"/>
          <w:sz w:val="24"/>
          <w:szCs w:val="24"/>
        </w:rPr>
        <w:t>将MDA-MB-231细胞（2 × 10</w:t>
      </w:r>
      <w:r w:rsidRPr="00C03604">
        <w:rPr>
          <w:rFonts w:ascii="微软雅黑" w:eastAsia="微软雅黑" w:hAnsi="微软雅黑" w:cs="微软雅黑" w:hint="eastAsia"/>
          <w:kern w:val="0"/>
          <w:sz w:val="24"/>
          <w:szCs w:val="24"/>
        </w:rPr>
        <w:t>⁵</w:t>
      </w:r>
      <w:proofErr w:type="gramStart"/>
      <w:r w:rsidRPr="00C03604">
        <w:rPr>
          <w:rFonts w:ascii="微软雅黑" w:eastAsia="微软雅黑" w:hAnsi="微软雅黑" w:cs="宋体"/>
          <w:kern w:val="0"/>
          <w:sz w:val="24"/>
          <w:szCs w:val="24"/>
          <w:vertAlign w:val="superscript"/>
        </w:rPr>
        <w:t>个</w:t>
      </w:r>
      <w:proofErr w:type="gramEnd"/>
      <w:r w:rsidRPr="00C03604">
        <w:rPr>
          <w:rFonts w:ascii="微软雅黑" w:eastAsia="微软雅黑" w:hAnsi="微软雅黑" w:cs="宋体"/>
          <w:kern w:val="0"/>
          <w:sz w:val="24"/>
          <w:szCs w:val="24"/>
        </w:rPr>
        <w:t>，溶于PBS）经尾侧静脉注射到雌性SCID小鼠体内。10天后，将小鼠随机分为两组，分别接受赋形剂、(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（36 mg/kg体重，口服）或(R)-9b（24 mg/kg体重，皮下注射）治疗，每周5天，持续2周。随后处死小鼠，取出肺组织，并用10%中性缓冲福尔马林固定。由病理学家（CW）</w:t>
      </w:r>
      <w:proofErr w:type="gramStart"/>
      <w:r w:rsidRPr="00C03604">
        <w:rPr>
          <w:rFonts w:ascii="微软雅黑" w:eastAsia="微软雅黑" w:hAnsi="微软雅黑" w:cs="宋体"/>
          <w:kern w:val="0"/>
          <w:sz w:val="24"/>
          <w:szCs w:val="24"/>
        </w:rPr>
        <w:t>以盲法</w:t>
      </w:r>
      <w:proofErr w:type="gramEnd"/>
      <w:r w:rsidRPr="00C03604">
        <w:rPr>
          <w:rFonts w:ascii="微软雅黑" w:eastAsia="微软雅黑" w:hAnsi="微软雅黑" w:cs="宋体"/>
          <w:kern w:val="0"/>
          <w:sz w:val="24"/>
          <w:szCs w:val="24"/>
        </w:rPr>
        <w:t>对每只肺的转移</w:t>
      </w:r>
      <w:proofErr w:type="gramStart"/>
      <w:r w:rsidRPr="00C03604">
        <w:rPr>
          <w:rFonts w:ascii="微软雅黑" w:eastAsia="微软雅黑" w:hAnsi="微软雅黑" w:cs="宋体"/>
          <w:kern w:val="0"/>
          <w:sz w:val="24"/>
          <w:szCs w:val="24"/>
        </w:rPr>
        <w:t>灶数量</w:t>
      </w:r>
      <w:proofErr w:type="gramEnd"/>
      <w:r w:rsidRPr="00C03604">
        <w:rPr>
          <w:rFonts w:ascii="微软雅黑" w:eastAsia="微软雅黑" w:hAnsi="微软雅黑" w:cs="宋体"/>
          <w:kern w:val="0"/>
          <w:sz w:val="24"/>
          <w:szCs w:val="24"/>
        </w:rPr>
        <w:t>进行计数。</w:t>
      </w:r>
    </w:p>
    <w:p w14:paraId="18CAE8EB" w14:textId="77777777" w:rsidR="00C03604" w:rsidRPr="00C03604" w:rsidRDefault="00C03604" w:rsidP="00C03604">
      <w:pPr>
        <w:widowControl/>
        <w:spacing w:line="450" w:lineRule="atLeast"/>
        <w:outlineLvl w:val="2"/>
        <w:rPr>
          <w:rFonts w:ascii="微软雅黑" w:eastAsia="微软雅黑" w:hAnsi="微软雅黑" w:cs="宋体"/>
          <w:kern w:val="0"/>
          <w:sz w:val="32"/>
          <w:szCs w:val="32"/>
        </w:rPr>
      </w:pPr>
      <w:r w:rsidRPr="00C03604">
        <w:rPr>
          <w:rFonts w:ascii="微软雅黑" w:eastAsia="微软雅黑" w:hAnsi="微软雅黑" w:cs="宋体"/>
          <w:kern w:val="0"/>
          <w:sz w:val="32"/>
          <w:szCs w:val="32"/>
        </w:rPr>
        <w:t>原位肺转移研究</w:t>
      </w:r>
    </w:p>
    <w:p w14:paraId="3B56323F" w14:textId="77777777"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kern w:val="0"/>
          <w:sz w:val="24"/>
          <w:szCs w:val="24"/>
        </w:rPr>
        <w:t>将表达荧光素酶的4T1细胞（5 × 10</w:t>
      </w:r>
      <w:r w:rsidRPr="00C03604">
        <w:rPr>
          <w:rFonts w:ascii="微软雅黑" w:eastAsia="微软雅黑" w:hAnsi="微软雅黑" w:cs="宋体" w:hint="eastAsia"/>
          <w:kern w:val="0"/>
          <w:sz w:val="24"/>
          <w:szCs w:val="24"/>
        </w:rPr>
        <w:t>⁵</w:t>
      </w:r>
      <w:r w:rsidRPr="00C03604">
        <w:rPr>
          <w:rFonts w:ascii="微软雅黑" w:eastAsia="微软雅黑" w:hAnsi="微软雅黑" w:cs="宋体"/>
          <w:kern w:val="0"/>
          <w:sz w:val="24"/>
          <w:szCs w:val="24"/>
        </w:rPr>
        <w:t> ）原位注射到雌性</w:t>
      </w:r>
      <w:proofErr w:type="spellStart"/>
      <w:r w:rsidRPr="00C03604">
        <w:rPr>
          <w:rFonts w:ascii="微软雅黑" w:eastAsia="微软雅黑" w:hAnsi="微软雅黑" w:cs="宋体"/>
          <w:kern w:val="0"/>
          <w:sz w:val="24"/>
          <w:szCs w:val="24"/>
        </w:rPr>
        <w:t>Balb</w:t>
      </w:r>
      <w:proofErr w:type="spellEnd"/>
      <w:r w:rsidRPr="00C03604">
        <w:rPr>
          <w:rFonts w:ascii="微软雅黑" w:eastAsia="微软雅黑" w:hAnsi="微软雅黑" w:cs="宋体"/>
          <w:kern w:val="0"/>
          <w:sz w:val="24"/>
          <w:szCs w:val="24"/>
        </w:rPr>
        <w:t xml:space="preserve">/c小鼠的第5乳腺脂肪垫中。接种两周后，小鼠皮下注射载体（6% </w:t>
      </w:r>
      <w:proofErr w:type="spellStart"/>
      <w:r w:rsidRPr="00C03604">
        <w:rPr>
          <w:rFonts w:ascii="微软雅黑" w:eastAsia="微软雅黑" w:hAnsi="微软雅黑" w:cs="宋体"/>
          <w:kern w:val="0"/>
          <w:sz w:val="24"/>
          <w:szCs w:val="24"/>
        </w:rPr>
        <w:t>Captisol</w:t>
      </w:r>
      <w:proofErr w:type="spellEnd"/>
      <w:r w:rsidRPr="00C03604">
        <w:rPr>
          <w:rFonts w:ascii="微软雅黑" w:eastAsia="微软雅黑" w:hAnsi="微软雅黑" w:cs="宋体"/>
          <w:kern w:val="0"/>
          <w:sz w:val="24"/>
          <w:szCs w:val="24"/>
        </w:rPr>
        <w:t>）或(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（24 mg/kg），每周5次，持续2周。随后，腹腔注射D-荧光素，对小鼠实施安乐死，切除肺组织，并使用荧光活体成像系统和H&amp;E染色评估转移情况。</w:t>
      </w:r>
    </w:p>
    <w:p w14:paraId="74D28189" w14:textId="77777777" w:rsidR="00C03604" w:rsidRPr="00C03604" w:rsidRDefault="00C03604" w:rsidP="00C03604">
      <w:pPr>
        <w:widowControl/>
        <w:spacing w:line="450" w:lineRule="atLeast"/>
        <w:outlineLvl w:val="2"/>
        <w:rPr>
          <w:rFonts w:ascii="微软雅黑" w:eastAsia="微软雅黑" w:hAnsi="微软雅黑" w:cs="宋体"/>
          <w:kern w:val="0"/>
          <w:sz w:val="32"/>
          <w:szCs w:val="32"/>
        </w:rPr>
      </w:pPr>
      <w:r w:rsidRPr="00C03604">
        <w:rPr>
          <w:rFonts w:ascii="微软雅黑" w:eastAsia="微软雅黑" w:hAnsi="微软雅黑" w:cs="宋体"/>
          <w:kern w:val="0"/>
          <w:sz w:val="32"/>
          <w:szCs w:val="32"/>
        </w:rPr>
        <w:t>乳腺癌组织微阵列（TMA）和人类受试者</w:t>
      </w:r>
    </w:p>
    <w:p w14:paraId="4AC05F21" w14:textId="77777777"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kern w:val="0"/>
          <w:sz w:val="24"/>
          <w:szCs w:val="24"/>
        </w:rPr>
        <w:t>智利圣地亚哥天主教大学医学院的JCR博士构建了一套乳腺癌组织微阵列（TMA），包含约400个匿名化的乳腺癌肿瘤组织芯。这些TMA使用pY284-ACK1和ACK1抗体进行染色。由于本研究未收集患者的个人信息，因此所用的乳腺TMA无需伦理审查委员会（IRB）批准。</w:t>
      </w:r>
    </w:p>
    <w:p w14:paraId="510E404A" w14:textId="77777777" w:rsidR="00C03604" w:rsidRPr="00C03604" w:rsidRDefault="00C03604" w:rsidP="00C03604">
      <w:pPr>
        <w:widowControl/>
        <w:spacing w:line="450" w:lineRule="atLeast"/>
        <w:outlineLvl w:val="2"/>
        <w:rPr>
          <w:rFonts w:ascii="微软雅黑" w:eastAsia="微软雅黑" w:hAnsi="微软雅黑" w:cs="宋体"/>
          <w:kern w:val="0"/>
          <w:sz w:val="32"/>
          <w:szCs w:val="32"/>
        </w:rPr>
      </w:pPr>
      <w:r w:rsidRPr="00C03604">
        <w:rPr>
          <w:rFonts w:ascii="微软雅黑" w:eastAsia="微软雅黑" w:hAnsi="微软雅黑" w:cs="宋体"/>
          <w:kern w:val="0"/>
          <w:sz w:val="32"/>
          <w:szCs w:val="32"/>
        </w:rPr>
        <w:t>免疫细胞化学</w:t>
      </w:r>
    </w:p>
    <w:p w14:paraId="2AC545C7" w14:textId="77777777"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kern w:val="0"/>
          <w:sz w:val="24"/>
          <w:szCs w:val="24"/>
        </w:rPr>
        <w:lastRenderedPageBreak/>
        <w:t>将乳腺癌细胞接种于盖玻片上，并用载体或( </w:t>
      </w:r>
      <w:r w:rsidRPr="00C03604">
        <w:rPr>
          <w:rFonts w:ascii="微软雅黑" w:eastAsia="微软雅黑" w:hAnsi="微软雅黑" w:cs="宋体"/>
          <w:i/>
          <w:iCs/>
          <w:kern w:val="0"/>
          <w:sz w:val="24"/>
          <w:szCs w:val="24"/>
        </w:rPr>
        <w:t>R</w:t>
      </w:r>
      <w:r w:rsidRPr="00C03604">
        <w:rPr>
          <w:rFonts w:ascii="微软雅黑" w:eastAsia="微软雅黑" w:hAnsi="微软雅黑" w:cs="宋体"/>
          <w:kern w:val="0"/>
          <w:sz w:val="24"/>
          <w:szCs w:val="24"/>
        </w:rPr>
        <w:t> ) </w:t>
      </w:r>
      <w:r w:rsidRPr="00C03604">
        <w:rPr>
          <w:rFonts w:ascii="微软雅黑" w:eastAsia="微软雅黑" w:hAnsi="微软雅黑" w:cs="宋体"/>
          <w:b/>
          <w:bCs/>
          <w:kern w:val="0"/>
          <w:sz w:val="24"/>
          <w:szCs w:val="24"/>
        </w:rPr>
        <w:t>-9b</w:t>
      </w:r>
      <w:r w:rsidRPr="00C03604">
        <w:rPr>
          <w:rFonts w:ascii="微软雅黑" w:eastAsia="微软雅黑" w:hAnsi="微软雅黑" w:cs="宋体"/>
          <w:kern w:val="0"/>
          <w:sz w:val="24"/>
          <w:szCs w:val="24"/>
        </w:rPr>
        <w:t>处理。细胞用2%多聚甲醛固定并</w:t>
      </w:r>
      <w:proofErr w:type="gramStart"/>
      <w:r w:rsidRPr="00C03604">
        <w:rPr>
          <w:rFonts w:ascii="微软雅黑" w:eastAsia="微软雅黑" w:hAnsi="微软雅黑" w:cs="宋体"/>
          <w:kern w:val="0"/>
          <w:sz w:val="24"/>
          <w:szCs w:val="24"/>
        </w:rPr>
        <w:t>进行透化处理</w:t>
      </w:r>
      <w:proofErr w:type="gramEnd"/>
      <w:r w:rsidRPr="00C03604">
        <w:rPr>
          <w:rFonts w:ascii="微软雅黑" w:eastAsia="微软雅黑" w:hAnsi="微软雅黑" w:cs="宋体"/>
          <w:kern w:val="0"/>
          <w:sz w:val="24"/>
          <w:szCs w:val="24"/>
        </w:rPr>
        <w:t>。细胞用磷酸化丝氨酸139-γH2AX抗体（红色）、鬼笔环肽（绿色）和DAPI染色。采集荧光显微镜图像。</w:t>
      </w:r>
    </w:p>
    <w:p w14:paraId="6D12B689" w14:textId="77777777" w:rsidR="00C03604" w:rsidRPr="00C03604" w:rsidRDefault="00C03604" w:rsidP="00C03604">
      <w:pPr>
        <w:widowControl/>
        <w:spacing w:line="450" w:lineRule="atLeast"/>
        <w:outlineLvl w:val="2"/>
        <w:rPr>
          <w:rFonts w:ascii="微软雅黑" w:eastAsia="微软雅黑" w:hAnsi="微软雅黑" w:cs="宋体"/>
          <w:kern w:val="0"/>
          <w:sz w:val="32"/>
          <w:szCs w:val="32"/>
        </w:rPr>
      </w:pPr>
      <w:r w:rsidRPr="00C03604">
        <w:rPr>
          <w:rFonts w:ascii="微软雅黑" w:eastAsia="微软雅黑" w:hAnsi="微软雅黑" w:cs="宋体"/>
          <w:kern w:val="0"/>
          <w:sz w:val="32"/>
          <w:szCs w:val="32"/>
        </w:rPr>
        <w:t>免疫组织化学（IHC）染色</w:t>
      </w:r>
    </w:p>
    <w:p w14:paraId="01F19E69" w14:textId="77777777"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kern w:val="0"/>
          <w:sz w:val="24"/>
          <w:szCs w:val="24"/>
        </w:rPr>
        <w:t>针对 pY284-ACK1（1:300；Sigma）和 ACK1（1:50；Santacruz Biotechnology）的抗体已用于组织微阵列（TMA）的免疫组化（IHC）染色[ </w:t>
      </w:r>
      <w:hyperlink r:id="rId105" w:anchor="CR24" w:history="1">
        <w:r w:rsidRPr="00C03604">
          <w:rPr>
            <w:rFonts w:ascii="微软雅黑" w:eastAsia="微软雅黑" w:hAnsi="微软雅黑" w:cs="宋体"/>
            <w:kern w:val="0"/>
            <w:sz w:val="24"/>
            <w:szCs w:val="24"/>
            <w:u w:val="single"/>
          </w:rPr>
          <w:t>24</w:t>
        </w:r>
      </w:hyperlink>
      <w:r w:rsidRPr="00C03604">
        <w:rPr>
          <w:rFonts w:ascii="微软雅黑" w:eastAsia="微软雅黑" w:hAnsi="微软雅黑" w:cs="宋体"/>
          <w:kern w:val="0"/>
          <w:sz w:val="24"/>
          <w:szCs w:val="24"/>
        </w:rPr>
        <w:t> , </w:t>
      </w:r>
      <w:hyperlink r:id="rId106" w:anchor="CR25" w:history="1">
        <w:r w:rsidRPr="00C03604">
          <w:rPr>
            <w:rFonts w:ascii="微软雅黑" w:eastAsia="微软雅黑" w:hAnsi="微软雅黑" w:cs="宋体"/>
            <w:kern w:val="0"/>
            <w:sz w:val="24"/>
            <w:szCs w:val="24"/>
            <w:u w:val="single"/>
          </w:rPr>
          <w:t>25</w:t>
        </w:r>
      </w:hyperlink>
      <w:r w:rsidRPr="00C03604">
        <w:rPr>
          <w:rFonts w:ascii="微软雅黑" w:eastAsia="微软雅黑" w:hAnsi="微软雅黑" w:cs="宋体"/>
          <w:kern w:val="0"/>
          <w:sz w:val="24"/>
          <w:szCs w:val="24"/>
        </w:rPr>
        <w:t> , </w:t>
      </w:r>
      <w:hyperlink r:id="rId107" w:anchor="CR27" w:history="1">
        <w:r w:rsidRPr="00C03604">
          <w:rPr>
            <w:rFonts w:ascii="微软雅黑" w:eastAsia="微软雅黑" w:hAnsi="微软雅黑" w:cs="宋体"/>
            <w:kern w:val="0"/>
            <w:sz w:val="24"/>
            <w:szCs w:val="24"/>
            <w:u w:val="single"/>
          </w:rPr>
          <w:t>27</w:t>
        </w:r>
      </w:hyperlink>
      <w:r w:rsidRPr="00C03604">
        <w:rPr>
          <w:rFonts w:ascii="微软雅黑" w:eastAsia="微软雅黑" w:hAnsi="微软雅黑" w:cs="宋体"/>
          <w:kern w:val="0"/>
          <w:sz w:val="24"/>
          <w:szCs w:val="24"/>
        </w:rPr>
        <w:t> ]。TMA 切片（包括阳性对照和阴性对照）用 pY284-ACK1 抗体和 ACK1 抗体孵育过夜。阴性对照通过在初次抗体孵育过程中省略 pTyr284-ACK1 抗体或在 TMA 染色前将 pTyr284-ACK1 抗体与纯化的活化 ACK1 蛋白孵育来设置。TMA 染色结果由两位独立的病理学家（C.O'C. 和 ISH）</w:t>
      </w:r>
      <w:proofErr w:type="gramStart"/>
      <w:r w:rsidRPr="00C03604">
        <w:rPr>
          <w:rFonts w:ascii="微软雅黑" w:eastAsia="微软雅黑" w:hAnsi="微软雅黑" w:cs="宋体"/>
          <w:kern w:val="0"/>
          <w:sz w:val="24"/>
          <w:szCs w:val="24"/>
        </w:rPr>
        <w:t>以盲法</w:t>
      </w:r>
      <w:proofErr w:type="gramEnd"/>
      <w:r w:rsidRPr="00C03604">
        <w:rPr>
          <w:rFonts w:ascii="微软雅黑" w:eastAsia="微软雅黑" w:hAnsi="微软雅黑" w:cs="宋体"/>
          <w:kern w:val="0"/>
          <w:sz w:val="24"/>
          <w:szCs w:val="24"/>
        </w:rPr>
        <w:t>进行评估。根据染色强度，结果分为四个等级：0（无染色）、1（弱染色）、2（中等染色）和 3（强染色）。任何分歧均通过共识会议解决。</w:t>
      </w:r>
    </w:p>
    <w:p w14:paraId="2D56C058" w14:textId="77777777" w:rsidR="00C03604" w:rsidRPr="00C03604" w:rsidRDefault="00C03604" w:rsidP="00C03604">
      <w:pPr>
        <w:widowControl/>
        <w:spacing w:line="450" w:lineRule="atLeast"/>
        <w:outlineLvl w:val="2"/>
        <w:rPr>
          <w:rFonts w:ascii="微软雅黑" w:eastAsia="微软雅黑" w:hAnsi="微软雅黑" w:cs="宋体"/>
          <w:kern w:val="0"/>
          <w:sz w:val="32"/>
          <w:szCs w:val="32"/>
        </w:rPr>
      </w:pPr>
      <w:r w:rsidRPr="00C03604">
        <w:rPr>
          <w:rFonts w:ascii="微软雅黑" w:eastAsia="微软雅黑" w:hAnsi="微软雅黑" w:cs="宋体"/>
          <w:kern w:val="0"/>
          <w:sz w:val="32"/>
          <w:szCs w:val="32"/>
        </w:rPr>
        <w:t>TMA的统计分析</w:t>
      </w:r>
    </w:p>
    <w:p w14:paraId="741DAB29" w14:textId="77777777"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kern w:val="0"/>
          <w:sz w:val="24"/>
          <w:szCs w:val="24"/>
        </w:rPr>
        <w:t>数据以均值±标准误（SEM）表示。两组</w:t>
      </w:r>
      <w:proofErr w:type="gramStart"/>
      <w:r w:rsidRPr="00C03604">
        <w:rPr>
          <w:rFonts w:ascii="微软雅黑" w:eastAsia="微软雅黑" w:hAnsi="微软雅黑" w:cs="宋体"/>
          <w:kern w:val="0"/>
          <w:sz w:val="24"/>
          <w:szCs w:val="24"/>
        </w:rPr>
        <w:t>间数据</w:t>
      </w:r>
      <w:proofErr w:type="gramEnd"/>
      <w:r w:rsidRPr="00C03604">
        <w:rPr>
          <w:rFonts w:ascii="微软雅黑" w:eastAsia="微软雅黑" w:hAnsi="微软雅黑" w:cs="宋体"/>
          <w:kern w:val="0"/>
          <w:sz w:val="24"/>
          <w:szCs w:val="24"/>
        </w:rPr>
        <w:t>采用非配对</w:t>
      </w:r>
      <w:r w:rsidRPr="00C03604">
        <w:rPr>
          <w:rFonts w:ascii="微软雅黑" w:eastAsia="微软雅黑" w:hAnsi="微软雅黑" w:cs="宋体"/>
          <w:i/>
          <w:iCs/>
          <w:kern w:val="0"/>
          <w:sz w:val="24"/>
          <w:szCs w:val="24"/>
        </w:rPr>
        <w:t>t</w:t>
      </w:r>
      <w:r w:rsidRPr="00C03604">
        <w:rPr>
          <w:rFonts w:ascii="微软雅黑" w:eastAsia="微软雅黑" w:hAnsi="微软雅黑" w:cs="宋体"/>
          <w:kern w:val="0"/>
          <w:sz w:val="24"/>
          <w:szCs w:val="24"/>
        </w:rPr>
        <w:t>检验进行分析。箱线图用于总结</w:t>
      </w:r>
      <w:proofErr w:type="gramStart"/>
      <w:r w:rsidRPr="00C03604">
        <w:rPr>
          <w:rFonts w:ascii="微软雅黑" w:eastAsia="微软雅黑" w:hAnsi="微软雅黑" w:cs="宋体"/>
          <w:kern w:val="0"/>
          <w:sz w:val="24"/>
          <w:szCs w:val="24"/>
        </w:rPr>
        <w:t>各进展</w:t>
      </w:r>
      <w:proofErr w:type="gramEnd"/>
      <w:r w:rsidRPr="00C03604">
        <w:rPr>
          <w:rFonts w:ascii="微软雅黑" w:eastAsia="微软雅黑" w:hAnsi="微软雅黑" w:cs="宋体"/>
          <w:kern w:val="0"/>
          <w:sz w:val="24"/>
          <w:szCs w:val="24"/>
        </w:rPr>
        <w:t>阶段的强度分布。采用Kruskal-Wallis检验来检测四种乳腺癌亚型中pY284-ACK1和ACK1是否存在总体差异。所有分析均使用</w:t>
      </w:r>
      <w:proofErr w:type="spellStart"/>
      <w:r w:rsidRPr="00C03604">
        <w:rPr>
          <w:rFonts w:ascii="微软雅黑" w:eastAsia="微软雅黑" w:hAnsi="微软雅黑" w:cs="宋体"/>
          <w:kern w:val="0"/>
          <w:sz w:val="24"/>
          <w:szCs w:val="24"/>
        </w:rPr>
        <w:t>Graphpad</w:t>
      </w:r>
      <w:proofErr w:type="spellEnd"/>
      <w:r w:rsidRPr="00C03604">
        <w:rPr>
          <w:rFonts w:ascii="微软雅黑" w:eastAsia="微软雅黑" w:hAnsi="微软雅黑" w:cs="宋体"/>
          <w:kern w:val="0"/>
          <w:sz w:val="24"/>
          <w:szCs w:val="24"/>
        </w:rPr>
        <w:t xml:space="preserve"> Prism（</w:t>
      </w:r>
      <w:proofErr w:type="spellStart"/>
      <w:r w:rsidRPr="00C03604">
        <w:rPr>
          <w:rFonts w:ascii="微软雅黑" w:eastAsia="微软雅黑" w:hAnsi="微软雅黑" w:cs="宋体"/>
          <w:kern w:val="0"/>
          <w:sz w:val="24"/>
          <w:szCs w:val="24"/>
        </w:rPr>
        <w:t>Graphpad</w:t>
      </w:r>
      <w:proofErr w:type="spellEnd"/>
      <w:r w:rsidRPr="00C03604">
        <w:rPr>
          <w:rFonts w:ascii="微软雅黑" w:eastAsia="微软雅黑" w:hAnsi="微软雅黑" w:cs="宋体"/>
          <w:kern w:val="0"/>
          <w:sz w:val="24"/>
          <w:szCs w:val="24"/>
        </w:rPr>
        <w:t xml:space="preserve"> Software Inc，加利福尼亚州，美国）和R（版本4.1.1）进行。所有检验均为双侧检验，统计学显著性水平设定为α=5%。</w:t>
      </w:r>
    </w:p>
    <w:p w14:paraId="313C47C5" w14:textId="77777777" w:rsidR="00C03604" w:rsidRPr="00C03604" w:rsidRDefault="00C03604" w:rsidP="00C03604">
      <w:pPr>
        <w:widowControl/>
        <w:spacing w:line="450" w:lineRule="atLeast"/>
        <w:outlineLvl w:val="2"/>
        <w:rPr>
          <w:rFonts w:ascii="微软雅黑" w:eastAsia="微软雅黑" w:hAnsi="微软雅黑" w:cs="宋体"/>
          <w:kern w:val="0"/>
          <w:sz w:val="32"/>
          <w:szCs w:val="32"/>
        </w:rPr>
      </w:pPr>
      <w:r w:rsidRPr="00C03604">
        <w:rPr>
          <w:rFonts w:ascii="微软雅黑" w:eastAsia="微软雅黑" w:hAnsi="微软雅黑" w:cs="宋体"/>
          <w:kern w:val="0"/>
          <w:sz w:val="32"/>
          <w:szCs w:val="32"/>
        </w:rPr>
        <w:t>统计分析</w:t>
      </w:r>
    </w:p>
    <w:p w14:paraId="709A1E6A" w14:textId="77777777" w:rsidR="00C03604" w:rsidRPr="00C03604" w:rsidRDefault="00C03604" w:rsidP="00C03604">
      <w:pPr>
        <w:widowControl/>
        <w:spacing w:before="450"/>
        <w:rPr>
          <w:rFonts w:ascii="微软雅黑" w:eastAsia="微软雅黑" w:hAnsi="微软雅黑" w:cs="宋体"/>
          <w:kern w:val="0"/>
          <w:sz w:val="24"/>
          <w:szCs w:val="24"/>
        </w:rPr>
      </w:pPr>
      <w:r w:rsidRPr="00C03604">
        <w:rPr>
          <w:rFonts w:ascii="微软雅黑" w:eastAsia="微软雅黑" w:hAnsi="微软雅黑" w:cs="宋体"/>
          <w:kern w:val="0"/>
          <w:sz w:val="24"/>
          <w:szCs w:val="24"/>
        </w:rPr>
        <w:lastRenderedPageBreak/>
        <w:t>所有实验的样本量均基于既往研究确定，这些研究显示，在类似样本量下也观察到了显著效应。所有数据均纳入分析，未排除任何数据。在小鼠肿瘤研究中，小鼠在注射细胞或药物前被随机分配到两个或多个组。所有实验均未采用盲法，包括肿瘤形成研究和分子分析中的动物分组。数据以均值±标准误（SEM）表示。两组</w:t>
      </w:r>
      <w:proofErr w:type="gramStart"/>
      <w:r w:rsidRPr="00C03604">
        <w:rPr>
          <w:rFonts w:ascii="微软雅黑" w:eastAsia="微软雅黑" w:hAnsi="微软雅黑" w:cs="宋体"/>
          <w:kern w:val="0"/>
          <w:sz w:val="24"/>
          <w:szCs w:val="24"/>
        </w:rPr>
        <w:t>间数据</w:t>
      </w:r>
      <w:proofErr w:type="gramEnd"/>
      <w:r w:rsidRPr="00C03604">
        <w:rPr>
          <w:rFonts w:ascii="微软雅黑" w:eastAsia="微软雅黑" w:hAnsi="微软雅黑" w:cs="宋体"/>
          <w:kern w:val="0"/>
          <w:sz w:val="24"/>
          <w:szCs w:val="24"/>
        </w:rPr>
        <w:t>采用</w:t>
      </w:r>
      <w:proofErr w:type="spellStart"/>
      <w:r w:rsidRPr="00C03604">
        <w:rPr>
          <w:rFonts w:ascii="微软雅黑" w:eastAsia="微软雅黑" w:hAnsi="微软雅黑" w:cs="宋体"/>
          <w:kern w:val="0"/>
          <w:sz w:val="24"/>
          <w:szCs w:val="24"/>
        </w:rPr>
        <w:t>Graphpad</w:t>
      </w:r>
      <w:proofErr w:type="spellEnd"/>
      <w:r w:rsidRPr="00C03604">
        <w:rPr>
          <w:rFonts w:ascii="微软雅黑" w:eastAsia="微软雅黑" w:hAnsi="微软雅黑" w:cs="宋体"/>
          <w:kern w:val="0"/>
          <w:sz w:val="24"/>
          <w:szCs w:val="24"/>
        </w:rPr>
        <w:t xml:space="preserve"> Prism（</w:t>
      </w:r>
      <w:proofErr w:type="spellStart"/>
      <w:r w:rsidRPr="00C03604">
        <w:rPr>
          <w:rFonts w:ascii="微软雅黑" w:eastAsia="微软雅黑" w:hAnsi="微软雅黑" w:cs="宋体"/>
          <w:kern w:val="0"/>
          <w:sz w:val="24"/>
          <w:szCs w:val="24"/>
        </w:rPr>
        <w:t>Graphpad</w:t>
      </w:r>
      <w:proofErr w:type="spellEnd"/>
      <w:r w:rsidRPr="00C03604">
        <w:rPr>
          <w:rFonts w:ascii="微软雅黑" w:eastAsia="微软雅黑" w:hAnsi="微软雅黑" w:cs="宋体"/>
          <w:kern w:val="0"/>
          <w:sz w:val="24"/>
          <w:szCs w:val="24"/>
        </w:rPr>
        <w:t xml:space="preserve"> Software Inc，加利福尼亚州，美国）进行非配对t检验分析</w:t>
      </w:r>
      <w:r w:rsidRPr="00C03604">
        <w:rPr>
          <w:rFonts w:ascii="微软雅黑" w:eastAsia="微软雅黑" w:hAnsi="微软雅黑" w:cs="宋体"/>
          <w:i/>
          <w:iCs/>
          <w:kern w:val="0"/>
          <w:sz w:val="24"/>
          <w:szCs w:val="24"/>
        </w:rPr>
        <w:t>。p</w:t>
      </w:r>
      <w:r w:rsidRPr="00C03604">
        <w:rPr>
          <w:rFonts w:ascii="微软雅黑" w:eastAsia="微软雅黑" w:hAnsi="微软雅黑" w:cs="宋体"/>
          <w:kern w:val="0"/>
          <w:sz w:val="24"/>
          <w:szCs w:val="24"/>
        </w:rPr>
        <w:t>值</w:t>
      </w:r>
      <w:r w:rsidRPr="00C03604">
        <w:rPr>
          <w:rFonts w:ascii="微软雅黑" w:eastAsia="微软雅黑" w:hAnsi="微软雅黑" w:cs="宋体"/>
          <w:i/>
          <w:iCs/>
          <w:kern w:val="0"/>
          <w:sz w:val="24"/>
          <w:szCs w:val="24"/>
        </w:rPr>
        <w:t>≤0.05</w:t>
      </w:r>
      <w:r w:rsidRPr="00C03604">
        <w:rPr>
          <w:rFonts w:ascii="微软雅黑" w:eastAsia="微软雅黑" w:hAnsi="微软雅黑" w:cs="宋体"/>
          <w:kern w:val="0"/>
          <w:sz w:val="24"/>
          <w:szCs w:val="24"/>
        </w:rPr>
        <w:t>被认为具有统计学意义。IC50</w:t>
      </w:r>
      <w:r w:rsidRPr="00C03604">
        <w:rPr>
          <w:rFonts w:ascii="微软雅黑" w:eastAsia="微软雅黑" w:hAnsi="微软雅黑" w:cs="宋体"/>
          <w:kern w:val="0"/>
          <w:sz w:val="24"/>
          <w:szCs w:val="24"/>
          <w:vertAlign w:val="subscript"/>
        </w:rPr>
        <w:t>的</w:t>
      </w:r>
      <w:r w:rsidRPr="00C03604">
        <w:rPr>
          <w:rFonts w:ascii="微软雅黑" w:eastAsia="微软雅黑" w:hAnsi="微软雅黑" w:cs="宋体"/>
          <w:kern w:val="0"/>
          <w:sz w:val="24"/>
          <w:szCs w:val="24"/>
        </w:rPr>
        <w:t>计算采用可变斜率、四参数非线性回归模型。</w:t>
      </w:r>
    </w:p>
    <w:p w14:paraId="305BF840" w14:textId="77777777" w:rsidR="004E28F8" w:rsidRPr="00C03604" w:rsidRDefault="004E28F8" w:rsidP="00C03604">
      <w:pPr>
        <w:rPr>
          <w:rFonts w:ascii="微软雅黑" w:eastAsia="微软雅黑" w:hAnsi="微软雅黑"/>
        </w:rPr>
      </w:pPr>
    </w:p>
    <w:sectPr w:rsidR="004E28F8" w:rsidRPr="00C03604">
      <w:pgSz w:w="11906" w:h="16838"/>
      <w:pgMar w:top="1440" w:right="1800" w:bottom="1440" w:left="1800" w:header="720" w:footer="720"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0A0D03"/>
    <w:multiLevelType w:val="multilevel"/>
    <w:tmpl w:val="98B0F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28F8"/>
    <w:rsid w:val="004E28F8"/>
    <w:rsid w:val="00C036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23C28A"/>
  <w15:chartTrackingRefBased/>
  <w15:docId w15:val="{11E8C224-3C0D-4233-8297-4D0B7093AC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C03604"/>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0"/>
    <w:uiPriority w:val="9"/>
    <w:qFormat/>
    <w:rsid w:val="00C03604"/>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link w:val="30"/>
    <w:uiPriority w:val="9"/>
    <w:qFormat/>
    <w:rsid w:val="00C03604"/>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link w:val="40"/>
    <w:uiPriority w:val="9"/>
    <w:qFormat/>
    <w:rsid w:val="00C03604"/>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C03604"/>
    <w:rPr>
      <w:rFonts w:ascii="宋体" w:eastAsia="宋体" w:hAnsi="宋体" w:cs="宋体"/>
      <w:b/>
      <w:bCs/>
      <w:kern w:val="36"/>
      <w:sz w:val="48"/>
      <w:szCs w:val="48"/>
    </w:rPr>
  </w:style>
  <w:style w:type="character" w:customStyle="1" w:styleId="20">
    <w:name w:val="标题 2 字符"/>
    <w:basedOn w:val="a0"/>
    <w:link w:val="2"/>
    <w:uiPriority w:val="9"/>
    <w:rsid w:val="00C03604"/>
    <w:rPr>
      <w:rFonts w:ascii="宋体" w:eastAsia="宋体" w:hAnsi="宋体" w:cs="宋体"/>
      <w:b/>
      <w:bCs/>
      <w:kern w:val="0"/>
      <w:sz w:val="36"/>
      <w:szCs w:val="36"/>
    </w:rPr>
  </w:style>
  <w:style w:type="character" w:customStyle="1" w:styleId="30">
    <w:name w:val="标题 3 字符"/>
    <w:basedOn w:val="a0"/>
    <w:link w:val="3"/>
    <w:uiPriority w:val="9"/>
    <w:rsid w:val="00C03604"/>
    <w:rPr>
      <w:rFonts w:ascii="宋体" w:eastAsia="宋体" w:hAnsi="宋体" w:cs="宋体"/>
      <w:b/>
      <w:bCs/>
      <w:kern w:val="0"/>
      <w:sz w:val="27"/>
      <w:szCs w:val="27"/>
    </w:rPr>
  </w:style>
  <w:style w:type="character" w:customStyle="1" w:styleId="40">
    <w:name w:val="标题 4 字符"/>
    <w:basedOn w:val="a0"/>
    <w:link w:val="4"/>
    <w:uiPriority w:val="9"/>
    <w:rsid w:val="00C03604"/>
    <w:rPr>
      <w:rFonts w:ascii="宋体" w:eastAsia="宋体" w:hAnsi="宋体" w:cs="宋体"/>
      <w:b/>
      <w:bCs/>
      <w:kern w:val="0"/>
      <w:sz w:val="24"/>
      <w:szCs w:val="24"/>
    </w:rPr>
  </w:style>
  <w:style w:type="paragraph" w:customStyle="1" w:styleId="msonormal0">
    <w:name w:val="msonormal"/>
    <w:basedOn w:val="a"/>
    <w:rsid w:val="00C03604"/>
    <w:pPr>
      <w:widowControl/>
      <w:spacing w:before="100" w:beforeAutospacing="1" w:after="100" w:afterAutospacing="1"/>
      <w:jc w:val="left"/>
    </w:pPr>
    <w:rPr>
      <w:rFonts w:ascii="宋体" w:eastAsia="宋体" w:hAnsi="宋体" w:cs="宋体"/>
      <w:kern w:val="0"/>
      <w:sz w:val="24"/>
      <w:szCs w:val="24"/>
    </w:rPr>
  </w:style>
  <w:style w:type="character" w:styleId="a3">
    <w:name w:val="Hyperlink"/>
    <w:basedOn w:val="a0"/>
    <w:uiPriority w:val="99"/>
    <w:semiHidden/>
    <w:unhideWhenUsed/>
    <w:rsid w:val="00C03604"/>
    <w:rPr>
      <w:color w:val="0000FF"/>
      <w:u w:val="single"/>
    </w:rPr>
  </w:style>
  <w:style w:type="character" w:styleId="a4">
    <w:name w:val="FollowedHyperlink"/>
    <w:basedOn w:val="a0"/>
    <w:uiPriority w:val="99"/>
    <w:semiHidden/>
    <w:unhideWhenUsed/>
    <w:rsid w:val="00C03604"/>
    <w:rPr>
      <w:color w:val="800080"/>
      <w:u w:val="single"/>
    </w:rPr>
  </w:style>
  <w:style w:type="character" w:customStyle="1" w:styleId="name">
    <w:name w:val="name"/>
    <w:basedOn w:val="a0"/>
    <w:rsid w:val="00C03604"/>
  </w:style>
  <w:style w:type="paragraph" w:styleId="a5">
    <w:name w:val="Normal (Web)"/>
    <w:basedOn w:val="a"/>
    <w:uiPriority w:val="99"/>
    <w:semiHidden/>
    <w:unhideWhenUsed/>
    <w:rsid w:val="00C03604"/>
    <w:pPr>
      <w:widowControl/>
      <w:spacing w:before="100" w:beforeAutospacing="1" w:after="100" w:afterAutospacing="1"/>
      <w:jc w:val="left"/>
    </w:pPr>
    <w:rPr>
      <w:rFonts w:ascii="宋体" w:eastAsia="宋体" w:hAnsi="宋体" w:cs="宋体"/>
      <w:kern w:val="0"/>
      <w:sz w:val="24"/>
      <w:szCs w:val="24"/>
    </w:rPr>
  </w:style>
  <w:style w:type="character" w:styleId="a6">
    <w:name w:val="Emphasis"/>
    <w:basedOn w:val="a0"/>
    <w:uiPriority w:val="20"/>
    <w:qFormat/>
    <w:rsid w:val="00C03604"/>
    <w:rPr>
      <w:i/>
      <w:iCs/>
    </w:rPr>
  </w:style>
  <w:style w:type="character" w:styleId="a7">
    <w:name w:val="Strong"/>
    <w:basedOn w:val="a0"/>
    <w:uiPriority w:val="22"/>
    <w:qFormat/>
    <w:rsid w:val="00C03604"/>
    <w:rPr>
      <w:b/>
      <w:bCs/>
    </w:rPr>
  </w:style>
  <w:style w:type="paragraph" w:customStyle="1" w:styleId="img-box">
    <w:name w:val="img-box"/>
    <w:basedOn w:val="a"/>
    <w:rsid w:val="00C03604"/>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16979">
      <w:bodyDiv w:val="1"/>
      <w:marLeft w:val="0"/>
      <w:marRight w:val="0"/>
      <w:marTop w:val="0"/>
      <w:marBottom w:val="0"/>
      <w:divBdr>
        <w:top w:val="none" w:sz="0" w:space="0" w:color="auto"/>
        <w:left w:val="none" w:sz="0" w:space="0" w:color="auto"/>
        <w:bottom w:val="none" w:sz="0" w:space="0" w:color="auto"/>
        <w:right w:val="none" w:sz="0" w:space="0" w:color="auto"/>
      </w:divBdr>
      <w:divsChild>
        <w:div w:id="780149339">
          <w:marLeft w:val="0"/>
          <w:marRight w:val="0"/>
          <w:marTop w:val="0"/>
          <w:marBottom w:val="0"/>
          <w:divBdr>
            <w:top w:val="none" w:sz="0" w:space="0" w:color="auto"/>
            <w:left w:val="none" w:sz="0" w:space="0" w:color="auto"/>
            <w:bottom w:val="none" w:sz="0" w:space="0" w:color="auto"/>
            <w:right w:val="none" w:sz="0" w:space="0" w:color="auto"/>
          </w:divBdr>
          <w:divsChild>
            <w:div w:id="1275014500">
              <w:marLeft w:val="0"/>
              <w:marRight w:val="0"/>
              <w:marTop w:val="225"/>
              <w:marBottom w:val="0"/>
              <w:divBdr>
                <w:top w:val="none" w:sz="0" w:space="0" w:color="auto"/>
                <w:left w:val="none" w:sz="0" w:space="0" w:color="auto"/>
                <w:bottom w:val="none" w:sz="0" w:space="0" w:color="auto"/>
                <w:right w:val="none" w:sz="0" w:space="0" w:color="auto"/>
              </w:divBdr>
            </w:div>
            <w:div w:id="517625893">
              <w:marLeft w:val="0"/>
              <w:marRight w:val="0"/>
              <w:marTop w:val="0"/>
              <w:marBottom w:val="0"/>
              <w:divBdr>
                <w:top w:val="none" w:sz="0" w:space="0" w:color="auto"/>
                <w:left w:val="none" w:sz="0" w:space="0" w:color="auto"/>
                <w:bottom w:val="none" w:sz="0" w:space="0" w:color="auto"/>
                <w:right w:val="none" w:sz="0" w:space="0" w:color="auto"/>
              </w:divBdr>
            </w:div>
          </w:divsChild>
        </w:div>
        <w:div w:id="2097051927">
          <w:marLeft w:val="0"/>
          <w:marRight w:val="0"/>
          <w:marTop w:val="450"/>
          <w:marBottom w:val="0"/>
          <w:divBdr>
            <w:top w:val="none" w:sz="0" w:space="0" w:color="auto"/>
            <w:left w:val="none" w:sz="0" w:space="0" w:color="auto"/>
            <w:bottom w:val="none" w:sz="0" w:space="0" w:color="auto"/>
            <w:right w:val="none" w:sz="0" w:space="0" w:color="auto"/>
          </w:divBdr>
        </w:div>
        <w:div w:id="451215598">
          <w:marLeft w:val="0"/>
          <w:marRight w:val="0"/>
          <w:marTop w:val="450"/>
          <w:marBottom w:val="0"/>
          <w:divBdr>
            <w:top w:val="none" w:sz="0" w:space="0" w:color="auto"/>
            <w:left w:val="none" w:sz="0" w:space="0" w:color="auto"/>
            <w:bottom w:val="none" w:sz="0" w:space="0" w:color="auto"/>
            <w:right w:val="none" w:sz="0" w:space="0" w:color="auto"/>
          </w:divBdr>
        </w:div>
        <w:div w:id="868835481">
          <w:marLeft w:val="0"/>
          <w:marRight w:val="0"/>
          <w:marTop w:val="450"/>
          <w:marBottom w:val="0"/>
          <w:divBdr>
            <w:top w:val="none" w:sz="0" w:space="0" w:color="auto"/>
            <w:left w:val="none" w:sz="0" w:space="0" w:color="auto"/>
            <w:bottom w:val="none" w:sz="0" w:space="0" w:color="auto"/>
            <w:right w:val="none" w:sz="0" w:space="0" w:color="auto"/>
          </w:divBdr>
        </w:div>
        <w:div w:id="17388366">
          <w:marLeft w:val="0"/>
          <w:marRight w:val="0"/>
          <w:marTop w:val="450"/>
          <w:marBottom w:val="0"/>
          <w:divBdr>
            <w:top w:val="none" w:sz="0" w:space="0" w:color="auto"/>
            <w:left w:val="none" w:sz="0" w:space="0" w:color="auto"/>
            <w:bottom w:val="none" w:sz="0" w:space="0" w:color="auto"/>
            <w:right w:val="none" w:sz="0" w:space="0" w:color="auto"/>
          </w:divBdr>
        </w:div>
        <w:div w:id="2027251459">
          <w:marLeft w:val="0"/>
          <w:marRight w:val="0"/>
          <w:marTop w:val="450"/>
          <w:marBottom w:val="0"/>
          <w:divBdr>
            <w:top w:val="none" w:sz="0" w:space="0" w:color="auto"/>
            <w:left w:val="none" w:sz="0" w:space="0" w:color="auto"/>
            <w:bottom w:val="none" w:sz="0" w:space="0" w:color="auto"/>
            <w:right w:val="none" w:sz="0" w:space="0" w:color="auto"/>
          </w:divBdr>
        </w:div>
        <w:div w:id="2032224951">
          <w:marLeft w:val="0"/>
          <w:marRight w:val="0"/>
          <w:marTop w:val="450"/>
          <w:marBottom w:val="0"/>
          <w:divBdr>
            <w:top w:val="none" w:sz="0" w:space="0" w:color="auto"/>
            <w:left w:val="none" w:sz="0" w:space="0" w:color="auto"/>
            <w:bottom w:val="none" w:sz="0" w:space="0" w:color="auto"/>
            <w:right w:val="none" w:sz="0" w:space="0" w:color="auto"/>
          </w:divBdr>
        </w:div>
        <w:div w:id="1784036379">
          <w:marLeft w:val="0"/>
          <w:marRight w:val="0"/>
          <w:marTop w:val="45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pmc.ncbi.nlm.nih.gov/articles/PMC10348910/" TargetMode="External"/><Relationship Id="rId21" Type="http://schemas.openxmlformats.org/officeDocument/2006/relationships/hyperlink" Target="https://pmc.ncbi.nlm.nih.gov/articles/PMC10348910/" TargetMode="External"/><Relationship Id="rId42" Type="http://schemas.openxmlformats.org/officeDocument/2006/relationships/hyperlink" Target="https://pmc.ncbi.nlm.nih.gov/articles/PMC10348910/" TargetMode="External"/><Relationship Id="rId47" Type="http://schemas.openxmlformats.org/officeDocument/2006/relationships/image" Target="media/image2.jpeg"/><Relationship Id="rId63" Type="http://schemas.openxmlformats.org/officeDocument/2006/relationships/hyperlink" Target="https://www.ncbi.nlm.nih.gov/core/lw/2.0/html/tileshop_pmc/tileshop_pmc_inline.html?title=Click%20on%20image%20to%20zoom&amp;p=PMC3&amp;id=10348910_41388_2023_2747_Fig6_HTML.jpg" TargetMode="External"/><Relationship Id="rId68" Type="http://schemas.openxmlformats.org/officeDocument/2006/relationships/hyperlink" Target="https://pmc.ncbi.nlm.nih.gov/articles/PMC10348910/" TargetMode="External"/><Relationship Id="rId84" Type="http://schemas.openxmlformats.org/officeDocument/2006/relationships/hyperlink" Target="https://pmc.ncbi.nlm.nih.gov/articles/PMC10348910/" TargetMode="External"/><Relationship Id="rId89" Type="http://schemas.openxmlformats.org/officeDocument/2006/relationships/hyperlink" Target="https://pmc.ncbi.nlm.nih.gov/articles/PMC10348910/" TargetMode="External"/><Relationship Id="rId16" Type="http://schemas.openxmlformats.org/officeDocument/2006/relationships/hyperlink" Target="https://pmc.ncbi.nlm.nih.gov/articles/PMC10348910/" TargetMode="External"/><Relationship Id="rId107" Type="http://schemas.openxmlformats.org/officeDocument/2006/relationships/hyperlink" Target="https://pmc.ncbi.nlm.nih.gov/articles/PMC10348910/" TargetMode="External"/><Relationship Id="rId11" Type="http://schemas.openxmlformats.org/officeDocument/2006/relationships/hyperlink" Target="https://pmc.ncbi.nlm.nih.gov/articles/PMC10348910/" TargetMode="External"/><Relationship Id="rId32" Type="http://schemas.openxmlformats.org/officeDocument/2006/relationships/hyperlink" Target="https://pmc.ncbi.nlm.nih.gov/articles/PMC10348910/" TargetMode="External"/><Relationship Id="rId37" Type="http://schemas.openxmlformats.org/officeDocument/2006/relationships/hyperlink" Target="https://pmc.ncbi.nlm.nih.gov/articles/PMC10348910/" TargetMode="External"/><Relationship Id="rId53" Type="http://schemas.openxmlformats.org/officeDocument/2006/relationships/hyperlink" Target="https://www.ncbi.nlm.nih.gov/core/lw/2.0/html/tileshop_pmc/tileshop_pmc_inline.html?title=Click%20on%20image%20to%20zoom&amp;p=PMC3&amp;id=10348910_41388_2023_2747_Fig4_HTML.jpg" TargetMode="External"/><Relationship Id="rId58" Type="http://schemas.openxmlformats.org/officeDocument/2006/relationships/hyperlink" Target="https://www.ncbi.nlm.nih.gov/core/lw/2.0/html/tileshop_pmc/tileshop_pmc_inline.html?title=Click%20on%20image%20to%20zoom&amp;p=PMC3&amp;id=10348910_41388_2023_2747_Fig5_HTML.jpg" TargetMode="External"/><Relationship Id="rId74" Type="http://schemas.openxmlformats.org/officeDocument/2006/relationships/hyperlink" Target="https://pmc.ncbi.nlm.nih.gov/articles/PMC10348910/" TargetMode="External"/><Relationship Id="rId79" Type="http://schemas.openxmlformats.org/officeDocument/2006/relationships/hyperlink" Target="https://pmc.ncbi.nlm.nih.gov/articles/PMC10348910/" TargetMode="External"/><Relationship Id="rId102" Type="http://schemas.openxmlformats.org/officeDocument/2006/relationships/hyperlink" Target="https://pmc.ncbi.nlm.nih.gov/articles/PMC10348910/" TargetMode="External"/><Relationship Id="rId5" Type="http://schemas.openxmlformats.org/officeDocument/2006/relationships/hyperlink" Target="https://pmc.ncbi.nlm.nih.gov/articles/PMC10348910/" TargetMode="External"/><Relationship Id="rId90" Type="http://schemas.openxmlformats.org/officeDocument/2006/relationships/hyperlink" Target="https://pmc.ncbi.nlm.nih.gov/articles/PMC10348910/" TargetMode="External"/><Relationship Id="rId95" Type="http://schemas.openxmlformats.org/officeDocument/2006/relationships/hyperlink" Target="https://pmc.ncbi.nlm.nih.gov/articles/PMC10348910/" TargetMode="External"/><Relationship Id="rId22" Type="http://schemas.openxmlformats.org/officeDocument/2006/relationships/hyperlink" Target="https://pmc.ncbi.nlm.nih.gov/articles/PMC10348910/" TargetMode="External"/><Relationship Id="rId27" Type="http://schemas.openxmlformats.org/officeDocument/2006/relationships/hyperlink" Target="https://pmc.ncbi.nlm.nih.gov/articles/PMC10348910/" TargetMode="External"/><Relationship Id="rId43" Type="http://schemas.openxmlformats.org/officeDocument/2006/relationships/hyperlink" Target="https://pmc.ncbi.nlm.nih.gov/articles/PMC10348910/" TargetMode="External"/><Relationship Id="rId48" Type="http://schemas.openxmlformats.org/officeDocument/2006/relationships/hyperlink" Target="https://www.ncbi.nlm.nih.gov/core/lw/2.0/html/tileshop_pmc/tileshop_pmc_inline.html?title=Click%20on%20image%20to%20zoom&amp;p=PMC3&amp;id=10348910_41388_2023_2747_Fig3_HTML.jpg" TargetMode="External"/><Relationship Id="rId64" Type="http://schemas.openxmlformats.org/officeDocument/2006/relationships/image" Target="media/image6.jpeg"/><Relationship Id="rId69" Type="http://schemas.openxmlformats.org/officeDocument/2006/relationships/hyperlink" Target="https://pmc.ncbi.nlm.nih.gov/articles/PMC10348910/" TargetMode="External"/><Relationship Id="rId80" Type="http://schemas.openxmlformats.org/officeDocument/2006/relationships/hyperlink" Target="https://pmc.ncbi.nlm.nih.gov/articles/PMC10348910/" TargetMode="External"/><Relationship Id="rId85" Type="http://schemas.openxmlformats.org/officeDocument/2006/relationships/hyperlink" Target="https://pmc.ncbi.nlm.nih.gov/articles/PMC10348910/" TargetMode="External"/><Relationship Id="rId12" Type="http://schemas.openxmlformats.org/officeDocument/2006/relationships/hyperlink" Target="https://pmc.ncbi.nlm.nih.gov/articles/PMC10348910/" TargetMode="External"/><Relationship Id="rId17" Type="http://schemas.openxmlformats.org/officeDocument/2006/relationships/hyperlink" Target="https://pmc.ncbi.nlm.nih.gov/articles/PMC10348910/" TargetMode="External"/><Relationship Id="rId33" Type="http://schemas.openxmlformats.org/officeDocument/2006/relationships/hyperlink" Target="https://pmc.ncbi.nlm.nih.gov/articles/PMC10348910/" TargetMode="External"/><Relationship Id="rId38" Type="http://schemas.openxmlformats.org/officeDocument/2006/relationships/hyperlink" Target="https://pmc.ncbi.nlm.nih.gov/articles/PMC10348910/" TargetMode="External"/><Relationship Id="rId59" Type="http://schemas.openxmlformats.org/officeDocument/2006/relationships/image" Target="media/image5.jpeg"/><Relationship Id="rId103" Type="http://schemas.openxmlformats.org/officeDocument/2006/relationships/hyperlink" Target="https://pmc.ncbi.nlm.nih.gov/articles/PMC10348910/" TargetMode="External"/><Relationship Id="rId108" Type="http://schemas.openxmlformats.org/officeDocument/2006/relationships/fontTable" Target="fontTable.xml"/><Relationship Id="rId54" Type="http://schemas.openxmlformats.org/officeDocument/2006/relationships/image" Target="media/image4.jpeg"/><Relationship Id="rId70" Type="http://schemas.openxmlformats.org/officeDocument/2006/relationships/hyperlink" Target="https://pmc.ncbi.nlm.nih.gov/articles/PMC10348910/" TargetMode="External"/><Relationship Id="rId75" Type="http://schemas.openxmlformats.org/officeDocument/2006/relationships/hyperlink" Target="https://pmc.ncbi.nlm.nih.gov/articles/PMC10348910/" TargetMode="External"/><Relationship Id="rId91" Type="http://schemas.openxmlformats.org/officeDocument/2006/relationships/hyperlink" Target="https://pmc.ncbi.nlm.nih.gov/articles/PMC10348910/" TargetMode="External"/><Relationship Id="rId96" Type="http://schemas.openxmlformats.org/officeDocument/2006/relationships/hyperlink" Target="https://pmc.ncbi.nlm.nih.gov/articles/PMC10348910/" TargetMode="External"/><Relationship Id="rId1" Type="http://schemas.openxmlformats.org/officeDocument/2006/relationships/numbering" Target="numbering.xml"/><Relationship Id="rId6" Type="http://schemas.openxmlformats.org/officeDocument/2006/relationships/hyperlink" Target="https://pmc.ncbi.nlm.nih.gov/articles/PMC10348910/" TargetMode="External"/><Relationship Id="rId15" Type="http://schemas.openxmlformats.org/officeDocument/2006/relationships/hyperlink" Target="https://pmc.ncbi.nlm.nih.gov/articles/PMC10348910/" TargetMode="External"/><Relationship Id="rId23" Type="http://schemas.openxmlformats.org/officeDocument/2006/relationships/hyperlink" Target="https://pmc.ncbi.nlm.nih.gov/articles/PMC10348910/" TargetMode="External"/><Relationship Id="rId28" Type="http://schemas.openxmlformats.org/officeDocument/2006/relationships/hyperlink" Target="https://pmc.ncbi.nlm.nih.gov/articles/PMC10348910/" TargetMode="External"/><Relationship Id="rId36" Type="http://schemas.openxmlformats.org/officeDocument/2006/relationships/hyperlink" Target="https://pmc.ncbi.nlm.nih.gov/articles/PMC10348910/" TargetMode="External"/><Relationship Id="rId49" Type="http://schemas.openxmlformats.org/officeDocument/2006/relationships/image" Target="media/image3.jpeg"/><Relationship Id="rId57" Type="http://schemas.openxmlformats.org/officeDocument/2006/relationships/hyperlink" Target="https://pmc.ncbi.nlm.nih.gov/articles/PMC10348910/" TargetMode="External"/><Relationship Id="rId106" Type="http://schemas.openxmlformats.org/officeDocument/2006/relationships/hyperlink" Target="https://pmc.ncbi.nlm.nih.gov/articles/PMC10348910/" TargetMode="External"/><Relationship Id="rId10" Type="http://schemas.openxmlformats.org/officeDocument/2006/relationships/hyperlink" Target="https://pmc.ncbi.nlm.nih.gov/articles/PMC10348910/" TargetMode="External"/><Relationship Id="rId31" Type="http://schemas.openxmlformats.org/officeDocument/2006/relationships/hyperlink" Target="https://pmc.ncbi.nlm.nih.gov/articles/PMC10348910/" TargetMode="External"/><Relationship Id="rId44" Type="http://schemas.openxmlformats.org/officeDocument/2006/relationships/hyperlink" Target="https://www.ncbi.nlm.nih.gov/core/lw/2.0/html/tileshop_pmc/tileshop_pmc_inline.html?title=Click%20on%20image%20to%20zoom&amp;p=PMC3&amp;id=10348910_41388_2023_2747_Fig1_HTML.jpg" TargetMode="External"/><Relationship Id="rId52" Type="http://schemas.openxmlformats.org/officeDocument/2006/relationships/hyperlink" Target="https://pmc.ncbi.nlm.nih.gov/articles/PMC10348910/" TargetMode="External"/><Relationship Id="rId60" Type="http://schemas.openxmlformats.org/officeDocument/2006/relationships/hyperlink" Target="https://pmc.ncbi.nlm.nih.gov/articles/PMC10348910/" TargetMode="External"/><Relationship Id="rId65" Type="http://schemas.openxmlformats.org/officeDocument/2006/relationships/hyperlink" Target="https://www.ncbi.nlm.nih.gov/core/lw/2.0/html/tileshop_pmc/tileshop_pmc_inline.html?title=Click%20on%20image%20to%20zoom&amp;p=PMC3&amp;id=10348910_41388_2023_2747_Fig7_HTML.jpg" TargetMode="External"/><Relationship Id="rId73" Type="http://schemas.openxmlformats.org/officeDocument/2006/relationships/hyperlink" Target="https://pmc.ncbi.nlm.nih.gov/articles/PMC10348910/" TargetMode="External"/><Relationship Id="rId78" Type="http://schemas.openxmlformats.org/officeDocument/2006/relationships/hyperlink" Target="https://pmc.ncbi.nlm.nih.gov/articles/PMC10348910/" TargetMode="External"/><Relationship Id="rId81" Type="http://schemas.openxmlformats.org/officeDocument/2006/relationships/hyperlink" Target="https://pmc.ncbi.nlm.nih.gov/articles/PMC10348910/" TargetMode="External"/><Relationship Id="rId86" Type="http://schemas.openxmlformats.org/officeDocument/2006/relationships/hyperlink" Target="https://pmc.ncbi.nlm.nih.gov/articles/PMC10348910/" TargetMode="External"/><Relationship Id="rId94" Type="http://schemas.openxmlformats.org/officeDocument/2006/relationships/hyperlink" Target="https://pmc.ncbi.nlm.nih.gov/articles/PMC10348910/" TargetMode="External"/><Relationship Id="rId99" Type="http://schemas.openxmlformats.org/officeDocument/2006/relationships/hyperlink" Target="https://pmc.ncbi.nlm.nih.gov/articles/PMC10348910/" TargetMode="External"/><Relationship Id="rId101" Type="http://schemas.openxmlformats.org/officeDocument/2006/relationships/hyperlink" Target="https://pmc.ncbi.nlm.nih.gov/articles/PMC10348910/" TargetMode="External"/><Relationship Id="rId4" Type="http://schemas.openxmlformats.org/officeDocument/2006/relationships/webSettings" Target="webSettings.xml"/><Relationship Id="rId9" Type="http://schemas.openxmlformats.org/officeDocument/2006/relationships/hyperlink" Target="https://pmc.ncbi.nlm.nih.gov/articles/PMC10348910/" TargetMode="External"/><Relationship Id="rId13" Type="http://schemas.openxmlformats.org/officeDocument/2006/relationships/hyperlink" Target="https://pmc.ncbi.nlm.nih.gov/articles/PMC10348910/" TargetMode="External"/><Relationship Id="rId18" Type="http://schemas.openxmlformats.org/officeDocument/2006/relationships/hyperlink" Target="https://pmc.ncbi.nlm.nih.gov/articles/PMC10348910/" TargetMode="External"/><Relationship Id="rId39" Type="http://schemas.openxmlformats.org/officeDocument/2006/relationships/hyperlink" Target="https://pmc.ncbi.nlm.nih.gov/articles/PMC10348910/" TargetMode="External"/><Relationship Id="rId109" Type="http://schemas.openxmlformats.org/officeDocument/2006/relationships/theme" Target="theme/theme1.xml"/><Relationship Id="rId34" Type="http://schemas.openxmlformats.org/officeDocument/2006/relationships/hyperlink" Target="https://pmc.ncbi.nlm.nih.gov/articles/PMC10348910/" TargetMode="External"/><Relationship Id="rId50" Type="http://schemas.openxmlformats.org/officeDocument/2006/relationships/hyperlink" Target="https://pmc.ncbi.nlm.nih.gov/articles/PMC10348910/" TargetMode="External"/><Relationship Id="rId55" Type="http://schemas.openxmlformats.org/officeDocument/2006/relationships/hyperlink" Target="https://pmc.ncbi.nlm.nih.gov/articles/PMC10348910/" TargetMode="External"/><Relationship Id="rId76" Type="http://schemas.openxmlformats.org/officeDocument/2006/relationships/hyperlink" Target="https://pmc.ncbi.nlm.nih.gov/articles/PMC10348910/" TargetMode="External"/><Relationship Id="rId97" Type="http://schemas.openxmlformats.org/officeDocument/2006/relationships/hyperlink" Target="https://pmc.ncbi.nlm.nih.gov/articles/PMC10348910/" TargetMode="External"/><Relationship Id="rId104" Type="http://schemas.openxmlformats.org/officeDocument/2006/relationships/hyperlink" Target="https://pmc.ncbi.nlm.nih.gov/articles/PMC10348910/" TargetMode="External"/><Relationship Id="rId7" Type="http://schemas.openxmlformats.org/officeDocument/2006/relationships/hyperlink" Target="https://pmc.ncbi.nlm.nih.gov/articles/PMC10348910/" TargetMode="External"/><Relationship Id="rId71" Type="http://schemas.openxmlformats.org/officeDocument/2006/relationships/hyperlink" Target="https://pmc.ncbi.nlm.nih.gov/articles/PMC10348910/" TargetMode="External"/><Relationship Id="rId92" Type="http://schemas.openxmlformats.org/officeDocument/2006/relationships/hyperlink" Target="https://pmc.ncbi.nlm.nih.gov/articles/PMC10348910/" TargetMode="External"/><Relationship Id="rId2" Type="http://schemas.openxmlformats.org/officeDocument/2006/relationships/styles" Target="styles.xml"/><Relationship Id="rId29" Type="http://schemas.openxmlformats.org/officeDocument/2006/relationships/hyperlink" Target="https://pmc.ncbi.nlm.nih.gov/articles/PMC10348910/" TargetMode="External"/><Relationship Id="rId24" Type="http://schemas.openxmlformats.org/officeDocument/2006/relationships/hyperlink" Target="https://pmc.ncbi.nlm.nih.gov/articles/PMC10348910/" TargetMode="External"/><Relationship Id="rId40" Type="http://schemas.openxmlformats.org/officeDocument/2006/relationships/hyperlink" Target="https://pmc.ncbi.nlm.nih.gov/articles/PMC10348910/" TargetMode="External"/><Relationship Id="rId45" Type="http://schemas.openxmlformats.org/officeDocument/2006/relationships/image" Target="media/image1.jpeg"/><Relationship Id="rId66" Type="http://schemas.openxmlformats.org/officeDocument/2006/relationships/image" Target="media/image7.jpeg"/><Relationship Id="rId87" Type="http://schemas.openxmlformats.org/officeDocument/2006/relationships/hyperlink" Target="https://pmc.ncbi.nlm.nih.gov/articles/PMC10348910/" TargetMode="External"/><Relationship Id="rId61" Type="http://schemas.openxmlformats.org/officeDocument/2006/relationships/hyperlink" Target="https://pmc.ncbi.nlm.nih.gov/articles/PMC10348910/" TargetMode="External"/><Relationship Id="rId82" Type="http://schemas.openxmlformats.org/officeDocument/2006/relationships/hyperlink" Target="https://pmc.ncbi.nlm.nih.gov/articles/PMC10348910/" TargetMode="External"/><Relationship Id="rId19" Type="http://schemas.openxmlformats.org/officeDocument/2006/relationships/hyperlink" Target="https://pmc.ncbi.nlm.nih.gov/articles/PMC10348910/" TargetMode="External"/><Relationship Id="rId14" Type="http://schemas.openxmlformats.org/officeDocument/2006/relationships/hyperlink" Target="https://pmc.ncbi.nlm.nih.gov/articles/PMC10348910/" TargetMode="External"/><Relationship Id="rId30" Type="http://schemas.openxmlformats.org/officeDocument/2006/relationships/hyperlink" Target="https://pmc.ncbi.nlm.nih.gov/articles/PMC10348910/" TargetMode="External"/><Relationship Id="rId35" Type="http://schemas.openxmlformats.org/officeDocument/2006/relationships/hyperlink" Target="https://pmc.ncbi.nlm.nih.gov/articles/PMC10348910/" TargetMode="External"/><Relationship Id="rId56" Type="http://schemas.openxmlformats.org/officeDocument/2006/relationships/hyperlink" Target="https://pmc.ncbi.nlm.nih.gov/articles/PMC10348910/" TargetMode="External"/><Relationship Id="rId77" Type="http://schemas.openxmlformats.org/officeDocument/2006/relationships/hyperlink" Target="https://pmc.ncbi.nlm.nih.gov/articles/PMC10348910/" TargetMode="External"/><Relationship Id="rId100" Type="http://schemas.openxmlformats.org/officeDocument/2006/relationships/hyperlink" Target="https://pmc.ncbi.nlm.nih.gov/articles/PMC10348910/" TargetMode="External"/><Relationship Id="rId105" Type="http://schemas.openxmlformats.org/officeDocument/2006/relationships/hyperlink" Target="https://pmc.ncbi.nlm.nih.gov/articles/PMC10348910/" TargetMode="External"/><Relationship Id="rId8" Type="http://schemas.openxmlformats.org/officeDocument/2006/relationships/hyperlink" Target="https://pmc.ncbi.nlm.nih.gov/articles/PMC10348910/" TargetMode="External"/><Relationship Id="rId51" Type="http://schemas.openxmlformats.org/officeDocument/2006/relationships/hyperlink" Target="https://pmc.ncbi.nlm.nih.gov/articles/PMC10348910/" TargetMode="External"/><Relationship Id="rId72" Type="http://schemas.openxmlformats.org/officeDocument/2006/relationships/hyperlink" Target="https://pmc.ncbi.nlm.nih.gov/articles/PMC10348910/" TargetMode="External"/><Relationship Id="rId93" Type="http://schemas.openxmlformats.org/officeDocument/2006/relationships/hyperlink" Target="https://pmc.ncbi.nlm.nih.gov/articles/PMC10348910/" TargetMode="External"/><Relationship Id="rId98" Type="http://schemas.openxmlformats.org/officeDocument/2006/relationships/hyperlink" Target="https://pmc.ncbi.nlm.nih.gov/articles/PMC10348910/" TargetMode="External"/><Relationship Id="rId3" Type="http://schemas.openxmlformats.org/officeDocument/2006/relationships/settings" Target="settings.xml"/><Relationship Id="rId25" Type="http://schemas.openxmlformats.org/officeDocument/2006/relationships/hyperlink" Target="https://pmc.ncbi.nlm.nih.gov/articles/PMC10348910/" TargetMode="External"/><Relationship Id="rId46" Type="http://schemas.openxmlformats.org/officeDocument/2006/relationships/hyperlink" Target="https://www.ncbi.nlm.nih.gov/core/lw/2.0/html/tileshop_pmc/tileshop_pmc_inline.html?title=Click%20on%20image%20to%20zoom&amp;p=PMC3&amp;id=10348910_41388_2023_2747_Fig2_HTML.jpg" TargetMode="External"/><Relationship Id="rId67" Type="http://schemas.openxmlformats.org/officeDocument/2006/relationships/hyperlink" Target="https://pmc.ncbi.nlm.nih.gov/articles/PMC10348910/" TargetMode="External"/><Relationship Id="rId20" Type="http://schemas.openxmlformats.org/officeDocument/2006/relationships/hyperlink" Target="https://pmc.ncbi.nlm.nih.gov/articles/PMC10348910/" TargetMode="External"/><Relationship Id="rId41" Type="http://schemas.openxmlformats.org/officeDocument/2006/relationships/hyperlink" Target="https://pmc.ncbi.nlm.nih.gov/articles/PMC10348910/" TargetMode="External"/><Relationship Id="rId62" Type="http://schemas.openxmlformats.org/officeDocument/2006/relationships/hyperlink" Target="https://pmc.ncbi.nlm.nih.gov/articles/PMC10348910/" TargetMode="External"/><Relationship Id="rId83" Type="http://schemas.openxmlformats.org/officeDocument/2006/relationships/hyperlink" Target="https://pmc.ncbi.nlm.nih.gov/articles/PMC10348910/" TargetMode="External"/><Relationship Id="rId88" Type="http://schemas.openxmlformats.org/officeDocument/2006/relationships/hyperlink" Target="https://pmc.ncbi.nlm.nih.gov/articles/PMC10348910/"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33</Pages>
  <Words>4793</Words>
  <Characters>27322</Characters>
  <Application>Microsoft Office Word</Application>
  <DocSecurity>0</DocSecurity>
  <Lines>227</Lines>
  <Paragraphs>64</Paragraphs>
  <ScaleCrop>false</ScaleCrop>
  <Company/>
  <LinksUpToDate>false</LinksUpToDate>
  <CharactersWithSpaces>32051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放心飞</dc:creator>
  <cp:keywords/>
  <dc:description/>
  <cp:lastModifiedBy>放心飞</cp:lastModifiedBy>
  <cp:revision>2</cp:revision>
  <dcterms:created xsi:type="dcterms:W3CDTF">2026-01-04T09:17:00Z</dcterms:created>
  <dcterms:modified xsi:type="dcterms:W3CDTF">2026-01-04T09:19:00Z</dcterms:modified>
</cp:coreProperties>
</file>