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4EF88" w14:textId="77777777" w:rsidR="006760C4" w:rsidRPr="006760C4" w:rsidRDefault="006760C4" w:rsidP="006760C4">
      <w:pPr>
        <w:widowControl/>
        <w:spacing w:line="450" w:lineRule="atLeast"/>
        <w:outlineLvl w:val="0"/>
        <w:rPr>
          <w:rFonts w:ascii="微软雅黑" w:eastAsia="微软雅黑" w:hAnsi="微软雅黑" w:cs="宋体"/>
          <w:b/>
          <w:bCs/>
          <w:kern w:val="36"/>
          <w:sz w:val="36"/>
          <w:szCs w:val="36"/>
        </w:rPr>
      </w:pPr>
      <w:r w:rsidRPr="006760C4">
        <w:rPr>
          <w:rFonts w:ascii="微软雅黑" w:eastAsia="微软雅黑" w:hAnsi="微软雅黑" w:cs="宋体"/>
          <w:b/>
          <w:bCs/>
          <w:kern w:val="36"/>
          <w:sz w:val="36"/>
          <w:szCs w:val="36"/>
        </w:rPr>
        <w:t>乳腺癌中 CDK4/6 抑制剂反应和耐药性的生物标志物：来自液体活检和 microRNA 探索的启示</w:t>
      </w:r>
    </w:p>
    <w:p w14:paraId="2A47CA5F" w14:textId="0BE80274" w:rsidR="006760C4" w:rsidRPr="006760C4" w:rsidRDefault="006760C4" w:rsidP="006760C4">
      <w:pPr>
        <w:widowControl/>
        <w:pBdr>
          <w:bottom w:val="single" w:sz="6" w:space="0" w:color="97B1C8"/>
        </w:pBdr>
        <w:spacing w:line="450" w:lineRule="atLeast"/>
        <w:outlineLvl w:val="1"/>
        <w:rPr>
          <w:rFonts w:ascii="微软雅黑" w:eastAsia="微软雅黑" w:hAnsi="微软雅黑" w:cs="宋体"/>
          <w:kern w:val="0"/>
          <w:sz w:val="34"/>
          <w:szCs w:val="34"/>
        </w:rPr>
      </w:pPr>
      <w:r w:rsidRPr="00412BDA">
        <w:rPr>
          <w:rFonts w:ascii="微软雅黑" w:eastAsia="微软雅黑" w:hAnsi="微软雅黑" w:cs="宋体" w:hint="eastAsia"/>
          <w:kern w:val="0"/>
          <w:sz w:val="34"/>
          <w:szCs w:val="34"/>
        </w:rPr>
        <w:t>摘要</w:t>
      </w:r>
    </w:p>
    <w:p w14:paraId="1F2B7A87"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CDK4/6通路失调对乳腺癌（BC）细胞增殖影响的新证据促成了选择性CDK4/6抑制剂的研发，这些抑制剂彻底改变了晚期乳腺癌的治疗。尽管CDK4/6抑制剂取得了显著疗效，但仍有约10%的肿瘤表现出原发性耐药，而获得性耐药几乎普遍存在，最终导致治疗失败。识别能够预测CDK4/6抑制剂敏感性或耐药性的差异表达基因或基因组突变特征，对于临床决策以及避免或克服原发性或获得性CDK4/6抑制剂耐药至关重要。本文综述了CDK4/6抑制剂耐药的主要机制，重点关注与潜在相关生物标志物相关的机制，这些生物标志物有望预测患者对治疗的反应/耐药性。本文讨论了生物标志物识别方面的最新进展，包括液体活检在乳腺癌管理中的潜在应用，以及多种微RNA作为癌细胞对CDK4/6抑制剂的敏感性和耐药性的分子预测因子的作用。</w:t>
      </w:r>
    </w:p>
    <w:p w14:paraId="6208429D"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b/>
          <w:bCs/>
          <w:kern w:val="0"/>
          <w:sz w:val="24"/>
          <w:szCs w:val="24"/>
        </w:rPr>
        <w:t>关键词：</w:t>
      </w:r>
      <w:r w:rsidRPr="006760C4">
        <w:rPr>
          <w:rFonts w:ascii="微软雅黑" w:eastAsia="微软雅黑" w:hAnsi="微软雅黑" w:cs="宋体"/>
          <w:kern w:val="0"/>
          <w:sz w:val="24"/>
          <w:szCs w:val="24"/>
        </w:rPr>
        <w:t>乳腺癌、CDK4/6抑制剂、液体活检、microRNA、帕博西尼、阿贝西利、</w:t>
      </w:r>
      <w:proofErr w:type="gramStart"/>
      <w:r w:rsidRPr="006760C4">
        <w:rPr>
          <w:rFonts w:ascii="微软雅黑" w:eastAsia="微软雅黑" w:hAnsi="微软雅黑" w:cs="宋体"/>
          <w:kern w:val="0"/>
          <w:sz w:val="24"/>
          <w:szCs w:val="24"/>
        </w:rPr>
        <w:t>瑞博西</w:t>
      </w:r>
      <w:proofErr w:type="gramEnd"/>
      <w:r w:rsidRPr="006760C4">
        <w:rPr>
          <w:rFonts w:ascii="微软雅黑" w:eastAsia="微软雅黑" w:hAnsi="微软雅黑" w:cs="宋体"/>
          <w:kern w:val="0"/>
          <w:sz w:val="24"/>
          <w:szCs w:val="24"/>
        </w:rPr>
        <w:t>尼</w:t>
      </w:r>
    </w:p>
    <w:p w14:paraId="71F07C5D" w14:textId="77777777" w:rsidR="006760C4" w:rsidRPr="006760C4" w:rsidRDefault="006760C4" w:rsidP="006760C4">
      <w:pPr>
        <w:widowControl/>
        <w:pBdr>
          <w:bottom w:val="single" w:sz="6" w:space="0" w:color="97B1C8"/>
        </w:pBdr>
        <w:spacing w:line="450" w:lineRule="atLeast"/>
        <w:outlineLvl w:val="1"/>
        <w:rPr>
          <w:rFonts w:ascii="微软雅黑" w:eastAsia="微软雅黑" w:hAnsi="微软雅黑" w:cs="宋体"/>
          <w:kern w:val="0"/>
          <w:sz w:val="34"/>
          <w:szCs w:val="34"/>
        </w:rPr>
      </w:pPr>
      <w:r w:rsidRPr="006760C4">
        <w:rPr>
          <w:rFonts w:ascii="微软雅黑" w:eastAsia="微软雅黑" w:hAnsi="微软雅黑" w:cs="宋体"/>
          <w:kern w:val="0"/>
          <w:sz w:val="34"/>
          <w:szCs w:val="34"/>
        </w:rPr>
        <w:t>1. 引言</w:t>
      </w:r>
    </w:p>
    <w:p w14:paraId="31DFFB3D"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细胞周期蛋白依赖性激酶4和6 (CDK4/6) 是丝氨酸/苏氨酸激酶，在细胞周期从G1期到S期的进程中起着关键作用。一旦与D型细胞周期蛋白相互作用被激活，CDK4/6就会磷酸化视网膜母细胞瘤蛋白1 (RB1)。RB1是一种抑癌蛋白，其主要功能是抑制E2F家族的转录因子，从而阻止细胞周期不受控制地进行和</w:t>
      </w:r>
      <w:r w:rsidRPr="006760C4">
        <w:rPr>
          <w:rFonts w:ascii="微软雅黑" w:eastAsia="微软雅黑" w:hAnsi="微软雅黑" w:cs="宋体"/>
          <w:kern w:val="0"/>
          <w:sz w:val="24"/>
          <w:szCs w:val="24"/>
        </w:rPr>
        <w:lastRenderedPageBreak/>
        <w:t>增殖。RB1通过磷酸化而失去功能，使得E2F得以释放，并启动S期进入所需基因的转录，从而触发细胞周期级联反应[ </w:t>
      </w:r>
      <w:hyperlink r:id="rId5" w:anchor="B1-ijms-23-14534" w:history="1">
        <w:r w:rsidRPr="006760C4">
          <w:rPr>
            <w:rFonts w:ascii="微软雅黑" w:eastAsia="微软雅黑" w:hAnsi="微软雅黑" w:cs="宋体"/>
            <w:kern w:val="0"/>
            <w:sz w:val="24"/>
            <w:szCs w:val="24"/>
            <w:u w:val="single"/>
          </w:rPr>
          <w:t>1</w:t>
        </w:r>
      </w:hyperlink>
      <w:r w:rsidRPr="006760C4">
        <w:rPr>
          <w:rFonts w:ascii="微软雅黑" w:eastAsia="微软雅黑" w:hAnsi="微软雅黑" w:cs="宋体"/>
          <w:kern w:val="0"/>
          <w:sz w:val="24"/>
          <w:szCs w:val="24"/>
        </w:rPr>
        <w:t> , </w:t>
      </w:r>
      <w:hyperlink r:id="rId6" w:anchor="B2-ijms-23-14534" w:history="1">
        <w:r w:rsidRPr="006760C4">
          <w:rPr>
            <w:rFonts w:ascii="微软雅黑" w:eastAsia="微软雅黑" w:hAnsi="微软雅黑" w:cs="宋体"/>
            <w:kern w:val="0"/>
            <w:sz w:val="24"/>
            <w:szCs w:val="24"/>
            <w:u w:val="single"/>
          </w:rPr>
          <w:t>2</w:t>
        </w:r>
      </w:hyperlink>
      <w:r w:rsidRPr="006760C4">
        <w:rPr>
          <w:rFonts w:ascii="微软雅黑" w:eastAsia="微软雅黑" w:hAnsi="微软雅黑" w:cs="宋体"/>
          <w:kern w:val="0"/>
          <w:sz w:val="24"/>
          <w:szCs w:val="24"/>
        </w:rPr>
        <w:t> ]。</w:t>
      </w:r>
    </w:p>
    <w:p w14:paraId="78B62BF2"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CDK4/6通路失调与乳腺癌（BC）细胞增殖相关的发现[ </w:t>
      </w:r>
      <w:hyperlink r:id="rId7" w:anchor="B3-ijms-23-14534" w:history="1">
        <w:r w:rsidRPr="006760C4">
          <w:rPr>
            <w:rFonts w:ascii="微软雅黑" w:eastAsia="微软雅黑" w:hAnsi="微软雅黑" w:cs="宋体"/>
            <w:kern w:val="0"/>
            <w:sz w:val="24"/>
            <w:szCs w:val="24"/>
            <w:u w:val="single"/>
          </w:rPr>
          <w:t>3</w:t>
        </w:r>
      </w:hyperlink>
      <w:r w:rsidRPr="006760C4">
        <w:rPr>
          <w:rFonts w:ascii="微软雅黑" w:eastAsia="微软雅黑" w:hAnsi="微软雅黑" w:cs="宋体"/>
          <w:kern w:val="0"/>
          <w:sz w:val="24"/>
          <w:szCs w:val="24"/>
        </w:rPr>
        <w:t> ]促成了选择性CDK4/6抑制剂的研发，这些抑制剂显著改变了晚期乳腺癌（BC）患者的治疗[ </w:t>
      </w:r>
      <w:hyperlink r:id="rId8" w:anchor="B4-ijms-23-14534" w:history="1">
        <w:r w:rsidRPr="006760C4">
          <w:rPr>
            <w:rFonts w:ascii="微软雅黑" w:eastAsia="微软雅黑" w:hAnsi="微软雅黑" w:cs="宋体"/>
            <w:kern w:val="0"/>
            <w:sz w:val="24"/>
            <w:szCs w:val="24"/>
            <w:u w:val="single"/>
          </w:rPr>
          <w:t>4</w:t>
        </w:r>
      </w:hyperlink>
      <w:r w:rsidRPr="006760C4">
        <w:rPr>
          <w:rFonts w:ascii="微软雅黑" w:eastAsia="微软雅黑" w:hAnsi="微软雅黑" w:cs="宋体"/>
          <w:kern w:val="0"/>
          <w:sz w:val="24"/>
          <w:szCs w:val="24"/>
        </w:rPr>
        <w:t> ]。目前，三种CDK4/6抑制剂，即帕博西尼、阿贝西利和瑞博西尼，已获</w:t>
      </w:r>
      <w:proofErr w:type="gramStart"/>
      <w:r w:rsidRPr="006760C4">
        <w:rPr>
          <w:rFonts w:ascii="微软雅黑" w:eastAsia="微软雅黑" w:hAnsi="微软雅黑" w:cs="宋体"/>
          <w:kern w:val="0"/>
          <w:sz w:val="24"/>
          <w:szCs w:val="24"/>
        </w:rPr>
        <w:t>批用于</w:t>
      </w:r>
      <w:proofErr w:type="gramEnd"/>
      <w:r w:rsidRPr="006760C4">
        <w:rPr>
          <w:rFonts w:ascii="微软雅黑" w:eastAsia="微软雅黑" w:hAnsi="微软雅黑" w:cs="宋体"/>
          <w:kern w:val="0"/>
          <w:sz w:val="24"/>
          <w:szCs w:val="24"/>
        </w:rPr>
        <w:t>治疗激素受体阳性（HR+）、人表皮生长因子受体2阴性（HER2-）的晚期乳腺癌，需与内分泌治疗（ET）联合使用[ </w:t>
      </w:r>
      <w:hyperlink r:id="rId9" w:anchor="B5-ijms-23-14534" w:history="1">
        <w:r w:rsidRPr="006760C4">
          <w:rPr>
            <w:rFonts w:ascii="微软雅黑" w:eastAsia="微软雅黑" w:hAnsi="微软雅黑" w:cs="宋体"/>
            <w:kern w:val="0"/>
            <w:sz w:val="24"/>
            <w:szCs w:val="24"/>
            <w:u w:val="single"/>
          </w:rPr>
          <w:t>5</w:t>
        </w:r>
      </w:hyperlink>
      <w:r w:rsidRPr="006760C4">
        <w:rPr>
          <w:rFonts w:ascii="微软雅黑" w:eastAsia="微软雅黑" w:hAnsi="微软雅黑" w:cs="宋体"/>
          <w:kern w:val="0"/>
          <w:sz w:val="24"/>
          <w:szCs w:val="24"/>
        </w:rPr>
        <w:t> ]。这些新药的获批基于多项III期临床试验的结果，这些试验一致表明，与内分泌治疗联合安慰剂相比，瑞博西尼和阿贝西利可改善总生存期（OS），而这三种药物均可使接受CDK4/6抑制剂联合内分泌治疗的乳腺癌患者的无进展生存期（PFS）延长约一倍。一线和二线治疗</w:t>
      </w:r>
      <w:proofErr w:type="gramStart"/>
      <w:r w:rsidRPr="006760C4">
        <w:rPr>
          <w:rFonts w:ascii="微软雅黑" w:eastAsia="微软雅黑" w:hAnsi="微软雅黑" w:cs="宋体"/>
          <w:kern w:val="0"/>
          <w:sz w:val="24"/>
          <w:szCs w:val="24"/>
        </w:rPr>
        <w:t>均观察</w:t>
      </w:r>
      <w:proofErr w:type="gramEnd"/>
      <w:r w:rsidRPr="006760C4">
        <w:rPr>
          <w:rFonts w:ascii="微软雅黑" w:eastAsia="微软雅黑" w:hAnsi="微软雅黑" w:cs="宋体"/>
          <w:kern w:val="0"/>
          <w:sz w:val="24"/>
          <w:szCs w:val="24"/>
        </w:rPr>
        <w:t xml:space="preserve">到了良好的结果（PALOMA-2 用于 </w:t>
      </w:r>
      <w:proofErr w:type="spellStart"/>
      <w:r w:rsidRPr="006760C4">
        <w:rPr>
          <w:rFonts w:ascii="微软雅黑" w:eastAsia="微软雅黑" w:hAnsi="微软雅黑" w:cs="宋体"/>
          <w:kern w:val="0"/>
          <w:sz w:val="24"/>
          <w:szCs w:val="24"/>
        </w:rPr>
        <w:t>palbociclib</w:t>
      </w:r>
      <w:proofErr w:type="spellEnd"/>
      <w:r w:rsidRPr="006760C4">
        <w:rPr>
          <w:rFonts w:ascii="微软雅黑" w:eastAsia="微软雅黑" w:hAnsi="微软雅黑" w:cs="宋体"/>
          <w:kern w:val="0"/>
          <w:sz w:val="24"/>
          <w:szCs w:val="24"/>
        </w:rPr>
        <w:t xml:space="preserve"> 加来曲</w:t>
      </w:r>
      <w:proofErr w:type="gramStart"/>
      <w:r w:rsidRPr="006760C4">
        <w:rPr>
          <w:rFonts w:ascii="微软雅黑" w:eastAsia="微软雅黑" w:hAnsi="微软雅黑" w:cs="宋体"/>
          <w:kern w:val="0"/>
          <w:sz w:val="24"/>
          <w:szCs w:val="24"/>
        </w:rPr>
        <w:t>唑</w:t>
      </w:r>
      <w:proofErr w:type="gramEnd"/>
      <w:r w:rsidRPr="006760C4">
        <w:rPr>
          <w:rFonts w:ascii="微软雅黑" w:eastAsia="微软雅黑" w:hAnsi="微软雅黑" w:cs="宋体"/>
          <w:kern w:val="0"/>
          <w:sz w:val="24"/>
          <w:szCs w:val="24"/>
        </w:rPr>
        <w:t xml:space="preserve">；MONALEESA-2 用于 </w:t>
      </w:r>
      <w:proofErr w:type="spellStart"/>
      <w:r w:rsidRPr="006760C4">
        <w:rPr>
          <w:rFonts w:ascii="微软雅黑" w:eastAsia="微软雅黑" w:hAnsi="微软雅黑" w:cs="宋体"/>
          <w:kern w:val="0"/>
          <w:sz w:val="24"/>
          <w:szCs w:val="24"/>
        </w:rPr>
        <w:t>ribociclib</w:t>
      </w:r>
      <w:proofErr w:type="spellEnd"/>
      <w:r w:rsidRPr="006760C4">
        <w:rPr>
          <w:rFonts w:ascii="微软雅黑" w:eastAsia="微软雅黑" w:hAnsi="微软雅黑" w:cs="宋体"/>
          <w:kern w:val="0"/>
          <w:sz w:val="24"/>
          <w:szCs w:val="24"/>
        </w:rPr>
        <w:t xml:space="preserve"> 加来曲</w:t>
      </w:r>
      <w:proofErr w:type="gramStart"/>
      <w:r w:rsidRPr="006760C4">
        <w:rPr>
          <w:rFonts w:ascii="微软雅黑" w:eastAsia="微软雅黑" w:hAnsi="微软雅黑" w:cs="宋体"/>
          <w:kern w:val="0"/>
          <w:sz w:val="24"/>
          <w:szCs w:val="24"/>
        </w:rPr>
        <w:t>唑</w:t>
      </w:r>
      <w:proofErr w:type="gramEnd"/>
      <w:r w:rsidRPr="006760C4">
        <w:rPr>
          <w:rFonts w:ascii="微软雅黑" w:eastAsia="微软雅黑" w:hAnsi="微软雅黑" w:cs="宋体"/>
          <w:kern w:val="0"/>
          <w:sz w:val="24"/>
          <w:szCs w:val="24"/>
        </w:rPr>
        <w:t xml:space="preserve">；MONARCH-3 用于 </w:t>
      </w:r>
      <w:proofErr w:type="spellStart"/>
      <w:r w:rsidRPr="006760C4">
        <w:rPr>
          <w:rFonts w:ascii="微软雅黑" w:eastAsia="微软雅黑" w:hAnsi="微软雅黑" w:cs="宋体"/>
          <w:kern w:val="0"/>
          <w:sz w:val="24"/>
          <w:szCs w:val="24"/>
        </w:rPr>
        <w:t>abemaciclib</w:t>
      </w:r>
      <w:proofErr w:type="spellEnd"/>
      <w:r w:rsidRPr="006760C4">
        <w:rPr>
          <w:rFonts w:ascii="微软雅黑" w:eastAsia="微软雅黑" w:hAnsi="微软雅黑" w:cs="宋体"/>
          <w:kern w:val="0"/>
          <w:sz w:val="24"/>
          <w:szCs w:val="24"/>
        </w:rPr>
        <w:t xml:space="preserve"> 加来曲</w:t>
      </w:r>
      <w:proofErr w:type="gramStart"/>
      <w:r w:rsidRPr="006760C4">
        <w:rPr>
          <w:rFonts w:ascii="微软雅黑" w:eastAsia="微软雅黑" w:hAnsi="微软雅黑" w:cs="宋体"/>
          <w:kern w:val="0"/>
          <w:sz w:val="24"/>
          <w:szCs w:val="24"/>
        </w:rPr>
        <w:t>唑</w:t>
      </w:r>
      <w:proofErr w:type="gramEnd"/>
      <w:r w:rsidRPr="006760C4">
        <w:rPr>
          <w:rFonts w:ascii="微软雅黑" w:eastAsia="微软雅黑" w:hAnsi="微软雅黑" w:cs="宋体"/>
          <w:kern w:val="0"/>
          <w:sz w:val="24"/>
          <w:szCs w:val="24"/>
        </w:rPr>
        <w:t>或阿那曲</w:t>
      </w:r>
      <w:proofErr w:type="gramStart"/>
      <w:r w:rsidRPr="006760C4">
        <w:rPr>
          <w:rFonts w:ascii="微软雅黑" w:eastAsia="微软雅黑" w:hAnsi="微软雅黑" w:cs="宋体"/>
          <w:kern w:val="0"/>
          <w:sz w:val="24"/>
          <w:szCs w:val="24"/>
        </w:rPr>
        <w:t>唑</w:t>
      </w:r>
      <w:proofErr w:type="gramEnd"/>
      <w:r w:rsidRPr="006760C4">
        <w:rPr>
          <w:rFonts w:ascii="微软雅黑" w:eastAsia="微软雅黑" w:hAnsi="微软雅黑" w:cs="宋体"/>
          <w:kern w:val="0"/>
          <w:sz w:val="24"/>
          <w:szCs w:val="24"/>
        </w:rPr>
        <w:t xml:space="preserve">；PALOMA-3 用于 </w:t>
      </w:r>
      <w:proofErr w:type="spellStart"/>
      <w:r w:rsidRPr="006760C4">
        <w:rPr>
          <w:rFonts w:ascii="微软雅黑" w:eastAsia="微软雅黑" w:hAnsi="微软雅黑" w:cs="宋体"/>
          <w:kern w:val="0"/>
          <w:sz w:val="24"/>
          <w:szCs w:val="24"/>
        </w:rPr>
        <w:t>palbociclib</w:t>
      </w:r>
      <w:proofErr w:type="spellEnd"/>
      <w:r w:rsidRPr="006760C4">
        <w:rPr>
          <w:rFonts w:ascii="微软雅黑" w:eastAsia="微软雅黑" w:hAnsi="微软雅黑" w:cs="宋体"/>
          <w:kern w:val="0"/>
          <w:sz w:val="24"/>
          <w:szCs w:val="24"/>
        </w:rPr>
        <w:t xml:space="preserve"> 加</w:t>
      </w:r>
      <w:proofErr w:type="gramStart"/>
      <w:r w:rsidRPr="006760C4">
        <w:rPr>
          <w:rFonts w:ascii="微软雅黑" w:eastAsia="微软雅黑" w:hAnsi="微软雅黑" w:cs="宋体"/>
          <w:kern w:val="0"/>
          <w:sz w:val="24"/>
          <w:szCs w:val="24"/>
        </w:rPr>
        <w:t>氟维司群</w:t>
      </w:r>
      <w:proofErr w:type="gramEnd"/>
      <w:r w:rsidRPr="006760C4">
        <w:rPr>
          <w:rFonts w:ascii="微软雅黑" w:eastAsia="微软雅黑" w:hAnsi="微软雅黑" w:cs="宋体"/>
          <w:kern w:val="0"/>
          <w:sz w:val="24"/>
          <w:szCs w:val="24"/>
        </w:rPr>
        <w:t xml:space="preserve"> [ </w:t>
      </w:r>
      <w:hyperlink r:id="rId10" w:anchor="B6-ijms-23-14534" w:history="1">
        <w:r w:rsidRPr="006760C4">
          <w:rPr>
            <w:rFonts w:ascii="微软雅黑" w:eastAsia="微软雅黑" w:hAnsi="微软雅黑" w:cs="宋体"/>
            <w:kern w:val="0"/>
            <w:sz w:val="24"/>
            <w:szCs w:val="24"/>
            <w:u w:val="single"/>
          </w:rPr>
          <w:t>6</w:t>
        </w:r>
      </w:hyperlink>
      <w:r w:rsidRPr="006760C4">
        <w:rPr>
          <w:rFonts w:ascii="微软雅黑" w:eastAsia="微软雅黑" w:hAnsi="微软雅黑" w:cs="宋体"/>
          <w:kern w:val="0"/>
          <w:sz w:val="24"/>
          <w:szCs w:val="24"/>
        </w:rPr>
        <w:t xml:space="preserve"> ]；MONARCH-2 用于 </w:t>
      </w:r>
      <w:proofErr w:type="spellStart"/>
      <w:r w:rsidRPr="006760C4">
        <w:rPr>
          <w:rFonts w:ascii="微软雅黑" w:eastAsia="微软雅黑" w:hAnsi="微软雅黑" w:cs="宋体"/>
          <w:kern w:val="0"/>
          <w:sz w:val="24"/>
          <w:szCs w:val="24"/>
        </w:rPr>
        <w:t>abemaciclib</w:t>
      </w:r>
      <w:proofErr w:type="spellEnd"/>
      <w:r w:rsidRPr="006760C4">
        <w:rPr>
          <w:rFonts w:ascii="微软雅黑" w:eastAsia="微软雅黑" w:hAnsi="微软雅黑" w:cs="宋体"/>
          <w:kern w:val="0"/>
          <w:sz w:val="24"/>
          <w:szCs w:val="24"/>
        </w:rPr>
        <w:t xml:space="preserve"> 和</w:t>
      </w:r>
      <w:proofErr w:type="gramStart"/>
      <w:r w:rsidRPr="006760C4">
        <w:rPr>
          <w:rFonts w:ascii="微软雅黑" w:eastAsia="微软雅黑" w:hAnsi="微软雅黑" w:cs="宋体"/>
          <w:kern w:val="0"/>
          <w:sz w:val="24"/>
          <w:szCs w:val="24"/>
        </w:rPr>
        <w:t>氟维</w:t>
      </w:r>
      <w:proofErr w:type="gramEnd"/>
      <w:r w:rsidRPr="006760C4">
        <w:rPr>
          <w:rFonts w:ascii="微软雅黑" w:eastAsia="微软雅黑" w:hAnsi="微软雅黑" w:cs="宋体"/>
          <w:kern w:val="0"/>
          <w:sz w:val="24"/>
          <w:szCs w:val="24"/>
        </w:rPr>
        <w:t xml:space="preserve">司群；MONALEESA-3 用于 </w:t>
      </w:r>
      <w:proofErr w:type="spellStart"/>
      <w:r w:rsidRPr="006760C4">
        <w:rPr>
          <w:rFonts w:ascii="微软雅黑" w:eastAsia="微软雅黑" w:hAnsi="微软雅黑" w:cs="宋体"/>
          <w:kern w:val="0"/>
          <w:sz w:val="24"/>
          <w:szCs w:val="24"/>
        </w:rPr>
        <w:t>ribociclib</w:t>
      </w:r>
      <w:proofErr w:type="spellEnd"/>
      <w:r w:rsidRPr="006760C4">
        <w:rPr>
          <w:rFonts w:ascii="微软雅黑" w:eastAsia="微软雅黑" w:hAnsi="微软雅黑" w:cs="宋体"/>
          <w:kern w:val="0"/>
          <w:sz w:val="24"/>
          <w:szCs w:val="24"/>
        </w:rPr>
        <w:t xml:space="preserve"> 加</w:t>
      </w:r>
      <w:proofErr w:type="gramStart"/>
      <w:r w:rsidRPr="006760C4">
        <w:rPr>
          <w:rFonts w:ascii="微软雅黑" w:eastAsia="微软雅黑" w:hAnsi="微软雅黑" w:cs="宋体"/>
          <w:kern w:val="0"/>
          <w:sz w:val="24"/>
          <w:szCs w:val="24"/>
        </w:rPr>
        <w:t>氟维司群</w:t>
      </w:r>
      <w:proofErr w:type="gramEnd"/>
      <w:r w:rsidRPr="006760C4">
        <w:rPr>
          <w:rFonts w:ascii="微软雅黑" w:eastAsia="微软雅黑" w:hAnsi="微软雅黑" w:cs="宋体"/>
          <w:kern w:val="0"/>
          <w:sz w:val="24"/>
          <w:szCs w:val="24"/>
        </w:rPr>
        <w:t>）[ </w:t>
      </w:r>
      <w:hyperlink r:id="rId11" w:anchor="B6-ijms-23-14534" w:history="1">
        <w:r w:rsidRPr="006760C4">
          <w:rPr>
            <w:rFonts w:ascii="微软雅黑" w:eastAsia="微软雅黑" w:hAnsi="微软雅黑" w:cs="宋体"/>
            <w:kern w:val="0"/>
            <w:sz w:val="24"/>
            <w:szCs w:val="24"/>
            <w:u w:val="single"/>
          </w:rPr>
          <w:t>6</w:t>
        </w:r>
      </w:hyperlink>
      <w:r w:rsidRPr="006760C4">
        <w:rPr>
          <w:rFonts w:ascii="微软雅黑" w:eastAsia="微软雅黑" w:hAnsi="微软雅黑" w:cs="宋体"/>
          <w:kern w:val="0"/>
          <w:sz w:val="24"/>
          <w:szCs w:val="24"/>
        </w:rPr>
        <w:t> , </w:t>
      </w:r>
      <w:hyperlink r:id="rId12" w:anchor="B7-ijms-23-14534" w:history="1">
        <w:r w:rsidRPr="006760C4">
          <w:rPr>
            <w:rFonts w:ascii="微软雅黑" w:eastAsia="微软雅黑" w:hAnsi="微软雅黑" w:cs="宋体"/>
            <w:kern w:val="0"/>
            <w:sz w:val="24"/>
            <w:szCs w:val="24"/>
            <w:u w:val="single"/>
          </w:rPr>
          <w:t>7</w:t>
        </w:r>
      </w:hyperlink>
      <w:r w:rsidRPr="006760C4">
        <w:rPr>
          <w:rFonts w:ascii="微软雅黑" w:eastAsia="微软雅黑" w:hAnsi="微软雅黑" w:cs="宋体"/>
          <w:kern w:val="0"/>
          <w:sz w:val="24"/>
          <w:szCs w:val="24"/>
        </w:rPr>
        <w:t> , </w:t>
      </w:r>
      <w:hyperlink r:id="rId13" w:anchor="B8-ijms-23-14534" w:history="1">
        <w:r w:rsidRPr="006760C4">
          <w:rPr>
            <w:rFonts w:ascii="微软雅黑" w:eastAsia="微软雅黑" w:hAnsi="微软雅黑" w:cs="宋体"/>
            <w:kern w:val="0"/>
            <w:sz w:val="24"/>
            <w:szCs w:val="24"/>
            <w:u w:val="single"/>
          </w:rPr>
          <w:t>8</w:t>
        </w:r>
      </w:hyperlink>
      <w:r w:rsidRPr="006760C4">
        <w:rPr>
          <w:rFonts w:ascii="微软雅黑" w:eastAsia="微软雅黑" w:hAnsi="微软雅黑" w:cs="宋体"/>
          <w:kern w:val="0"/>
          <w:sz w:val="24"/>
          <w:szCs w:val="24"/>
        </w:rPr>
        <w:t> , </w:t>
      </w:r>
      <w:hyperlink r:id="rId14" w:anchor="B9-ijms-23-14534" w:history="1">
        <w:r w:rsidRPr="006760C4">
          <w:rPr>
            <w:rFonts w:ascii="微软雅黑" w:eastAsia="微软雅黑" w:hAnsi="微软雅黑" w:cs="宋体"/>
            <w:kern w:val="0"/>
            <w:sz w:val="24"/>
            <w:szCs w:val="24"/>
            <w:u w:val="single"/>
          </w:rPr>
          <w:t>9</w:t>
        </w:r>
      </w:hyperlink>
      <w:r w:rsidRPr="006760C4">
        <w:rPr>
          <w:rFonts w:ascii="微软雅黑" w:eastAsia="微软雅黑" w:hAnsi="微软雅黑" w:cs="宋体"/>
          <w:kern w:val="0"/>
          <w:sz w:val="24"/>
          <w:szCs w:val="24"/>
        </w:rPr>
        <w:t> , </w:t>
      </w:r>
      <w:hyperlink r:id="rId15" w:anchor="B10-ijms-23-14534" w:history="1">
        <w:r w:rsidRPr="006760C4">
          <w:rPr>
            <w:rFonts w:ascii="微软雅黑" w:eastAsia="微软雅黑" w:hAnsi="微软雅黑" w:cs="宋体"/>
            <w:kern w:val="0"/>
            <w:sz w:val="24"/>
            <w:szCs w:val="24"/>
            <w:u w:val="single"/>
          </w:rPr>
          <w:t>10</w:t>
        </w:r>
      </w:hyperlink>
      <w:r w:rsidRPr="006760C4">
        <w:rPr>
          <w:rFonts w:ascii="微软雅黑" w:eastAsia="微软雅黑" w:hAnsi="微软雅黑" w:cs="宋体"/>
          <w:kern w:val="0"/>
          <w:sz w:val="24"/>
          <w:szCs w:val="24"/>
        </w:rPr>
        <w:t> , </w:t>
      </w:r>
      <w:hyperlink r:id="rId16" w:anchor="B11-ijms-23-14534" w:history="1">
        <w:r w:rsidRPr="006760C4">
          <w:rPr>
            <w:rFonts w:ascii="微软雅黑" w:eastAsia="微软雅黑" w:hAnsi="微软雅黑" w:cs="宋体"/>
            <w:kern w:val="0"/>
            <w:sz w:val="24"/>
            <w:szCs w:val="24"/>
            <w:u w:val="single"/>
          </w:rPr>
          <w:t>11</w:t>
        </w:r>
      </w:hyperlink>
      <w:r w:rsidRPr="006760C4">
        <w:rPr>
          <w:rFonts w:ascii="微软雅黑" w:eastAsia="微软雅黑" w:hAnsi="微软雅黑" w:cs="宋体"/>
          <w:kern w:val="0"/>
          <w:sz w:val="24"/>
          <w:szCs w:val="24"/>
        </w:rPr>
        <w:t> ]。 CDK4/6 抑制剂在 HR+/HER2- 乳腺癌中带来的临床疗效的革命性改善，推动了临床前 [ </w:t>
      </w:r>
      <w:hyperlink r:id="rId17" w:anchor="B12-ijms-23-14534" w:history="1">
        <w:r w:rsidRPr="006760C4">
          <w:rPr>
            <w:rFonts w:ascii="微软雅黑" w:eastAsia="微软雅黑" w:hAnsi="微软雅黑" w:cs="宋体"/>
            <w:kern w:val="0"/>
            <w:sz w:val="24"/>
            <w:szCs w:val="24"/>
            <w:u w:val="single"/>
          </w:rPr>
          <w:t>12</w:t>
        </w:r>
      </w:hyperlink>
      <w:r w:rsidRPr="006760C4">
        <w:rPr>
          <w:rFonts w:ascii="微软雅黑" w:eastAsia="微软雅黑" w:hAnsi="微软雅黑" w:cs="宋体"/>
          <w:kern w:val="0"/>
          <w:sz w:val="24"/>
          <w:szCs w:val="24"/>
        </w:rPr>
        <w:t> , </w:t>
      </w:r>
      <w:hyperlink r:id="rId18" w:anchor="B13-ijms-23-14534" w:history="1">
        <w:r w:rsidRPr="006760C4">
          <w:rPr>
            <w:rFonts w:ascii="微软雅黑" w:eastAsia="微软雅黑" w:hAnsi="微软雅黑" w:cs="宋体"/>
            <w:kern w:val="0"/>
            <w:sz w:val="24"/>
            <w:szCs w:val="24"/>
            <w:u w:val="single"/>
          </w:rPr>
          <w:t>13</w:t>
        </w:r>
      </w:hyperlink>
      <w:r w:rsidRPr="006760C4">
        <w:rPr>
          <w:rFonts w:ascii="微软雅黑" w:eastAsia="微软雅黑" w:hAnsi="微软雅黑" w:cs="宋体"/>
          <w:kern w:val="0"/>
          <w:sz w:val="24"/>
          <w:szCs w:val="24"/>
        </w:rPr>
        <w:t> ] 和早期临床 [ </w:t>
      </w:r>
      <w:hyperlink r:id="rId19" w:anchor="B14-ijms-23-14534" w:history="1">
        <w:r w:rsidRPr="006760C4">
          <w:rPr>
            <w:rFonts w:ascii="微软雅黑" w:eastAsia="微软雅黑" w:hAnsi="微软雅黑" w:cs="宋体"/>
            <w:kern w:val="0"/>
            <w:sz w:val="24"/>
            <w:szCs w:val="24"/>
            <w:u w:val="single"/>
          </w:rPr>
          <w:t>14</w:t>
        </w:r>
      </w:hyperlink>
      <w:r w:rsidRPr="006760C4">
        <w:rPr>
          <w:rFonts w:ascii="微软雅黑" w:eastAsia="微软雅黑" w:hAnsi="微软雅黑" w:cs="宋体"/>
          <w:kern w:val="0"/>
          <w:sz w:val="24"/>
          <w:szCs w:val="24"/>
        </w:rPr>
        <w:t> ] 研究的设计，以探索其在三阴性乳腺癌 (TNBC) 亚型中的活性，早期结果表明其在某些患者亚组中具有潜在的应用价值。</w:t>
      </w:r>
    </w:p>
    <w:p w14:paraId="7FC0EC7B"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尽管 CDK4/6 抑制剂取得了显著疗效，但约 10% 的患者会出现原发性耐药，而获得性耐药则不可避免地发生，最终导致治疗失败 [ </w:t>
      </w:r>
      <w:hyperlink r:id="rId20" w:anchor="B15-ijms-23-14534" w:history="1">
        <w:r w:rsidRPr="006760C4">
          <w:rPr>
            <w:rFonts w:ascii="微软雅黑" w:eastAsia="微软雅黑" w:hAnsi="微软雅黑" w:cs="宋体"/>
            <w:kern w:val="0"/>
            <w:sz w:val="24"/>
            <w:szCs w:val="24"/>
            <w:u w:val="single"/>
          </w:rPr>
          <w:t>15</w:t>
        </w:r>
      </w:hyperlink>
      <w:r w:rsidRPr="006760C4">
        <w:rPr>
          <w:rFonts w:ascii="微软雅黑" w:eastAsia="微软雅黑" w:hAnsi="微软雅黑" w:cs="宋体"/>
          <w:kern w:val="0"/>
          <w:sz w:val="24"/>
          <w:szCs w:val="24"/>
        </w:rPr>
        <w:t xml:space="preserve"> ]。由于靶点敏感性的差异以及使用 </w:t>
      </w:r>
      <w:proofErr w:type="spellStart"/>
      <w:r w:rsidRPr="006760C4">
        <w:rPr>
          <w:rFonts w:ascii="微软雅黑" w:eastAsia="微软雅黑" w:hAnsi="微软雅黑" w:cs="宋体"/>
          <w:kern w:val="0"/>
          <w:sz w:val="24"/>
          <w:szCs w:val="24"/>
        </w:rPr>
        <w:t>palbociclib</w:t>
      </w:r>
      <w:proofErr w:type="spellEnd"/>
      <w:r w:rsidRPr="006760C4">
        <w:rPr>
          <w:rFonts w:ascii="微软雅黑" w:eastAsia="微软雅黑" w:hAnsi="微软雅黑" w:cs="宋体"/>
          <w:kern w:val="0"/>
          <w:sz w:val="24"/>
          <w:szCs w:val="24"/>
        </w:rPr>
        <w:t>、</w:t>
      </w:r>
      <w:proofErr w:type="spellStart"/>
      <w:r w:rsidRPr="006760C4">
        <w:rPr>
          <w:rFonts w:ascii="微软雅黑" w:eastAsia="微软雅黑" w:hAnsi="微软雅黑" w:cs="宋体"/>
          <w:kern w:val="0"/>
          <w:sz w:val="24"/>
          <w:szCs w:val="24"/>
        </w:rPr>
        <w:t>abemaciclib</w:t>
      </w:r>
      <w:proofErr w:type="spellEnd"/>
      <w:r w:rsidRPr="006760C4">
        <w:rPr>
          <w:rFonts w:ascii="微软雅黑" w:eastAsia="微软雅黑" w:hAnsi="微软雅黑" w:cs="宋体"/>
          <w:kern w:val="0"/>
          <w:sz w:val="24"/>
          <w:szCs w:val="24"/>
        </w:rPr>
        <w:t xml:space="preserve"> 和 </w:t>
      </w:r>
      <w:proofErr w:type="spellStart"/>
      <w:r w:rsidRPr="006760C4">
        <w:rPr>
          <w:rFonts w:ascii="微软雅黑" w:eastAsia="微软雅黑" w:hAnsi="微软雅黑" w:cs="宋体"/>
          <w:kern w:val="0"/>
          <w:sz w:val="24"/>
          <w:szCs w:val="24"/>
        </w:rPr>
        <w:t>ribociclib</w:t>
      </w:r>
      <w:proofErr w:type="spellEnd"/>
      <w:r w:rsidRPr="006760C4">
        <w:rPr>
          <w:rFonts w:ascii="微软雅黑" w:eastAsia="微软雅黑" w:hAnsi="微软雅黑" w:cs="宋体"/>
          <w:kern w:val="0"/>
          <w:sz w:val="24"/>
          <w:szCs w:val="24"/>
        </w:rPr>
        <w:t xml:space="preserve"> 治疗后观察到的转录</w:t>
      </w:r>
      <w:r w:rsidRPr="006760C4">
        <w:rPr>
          <w:rFonts w:ascii="微软雅黑" w:eastAsia="微软雅黑" w:hAnsi="微软雅黑" w:cs="宋体"/>
          <w:kern w:val="0"/>
          <w:sz w:val="24"/>
          <w:szCs w:val="24"/>
        </w:rPr>
        <w:lastRenderedPageBreak/>
        <w:t>组、蛋白质组和表型效应各不相同，耐药机制可能因抑制剂类型而异 [ </w:t>
      </w:r>
      <w:hyperlink r:id="rId21" w:anchor="B15-ijms-23-14534" w:history="1">
        <w:r w:rsidRPr="006760C4">
          <w:rPr>
            <w:rFonts w:ascii="微软雅黑" w:eastAsia="微软雅黑" w:hAnsi="微软雅黑" w:cs="宋体"/>
            <w:kern w:val="0"/>
            <w:sz w:val="24"/>
            <w:szCs w:val="24"/>
            <w:u w:val="single"/>
          </w:rPr>
          <w:t>15</w:t>
        </w:r>
      </w:hyperlink>
      <w:r w:rsidRPr="006760C4">
        <w:rPr>
          <w:rFonts w:ascii="微软雅黑" w:eastAsia="微软雅黑" w:hAnsi="微软雅黑" w:cs="宋体"/>
          <w:kern w:val="0"/>
          <w:sz w:val="24"/>
          <w:szCs w:val="24"/>
        </w:rPr>
        <w:t> ]。此外，转移部位、无病生存期（DFS，针对辅助治疗患者）以及 CDK4/6 抑制剂治疗前接受的治疗方案等因素的差异也可能影响治疗反应和耐药性的产生。CDK4/6 抑制剂的耐药性并非完全由基因组异常（例如点突变、插入/缺失或扩增）驱动，基因表达的变化也起着重要作用。识别能够预测 CDK4/6 抑制剂疗效或耐药性的差异表达基因或基因特征对于临床决策至关重要。关键方面还在于目标生物标志物在预测治疗毒性方面的作用，治疗毒性可能严重影响患者依从性并显著影响治疗结果。生物标志物研究有望揭示分子靶</w:t>
      </w:r>
      <w:proofErr w:type="gramStart"/>
      <w:r w:rsidRPr="006760C4">
        <w:rPr>
          <w:rFonts w:ascii="微软雅黑" w:eastAsia="微软雅黑" w:hAnsi="微软雅黑" w:cs="宋体"/>
          <w:kern w:val="0"/>
          <w:sz w:val="24"/>
          <w:szCs w:val="24"/>
        </w:rPr>
        <w:t>向治疗</w:t>
      </w:r>
      <w:proofErr w:type="gramEnd"/>
      <w:r w:rsidRPr="006760C4">
        <w:rPr>
          <w:rFonts w:ascii="微软雅黑" w:eastAsia="微软雅黑" w:hAnsi="微软雅黑" w:cs="宋体"/>
          <w:kern w:val="0"/>
          <w:sz w:val="24"/>
          <w:szCs w:val="24"/>
        </w:rPr>
        <w:t>的靶点，从而避免或克服对 CDK4/6 抑制剂的原发性或获得性耐药性[ </w:t>
      </w:r>
      <w:hyperlink r:id="rId22" w:anchor="B16-ijms-23-14534" w:history="1">
        <w:r w:rsidRPr="006760C4">
          <w:rPr>
            <w:rFonts w:ascii="微软雅黑" w:eastAsia="微软雅黑" w:hAnsi="微软雅黑" w:cs="宋体"/>
            <w:kern w:val="0"/>
            <w:sz w:val="24"/>
            <w:szCs w:val="24"/>
            <w:u w:val="single"/>
          </w:rPr>
          <w:t>16</w:t>
        </w:r>
      </w:hyperlink>
      <w:r w:rsidRPr="006760C4">
        <w:rPr>
          <w:rFonts w:ascii="微软雅黑" w:eastAsia="微软雅黑" w:hAnsi="微软雅黑" w:cs="宋体"/>
          <w:kern w:val="0"/>
          <w:sz w:val="24"/>
          <w:szCs w:val="24"/>
        </w:rPr>
        <w:t> ]。迄今为止，已鉴定出多种与 CDK4/6 耐药性相关的生物标志物，包括细胞周期调节因子、参与致癌激酶通路的基因[ </w:t>
      </w:r>
      <w:hyperlink r:id="rId23" w:anchor="B16-ijms-23-14534" w:history="1">
        <w:r w:rsidRPr="006760C4">
          <w:rPr>
            <w:rFonts w:ascii="微软雅黑" w:eastAsia="微软雅黑" w:hAnsi="微软雅黑" w:cs="宋体"/>
            <w:kern w:val="0"/>
            <w:sz w:val="24"/>
            <w:szCs w:val="24"/>
            <w:u w:val="single"/>
          </w:rPr>
          <w:t>16</w:t>
        </w:r>
      </w:hyperlink>
      <w:r w:rsidRPr="006760C4">
        <w:rPr>
          <w:rFonts w:ascii="微软雅黑" w:eastAsia="微软雅黑" w:hAnsi="微软雅黑" w:cs="宋体"/>
          <w:kern w:val="0"/>
          <w:sz w:val="24"/>
          <w:szCs w:val="24"/>
        </w:rPr>
        <w:t> , </w:t>
      </w:r>
      <w:hyperlink r:id="rId24" w:anchor="B17-ijms-23-14534" w:history="1">
        <w:r w:rsidRPr="006760C4">
          <w:rPr>
            <w:rFonts w:ascii="微软雅黑" w:eastAsia="微软雅黑" w:hAnsi="微软雅黑" w:cs="宋体"/>
            <w:kern w:val="0"/>
            <w:sz w:val="24"/>
            <w:szCs w:val="24"/>
            <w:u w:val="single"/>
          </w:rPr>
          <w:t>17</w:t>
        </w:r>
      </w:hyperlink>
      <w:r w:rsidRPr="006760C4">
        <w:rPr>
          <w:rFonts w:ascii="微软雅黑" w:eastAsia="微软雅黑" w:hAnsi="微软雅黑" w:cs="宋体"/>
          <w:kern w:val="0"/>
          <w:sz w:val="24"/>
          <w:szCs w:val="24"/>
        </w:rPr>
        <w:t> ]以及调控肿瘤微环境的基因，这些基因已被证实能够显著影响 CDK4/6 抑制剂诱导的抗肿瘤反应[ </w:t>
      </w:r>
      <w:hyperlink r:id="rId25" w:anchor="B18-ijms-23-14534" w:history="1">
        <w:r w:rsidRPr="006760C4">
          <w:rPr>
            <w:rFonts w:ascii="微软雅黑" w:eastAsia="微软雅黑" w:hAnsi="微软雅黑" w:cs="宋体"/>
            <w:kern w:val="0"/>
            <w:sz w:val="24"/>
            <w:szCs w:val="24"/>
            <w:u w:val="single"/>
          </w:rPr>
          <w:t>18</w:t>
        </w:r>
      </w:hyperlink>
      <w:r w:rsidRPr="006760C4">
        <w:rPr>
          <w:rFonts w:ascii="微软雅黑" w:eastAsia="微软雅黑" w:hAnsi="微软雅黑" w:cs="宋体"/>
          <w:kern w:val="0"/>
          <w:sz w:val="24"/>
          <w:szCs w:val="24"/>
        </w:rPr>
        <w:t> ]。</w:t>
      </w:r>
    </w:p>
    <w:p w14:paraId="273D1768"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本文综述了最具代表性和最新的CDK4/6抑制剂疗效/耐药性生物标志物研究证据。为此，我们首先阐述了CDK4/6抑制剂耐药的主要机制，并重点介绍了生物标志物鉴定方面的最新进展。特别关注液体活检在优化乳腺癌患者管理决策中的潜在应用，以及多种microRNA（miRNA）作为CDK4/6抑制剂疗效/耐药性分子预测因子的作用。</w:t>
      </w:r>
    </w:p>
    <w:p w14:paraId="6DB7B9D5" w14:textId="77777777" w:rsidR="006760C4" w:rsidRPr="006760C4" w:rsidRDefault="006760C4" w:rsidP="006760C4">
      <w:pPr>
        <w:widowControl/>
        <w:pBdr>
          <w:bottom w:val="single" w:sz="6" w:space="0" w:color="97B1C8"/>
        </w:pBdr>
        <w:spacing w:line="450" w:lineRule="atLeast"/>
        <w:outlineLvl w:val="1"/>
        <w:rPr>
          <w:rFonts w:ascii="微软雅黑" w:eastAsia="微软雅黑" w:hAnsi="微软雅黑" w:cs="宋体"/>
          <w:kern w:val="0"/>
          <w:sz w:val="34"/>
          <w:szCs w:val="34"/>
        </w:rPr>
      </w:pPr>
      <w:r w:rsidRPr="006760C4">
        <w:rPr>
          <w:rFonts w:ascii="微软雅黑" w:eastAsia="微软雅黑" w:hAnsi="微软雅黑" w:cs="宋体"/>
          <w:kern w:val="0"/>
          <w:sz w:val="34"/>
          <w:szCs w:val="34"/>
        </w:rPr>
        <w:t>2. CDK4/6抑制剂的耐药机制</w:t>
      </w:r>
    </w:p>
    <w:p w14:paraId="3C612467"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下面讨论 CDK4/6 的主要耐药机制，并在</w:t>
      </w:r>
      <w:r w:rsidRPr="006760C4">
        <w:rPr>
          <w:rFonts w:ascii="微软雅黑" w:eastAsia="微软雅黑" w:hAnsi="微软雅黑" w:cs="宋体"/>
          <w:kern w:val="0"/>
          <w:sz w:val="24"/>
          <w:szCs w:val="24"/>
        </w:rPr>
        <w:fldChar w:fldCharType="begin"/>
      </w:r>
      <w:r w:rsidRPr="006760C4">
        <w:rPr>
          <w:rFonts w:ascii="微软雅黑" w:eastAsia="微软雅黑" w:hAnsi="微软雅黑" w:cs="宋体"/>
          <w:kern w:val="0"/>
          <w:sz w:val="24"/>
          <w:szCs w:val="24"/>
        </w:rPr>
        <w:instrText xml:space="preserve"> HYPERLINK "https://pmc.ncbi.nlm.nih.gov/articles/PMC9739115/" \l "ijms-23-14534-f001" </w:instrText>
      </w:r>
      <w:r w:rsidRPr="006760C4">
        <w:rPr>
          <w:rFonts w:ascii="微软雅黑" w:eastAsia="微软雅黑" w:hAnsi="微软雅黑" w:cs="宋体"/>
          <w:kern w:val="0"/>
          <w:sz w:val="24"/>
          <w:szCs w:val="24"/>
        </w:rPr>
        <w:fldChar w:fldCharType="separate"/>
      </w:r>
      <w:r w:rsidRPr="006760C4">
        <w:rPr>
          <w:rFonts w:ascii="微软雅黑" w:eastAsia="微软雅黑" w:hAnsi="微软雅黑" w:cs="宋体"/>
          <w:kern w:val="0"/>
          <w:sz w:val="24"/>
          <w:szCs w:val="24"/>
          <w:u w:val="single"/>
        </w:rPr>
        <w:t>图 1</w:t>
      </w:r>
      <w:r w:rsidRPr="006760C4">
        <w:rPr>
          <w:rFonts w:ascii="微软雅黑" w:eastAsia="微软雅黑" w:hAnsi="微软雅黑" w:cs="宋体"/>
          <w:kern w:val="0"/>
          <w:sz w:val="24"/>
          <w:szCs w:val="24"/>
        </w:rPr>
        <w:fldChar w:fldCharType="end"/>
      </w:r>
      <w:r w:rsidRPr="006760C4">
        <w:rPr>
          <w:rFonts w:ascii="微软雅黑" w:eastAsia="微软雅黑" w:hAnsi="微软雅黑" w:cs="宋体"/>
          <w:kern w:val="0"/>
          <w:sz w:val="24"/>
          <w:szCs w:val="24"/>
        </w:rPr>
        <w:t>中以图形方式显示。</w:t>
      </w:r>
    </w:p>
    <w:p w14:paraId="75BE5F5A" w14:textId="77777777" w:rsidR="006760C4" w:rsidRPr="006760C4" w:rsidRDefault="006760C4" w:rsidP="006760C4">
      <w:pPr>
        <w:widowControl/>
        <w:spacing w:line="450" w:lineRule="atLeast"/>
        <w:outlineLvl w:val="2"/>
        <w:rPr>
          <w:rFonts w:ascii="微软雅黑" w:eastAsia="微软雅黑" w:hAnsi="微软雅黑" w:cs="宋体"/>
          <w:kern w:val="0"/>
          <w:sz w:val="30"/>
          <w:szCs w:val="30"/>
        </w:rPr>
      </w:pPr>
      <w:r w:rsidRPr="006760C4">
        <w:rPr>
          <w:rFonts w:ascii="微软雅黑" w:eastAsia="微软雅黑" w:hAnsi="微软雅黑" w:cs="宋体"/>
          <w:kern w:val="0"/>
          <w:sz w:val="30"/>
          <w:szCs w:val="30"/>
        </w:rPr>
        <w:t>图1。</w:t>
      </w:r>
    </w:p>
    <w:p w14:paraId="235CFB08" w14:textId="06B374E4" w:rsidR="006760C4" w:rsidRPr="006760C4" w:rsidRDefault="006760C4" w:rsidP="006760C4">
      <w:pPr>
        <w:widowControl/>
        <w:spacing w:before="450"/>
        <w:rPr>
          <w:rFonts w:ascii="微软雅黑" w:eastAsia="微软雅黑" w:hAnsi="微软雅黑" w:cs="宋体"/>
          <w:kern w:val="0"/>
          <w:sz w:val="24"/>
          <w:szCs w:val="24"/>
        </w:rPr>
      </w:pPr>
      <w:r w:rsidRPr="00412BDA">
        <w:rPr>
          <w:rFonts w:ascii="微软雅黑" w:eastAsia="微软雅黑" w:hAnsi="微软雅黑" w:cs="宋体"/>
          <w:noProof/>
          <w:kern w:val="0"/>
          <w:sz w:val="24"/>
          <w:szCs w:val="24"/>
        </w:rPr>
        <w:lastRenderedPageBreak/>
        <w:drawing>
          <wp:inline distT="0" distB="0" distL="0" distR="0" wp14:anchorId="7169B656" wp14:editId="5675F7E2">
            <wp:extent cx="5274310" cy="3424555"/>
            <wp:effectExtent l="0" t="0" r="2540" b="4445"/>
            <wp:docPr id="1" name="图片 1" descr="图 1">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 1">
                      <a:hlinkClick r:id="rId26"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3424555"/>
                    </a:xfrm>
                    <a:prstGeom prst="rect">
                      <a:avLst/>
                    </a:prstGeom>
                    <a:noFill/>
                    <a:ln>
                      <a:noFill/>
                    </a:ln>
                  </pic:spPr>
                </pic:pic>
              </a:graphicData>
            </a:graphic>
          </wp:inline>
        </w:drawing>
      </w:r>
    </w:p>
    <w:p w14:paraId="2D85234F"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CDK4/6抑制剂耐药机制。(1) 与细胞周期相关的机制；(2) 致癌信号通路；(3) DNA损伤反应和修复缺陷；(4) 与微环境相关的机制。PI3K：磷脂酰肌醇3-激酶；PDK1：3-磷脂酰肌醇依赖性蛋白激酶1；AKT：蛋白激酶B；mTOR：</w:t>
      </w:r>
      <w:proofErr w:type="gramStart"/>
      <w:r w:rsidRPr="006760C4">
        <w:rPr>
          <w:rFonts w:ascii="微软雅黑" w:eastAsia="微软雅黑" w:hAnsi="微软雅黑" w:cs="宋体"/>
          <w:kern w:val="0"/>
          <w:sz w:val="24"/>
          <w:szCs w:val="24"/>
        </w:rPr>
        <w:t>哺乳动物雷帕霉素</w:t>
      </w:r>
      <w:proofErr w:type="gramEnd"/>
      <w:r w:rsidRPr="006760C4">
        <w:rPr>
          <w:rFonts w:ascii="微软雅黑" w:eastAsia="微软雅黑" w:hAnsi="微软雅黑" w:cs="宋体"/>
          <w:kern w:val="0"/>
          <w:sz w:val="24"/>
          <w:szCs w:val="24"/>
        </w:rPr>
        <w:t>靶蛋白；RAS-GTP：RAS原癌基因GTP酶；RAF：RAF原癌基因丝氨酸/苏氨酸蛋白激酶；MEK：丝裂原活化蛋白激酶；ERK：细胞外信号调节激酶；Rb：RB转录共抑制因子；p16：细胞周期蛋白依赖性激酶抑制剂2A；p18：细胞周期蛋白依赖性激酶抑制剂2C。 p19：细胞周期蛋白依赖性激酶抑制剂 2；E2F：E2F 转录因子；CDK：细胞周期蛋白依赖性激酶；p21：细胞周期蛋白依赖性激酶抑制剂 1A；BRIP1：BRCA1 相互作用解旋酶 1；</w:t>
      </w:r>
      <w:r w:rsidRPr="006760C4">
        <w:rPr>
          <w:rFonts w:ascii="微软雅黑" w:eastAsia="微软雅黑" w:hAnsi="微软雅黑" w:cs="宋体"/>
          <w:i/>
          <w:iCs/>
          <w:kern w:val="0"/>
          <w:sz w:val="24"/>
          <w:szCs w:val="24"/>
        </w:rPr>
        <w:t>BRCA</w:t>
      </w:r>
      <w:r w:rsidRPr="006760C4">
        <w:rPr>
          <w:rFonts w:ascii="微软雅黑" w:eastAsia="微软雅黑" w:hAnsi="微软雅黑" w:cs="宋体"/>
          <w:kern w:val="0"/>
          <w:sz w:val="24"/>
          <w:szCs w:val="24"/>
        </w:rPr>
        <w:t>：乳腺癌基因；HRR：同源相关修复；PD-1：程序性细胞死亡蛋白 1；PD-L1：程序性细胞死亡蛋白 1 配体；TMB：肿瘤突变负荷。</w:t>
      </w:r>
    </w:p>
    <w:p w14:paraId="67A861B1" w14:textId="77777777" w:rsidR="006760C4" w:rsidRPr="006760C4" w:rsidRDefault="006760C4" w:rsidP="006760C4">
      <w:pPr>
        <w:widowControl/>
        <w:spacing w:line="450" w:lineRule="atLeast"/>
        <w:outlineLvl w:val="2"/>
        <w:rPr>
          <w:rFonts w:ascii="微软雅黑" w:eastAsia="微软雅黑" w:hAnsi="微软雅黑" w:cs="宋体"/>
          <w:kern w:val="0"/>
          <w:sz w:val="32"/>
          <w:szCs w:val="32"/>
        </w:rPr>
      </w:pPr>
      <w:r w:rsidRPr="006760C4">
        <w:rPr>
          <w:rFonts w:ascii="微软雅黑" w:eastAsia="微软雅黑" w:hAnsi="微软雅黑" w:cs="宋体"/>
          <w:kern w:val="0"/>
          <w:sz w:val="32"/>
          <w:szCs w:val="32"/>
        </w:rPr>
        <w:t>2.1. 细胞周期调节因子作为耐药性生物标志物</w:t>
      </w:r>
    </w:p>
    <w:p w14:paraId="41B8B4E4"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lastRenderedPageBreak/>
        <w:t>如上所述，CDK4和CDK6的抑制会导致RB1及其家族成员p130和p107的低磷酸化，进而导致转录因子E2F的结合和抑制，而E2F是细胞周期进程所必需的[ </w:t>
      </w:r>
      <w:hyperlink r:id="rId28" w:anchor="B1-ijms-23-14534" w:history="1">
        <w:r w:rsidRPr="006760C4">
          <w:rPr>
            <w:rFonts w:ascii="微软雅黑" w:eastAsia="微软雅黑" w:hAnsi="微软雅黑" w:cs="宋体"/>
            <w:kern w:val="0"/>
            <w:sz w:val="24"/>
            <w:szCs w:val="24"/>
            <w:u w:val="single"/>
          </w:rPr>
          <w:t>1</w:t>
        </w:r>
      </w:hyperlink>
      <w:r w:rsidRPr="006760C4">
        <w:rPr>
          <w:rFonts w:ascii="微软雅黑" w:eastAsia="微软雅黑" w:hAnsi="微软雅黑" w:cs="宋体"/>
          <w:kern w:val="0"/>
          <w:sz w:val="24"/>
          <w:szCs w:val="24"/>
        </w:rPr>
        <w:t> , </w:t>
      </w:r>
      <w:hyperlink r:id="rId29" w:anchor="B2-ijms-23-14534" w:history="1">
        <w:r w:rsidRPr="006760C4">
          <w:rPr>
            <w:rFonts w:ascii="微软雅黑" w:eastAsia="微软雅黑" w:hAnsi="微软雅黑" w:cs="宋体"/>
            <w:kern w:val="0"/>
            <w:sz w:val="24"/>
            <w:szCs w:val="24"/>
            <w:u w:val="single"/>
          </w:rPr>
          <w:t>2</w:t>
        </w:r>
      </w:hyperlink>
      <w:r w:rsidRPr="006760C4">
        <w:rPr>
          <w:rFonts w:ascii="微软雅黑" w:eastAsia="微软雅黑" w:hAnsi="微软雅黑" w:cs="宋体"/>
          <w:kern w:val="0"/>
          <w:sz w:val="24"/>
          <w:szCs w:val="24"/>
        </w:rPr>
        <w:t> ]。细胞周期蛋白E1是耐药乳腺癌中最显著的上调因子[ </w:t>
      </w:r>
      <w:hyperlink r:id="rId30" w:anchor="B19-ijms-23-14534" w:history="1">
        <w:r w:rsidRPr="006760C4">
          <w:rPr>
            <w:rFonts w:ascii="微软雅黑" w:eastAsia="微软雅黑" w:hAnsi="微软雅黑" w:cs="宋体"/>
            <w:kern w:val="0"/>
            <w:sz w:val="24"/>
            <w:szCs w:val="24"/>
            <w:u w:val="single"/>
          </w:rPr>
          <w:t>19</w:t>
        </w:r>
      </w:hyperlink>
      <w:r w:rsidRPr="006760C4">
        <w:rPr>
          <w:rFonts w:ascii="微软雅黑" w:eastAsia="微软雅黑" w:hAnsi="微软雅黑" w:cs="宋体"/>
          <w:kern w:val="0"/>
          <w:sz w:val="24"/>
          <w:szCs w:val="24"/>
        </w:rPr>
        <w:t> , </w:t>
      </w:r>
      <w:hyperlink r:id="rId31" w:anchor="B20-ijms-23-14534" w:history="1">
        <w:r w:rsidRPr="006760C4">
          <w:rPr>
            <w:rFonts w:ascii="微软雅黑" w:eastAsia="微软雅黑" w:hAnsi="微软雅黑" w:cs="宋体"/>
            <w:kern w:val="0"/>
            <w:sz w:val="24"/>
            <w:szCs w:val="24"/>
            <w:u w:val="single"/>
          </w:rPr>
          <w:t>20</w:t>
        </w:r>
      </w:hyperlink>
      <w:r w:rsidRPr="006760C4">
        <w:rPr>
          <w:rFonts w:ascii="微软雅黑" w:eastAsia="微软雅黑" w:hAnsi="微软雅黑" w:cs="宋体"/>
          <w:kern w:val="0"/>
          <w:sz w:val="24"/>
          <w:szCs w:val="24"/>
        </w:rPr>
        <w:t> , </w:t>
      </w:r>
      <w:hyperlink r:id="rId32" w:anchor="B21-ijms-23-14534" w:history="1">
        <w:r w:rsidRPr="006760C4">
          <w:rPr>
            <w:rFonts w:ascii="微软雅黑" w:eastAsia="微软雅黑" w:hAnsi="微软雅黑" w:cs="宋体"/>
            <w:kern w:val="0"/>
            <w:sz w:val="24"/>
            <w:szCs w:val="24"/>
            <w:u w:val="single"/>
          </w:rPr>
          <w:t>21</w:t>
        </w:r>
      </w:hyperlink>
      <w:r w:rsidRPr="006760C4">
        <w:rPr>
          <w:rFonts w:ascii="微软雅黑" w:eastAsia="微软雅黑" w:hAnsi="微软雅黑" w:cs="宋体"/>
          <w:kern w:val="0"/>
          <w:sz w:val="24"/>
          <w:szCs w:val="24"/>
        </w:rPr>
        <w:t> ]。细胞周期蛋白E1的过表达会导致CDK2的激活和重编程，使细胞能够绕过细胞周期蛋白D1-CDK4/6对RB1的阻断，进入非经典S期[ </w:t>
      </w:r>
      <w:hyperlink r:id="rId33" w:anchor="B22-ijms-23-14534" w:history="1">
        <w:r w:rsidRPr="006760C4">
          <w:rPr>
            <w:rFonts w:ascii="微软雅黑" w:eastAsia="微软雅黑" w:hAnsi="微软雅黑" w:cs="宋体"/>
            <w:kern w:val="0"/>
            <w:sz w:val="24"/>
            <w:szCs w:val="24"/>
            <w:u w:val="single"/>
          </w:rPr>
          <w:t>22</w:t>
        </w:r>
      </w:hyperlink>
      <w:r w:rsidRPr="006760C4">
        <w:rPr>
          <w:rFonts w:ascii="微软雅黑" w:eastAsia="微软雅黑" w:hAnsi="微软雅黑" w:cs="宋体"/>
          <w:kern w:val="0"/>
          <w:sz w:val="24"/>
          <w:szCs w:val="24"/>
        </w:rPr>
        <w:t> ]。据报道，CDK6的</w:t>
      </w:r>
      <w:proofErr w:type="gramStart"/>
      <w:r w:rsidRPr="006760C4">
        <w:rPr>
          <w:rFonts w:ascii="微软雅黑" w:eastAsia="微软雅黑" w:hAnsi="微软雅黑" w:cs="宋体"/>
          <w:kern w:val="0"/>
          <w:sz w:val="24"/>
          <w:szCs w:val="24"/>
        </w:rPr>
        <w:t>高表达</w:t>
      </w:r>
      <w:proofErr w:type="gramEnd"/>
      <w:r w:rsidRPr="006760C4">
        <w:rPr>
          <w:rFonts w:ascii="微软雅黑" w:eastAsia="微软雅黑" w:hAnsi="微软雅黑" w:cs="宋体"/>
          <w:kern w:val="0"/>
          <w:sz w:val="24"/>
          <w:szCs w:val="24"/>
        </w:rPr>
        <w:t>也在耐药机制中发挥重要作用[ </w:t>
      </w:r>
      <w:hyperlink r:id="rId34" w:anchor="B23-ijms-23-14534" w:history="1">
        <w:r w:rsidRPr="006760C4">
          <w:rPr>
            <w:rFonts w:ascii="微软雅黑" w:eastAsia="微软雅黑" w:hAnsi="微软雅黑" w:cs="宋体"/>
            <w:kern w:val="0"/>
            <w:sz w:val="24"/>
            <w:szCs w:val="24"/>
            <w:u w:val="single"/>
          </w:rPr>
          <w:t>23</w:t>
        </w:r>
      </w:hyperlink>
      <w:r w:rsidRPr="006760C4">
        <w:rPr>
          <w:rFonts w:ascii="微软雅黑" w:eastAsia="微软雅黑" w:hAnsi="微软雅黑" w:cs="宋体"/>
          <w:kern w:val="0"/>
          <w:sz w:val="24"/>
          <w:szCs w:val="24"/>
        </w:rPr>
        <w:t> ]。细胞周期蛋白依赖性激酶抑制剂2D（CDKN2D，p19）和2C（CDKN2C，p18）属于INK4家族，其表达增加与CDK4/6抑制剂联合内分泌治疗（ET）疗效降低相关[ </w:t>
      </w:r>
      <w:hyperlink r:id="rId35" w:anchor="B19-ijms-23-14534" w:history="1">
        <w:r w:rsidRPr="006760C4">
          <w:rPr>
            <w:rFonts w:ascii="微软雅黑" w:eastAsia="微软雅黑" w:hAnsi="微软雅黑" w:cs="宋体"/>
            <w:kern w:val="0"/>
            <w:sz w:val="24"/>
            <w:szCs w:val="24"/>
            <w:u w:val="single"/>
          </w:rPr>
          <w:t>19</w:t>
        </w:r>
      </w:hyperlink>
      <w:r w:rsidRPr="006760C4">
        <w:rPr>
          <w:rFonts w:ascii="微软雅黑" w:eastAsia="微软雅黑" w:hAnsi="微软雅黑" w:cs="宋体"/>
          <w:kern w:val="0"/>
          <w:sz w:val="24"/>
          <w:szCs w:val="24"/>
        </w:rPr>
        <w:t> , </w:t>
      </w:r>
      <w:hyperlink r:id="rId36" w:anchor="B20-ijms-23-14534" w:history="1">
        <w:r w:rsidRPr="006760C4">
          <w:rPr>
            <w:rFonts w:ascii="微软雅黑" w:eastAsia="微软雅黑" w:hAnsi="微软雅黑" w:cs="宋体"/>
            <w:kern w:val="0"/>
            <w:sz w:val="24"/>
            <w:szCs w:val="24"/>
            <w:u w:val="single"/>
          </w:rPr>
          <w:t>20</w:t>
        </w:r>
      </w:hyperlink>
      <w:r w:rsidRPr="006760C4">
        <w:rPr>
          <w:rFonts w:ascii="微软雅黑" w:eastAsia="微软雅黑" w:hAnsi="微软雅黑" w:cs="宋体"/>
          <w:kern w:val="0"/>
          <w:sz w:val="24"/>
          <w:szCs w:val="24"/>
        </w:rPr>
        <w:t> ]，提示这些肿瘤可能已经丧失了对CDK4/6限制点的依赖性。此外，在耐药性乳腺癌患者中，p16（CDKN2A）蛋白水平上调[ </w:t>
      </w:r>
      <w:hyperlink r:id="rId37" w:anchor="B24-ijms-23-14534" w:history="1">
        <w:r w:rsidRPr="006760C4">
          <w:rPr>
            <w:rFonts w:ascii="微软雅黑" w:eastAsia="微软雅黑" w:hAnsi="微软雅黑" w:cs="宋体"/>
            <w:kern w:val="0"/>
            <w:sz w:val="24"/>
            <w:szCs w:val="24"/>
            <w:u w:val="single"/>
          </w:rPr>
          <w:t>24</w:t>
        </w:r>
      </w:hyperlink>
      <w:r w:rsidRPr="006760C4">
        <w:rPr>
          <w:rFonts w:ascii="微软雅黑" w:eastAsia="微软雅黑" w:hAnsi="微软雅黑" w:cs="宋体"/>
          <w:kern w:val="0"/>
          <w:sz w:val="24"/>
          <w:szCs w:val="24"/>
        </w:rPr>
        <w:t> ]，E2F靶基因和其他细胞周期相关通路（包括</w:t>
      </w:r>
      <w:proofErr w:type="spellStart"/>
      <w:r w:rsidRPr="006760C4">
        <w:rPr>
          <w:rFonts w:ascii="微软雅黑" w:eastAsia="微软雅黑" w:hAnsi="微软雅黑" w:cs="宋体"/>
          <w:kern w:val="0"/>
          <w:sz w:val="24"/>
          <w:szCs w:val="24"/>
        </w:rPr>
        <w:t>Myc</w:t>
      </w:r>
      <w:proofErr w:type="spellEnd"/>
      <w:r w:rsidRPr="006760C4">
        <w:rPr>
          <w:rFonts w:ascii="微软雅黑" w:eastAsia="微软雅黑" w:hAnsi="微软雅黑" w:cs="宋体"/>
          <w:kern w:val="0"/>
          <w:sz w:val="24"/>
          <w:szCs w:val="24"/>
        </w:rPr>
        <w:t>调控）的表达增加[ </w:t>
      </w:r>
      <w:hyperlink r:id="rId38" w:anchor="B19-ijms-23-14534" w:history="1">
        <w:r w:rsidRPr="006760C4">
          <w:rPr>
            <w:rFonts w:ascii="微软雅黑" w:eastAsia="微软雅黑" w:hAnsi="微软雅黑" w:cs="宋体"/>
            <w:kern w:val="0"/>
            <w:sz w:val="24"/>
            <w:szCs w:val="24"/>
            <w:u w:val="single"/>
          </w:rPr>
          <w:t>19</w:t>
        </w:r>
      </w:hyperlink>
      <w:r w:rsidRPr="006760C4">
        <w:rPr>
          <w:rFonts w:ascii="微软雅黑" w:eastAsia="微软雅黑" w:hAnsi="微软雅黑" w:cs="宋体"/>
          <w:kern w:val="0"/>
          <w:sz w:val="24"/>
          <w:szCs w:val="24"/>
        </w:rPr>
        <w:t> ]，凸显了这些基因在CDK4/6临床疗效中的关键作用[ </w:t>
      </w:r>
      <w:hyperlink r:id="rId39" w:anchor="B19-ijms-23-14534" w:history="1">
        <w:r w:rsidRPr="006760C4">
          <w:rPr>
            <w:rFonts w:ascii="微软雅黑" w:eastAsia="微软雅黑" w:hAnsi="微软雅黑" w:cs="宋体"/>
            <w:kern w:val="0"/>
            <w:sz w:val="24"/>
            <w:szCs w:val="24"/>
            <w:u w:val="single"/>
          </w:rPr>
          <w:t>19</w:t>
        </w:r>
      </w:hyperlink>
      <w:r w:rsidRPr="006760C4">
        <w:rPr>
          <w:rFonts w:ascii="微软雅黑" w:eastAsia="微软雅黑" w:hAnsi="微软雅黑" w:cs="宋体"/>
          <w:kern w:val="0"/>
          <w:sz w:val="24"/>
          <w:szCs w:val="24"/>
        </w:rPr>
        <w:t> , </w:t>
      </w:r>
      <w:hyperlink r:id="rId40" w:anchor="B20-ijms-23-14534" w:history="1">
        <w:r w:rsidRPr="006760C4">
          <w:rPr>
            <w:rFonts w:ascii="微软雅黑" w:eastAsia="微软雅黑" w:hAnsi="微软雅黑" w:cs="宋体"/>
            <w:kern w:val="0"/>
            <w:sz w:val="24"/>
            <w:szCs w:val="24"/>
            <w:u w:val="single"/>
          </w:rPr>
          <w:t>20</w:t>
        </w:r>
      </w:hyperlink>
      <w:r w:rsidRPr="006760C4">
        <w:rPr>
          <w:rFonts w:ascii="微软雅黑" w:eastAsia="微软雅黑" w:hAnsi="微软雅黑" w:cs="宋体"/>
          <w:kern w:val="0"/>
          <w:sz w:val="24"/>
          <w:szCs w:val="24"/>
        </w:rPr>
        <w:t> ]。</w:t>
      </w:r>
    </w:p>
    <w:p w14:paraId="660076C0" w14:textId="77777777" w:rsidR="006760C4" w:rsidRPr="006760C4" w:rsidRDefault="006760C4" w:rsidP="006760C4">
      <w:pPr>
        <w:widowControl/>
        <w:spacing w:line="450" w:lineRule="atLeast"/>
        <w:outlineLvl w:val="2"/>
        <w:rPr>
          <w:rFonts w:ascii="微软雅黑" w:eastAsia="微软雅黑" w:hAnsi="微软雅黑" w:cs="宋体"/>
          <w:kern w:val="0"/>
          <w:sz w:val="32"/>
          <w:szCs w:val="32"/>
        </w:rPr>
      </w:pPr>
      <w:r w:rsidRPr="006760C4">
        <w:rPr>
          <w:rFonts w:ascii="微软雅黑" w:eastAsia="微软雅黑" w:hAnsi="微软雅黑" w:cs="宋体"/>
          <w:kern w:val="0"/>
          <w:sz w:val="32"/>
          <w:szCs w:val="32"/>
        </w:rPr>
        <w:t>2.2. 促进 CDK4/6 抑制剂耐药性的致癌信号通路</w:t>
      </w:r>
    </w:p>
    <w:p w14:paraId="3AD8A17B"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进一步上调的基因特征，例如</w:t>
      </w:r>
      <w:proofErr w:type="gramStart"/>
      <w:r w:rsidRPr="006760C4">
        <w:rPr>
          <w:rFonts w:ascii="微软雅黑" w:eastAsia="微软雅黑" w:hAnsi="微软雅黑" w:cs="宋体"/>
          <w:kern w:val="0"/>
          <w:sz w:val="24"/>
          <w:szCs w:val="24"/>
        </w:rPr>
        <w:t>哺乳动物雷帕霉素</w:t>
      </w:r>
      <w:proofErr w:type="gramEnd"/>
      <w:r w:rsidRPr="006760C4">
        <w:rPr>
          <w:rFonts w:ascii="微软雅黑" w:eastAsia="微软雅黑" w:hAnsi="微软雅黑" w:cs="宋体"/>
          <w:kern w:val="0"/>
          <w:sz w:val="24"/>
          <w:szCs w:val="24"/>
        </w:rPr>
        <w:t>靶蛋白复合物1 (mTORC1)，已被证实与CDK4/6抑制剂反应降低相关[ </w:t>
      </w:r>
      <w:hyperlink r:id="rId41" w:anchor="B19-ijms-23-14534" w:history="1">
        <w:r w:rsidRPr="006760C4">
          <w:rPr>
            <w:rFonts w:ascii="微软雅黑" w:eastAsia="微软雅黑" w:hAnsi="微软雅黑" w:cs="宋体"/>
            <w:kern w:val="0"/>
            <w:sz w:val="24"/>
            <w:szCs w:val="24"/>
            <w:u w:val="single"/>
          </w:rPr>
          <w:t>19</w:t>
        </w:r>
      </w:hyperlink>
      <w:r w:rsidRPr="006760C4">
        <w:rPr>
          <w:rFonts w:ascii="微软雅黑" w:eastAsia="微软雅黑" w:hAnsi="微软雅黑" w:cs="宋体"/>
          <w:kern w:val="0"/>
          <w:sz w:val="24"/>
          <w:szCs w:val="24"/>
        </w:rPr>
        <w:t> ]。认识到PI3K/AKT/mTOR通路失调的重要性，促使人们开展了针对mTOR或mTOR上游激酶（例如AKT1或PI3K）的联合疗法的临床试验[ </w:t>
      </w:r>
      <w:hyperlink r:id="rId42" w:anchor="B16-ijms-23-14534" w:history="1">
        <w:r w:rsidRPr="006760C4">
          <w:rPr>
            <w:rFonts w:ascii="微软雅黑" w:eastAsia="微软雅黑" w:hAnsi="微软雅黑" w:cs="宋体"/>
            <w:kern w:val="0"/>
            <w:sz w:val="24"/>
            <w:szCs w:val="24"/>
            <w:u w:val="single"/>
          </w:rPr>
          <w:t>16</w:t>
        </w:r>
      </w:hyperlink>
      <w:r w:rsidRPr="006760C4">
        <w:rPr>
          <w:rFonts w:ascii="微软雅黑" w:eastAsia="微软雅黑" w:hAnsi="微软雅黑" w:cs="宋体"/>
          <w:kern w:val="0"/>
          <w:sz w:val="24"/>
          <w:szCs w:val="24"/>
        </w:rPr>
        <w:t> ]。</w:t>
      </w:r>
    </w:p>
    <w:p w14:paraId="23B7BD95"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成纤维细胞生长因子受体 (FGFR) 的激活，包括基因扩增和/或 mRNA 表达增加，与 CDK4/6 抑制剂和内分泌治疗 (ET) 后较短的无进展生存期 (PFS) 相关 [ </w:t>
      </w:r>
      <w:hyperlink r:id="rId43" w:anchor="B25-ijms-23-14534" w:history="1">
        <w:r w:rsidRPr="006760C4">
          <w:rPr>
            <w:rFonts w:ascii="微软雅黑" w:eastAsia="微软雅黑" w:hAnsi="微软雅黑" w:cs="宋体"/>
            <w:kern w:val="0"/>
            <w:sz w:val="24"/>
            <w:szCs w:val="24"/>
            <w:u w:val="single"/>
          </w:rPr>
          <w:t>25</w:t>
        </w:r>
      </w:hyperlink>
      <w:r w:rsidRPr="006760C4">
        <w:rPr>
          <w:rFonts w:ascii="微软雅黑" w:eastAsia="微软雅黑" w:hAnsi="微软雅黑" w:cs="宋体"/>
          <w:kern w:val="0"/>
          <w:sz w:val="24"/>
          <w:szCs w:val="24"/>
        </w:rPr>
        <w:t> ]。在 CDK4/6 抑制剂耐药患者中也报道了 AURKA 激酶的扩增和过表达 [ </w:t>
      </w:r>
      <w:hyperlink r:id="rId44" w:anchor="B18-ijms-23-14534" w:history="1">
        <w:r w:rsidRPr="006760C4">
          <w:rPr>
            <w:rFonts w:ascii="微软雅黑" w:eastAsia="微软雅黑" w:hAnsi="微软雅黑" w:cs="宋体"/>
            <w:kern w:val="0"/>
            <w:sz w:val="24"/>
            <w:szCs w:val="24"/>
            <w:u w:val="single"/>
          </w:rPr>
          <w:t>18</w:t>
        </w:r>
      </w:hyperlink>
      <w:r w:rsidRPr="006760C4">
        <w:rPr>
          <w:rFonts w:ascii="微软雅黑" w:eastAsia="微软雅黑" w:hAnsi="微软雅黑" w:cs="宋体"/>
          <w:kern w:val="0"/>
          <w:sz w:val="24"/>
          <w:szCs w:val="24"/>
        </w:rPr>
        <w:t> , </w:t>
      </w:r>
      <w:hyperlink r:id="rId45" w:anchor="B26-ijms-23-14534" w:history="1">
        <w:r w:rsidRPr="006760C4">
          <w:rPr>
            <w:rFonts w:ascii="微软雅黑" w:eastAsia="微软雅黑" w:hAnsi="微软雅黑" w:cs="宋体"/>
            <w:kern w:val="0"/>
            <w:sz w:val="24"/>
            <w:szCs w:val="24"/>
            <w:u w:val="single"/>
          </w:rPr>
          <w:t>26</w:t>
        </w:r>
      </w:hyperlink>
      <w:r w:rsidRPr="006760C4">
        <w:rPr>
          <w:rFonts w:ascii="微软雅黑" w:eastAsia="微软雅黑" w:hAnsi="微软雅黑" w:cs="宋体"/>
          <w:kern w:val="0"/>
          <w:sz w:val="24"/>
          <w:szCs w:val="24"/>
        </w:rPr>
        <w:t> ]，这与导致 RAS 通路激活的扩增或突变类似，后者驱动 CDK4/6 抑</w:t>
      </w:r>
      <w:r w:rsidRPr="006760C4">
        <w:rPr>
          <w:rFonts w:ascii="微软雅黑" w:eastAsia="微软雅黑" w:hAnsi="微软雅黑" w:cs="宋体"/>
          <w:kern w:val="0"/>
          <w:sz w:val="24"/>
          <w:szCs w:val="24"/>
        </w:rPr>
        <w:lastRenderedPageBreak/>
        <w:t>制剂耐药 [ </w:t>
      </w:r>
      <w:hyperlink r:id="rId46" w:anchor="B27-ijms-23-14534" w:history="1">
        <w:r w:rsidRPr="006760C4">
          <w:rPr>
            <w:rFonts w:ascii="微软雅黑" w:eastAsia="微软雅黑" w:hAnsi="微软雅黑" w:cs="宋体"/>
            <w:kern w:val="0"/>
            <w:sz w:val="24"/>
            <w:szCs w:val="24"/>
            <w:u w:val="single"/>
          </w:rPr>
          <w:t>27</w:t>
        </w:r>
      </w:hyperlink>
      <w:r w:rsidRPr="006760C4">
        <w:rPr>
          <w:rFonts w:ascii="微软雅黑" w:eastAsia="微软雅黑" w:hAnsi="微软雅黑" w:cs="宋体"/>
          <w:kern w:val="0"/>
          <w:sz w:val="24"/>
          <w:szCs w:val="24"/>
        </w:rPr>
        <w:t> ]。目前正在进行针对这些激酶通路与 CDK4/6 抑制剂联合治疗的临床试验，以评估联合疗法在延缓或对抗耐药性方面的疗效 [ </w:t>
      </w:r>
      <w:hyperlink r:id="rId47" w:anchor="B16-ijms-23-14534" w:history="1">
        <w:r w:rsidRPr="006760C4">
          <w:rPr>
            <w:rFonts w:ascii="微软雅黑" w:eastAsia="微软雅黑" w:hAnsi="微软雅黑" w:cs="宋体"/>
            <w:kern w:val="0"/>
            <w:sz w:val="24"/>
            <w:szCs w:val="24"/>
            <w:u w:val="single"/>
          </w:rPr>
          <w:t>16</w:t>
        </w:r>
      </w:hyperlink>
      <w:r w:rsidRPr="006760C4">
        <w:rPr>
          <w:rFonts w:ascii="微软雅黑" w:eastAsia="微软雅黑" w:hAnsi="微软雅黑" w:cs="宋体"/>
          <w:kern w:val="0"/>
          <w:sz w:val="24"/>
          <w:szCs w:val="24"/>
        </w:rPr>
        <w:t> ]。</w:t>
      </w:r>
    </w:p>
    <w:p w14:paraId="5AF0C50F" w14:textId="77777777" w:rsidR="006760C4" w:rsidRPr="006760C4" w:rsidRDefault="006760C4" w:rsidP="006760C4">
      <w:pPr>
        <w:widowControl/>
        <w:spacing w:line="450" w:lineRule="atLeast"/>
        <w:outlineLvl w:val="2"/>
        <w:rPr>
          <w:rFonts w:ascii="微软雅黑" w:eastAsia="微软雅黑" w:hAnsi="微软雅黑" w:cs="宋体"/>
          <w:kern w:val="0"/>
          <w:sz w:val="32"/>
          <w:szCs w:val="32"/>
        </w:rPr>
      </w:pPr>
      <w:r w:rsidRPr="006760C4">
        <w:rPr>
          <w:rFonts w:ascii="微软雅黑" w:eastAsia="微软雅黑" w:hAnsi="微软雅黑" w:cs="宋体"/>
          <w:kern w:val="0"/>
          <w:sz w:val="32"/>
          <w:szCs w:val="32"/>
        </w:rPr>
        <w:t>2.3. DNA损伤反应和修复缺陷在促进CDK4/6抑制剂耐药性中的作用</w:t>
      </w:r>
    </w:p>
    <w:p w14:paraId="61C4B8AC"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乳腺癌与 DNA 损伤反应和修复 (DDR) 缺陷密切相关，这使得携带改变的基因组信息的细胞能够进行细胞分裂并将突变传递给子细胞 [ </w:t>
      </w:r>
      <w:hyperlink r:id="rId48" w:anchor="B28-ijms-23-14534" w:history="1">
        <w:r w:rsidRPr="006760C4">
          <w:rPr>
            <w:rFonts w:ascii="微软雅黑" w:eastAsia="微软雅黑" w:hAnsi="微软雅黑" w:cs="宋体"/>
            <w:kern w:val="0"/>
            <w:sz w:val="24"/>
            <w:szCs w:val="24"/>
            <w:u w:val="single"/>
          </w:rPr>
          <w:t>28</w:t>
        </w:r>
      </w:hyperlink>
      <w:r w:rsidRPr="006760C4">
        <w:rPr>
          <w:rFonts w:ascii="微软雅黑" w:eastAsia="微软雅黑" w:hAnsi="微软雅黑" w:cs="宋体"/>
          <w:kern w:val="0"/>
          <w:sz w:val="24"/>
          <w:szCs w:val="24"/>
        </w:rPr>
        <w:t> ]。</w:t>
      </w:r>
    </w:p>
    <w:p w14:paraId="52ED91B9"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对PALOMA-3试验中入组患者的基线肿瘤组织进行广泛的基因表达谱分析，该试验将内分泌耐药的转移性乳腺癌（MBC）HR+/HER2-患者随机分为两组，分别接受帕博西尼联合</w:t>
      </w:r>
      <w:proofErr w:type="gramStart"/>
      <w:r w:rsidRPr="006760C4">
        <w:rPr>
          <w:rFonts w:ascii="微软雅黑" w:eastAsia="微软雅黑" w:hAnsi="微软雅黑" w:cs="宋体"/>
          <w:kern w:val="0"/>
          <w:sz w:val="24"/>
          <w:szCs w:val="24"/>
        </w:rPr>
        <w:t>氟维司群治疗</w:t>
      </w:r>
      <w:proofErr w:type="gramEnd"/>
      <w:r w:rsidRPr="006760C4">
        <w:rPr>
          <w:rFonts w:ascii="微软雅黑" w:eastAsia="微软雅黑" w:hAnsi="微软雅黑" w:cs="宋体"/>
          <w:kern w:val="0"/>
          <w:sz w:val="24"/>
          <w:szCs w:val="24"/>
        </w:rPr>
        <w:t>或单用</w:t>
      </w:r>
      <w:proofErr w:type="gramStart"/>
      <w:r w:rsidRPr="006760C4">
        <w:rPr>
          <w:rFonts w:ascii="微软雅黑" w:eastAsia="微软雅黑" w:hAnsi="微软雅黑" w:cs="宋体"/>
          <w:kern w:val="0"/>
          <w:sz w:val="24"/>
          <w:szCs w:val="24"/>
        </w:rPr>
        <w:t>氟维司群</w:t>
      </w:r>
      <w:proofErr w:type="gramEnd"/>
      <w:r w:rsidRPr="006760C4">
        <w:rPr>
          <w:rFonts w:ascii="微软雅黑" w:eastAsia="微软雅黑" w:hAnsi="微软雅黑" w:cs="宋体"/>
          <w:kern w:val="0"/>
          <w:sz w:val="24"/>
          <w:szCs w:val="24"/>
        </w:rPr>
        <w:t>治疗。结果显示，在分子特征数据库（Molecular Signatures Database）的50个标志性基因集中，DNA损伤修复（DDR）通路是帕博西尼耐药性中最显著参与的通路之一[ </w:t>
      </w:r>
      <w:hyperlink r:id="rId49" w:anchor="B19-ijms-23-14534" w:history="1">
        <w:r w:rsidRPr="006760C4">
          <w:rPr>
            <w:rFonts w:ascii="微软雅黑" w:eastAsia="微软雅黑" w:hAnsi="微软雅黑" w:cs="宋体"/>
            <w:kern w:val="0"/>
            <w:sz w:val="24"/>
            <w:szCs w:val="24"/>
            <w:u w:val="single"/>
          </w:rPr>
          <w:t>19</w:t>
        </w:r>
      </w:hyperlink>
      <w:r w:rsidRPr="006760C4">
        <w:rPr>
          <w:rFonts w:ascii="微软雅黑" w:eastAsia="微软雅黑" w:hAnsi="微软雅黑" w:cs="宋体"/>
          <w:kern w:val="0"/>
          <w:sz w:val="24"/>
          <w:szCs w:val="24"/>
        </w:rPr>
        <w:t> ]。这些普遍线索随后在其他研究中得到证实。Lee等人对Young Pearl II</w:t>
      </w:r>
      <w:proofErr w:type="gramStart"/>
      <w:r w:rsidRPr="006760C4">
        <w:rPr>
          <w:rFonts w:ascii="微软雅黑" w:eastAsia="微软雅黑" w:hAnsi="微软雅黑" w:cs="宋体"/>
          <w:kern w:val="0"/>
          <w:sz w:val="24"/>
          <w:szCs w:val="24"/>
        </w:rPr>
        <w:t>期试验</w:t>
      </w:r>
      <w:proofErr w:type="gramEnd"/>
      <w:r w:rsidRPr="006760C4">
        <w:rPr>
          <w:rFonts w:ascii="微软雅黑" w:eastAsia="微软雅黑" w:hAnsi="微软雅黑" w:cs="宋体"/>
          <w:kern w:val="0"/>
          <w:sz w:val="24"/>
          <w:szCs w:val="24"/>
        </w:rPr>
        <w:t>中接受帕博西尼联合依西美坦治疗的患者进行了探索性分析，通过对基线肿瘤样本进行靶向测序，发现DDR组分的突变对帕博西尼联合依西美坦治疗下的无进展生存期（PFS）有显著影响。具体而言，较短的无进展生存期（PFS）与以下基因的突变/拷贝数变异相关：</w:t>
      </w:r>
      <w:r w:rsidRPr="006760C4">
        <w:rPr>
          <w:rFonts w:ascii="微软雅黑" w:eastAsia="微软雅黑" w:hAnsi="微软雅黑" w:cs="宋体"/>
          <w:i/>
          <w:iCs/>
          <w:kern w:val="0"/>
          <w:sz w:val="24"/>
          <w:szCs w:val="24"/>
        </w:rPr>
        <w:t>TP53</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BRCA2</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ATM</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CHEK1</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BRIP1</w:t>
      </w:r>
      <w:r w:rsidRPr="006760C4">
        <w:rPr>
          <w:rFonts w:ascii="微软雅黑" w:eastAsia="微软雅黑" w:hAnsi="微软雅黑" w:cs="宋体"/>
          <w:kern w:val="0"/>
          <w:sz w:val="24"/>
          <w:szCs w:val="24"/>
        </w:rPr>
        <w:t>和</w:t>
      </w:r>
      <w:r w:rsidRPr="006760C4">
        <w:rPr>
          <w:rFonts w:ascii="微软雅黑" w:eastAsia="微软雅黑" w:hAnsi="微软雅黑" w:cs="宋体"/>
          <w:i/>
          <w:iCs/>
          <w:kern w:val="0"/>
          <w:sz w:val="24"/>
          <w:szCs w:val="24"/>
        </w:rPr>
        <w:t>RAD51C</w:t>
      </w:r>
      <w:r w:rsidRPr="006760C4">
        <w:rPr>
          <w:rFonts w:ascii="微软雅黑" w:eastAsia="微软雅黑" w:hAnsi="微软雅黑" w:cs="宋体"/>
          <w:kern w:val="0"/>
          <w:sz w:val="24"/>
          <w:szCs w:val="24"/>
        </w:rPr>
        <w:t>。除了单基因突变外，同源重组修复（HRR）功能丧失以及肿瘤突变负荷（TMB）增加也与较短的PFS相关，而这两者都与DNA损伤修复（DDR）缺陷密切相关[ </w:t>
      </w:r>
      <w:hyperlink r:id="rId50" w:anchor="B18-ijms-23-14534" w:history="1">
        <w:r w:rsidRPr="006760C4">
          <w:rPr>
            <w:rFonts w:ascii="微软雅黑" w:eastAsia="微软雅黑" w:hAnsi="微软雅黑" w:cs="宋体"/>
            <w:kern w:val="0"/>
            <w:sz w:val="24"/>
            <w:szCs w:val="24"/>
            <w:u w:val="single"/>
          </w:rPr>
          <w:t>18</w:t>
        </w:r>
      </w:hyperlink>
      <w:r w:rsidRPr="006760C4">
        <w:rPr>
          <w:rFonts w:ascii="微软雅黑" w:eastAsia="微软雅黑" w:hAnsi="微软雅黑" w:cs="宋体"/>
          <w:kern w:val="0"/>
          <w:sz w:val="24"/>
          <w:szCs w:val="24"/>
        </w:rPr>
        <w:t> ]。此外，在一项回顾性研究中，Lee等人对一组接受帕博西尼、瑞博西尼或阿贝西利联合不同线激素治疗的HR+/HER2-转移性乳腺癌（MBC）患者进行了</w:t>
      </w:r>
      <w:r w:rsidRPr="006760C4">
        <w:rPr>
          <w:rFonts w:ascii="微软雅黑" w:eastAsia="微软雅黑" w:hAnsi="微软雅黑" w:cs="宋体"/>
          <w:kern w:val="0"/>
          <w:sz w:val="24"/>
          <w:szCs w:val="24"/>
        </w:rPr>
        <w:lastRenderedPageBreak/>
        <w:t>肿瘤组织基因组和</w:t>
      </w:r>
      <w:proofErr w:type="gramStart"/>
      <w:r w:rsidRPr="006760C4">
        <w:rPr>
          <w:rFonts w:ascii="微软雅黑" w:eastAsia="微软雅黑" w:hAnsi="微软雅黑" w:cs="宋体"/>
          <w:kern w:val="0"/>
          <w:sz w:val="24"/>
          <w:szCs w:val="24"/>
        </w:rPr>
        <w:t>转录组</w:t>
      </w:r>
      <w:proofErr w:type="gramEnd"/>
      <w:r w:rsidRPr="006760C4">
        <w:rPr>
          <w:rFonts w:ascii="微软雅黑" w:eastAsia="微软雅黑" w:hAnsi="微软雅黑" w:cs="宋体"/>
          <w:kern w:val="0"/>
          <w:sz w:val="24"/>
          <w:szCs w:val="24"/>
        </w:rPr>
        <w:t>分析。参与DDR的关键基因（如</w:t>
      </w:r>
      <w:r w:rsidRPr="006760C4">
        <w:rPr>
          <w:rFonts w:ascii="微软雅黑" w:eastAsia="微软雅黑" w:hAnsi="微软雅黑" w:cs="宋体"/>
          <w:i/>
          <w:iCs/>
          <w:kern w:val="0"/>
          <w:sz w:val="24"/>
          <w:szCs w:val="24"/>
        </w:rPr>
        <w:t>PALB2、BRCA1</w:t>
      </w:r>
      <w:r w:rsidRPr="006760C4">
        <w:rPr>
          <w:rFonts w:ascii="微软雅黑" w:eastAsia="微软雅黑" w:hAnsi="微软雅黑" w:cs="宋体"/>
          <w:kern w:val="0"/>
          <w:sz w:val="24"/>
          <w:szCs w:val="24"/>
        </w:rPr>
        <w:t>和</w:t>
      </w:r>
      <w:r w:rsidRPr="006760C4">
        <w:rPr>
          <w:rFonts w:ascii="微软雅黑" w:eastAsia="微软雅黑" w:hAnsi="微软雅黑" w:cs="宋体"/>
          <w:i/>
          <w:iCs/>
          <w:kern w:val="0"/>
          <w:sz w:val="24"/>
          <w:szCs w:val="24"/>
        </w:rPr>
        <w:t>ATRX</w:t>
      </w:r>
      <w:r w:rsidRPr="006760C4">
        <w:rPr>
          <w:rFonts w:ascii="微软雅黑" w:eastAsia="微软雅黑" w:hAnsi="微软雅黑" w:cs="宋体"/>
          <w:kern w:val="0"/>
          <w:sz w:val="24"/>
          <w:szCs w:val="24"/>
        </w:rPr>
        <w:t>）的突变与较差的PFS相关[ </w:t>
      </w:r>
      <w:hyperlink r:id="rId51" w:anchor="B29-ijms-23-14534" w:history="1">
        <w:r w:rsidRPr="006760C4">
          <w:rPr>
            <w:rFonts w:ascii="微软雅黑" w:eastAsia="微软雅黑" w:hAnsi="微软雅黑" w:cs="宋体"/>
            <w:kern w:val="0"/>
            <w:sz w:val="24"/>
            <w:szCs w:val="24"/>
            <w:u w:val="single"/>
          </w:rPr>
          <w:t>29</w:t>
        </w:r>
      </w:hyperlink>
      <w:r w:rsidRPr="006760C4">
        <w:rPr>
          <w:rFonts w:ascii="微软雅黑" w:eastAsia="微软雅黑" w:hAnsi="微软雅黑" w:cs="宋体"/>
          <w:kern w:val="0"/>
          <w:sz w:val="24"/>
          <w:szCs w:val="24"/>
        </w:rPr>
        <w:t> ]。</w:t>
      </w:r>
    </w:p>
    <w:p w14:paraId="7EFC4DFB" w14:textId="77777777" w:rsidR="006760C4" w:rsidRPr="006760C4" w:rsidRDefault="006760C4" w:rsidP="006760C4">
      <w:pPr>
        <w:widowControl/>
        <w:spacing w:line="450" w:lineRule="atLeast"/>
        <w:outlineLvl w:val="2"/>
        <w:rPr>
          <w:rFonts w:ascii="微软雅黑" w:eastAsia="微软雅黑" w:hAnsi="微软雅黑" w:cs="宋体"/>
          <w:kern w:val="0"/>
          <w:sz w:val="32"/>
          <w:szCs w:val="32"/>
        </w:rPr>
      </w:pPr>
      <w:r w:rsidRPr="006760C4">
        <w:rPr>
          <w:rFonts w:ascii="微软雅黑" w:eastAsia="微软雅黑" w:hAnsi="微软雅黑" w:cs="宋体"/>
          <w:kern w:val="0"/>
          <w:sz w:val="32"/>
          <w:szCs w:val="32"/>
        </w:rPr>
        <w:t>2.4. 微环境在 CDK4/6 抑制剂反应中的作用</w:t>
      </w:r>
    </w:p>
    <w:p w14:paraId="304885FA"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肿瘤微环境在 CDK4/6 抑制剂的疗效中发挥着重要作用，CDK4/6 抑制剂已被证实可通过激活抗肿瘤免疫来促进肿瘤状态的改变。在临床前研究中，阿贝西利抑制了调节性 T 细胞 (Treg) 的增殖，并诱导了抗原加工和呈递基因的表达 [ </w:t>
      </w:r>
      <w:hyperlink r:id="rId52" w:anchor="B30-ijms-23-14534" w:history="1">
        <w:r w:rsidRPr="006760C4">
          <w:rPr>
            <w:rFonts w:ascii="微软雅黑" w:eastAsia="微软雅黑" w:hAnsi="微软雅黑" w:cs="宋体"/>
            <w:kern w:val="0"/>
            <w:sz w:val="24"/>
            <w:szCs w:val="24"/>
            <w:u w:val="single"/>
          </w:rPr>
          <w:t>30</w:t>
        </w:r>
      </w:hyperlink>
      <w:r w:rsidRPr="006760C4">
        <w:rPr>
          <w:rFonts w:ascii="微软雅黑" w:eastAsia="微软雅黑" w:hAnsi="微软雅黑" w:cs="宋体"/>
          <w:kern w:val="0"/>
          <w:sz w:val="24"/>
          <w:szCs w:val="24"/>
        </w:rPr>
        <w:t> , </w:t>
      </w:r>
      <w:hyperlink r:id="rId53" w:anchor="B31-ijms-23-14534" w:history="1">
        <w:r w:rsidRPr="006760C4">
          <w:rPr>
            <w:rFonts w:ascii="微软雅黑" w:eastAsia="微软雅黑" w:hAnsi="微软雅黑" w:cs="宋体"/>
            <w:kern w:val="0"/>
            <w:sz w:val="24"/>
            <w:szCs w:val="24"/>
            <w:u w:val="single"/>
          </w:rPr>
          <w:t>31</w:t>
        </w:r>
      </w:hyperlink>
      <w:r w:rsidRPr="006760C4">
        <w:rPr>
          <w:rFonts w:ascii="微软雅黑" w:eastAsia="微软雅黑" w:hAnsi="微软雅黑" w:cs="宋体"/>
          <w:kern w:val="0"/>
          <w:sz w:val="24"/>
          <w:szCs w:val="24"/>
        </w:rPr>
        <w:t> ]。此外，小分子筛选发现 CDK4/6 抑制剂能够增强 T 细胞活性和肿瘤浸润 [ </w:t>
      </w:r>
      <w:hyperlink r:id="rId54" w:anchor="B32-ijms-23-14534" w:history="1">
        <w:r w:rsidRPr="006760C4">
          <w:rPr>
            <w:rFonts w:ascii="微软雅黑" w:eastAsia="微软雅黑" w:hAnsi="微软雅黑" w:cs="宋体"/>
            <w:kern w:val="0"/>
            <w:sz w:val="24"/>
            <w:szCs w:val="24"/>
            <w:u w:val="single"/>
          </w:rPr>
          <w:t>32</w:t>
        </w:r>
      </w:hyperlink>
      <w:r w:rsidRPr="006760C4">
        <w:rPr>
          <w:rFonts w:ascii="微软雅黑" w:eastAsia="微软雅黑" w:hAnsi="微软雅黑" w:cs="宋体"/>
          <w:kern w:val="0"/>
          <w:sz w:val="24"/>
          <w:szCs w:val="24"/>
        </w:rPr>
        <w:t> ]。小鼠临床前研究也表明，CDK4/6 抑制剂可增强外源性 T 细胞向肿瘤组织的募集，提示 CDK4/6 抑制剂可能使患者对 T 细胞递送疗法（例如 T 细胞过继转移和嵌合抗原受体 (CAR) T 细胞疗法）更加敏感 [ </w:t>
      </w:r>
      <w:hyperlink r:id="rId55" w:anchor="B33-ijms-23-14534" w:history="1">
        <w:r w:rsidRPr="006760C4">
          <w:rPr>
            <w:rFonts w:ascii="微软雅黑" w:eastAsia="微软雅黑" w:hAnsi="微软雅黑" w:cs="宋体"/>
            <w:kern w:val="0"/>
            <w:sz w:val="24"/>
            <w:szCs w:val="24"/>
            <w:u w:val="single"/>
          </w:rPr>
          <w:t>33</w:t>
        </w:r>
      </w:hyperlink>
      <w:r w:rsidRPr="006760C4">
        <w:rPr>
          <w:rFonts w:ascii="微软雅黑" w:eastAsia="微软雅黑" w:hAnsi="微软雅黑" w:cs="宋体"/>
          <w:kern w:val="0"/>
          <w:sz w:val="24"/>
          <w:szCs w:val="24"/>
        </w:rPr>
        <w:t> ]。</w:t>
      </w:r>
    </w:p>
    <w:p w14:paraId="6948A1F5"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此外，CDK4/6抑制剂已被证实能够降低程序性死亡配体1 (PD-L1) 的稳定性，从而降低其蛋白水平。PD-L1是一种免疫抑制性受体配体，它与其受体PD-1协同作用，阻断T细胞活化[ </w:t>
      </w:r>
      <w:hyperlink r:id="rId56" w:anchor="B34-ijms-23-14534" w:history="1">
        <w:r w:rsidRPr="006760C4">
          <w:rPr>
            <w:rFonts w:ascii="微软雅黑" w:eastAsia="微软雅黑" w:hAnsi="微软雅黑" w:cs="宋体"/>
            <w:kern w:val="0"/>
            <w:sz w:val="24"/>
            <w:szCs w:val="24"/>
            <w:u w:val="single"/>
          </w:rPr>
          <w:t>34</w:t>
        </w:r>
      </w:hyperlink>
      <w:r w:rsidRPr="006760C4">
        <w:rPr>
          <w:rFonts w:ascii="微软雅黑" w:eastAsia="微软雅黑" w:hAnsi="微软雅黑" w:cs="宋体"/>
          <w:kern w:val="0"/>
          <w:sz w:val="24"/>
          <w:szCs w:val="24"/>
        </w:rPr>
        <w:t> ]。</w:t>
      </w:r>
      <w:proofErr w:type="spellStart"/>
      <w:r w:rsidRPr="006760C4">
        <w:rPr>
          <w:rFonts w:ascii="微软雅黑" w:eastAsia="微软雅黑" w:hAnsi="微软雅黑" w:cs="宋体"/>
          <w:kern w:val="0"/>
          <w:sz w:val="24"/>
          <w:szCs w:val="24"/>
        </w:rPr>
        <w:t>NeoPalAna</w:t>
      </w:r>
      <w:proofErr w:type="spellEnd"/>
      <w:r w:rsidRPr="006760C4">
        <w:rPr>
          <w:rFonts w:ascii="微软雅黑" w:eastAsia="微软雅黑" w:hAnsi="微软雅黑" w:cs="宋体"/>
          <w:kern w:val="0"/>
          <w:sz w:val="24"/>
          <w:szCs w:val="24"/>
        </w:rPr>
        <w:t>和</w:t>
      </w:r>
      <w:proofErr w:type="spellStart"/>
      <w:r w:rsidRPr="006760C4">
        <w:rPr>
          <w:rFonts w:ascii="微软雅黑" w:eastAsia="微软雅黑" w:hAnsi="微软雅黑" w:cs="宋体"/>
          <w:kern w:val="0"/>
          <w:sz w:val="24"/>
          <w:szCs w:val="24"/>
        </w:rPr>
        <w:t>neoMONARCH</w:t>
      </w:r>
      <w:proofErr w:type="spellEnd"/>
      <w:r w:rsidRPr="006760C4">
        <w:rPr>
          <w:rFonts w:ascii="微软雅黑" w:eastAsia="微软雅黑" w:hAnsi="微软雅黑" w:cs="宋体"/>
          <w:kern w:val="0"/>
          <w:sz w:val="24"/>
          <w:szCs w:val="24"/>
        </w:rPr>
        <w:t>试验的基因表达数据显示，在接受帕博西尼和阿贝西利治疗后，乳腺癌组织中与“同种异体移植排斥”、“炎症反应”和“干扰素-γ反应”相关的基因特征上调[ </w:t>
      </w:r>
      <w:hyperlink r:id="rId57" w:anchor="B21-ijms-23-14534" w:history="1">
        <w:r w:rsidRPr="006760C4">
          <w:rPr>
            <w:rFonts w:ascii="微软雅黑" w:eastAsia="微软雅黑" w:hAnsi="微软雅黑" w:cs="宋体"/>
            <w:kern w:val="0"/>
            <w:sz w:val="24"/>
            <w:szCs w:val="24"/>
            <w:u w:val="single"/>
          </w:rPr>
          <w:t>21</w:t>
        </w:r>
      </w:hyperlink>
      <w:r w:rsidRPr="006760C4">
        <w:rPr>
          <w:rFonts w:ascii="微软雅黑" w:eastAsia="微软雅黑" w:hAnsi="微软雅黑" w:cs="宋体"/>
          <w:kern w:val="0"/>
          <w:sz w:val="24"/>
          <w:szCs w:val="24"/>
        </w:rPr>
        <w:t> , </w:t>
      </w:r>
      <w:hyperlink r:id="rId58" w:anchor="B30-ijms-23-14534" w:history="1">
        <w:r w:rsidRPr="006760C4">
          <w:rPr>
            <w:rFonts w:ascii="微软雅黑" w:eastAsia="微软雅黑" w:hAnsi="微软雅黑" w:cs="宋体"/>
            <w:kern w:val="0"/>
            <w:sz w:val="24"/>
            <w:szCs w:val="24"/>
            <w:u w:val="single"/>
          </w:rPr>
          <w:t>30</w:t>
        </w:r>
      </w:hyperlink>
      <w:r w:rsidRPr="006760C4">
        <w:rPr>
          <w:rFonts w:ascii="微软雅黑" w:eastAsia="微软雅黑" w:hAnsi="微软雅黑" w:cs="宋体"/>
          <w:kern w:val="0"/>
          <w:sz w:val="24"/>
          <w:szCs w:val="24"/>
        </w:rPr>
        <w:t> ]。另一方面，在PALOMA-2研究中，免疫抑制因子PD-1的</w:t>
      </w:r>
      <w:proofErr w:type="gramStart"/>
      <w:r w:rsidRPr="006760C4">
        <w:rPr>
          <w:rFonts w:ascii="微软雅黑" w:eastAsia="微软雅黑" w:hAnsi="微软雅黑" w:cs="宋体"/>
          <w:kern w:val="0"/>
          <w:sz w:val="24"/>
          <w:szCs w:val="24"/>
        </w:rPr>
        <w:t>高表达</w:t>
      </w:r>
      <w:proofErr w:type="gramEnd"/>
      <w:r w:rsidRPr="006760C4">
        <w:rPr>
          <w:rFonts w:ascii="微软雅黑" w:eastAsia="微软雅黑" w:hAnsi="微软雅黑" w:cs="宋体"/>
          <w:kern w:val="0"/>
          <w:sz w:val="24"/>
          <w:szCs w:val="24"/>
        </w:rPr>
        <w:t>与较短的无进展生存期(PFS)相关[ </w:t>
      </w:r>
      <w:hyperlink r:id="rId59" w:anchor="B7-ijms-23-14534" w:history="1">
        <w:r w:rsidRPr="006760C4">
          <w:rPr>
            <w:rFonts w:ascii="微软雅黑" w:eastAsia="微软雅黑" w:hAnsi="微软雅黑" w:cs="宋体"/>
            <w:kern w:val="0"/>
            <w:sz w:val="24"/>
            <w:szCs w:val="24"/>
            <w:u w:val="single"/>
          </w:rPr>
          <w:t>7</w:t>
        </w:r>
      </w:hyperlink>
      <w:r w:rsidRPr="006760C4">
        <w:rPr>
          <w:rFonts w:ascii="微软雅黑" w:eastAsia="微软雅黑" w:hAnsi="微软雅黑" w:cs="宋体"/>
          <w:kern w:val="0"/>
          <w:sz w:val="24"/>
          <w:szCs w:val="24"/>
        </w:rPr>
        <w:t> ]。在Young Pearl研究中，帕博西尼联合内分泌治疗(ET)后，低干扰素表达和高Treg表达也显示出预后不良的趋势。然而，该研究的患者数量过少，不足以得出统计学意义[ </w:t>
      </w:r>
      <w:hyperlink r:id="rId60" w:anchor="B18-ijms-23-14534" w:history="1">
        <w:r w:rsidRPr="006760C4">
          <w:rPr>
            <w:rFonts w:ascii="微软雅黑" w:eastAsia="微软雅黑" w:hAnsi="微软雅黑" w:cs="宋体"/>
            <w:kern w:val="0"/>
            <w:sz w:val="24"/>
            <w:szCs w:val="24"/>
            <w:u w:val="single"/>
          </w:rPr>
          <w:t>18</w:t>
        </w:r>
      </w:hyperlink>
      <w:r w:rsidRPr="006760C4">
        <w:rPr>
          <w:rFonts w:ascii="微软雅黑" w:eastAsia="微软雅黑" w:hAnsi="微软雅黑" w:cs="宋体"/>
          <w:kern w:val="0"/>
          <w:sz w:val="24"/>
          <w:szCs w:val="24"/>
        </w:rPr>
        <w:t xml:space="preserve"> ]。 </w:t>
      </w:r>
      <w:proofErr w:type="spellStart"/>
      <w:r w:rsidRPr="006760C4">
        <w:rPr>
          <w:rFonts w:ascii="微软雅黑" w:eastAsia="微软雅黑" w:hAnsi="微软雅黑" w:cs="宋体"/>
          <w:kern w:val="0"/>
          <w:sz w:val="24"/>
          <w:szCs w:val="24"/>
        </w:rPr>
        <w:t>Schaer</w:t>
      </w:r>
      <w:proofErr w:type="spellEnd"/>
      <w:r w:rsidRPr="006760C4">
        <w:rPr>
          <w:rFonts w:ascii="微软雅黑" w:eastAsia="微软雅黑" w:hAnsi="微软雅黑" w:cs="宋体"/>
          <w:kern w:val="0"/>
          <w:sz w:val="24"/>
          <w:szCs w:val="24"/>
        </w:rPr>
        <w:t xml:space="preserve"> 等人进行了一项临床前体内研究，采用分阶段治疗方案的阿贝西利和抗 PDL-1 疗法，通过增强指示 T 细</w:t>
      </w:r>
      <w:r w:rsidRPr="006760C4">
        <w:rPr>
          <w:rFonts w:ascii="微软雅黑" w:eastAsia="微软雅黑" w:hAnsi="微软雅黑" w:cs="宋体"/>
          <w:kern w:val="0"/>
          <w:sz w:val="24"/>
          <w:szCs w:val="24"/>
        </w:rPr>
        <w:lastRenderedPageBreak/>
        <w:t>胞</w:t>
      </w:r>
      <w:proofErr w:type="gramStart"/>
      <w:r w:rsidRPr="006760C4">
        <w:rPr>
          <w:rFonts w:ascii="微软雅黑" w:eastAsia="微软雅黑" w:hAnsi="微软雅黑" w:cs="宋体"/>
          <w:kern w:val="0"/>
          <w:sz w:val="24"/>
          <w:szCs w:val="24"/>
        </w:rPr>
        <w:t>介</w:t>
      </w:r>
      <w:proofErr w:type="gramEnd"/>
      <w:r w:rsidRPr="006760C4">
        <w:rPr>
          <w:rFonts w:ascii="微软雅黑" w:eastAsia="微软雅黑" w:hAnsi="微软雅黑" w:cs="宋体"/>
          <w:kern w:val="0"/>
          <w:sz w:val="24"/>
          <w:szCs w:val="24"/>
        </w:rPr>
        <w:t>导的免疫激活和炎症的基因表达、增加细胞周期基因的下调以及促进针对肿瘤细胞的免疫记忆的发展，发挥了协同抗肿瘤作用[ </w:t>
      </w:r>
      <w:hyperlink r:id="rId61" w:anchor="B35-ijms-23-14534" w:history="1">
        <w:r w:rsidRPr="006760C4">
          <w:rPr>
            <w:rFonts w:ascii="微软雅黑" w:eastAsia="微软雅黑" w:hAnsi="微软雅黑" w:cs="宋体"/>
            <w:kern w:val="0"/>
            <w:sz w:val="24"/>
            <w:szCs w:val="24"/>
            <w:u w:val="single"/>
          </w:rPr>
          <w:t>35</w:t>
        </w:r>
      </w:hyperlink>
      <w:r w:rsidRPr="006760C4">
        <w:rPr>
          <w:rFonts w:ascii="微软雅黑" w:eastAsia="微软雅黑" w:hAnsi="微软雅黑" w:cs="宋体"/>
          <w:kern w:val="0"/>
          <w:sz w:val="24"/>
          <w:szCs w:val="24"/>
        </w:rPr>
        <w:t> ]。</w:t>
      </w:r>
    </w:p>
    <w:p w14:paraId="227A218D"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基于这些发现，目前的临床试验正在研究 CDK4/6 抑制剂和免疫检查点抑制剂的联合应用[ </w:t>
      </w:r>
      <w:hyperlink r:id="rId62" w:anchor="B16-ijms-23-14534" w:history="1">
        <w:r w:rsidRPr="006760C4">
          <w:rPr>
            <w:rFonts w:ascii="微软雅黑" w:eastAsia="微软雅黑" w:hAnsi="微软雅黑" w:cs="宋体"/>
            <w:kern w:val="0"/>
            <w:sz w:val="24"/>
            <w:szCs w:val="24"/>
            <w:u w:val="single"/>
          </w:rPr>
          <w:t>16</w:t>
        </w:r>
      </w:hyperlink>
      <w:r w:rsidRPr="006760C4">
        <w:rPr>
          <w:rFonts w:ascii="微软雅黑" w:eastAsia="微软雅黑" w:hAnsi="微软雅黑" w:cs="宋体"/>
          <w:kern w:val="0"/>
          <w:sz w:val="24"/>
          <w:szCs w:val="24"/>
        </w:rPr>
        <w:t> ]；这种策略可能会提高雌激素受体阳性 (ER+) 乳腺癌对免疫疗法的反应，而这种乳腺癌对单独使用检查点抑制剂的反应却很小[ </w:t>
      </w:r>
      <w:hyperlink r:id="rId63" w:anchor="B36-ijms-23-14534" w:history="1">
        <w:r w:rsidRPr="006760C4">
          <w:rPr>
            <w:rFonts w:ascii="微软雅黑" w:eastAsia="微软雅黑" w:hAnsi="微软雅黑" w:cs="宋体"/>
            <w:kern w:val="0"/>
            <w:sz w:val="24"/>
            <w:szCs w:val="24"/>
            <w:u w:val="single"/>
          </w:rPr>
          <w:t>36</w:t>
        </w:r>
      </w:hyperlink>
      <w:r w:rsidRPr="006760C4">
        <w:rPr>
          <w:rFonts w:ascii="微软雅黑" w:eastAsia="微软雅黑" w:hAnsi="微软雅黑" w:cs="宋体"/>
          <w:kern w:val="0"/>
          <w:sz w:val="24"/>
          <w:szCs w:val="24"/>
        </w:rPr>
        <w:t> ]。</w:t>
      </w:r>
    </w:p>
    <w:p w14:paraId="4265E721" w14:textId="77777777" w:rsidR="006760C4" w:rsidRPr="006760C4" w:rsidRDefault="006760C4" w:rsidP="006760C4">
      <w:pPr>
        <w:widowControl/>
        <w:pBdr>
          <w:bottom w:val="single" w:sz="6" w:space="0" w:color="97B1C8"/>
        </w:pBdr>
        <w:spacing w:line="450" w:lineRule="atLeast"/>
        <w:outlineLvl w:val="1"/>
        <w:rPr>
          <w:rFonts w:ascii="微软雅黑" w:eastAsia="微软雅黑" w:hAnsi="微软雅黑" w:cs="宋体"/>
          <w:kern w:val="0"/>
          <w:sz w:val="34"/>
          <w:szCs w:val="34"/>
        </w:rPr>
      </w:pPr>
      <w:r w:rsidRPr="006760C4">
        <w:rPr>
          <w:rFonts w:ascii="微软雅黑" w:eastAsia="微软雅黑" w:hAnsi="微软雅黑" w:cs="宋体"/>
          <w:kern w:val="0"/>
          <w:sz w:val="34"/>
          <w:szCs w:val="34"/>
        </w:rPr>
        <w:t>3. 液体活检在生物标志物鉴定中的应用</w:t>
      </w:r>
    </w:p>
    <w:p w14:paraId="5A60ACB6"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生物标志物的鉴定和肿瘤的分子特征分析在浸润性乳腺癌的治疗中起着至关重要的作用。既往研究表明，为了优化分子谱分析的预测价值，理想情况下，应在可进行活检的转移灶癌组织上进行分析，而非原发癌组织，这是因为在癌症进展和转移过程中，基因组会发生演变并积累驱动突变[ </w:t>
      </w:r>
      <w:hyperlink r:id="rId64" w:anchor="B19-ijms-23-14534" w:history="1">
        <w:r w:rsidRPr="006760C4">
          <w:rPr>
            <w:rFonts w:ascii="微软雅黑" w:eastAsia="微软雅黑" w:hAnsi="微软雅黑" w:cs="宋体"/>
            <w:kern w:val="0"/>
            <w:sz w:val="24"/>
            <w:szCs w:val="24"/>
            <w:u w:val="single"/>
          </w:rPr>
          <w:t>19</w:t>
        </w:r>
      </w:hyperlink>
      <w:r w:rsidRPr="006760C4">
        <w:rPr>
          <w:rFonts w:ascii="微软雅黑" w:eastAsia="微软雅黑" w:hAnsi="微软雅黑" w:cs="宋体"/>
          <w:kern w:val="0"/>
          <w:sz w:val="24"/>
          <w:szCs w:val="24"/>
        </w:rPr>
        <w:t> ]。然而，对于相当一部分晚期乳腺癌患者，仅能获得少量转移灶标本。这给生物标志物检测带来了显著障碍，并且由于样本组织量有限，其对肿瘤内异质性的推断能力也受到限制[ </w:t>
      </w:r>
      <w:hyperlink r:id="rId65" w:anchor="B37-ijms-23-14534" w:history="1">
        <w:r w:rsidRPr="006760C4">
          <w:rPr>
            <w:rFonts w:ascii="微软雅黑" w:eastAsia="微软雅黑" w:hAnsi="微软雅黑" w:cs="宋体"/>
            <w:kern w:val="0"/>
            <w:sz w:val="24"/>
            <w:szCs w:val="24"/>
            <w:u w:val="single"/>
          </w:rPr>
          <w:t>37</w:t>
        </w:r>
      </w:hyperlink>
      <w:r w:rsidRPr="006760C4">
        <w:rPr>
          <w:rFonts w:ascii="微软雅黑" w:eastAsia="微软雅黑" w:hAnsi="微软雅黑" w:cs="宋体"/>
          <w:kern w:val="0"/>
          <w:sz w:val="24"/>
          <w:szCs w:val="24"/>
        </w:rPr>
        <w:t> ]。近年来，液体活检在乳腺癌治疗中的应用日益受到重视，被认为是组织分析这一金标准的有效替代方案。此外，液体活检在早期诊断和筛查、预后预测、疾病进展监测以及治疗反应评估等方面具有显著的改进潜力[ </w:t>
      </w:r>
      <w:hyperlink r:id="rId66" w:anchor="B38-ijms-23-14534" w:history="1">
        <w:r w:rsidRPr="006760C4">
          <w:rPr>
            <w:rFonts w:ascii="微软雅黑" w:eastAsia="微软雅黑" w:hAnsi="微软雅黑" w:cs="宋体"/>
            <w:kern w:val="0"/>
            <w:sz w:val="24"/>
            <w:szCs w:val="24"/>
            <w:u w:val="single"/>
          </w:rPr>
          <w:t>38</w:t>
        </w:r>
      </w:hyperlink>
      <w:r w:rsidRPr="006760C4">
        <w:rPr>
          <w:rFonts w:ascii="微软雅黑" w:eastAsia="微软雅黑" w:hAnsi="微软雅黑" w:cs="宋体"/>
          <w:kern w:val="0"/>
          <w:sz w:val="24"/>
          <w:szCs w:val="24"/>
        </w:rPr>
        <w:t> ]。</w:t>
      </w:r>
    </w:p>
    <w:p w14:paraId="49CEA625"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液体活检可以分离释放到血浆或脑脊液中的肿瘤细胞成分，其中一些包括循环肿瘤细胞（CTC）；循环肿瘤DNA（</w:t>
      </w:r>
      <w:proofErr w:type="spellStart"/>
      <w:r w:rsidRPr="006760C4">
        <w:rPr>
          <w:rFonts w:ascii="微软雅黑" w:eastAsia="微软雅黑" w:hAnsi="微软雅黑" w:cs="宋体"/>
          <w:kern w:val="0"/>
          <w:sz w:val="24"/>
          <w:szCs w:val="24"/>
        </w:rPr>
        <w:t>ctDNA</w:t>
      </w:r>
      <w:proofErr w:type="spellEnd"/>
      <w:r w:rsidRPr="006760C4">
        <w:rPr>
          <w:rFonts w:ascii="微软雅黑" w:eastAsia="微软雅黑" w:hAnsi="微软雅黑" w:cs="宋体"/>
          <w:kern w:val="0"/>
          <w:sz w:val="24"/>
          <w:szCs w:val="24"/>
        </w:rPr>
        <w:t>）；游离RNA（mRNA和miRNA）；以及微囊泡，包括外</w:t>
      </w:r>
      <w:proofErr w:type="gramStart"/>
      <w:r w:rsidRPr="006760C4">
        <w:rPr>
          <w:rFonts w:ascii="微软雅黑" w:eastAsia="微软雅黑" w:hAnsi="微软雅黑" w:cs="宋体"/>
          <w:kern w:val="0"/>
          <w:sz w:val="24"/>
          <w:szCs w:val="24"/>
        </w:rPr>
        <w:t>泌</w:t>
      </w:r>
      <w:proofErr w:type="gramEnd"/>
      <w:r w:rsidRPr="006760C4">
        <w:rPr>
          <w:rFonts w:ascii="微软雅黑" w:eastAsia="微软雅黑" w:hAnsi="微软雅黑" w:cs="宋体"/>
          <w:kern w:val="0"/>
          <w:sz w:val="24"/>
          <w:szCs w:val="24"/>
        </w:rPr>
        <w:t>体和肿瘤“受过教育的血小板”[ </w:t>
      </w:r>
      <w:hyperlink r:id="rId67" w:anchor="B39-ijms-23-14534" w:history="1">
        <w:r w:rsidRPr="006760C4">
          <w:rPr>
            <w:rFonts w:ascii="微软雅黑" w:eastAsia="微软雅黑" w:hAnsi="微软雅黑" w:cs="宋体"/>
            <w:kern w:val="0"/>
            <w:sz w:val="24"/>
            <w:szCs w:val="24"/>
            <w:u w:val="single"/>
          </w:rPr>
          <w:t>39</w:t>
        </w:r>
      </w:hyperlink>
      <w:r w:rsidRPr="006760C4">
        <w:rPr>
          <w:rFonts w:ascii="微软雅黑" w:eastAsia="微软雅黑" w:hAnsi="微软雅黑" w:cs="宋体"/>
          <w:kern w:val="0"/>
          <w:sz w:val="24"/>
          <w:szCs w:val="24"/>
        </w:rPr>
        <w:t> , </w:t>
      </w:r>
      <w:hyperlink r:id="rId68" w:anchor="B40-ijms-23-14534" w:history="1">
        <w:r w:rsidRPr="006760C4">
          <w:rPr>
            <w:rFonts w:ascii="微软雅黑" w:eastAsia="微软雅黑" w:hAnsi="微软雅黑" w:cs="宋体"/>
            <w:kern w:val="0"/>
            <w:sz w:val="24"/>
            <w:szCs w:val="24"/>
            <w:u w:val="single"/>
          </w:rPr>
          <w:t>40</w:t>
        </w:r>
      </w:hyperlink>
      <w:r w:rsidRPr="006760C4">
        <w:rPr>
          <w:rFonts w:ascii="微软雅黑" w:eastAsia="微软雅黑" w:hAnsi="微软雅黑" w:cs="宋体"/>
          <w:kern w:val="0"/>
          <w:sz w:val="24"/>
          <w:szCs w:val="24"/>
        </w:rPr>
        <w:t> , </w:t>
      </w:r>
      <w:hyperlink r:id="rId69" w:anchor="B41-ijms-23-14534" w:history="1">
        <w:r w:rsidRPr="006760C4">
          <w:rPr>
            <w:rFonts w:ascii="微软雅黑" w:eastAsia="微软雅黑" w:hAnsi="微软雅黑" w:cs="宋体"/>
            <w:kern w:val="0"/>
            <w:sz w:val="24"/>
            <w:szCs w:val="24"/>
            <w:u w:val="single"/>
          </w:rPr>
          <w:t>41</w:t>
        </w:r>
      </w:hyperlink>
      <w:r w:rsidRPr="006760C4">
        <w:rPr>
          <w:rFonts w:ascii="微软雅黑" w:eastAsia="微软雅黑" w:hAnsi="微软雅黑" w:cs="宋体"/>
          <w:kern w:val="0"/>
          <w:sz w:val="24"/>
          <w:szCs w:val="24"/>
        </w:rPr>
        <w:t> ]。</w:t>
      </w:r>
    </w:p>
    <w:p w14:paraId="17C8C617" w14:textId="77777777" w:rsidR="006760C4" w:rsidRPr="006760C4" w:rsidRDefault="006760C4" w:rsidP="006760C4">
      <w:pPr>
        <w:widowControl/>
        <w:spacing w:line="450" w:lineRule="atLeast"/>
        <w:outlineLvl w:val="2"/>
        <w:rPr>
          <w:rFonts w:ascii="微软雅黑" w:eastAsia="微软雅黑" w:hAnsi="微软雅黑" w:cs="宋体"/>
          <w:kern w:val="0"/>
          <w:sz w:val="32"/>
          <w:szCs w:val="32"/>
        </w:rPr>
      </w:pPr>
      <w:r w:rsidRPr="006760C4">
        <w:rPr>
          <w:rFonts w:ascii="微软雅黑" w:eastAsia="微软雅黑" w:hAnsi="微软雅黑" w:cs="宋体"/>
          <w:kern w:val="0"/>
          <w:sz w:val="32"/>
          <w:szCs w:val="32"/>
        </w:rPr>
        <w:t>3.1. 循环肿瘤DNA</w:t>
      </w:r>
    </w:p>
    <w:p w14:paraId="0C64225F"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lastRenderedPageBreak/>
        <w:t>循环肿瘤DNA（</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-DNA）是肿瘤细胞释放到血液中的单链或双链DNA，因此携带肿瘤来源的遗传和表观遗传特征[ </w:t>
      </w:r>
      <w:hyperlink r:id="rId70" w:anchor="B42-ijms-23-14534" w:history="1">
        <w:r w:rsidRPr="006760C4">
          <w:rPr>
            <w:rFonts w:ascii="微软雅黑" w:eastAsia="微软雅黑" w:hAnsi="微软雅黑" w:cs="宋体"/>
            <w:kern w:val="0"/>
            <w:sz w:val="24"/>
            <w:szCs w:val="24"/>
            <w:u w:val="single"/>
          </w:rPr>
          <w:t>42</w:t>
        </w:r>
      </w:hyperlink>
      <w:r w:rsidRPr="006760C4">
        <w:rPr>
          <w:rFonts w:ascii="微软雅黑" w:eastAsia="微软雅黑" w:hAnsi="微软雅黑" w:cs="宋体"/>
          <w:kern w:val="0"/>
          <w:sz w:val="24"/>
          <w:szCs w:val="24"/>
        </w:rPr>
        <w:t> ]。</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-DNA已被评估为一种新型的液体活检生物标志物，用于癌症的诊断和预后，为侵入性组织活检提供了一种替代方案[ </w:t>
      </w:r>
      <w:hyperlink r:id="rId71" w:anchor="B43-ijms-23-14534" w:history="1">
        <w:r w:rsidRPr="006760C4">
          <w:rPr>
            <w:rFonts w:ascii="微软雅黑" w:eastAsia="微软雅黑" w:hAnsi="微软雅黑" w:cs="宋体"/>
            <w:kern w:val="0"/>
            <w:sz w:val="24"/>
            <w:szCs w:val="24"/>
            <w:u w:val="single"/>
          </w:rPr>
          <w:t>43</w:t>
        </w:r>
      </w:hyperlink>
      <w:r w:rsidRPr="006760C4">
        <w:rPr>
          <w:rFonts w:ascii="微软雅黑" w:eastAsia="微软雅黑" w:hAnsi="微软雅黑" w:cs="宋体"/>
          <w:kern w:val="0"/>
          <w:sz w:val="24"/>
          <w:szCs w:val="24"/>
        </w:rPr>
        <w:t> ]。新一代测序（NGS）可以检测血浆中低水平的</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w:t>
      </w:r>
      <w:proofErr w:type="gramStart"/>
      <w:r w:rsidRPr="006760C4">
        <w:rPr>
          <w:rFonts w:ascii="微软雅黑" w:eastAsia="微软雅黑" w:hAnsi="微软雅黑" w:cs="宋体"/>
          <w:kern w:val="0"/>
          <w:sz w:val="24"/>
          <w:szCs w:val="24"/>
        </w:rPr>
        <w:t>并靶向</w:t>
      </w:r>
      <w:proofErr w:type="gramEnd"/>
      <w:r w:rsidRPr="006760C4">
        <w:rPr>
          <w:rFonts w:ascii="微软雅黑" w:eastAsia="微软雅黑" w:hAnsi="微软雅黑" w:cs="宋体"/>
          <w:kern w:val="0"/>
          <w:sz w:val="24"/>
          <w:szCs w:val="24"/>
        </w:rPr>
        <w:t>单个基因或基因子集，或识别</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-DNA中全基因组的肿瘤来源改变。最近，通过分析ER+HER2-晚期乳腺癌患者血浆中释放的</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-DNA，研究人员在</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-DNA中发现了CDK4/6抑制剂耐药的潜在预测性生物标志物，表明</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-DNA分析可用于生物标志物检测，从而指导基因分型指导的精准医疗[ </w:t>
      </w:r>
      <w:hyperlink r:id="rId72" w:anchor="B44-ijms-23-14534" w:history="1">
        <w:r w:rsidRPr="006760C4">
          <w:rPr>
            <w:rFonts w:ascii="微软雅黑" w:eastAsia="微软雅黑" w:hAnsi="微软雅黑" w:cs="宋体"/>
            <w:kern w:val="0"/>
            <w:sz w:val="24"/>
            <w:szCs w:val="24"/>
            <w:u w:val="single"/>
          </w:rPr>
          <w:t>44</w:t>
        </w:r>
      </w:hyperlink>
      <w:r w:rsidRPr="006760C4">
        <w:rPr>
          <w:rFonts w:ascii="微软雅黑" w:eastAsia="微软雅黑" w:hAnsi="微软雅黑" w:cs="宋体"/>
          <w:kern w:val="0"/>
          <w:sz w:val="24"/>
          <w:szCs w:val="24"/>
        </w:rPr>
        <w:t> ]。视网膜母细胞瘤基因1 ( </w:t>
      </w:r>
      <w:r w:rsidRPr="006760C4">
        <w:rPr>
          <w:rFonts w:ascii="微软雅黑" w:eastAsia="微软雅黑" w:hAnsi="微软雅黑" w:cs="宋体"/>
          <w:i/>
          <w:iCs/>
          <w:kern w:val="0"/>
          <w:sz w:val="24"/>
          <w:szCs w:val="24"/>
        </w:rPr>
        <w:t>RB1</w:t>
      </w:r>
      <w:r w:rsidRPr="006760C4">
        <w:rPr>
          <w:rFonts w:ascii="微软雅黑" w:eastAsia="微软雅黑" w:hAnsi="微软雅黑" w:cs="宋体"/>
          <w:kern w:val="0"/>
          <w:sz w:val="24"/>
          <w:szCs w:val="24"/>
        </w:rPr>
        <w:t> ) 是一种潜在的乳腺癌治疗生物标志物，因为其基因组改变似乎与 CDK4/6 抑制剂耐药性相关 [ </w:t>
      </w:r>
      <w:hyperlink r:id="rId73" w:anchor="B45-ijms-23-14534" w:history="1">
        <w:r w:rsidRPr="006760C4">
          <w:rPr>
            <w:rFonts w:ascii="微软雅黑" w:eastAsia="微软雅黑" w:hAnsi="微软雅黑" w:cs="宋体"/>
            <w:kern w:val="0"/>
            <w:sz w:val="24"/>
            <w:szCs w:val="24"/>
            <w:u w:val="single"/>
          </w:rPr>
          <w:t>45</w:t>
        </w:r>
      </w:hyperlink>
      <w:r w:rsidRPr="006760C4">
        <w:rPr>
          <w:rFonts w:ascii="微软雅黑" w:eastAsia="微软雅黑" w:hAnsi="微软雅黑" w:cs="宋体"/>
          <w:kern w:val="0"/>
          <w:sz w:val="24"/>
          <w:szCs w:val="24"/>
        </w:rPr>
        <w:t> , </w:t>
      </w:r>
      <w:hyperlink r:id="rId74" w:anchor="B46-ijms-23-14534" w:history="1">
        <w:r w:rsidRPr="006760C4">
          <w:rPr>
            <w:rFonts w:ascii="微软雅黑" w:eastAsia="微软雅黑" w:hAnsi="微软雅黑" w:cs="宋体"/>
            <w:kern w:val="0"/>
            <w:sz w:val="24"/>
            <w:szCs w:val="24"/>
            <w:u w:val="single"/>
          </w:rPr>
          <w:t>46</w:t>
        </w:r>
      </w:hyperlink>
      <w:r w:rsidRPr="006760C4">
        <w:rPr>
          <w:rFonts w:ascii="微软雅黑" w:eastAsia="微软雅黑" w:hAnsi="微软雅黑" w:cs="宋体"/>
          <w:kern w:val="0"/>
          <w:sz w:val="24"/>
          <w:szCs w:val="24"/>
        </w:rPr>
        <w:t> ]；在 PALOMA-3 试验中，从 195 例患者中检测到的基底循环肿瘤 DNA (</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 的 RB1 缺失与接受帕博西尼和</w:t>
      </w:r>
      <w:proofErr w:type="gramStart"/>
      <w:r w:rsidRPr="006760C4">
        <w:rPr>
          <w:rFonts w:ascii="微软雅黑" w:eastAsia="微软雅黑" w:hAnsi="微软雅黑" w:cs="宋体"/>
          <w:kern w:val="0"/>
          <w:sz w:val="24"/>
          <w:szCs w:val="24"/>
        </w:rPr>
        <w:t>氟维司群治疗</w:t>
      </w:r>
      <w:proofErr w:type="gramEnd"/>
      <w:r w:rsidRPr="006760C4">
        <w:rPr>
          <w:rFonts w:ascii="微软雅黑" w:eastAsia="微软雅黑" w:hAnsi="微软雅黑" w:cs="宋体"/>
          <w:kern w:val="0"/>
          <w:sz w:val="24"/>
          <w:szCs w:val="24"/>
        </w:rPr>
        <w:t>的患者无进展生存期 (PFS) 较差相关 [ </w:t>
      </w:r>
      <w:hyperlink r:id="rId75" w:anchor="B41-ijms-23-14534" w:history="1">
        <w:r w:rsidRPr="006760C4">
          <w:rPr>
            <w:rFonts w:ascii="微软雅黑" w:eastAsia="微软雅黑" w:hAnsi="微软雅黑" w:cs="宋体"/>
            <w:kern w:val="0"/>
            <w:sz w:val="24"/>
            <w:szCs w:val="24"/>
            <w:u w:val="single"/>
          </w:rPr>
          <w:t>41</w:t>
        </w:r>
      </w:hyperlink>
      <w:r w:rsidRPr="006760C4">
        <w:rPr>
          <w:rFonts w:ascii="微软雅黑" w:eastAsia="微软雅黑" w:hAnsi="微软雅黑" w:cs="宋体"/>
          <w:kern w:val="0"/>
          <w:sz w:val="24"/>
          <w:szCs w:val="24"/>
        </w:rPr>
        <w:t> ]。此外，</w:t>
      </w:r>
      <w:proofErr w:type="spellStart"/>
      <w:r w:rsidRPr="006760C4">
        <w:rPr>
          <w:rFonts w:ascii="微软雅黑" w:eastAsia="微软雅黑" w:hAnsi="微软雅黑" w:cs="宋体"/>
          <w:kern w:val="0"/>
          <w:sz w:val="24"/>
          <w:szCs w:val="24"/>
        </w:rPr>
        <w:t>Condorelli</w:t>
      </w:r>
      <w:proofErr w:type="spellEnd"/>
      <w:r w:rsidRPr="006760C4">
        <w:rPr>
          <w:rFonts w:ascii="微软雅黑" w:eastAsia="微软雅黑" w:hAnsi="微软雅黑" w:cs="宋体"/>
          <w:kern w:val="0"/>
          <w:sz w:val="24"/>
          <w:szCs w:val="24"/>
        </w:rPr>
        <w:t xml:space="preserve"> 及其同事通过 </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 分析表明， CDK4/6 抑制剂（帕博西尼/利博西尼）治疗后</w:t>
      </w:r>
      <w:r w:rsidRPr="006760C4">
        <w:rPr>
          <w:rFonts w:ascii="微软雅黑" w:eastAsia="微软雅黑" w:hAnsi="微软雅黑" w:cs="宋体"/>
          <w:i/>
          <w:iCs/>
          <w:kern w:val="0"/>
          <w:sz w:val="24"/>
          <w:szCs w:val="24"/>
        </w:rPr>
        <w:t>RB1</w:t>
      </w:r>
      <w:r w:rsidRPr="006760C4">
        <w:rPr>
          <w:rFonts w:ascii="微软雅黑" w:eastAsia="微软雅黑" w:hAnsi="微软雅黑" w:cs="宋体"/>
          <w:kern w:val="0"/>
          <w:sz w:val="24"/>
          <w:szCs w:val="24"/>
        </w:rPr>
        <w:t>功能的丧失与转移性乳腺癌患者获得性 CDK4/6 抑制剂耐药性相关 [ </w:t>
      </w:r>
      <w:hyperlink r:id="rId76" w:anchor="B46-ijms-23-14534" w:history="1">
        <w:r w:rsidRPr="006760C4">
          <w:rPr>
            <w:rFonts w:ascii="微软雅黑" w:eastAsia="微软雅黑" w:hAnsi="微软雅黑" w:cs="宋体"/>
            <w:kern w:val="0"/>
            <w:sz w:val="24"/>
            <w:szCs w:val="24"/>
            <w:u w:val="single"/>
          </w:rPr>
          <w:t>46</w:t>
        </w:r>
      </w:hyperlink>
      <w:r w:rsidRPr="006760C4">
        <w:rPr>
          <w:rFonts w:ascii="微软雅黑" w:eastAsia="微软雅黑" w:hAnsi="微软雅黑" w:cs="宋体"/>
          <w:kern w:val="0"/>
          <w:sz w:val="24"/>
          <w:szCs w:val="24"/>
        </w:rPr>
        <w:t> ]。</w:t>
      </w:r>
    </w:p>
    <w:p w14:paraId="78874AF5"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雌激素受体α基因（</w:t>
      </w:r>
      <w:r w:rsidRPr="006760C4">
        <w:rPr>
          <w:rFonts w:ascii="微软雅黑" w:eastAsia="微软雅黑" w:hAnsi="微软雅黑" w:cs="宋体"/>
          <w:i/>
          <w:iCs/>
          <w:kern w:val="0"/>
          <w:sz w:val="24"/>
          <w:szCs w:val="24"/>
        </w:rPr>
        <w:t>ESR1</w:t>
      </w:r>
      <w:r w:rsidRPr="006760C4">
        <w:rPr>
          <w:rFonts w:ascii="微软雅黑" w:eastAsia="微软雅黑" w:hAnsi="微软雅黑" w:cs="宋体"/>
          <w:kern w:val="0"/>
          <w:sz w:val="24"/>
          <w:szCs w:val="24"/>
        </w:rPr>
        <w:t>）也可能是CDK4/6治疗耐药的相关生物标志物。然而，其作用机制尚不明确，需要进一步研究以探讨其在乳腺癌治疗中的地位[ </w:t>
      </w:r>
      <w:hyperlink r:id="rId77" w:anchor="B45-ijms-23-14534" w:history="1">
        <w:r w:rsidRPr="006760C4">
          <w:rPr>
            <w:rFonts w:ascii="微软雅黑" w:eastAsia="微软雅黑" w:hAnsi="微软雅黑" w:cs="宋体"/>
            <w:kern w:val="0"/>
            <w:sz w:val="24"/>
            <w:szCs w:val="24"/>
            <w:u w:val="single"/>
          </w:rPr>
          <w:t>45</w:t>
        </w:r>
      </w:hyperlink>
      <w:r w:rsidRPr="006760C4">
        <w:rPr>
          <w:rFonts w:ascii="微软雅黑" w:eastAsia="微软雅黑" w:hAnsi="微软雅黑" w:cs="宋体"/>
          <w:kern w:val="0"/>
          <w:sz w:val="24"/>
          <w:szCs w:val="24"/>
        </w:rPr>
        <w:t> , </w:t>
      </w:r>
      <w:hyperlink r:id="rId78" w:anchor="B47-ijms-23-14534" w:history="1">
        <w:r w:rsidRPr="006760C4">
          <w:rPr>
            <w:rFonts w:ascii="微软雅黑" w:eastAsia="微软雅黑" w:hAnsi="微软雅黑" w:cs="宋体"/>
            <w:kern w:val="0"/>
            <w:sz w:val="24"/>
            <w:szCs w:val="24"/>
            <w:u w:val="single"/>
          </w:rPr>
          <w:t>47</w:t>
        </w:r>
      </w:hyperlink>
      <w:r w:rsidRPr="006760C4">
        <w:rPr>
          <w:rFonts w:ascii="微软雅黑" w:eastAsia="微软雅黑" w:hAnsi="微软雅黑" w:cs="宋体"/>
          <w:kern w:val="0"/>
          <w:sz w:val="24"/>
          <w:szCs w:val="24"/>
        </w:rPr>
        <w:t> ]。在PALOMA-3试验中，接受</w:t>
      </w:r>
      <w:proofErr w:type="spellStart"/>
      <w:r w:rsidRPr="006760C4">
        <w:rPr>
          <w:rFonts w:ascii="微软雅黑" w:eastAsia="微软雅黑" w:hAnsi="微软雅黑" w:cs="宋体"/>
          <w:kern w:val="0"/>
          <w:sz w:val="24"/>
          <w:szCs w:val="24"/>
        </w:rPr>
        <w:t>ctDNA</w:t>
      </w:r>
      <w:proofErr w:type="spellEnd"/>
      <w:r w:rsidRPr="006760C4">
        <w:rPr>
          <w:rFonts w:ascii="微软雅黑" w:eastAsia="微软雅黑" w:hAnsi="微软雅黑" w:cs="宋体"/>
          <w:kern w:val="0"/>
          <w:sz w:val="24"/>
          <w:szCs w:val="24"/>
        </w:rPr>
        <w:t>分析的患者中有25%（N = 331；63.5%）被报道存在</w:t>
      </w:r>
      <w:r w:rsidRPr="006760C4">
        <w:rPr>
          <w:rFonts w:ascii="微软雅黑" w:eastAsia="微软雅黑" w:hAnsi="微软雅黑" w:cs="宋体"/>
          <w:i/>
          <w:iCs/>
          <w:kern w:val="0"/>
          <w:sz w:val="24"/>
          <w:szCs w:val="24"/>
        </w:rPr>
        <w:t>ESR1驱动基因突变。携带ESR1</w:t>
      </w:r>
      <w:r w:rsidRPr="006760C4">
        <w:rPr>
          <w:rFonts w:ascii="微软雅黑" w:eastAsia="微软雅黑" w:hAnsi="微软雅黑" w:cs="宋体"/>
          <w:kern w:val="0"/>
          <w:sz w:val="24"/>
          <w:szCs w:val="24"/>
        </w:rPr>
        <w:t>突变的肿瘤患者仅在安慰剂组中表现出较差的中位无进展生存期（PFS），而帕博西尼治疗则显示</w:t>
      </w:r>
      <w:r w:rsidRPr="006760C4">
        <w:rPr>
          <w:rFonts w:ascii="微软雅黑" w:eastAsia="微软雅黑" w:hAnsi="微软雅黑" w:cs="宋体"/>
          <w:kern w:val="0"/>
          <w:sz w:val="24"/>
          <w:szCs w:val="24"/>
        </w:rPr>
        <w:lastRenderedPageBreak/>
        <w:t>出相似的疗效，与</w:t>
      </w:r>
      <w:r w:rsidRPr="006760C4">
        <w:rPr>
          <w:rFonts w:ascii="微软雅黑" w:eastAsia="微软雅黑" w:hAnsi="微软雅黑" w:cs="宋体"/>
          <w:i/>
          <w:iCs/>
          <w:kern w:val="0"/>
          <w:sz w:val="24"/>
          <w:szCs w:val="24"/>
        </w:rPr>
        <w:t>ESR1</w:t>
      </w:r>
      <w:r w:rsidRPr="006760C4">
        <w:rPr>
          <w:rFonts w:ascii="微软雅黑" w:eastAsia="微软雅黑" w:hAnsi="微软雅黑" w:cs="宋体"/>
          <w:kern w:val="0"/>
          <w:sz w:val="24"/>
          <w:szCs w:val="24"/>
        </w:rPr>
        <w:t>突变无关[ </w:t>
      </w:r>
      <w:hyperlink r:id="rId79" w:anchor="B45-ijms-23-14534" w:history="1">
        <w:r w:rsidRPr="006760C4">
          <w:rPr>
            <w:rFonts w:ascii="微软雅黑" w:eastAsia="微软雅黑" w:hAnsi="微软雅黑" w:cs="宋体"/>
            <w:kern w:val="0"/>
            <w:sz w:val="24"/>
            <w:szCs w:val="24"/>
            <w:u w:val="single"/>
          </w:rPr>
          <w:t>45</w:t>
        </w:r>
      </w:hyperlink>
      <w:r w:rsidRPr="006760C4">
        <w:rPr>
          <w:rFonts w:ascii="微软雅黑" w:eastAsia="微软雅黑" w:hAnsi="微软雅黑" w:cs="宋体"/>
          <w:kern w:val="0"/>
          <w:sz w:val="24"/>
          <w:szCs w:val="24"/>
        </w:rPr>
        <w:t> ]。MONARCH-2试验观察到了不同的结果，其中携带</w:t>
      </w:r>
      <w:r w:rsidRPr="006760C4">
        <w:rPr>
          <w:rFonts w:ascii="微软雅黑" w:eastAsia="微软雅黑" w:hAnsi="微软雅黑" w:cs="宋体"/>
          <w:i/>
          <w:iCs/>
          <w:kern w:val="0"/>
          <w:sz w:val="24"/>
          <w:szCs w:val="24"/>
        </w:rPr>
        <w:t>ESR1</w:t>
      </w:r>
      <w:r w:rsidRPr="006760C4">
        <w:rPr>
          <w:rFonts w:ascii="微软雅黑" w:eastAsia="微软雅黑" w:hAnsi="微软雅黑" w:cs="宋体"/>
          <w:kern w:val="0"/>
          <w:sz w:val="24"/>
          <w:szCs w:val="24"/>
        </w:rPr>
        <w:t>突变的患者显示出总生存期获益[ </w:t>
      </w:r>
      <w:hyperlink r:id="rId80" w:anchor="B47-ijms-23-14534" w:history="1">
        <w:r w:rsidRPr="006760C4">
          <w:rPr>
            <w:rFonts w:ascii="微软雅黑" w:eastAsia="微软雅黑" w:hAnsi="微软雅黑" w:cs="宋体"/>
            <w:kern w:val="0"/>
            <w:sz w:val="24"/>
            <w:szCs w:val="24"/>
            <w:u w:val="single"/>
          </w:rPr>
          <w:t>47</w:t>
        </w:r>
      </w:hyperlink>
      <w:r w:rsidRPr="006760C4">
        <w:rPr>
          <w:rFonts w:ascii="微软雅黑" w:eastAsia="微软雅黑" w:hAnsi="微软雅黑" w:cs="宋体"/>
          <w:kern w:val="0"/>
          <w:sz w:val="24"/>
          <w:szCs w:val="24"/>
        </w:rPr>
        <w:t> ]。</w:t>
      </w:r>
    </w:p>
    <w:p w14:paraId="79539EE6"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i/>
          <w:iCs/>
          <w:kern w:val="0"/>
          <w:sz w:val="24"/>
          <w:szCs w:val="24"/>
        </w:rPr>
        <w:t>KRAS</w:t>
      </w:r>
      <w:r w:rsidRPr="006760C4">
        <w:rPr>
          <w:rFonts w:ascii="微软雅黑" w:eastAsia="微软雅黑" w:hAnsi="微软雅黑" w:cs="宋体"/>
          <w:kern w:val="0"/>
          <w:sz w:val="24"/>
          <w:szCs w:val="24"/>
        </w:rPr>
        <w:t>基因编码一种癌蛋白，</w:t>
      </w:r>
      <w:proofErr w:type="gramStart"/>
      <w:r w:rsidRPr="006760C4">
        <w:rPr>
          <w:rFonts w:ascii="微软雅黑" w:eastAsia="微软雅黑" w:hAnsi="微软雅黑" w:cs="宋体"/>
          <w:kern w:val="0"/>
          <w:sz w:val="24"/>
          <w:szCs w:val="24"/>
        </w:rPr>
        <w:t>该癌蛋白</w:t>
      </w:r>
      <w:proofErr w:type="gramEnd"/>
      <w:r w:rsidRPr="006760C4">
        <w:rPr>
          <w:rFonts w:ascii="微软雅黑" w:eastAsia="微软雅黑" w:hAnsi="微软雅黑" w:cs="宋体"/>
          <w:kern w:val="0"/>
          <w:sz w:val="24"/>
          <w:szCs w:val="24"/>
        </w:rPr>
        <w:t>通过调节细胞周期蛋白D1的过表达作用于CDK4/6的上游[ </w:t>
      </w:r>
      <w:hyperlink r:id="rId81" w:anchor="B3-ijms-23-14534" w:history="1">
        <w:r w:rsidRPr="006760C4">
          <w:rPr>
            <w:rFonts w:ascii="微软雅黑" w:eastAsia="微软雅黑" w:hAnsi="微软雅黑" w:cs="宋体"/>
            <w:kern w:val="0"/>
            <w:sz w:val="24"/>
            <w:szCs w:val="24"/>
            <w:u w:val="single"/>
          </w:rPr>
          <w:t>3</w:t>
        </w:r>
      </w:hyperlink>
      <w:r w:rsidRPr="006760C4">
        <w:rPr>
          <w:rFonts w:ascii="微软雅黑" w:eastAsia="微软雅黑" w:hAnsi="微软雅黑" w:cs="宋体"/>
          <w:kern w:val="0"/>
          <w:sz w:val="24"/>
          <w:szCs w:val="24"/>
        </w:rPr>
        <w:t> ]，其潜在的预测作用也已在转移性乳腺癌患者CDK4/6抑制剂耐药性中得到分析。研究人员检测了106例接受帕博西尼联合</w:t>
      </w:r>
      <w:proofErr w:type="gramStart"/>
      <w:r w:rsidRPr="006760C4">
        <w:rPr>
          <w:rFonts w:ascii="微软雅黑" w:eastAsia="微软雅黑" w:hAnsi="微软雅黑" w:cs="宋体"/>
          <w:kern w:val="0"/>
          <w:sz w:val="24"/>
          <w:szCs w:val="24"/>
        </w:rPr>
        <w:t>氟维司群治疗</w:t>
      </w:r>
      <w:proofErr w:type="gramEnd"/>
      <w:r w:rsidRPr="006760C4">
        <w:rPr>
          <w:rFonts w:ascii="微软雅黑" w:eastAsia="微软雅黑" w:hAnsi="微软雅黑" w:cs="宋体"/>
          <w:kern w:val="0"/>
          <w:sz w:val="24"/>
          <w:szCs w:val="24"/>
        </w:rPr>
        <w:t>的HR+HER2-晚期乳腺癌患者的循环肿瘤DNA（</w:t>
      </w:r>
      <w:proofErr w:type="spellStart"/>
      <w:r w:rsidRPr="006760C4">
        <w:rPr>
          <w:rFonts w:ascii="微软雅黑" w:eastAsia="微软雅黑" w:hAnsi="微软雅黑" w:cs="宋体"/>
          <w:kern w:val="0"/>
          <w:sz w:val="24"/>
          <w:szCs w:val="24"/>
        </w:rPr>
        <w:t>ctDNA</w:t>
      </w:r>
      <w:proofErr w:type="spellEnd"/>
      <w:r w:rsidRPr="006760C4">
        <w:rPr>
          <w:rFonts w:ascii="微软雅黑" w:eastAsia="微软雅黑" w:hAnsi="微软雅黑" w:cs="宋体"/>
          <w:kern w:val="0"/>
          <w:sz w:val="24"/>
          <w:szCs w:val="24"/>
        </w:rPr>
        <w:t>）中的</w:t>
      </w:r>
      <w:r w:rsidRPr="006760C4">
        <w:rPr>
          <w:rFonts w:ascii="微软雅黑" w:eastAsia="微软雅黑" w:hAnsi="微软雅黑" w:cs="宋体"/>
          <w:i/>
          <w:iCs/>
          <w:kern w:val="0"/>
          <w:sz w:val="24"/>
          <w:szCs w:val="24"/>
        </w:rPr>
        <w:t>KRAS状态。研究表明， KRAS</w:t>
      </w:r>
      <w:r w:rsidRPr="006760C4">
        <w:rPr>
          <w:rFonts w:ascii="微软雅黑" w:eastAsia="微软雅黑" w:hAnsi="微软雅黑" w:cs="宋体"/>
          <w:kern w:val="0"/>
          <w:sz w:val="24"/>
          <w:szCs w:val="24"/>
        </w:rPr>
        <w:t>突变与帕博西尼耐药、更差的无进展生存期（PFS）以及约6个月内的肿瘤复发显著相关[ </w:t>
      </w:r>
      <w:hyperlink r:id="rId82" w:anchor="B48-ijms-23-14534" w:history="1">
        <w:r w:rsidRPr="006760C4">
          <w:rPr>
            <w:rFonts w:ascii="微软雅黑" w:eastAsia="微软雅黑" w:hAnsi="微软雅黑" w:cs="宋体"/>
            <w:kern w:val="0"/>
            <w:sz w:val="24"/>
            <w:szCs w:val="24"/>
            <w:u w:val="single"/>
          </w:rPr>
          <w:t>48</w:t>
        </w:r>
      </w:hyperlink>
      <w:r w:rsidRPr="006760C4">
        <w:rPr>
          <w:rFonts w:ascii="微软雅黑" w:eastAsia="微软雅黑" w:hAnsi="微软雅黑" w:cs="宋体"/>
          <w:kern w:val="0"/>
          <w:sz w:val="24"/>
          <w:szCs w:val="24"/>
        </w:rPr>
        <w:t> ]。</w:t>
      </w:r>
    </w:p>
    <w:p w14:paraId="1803CE2D"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其他基因组突变也已在接受 CDK4/6 抑制剂治疗的乳腺癌患者的血浆循环肿瘤 DNA (</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 中进行过研究，例如</w:t>
      </w:r>
      <w:r w:rsidRPr="006760C4">
        <w:rPr>
          <w:rFonts w:ascii="微软雅黑" w:eastAsia="微软雅黑" w:hAnsi="微软雅黑" w:cs="宋体"/>
          <w:i/>
          <w:iCs/>
          <w:kern w:val="0"/>
          <w:sz w:val="24"/>
          <w:szCs w:val="24"/>
        </w:rPr>
        <w:t>PIK3CA</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TP53</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MYC</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CCND1</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CDK4</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CDKN1</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CDKN2</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NF1</w:t>
      </w:r>
      <w:r w:rsidRPr="006760C4">
        <w:rPr>
          <w:rFonts w:ascii="微软雅黑" w:eastAsia="微软雅黑" w:hAnsi="微软雅黑" w:cs="宋体"/>
          <w:kern w:val="0"/>
          <w:sz w:val="24"/>
          <w:szCs w:val="24"/>
        </w:rPr>
        <w:t>和</w:t>
      </w:r>
      <w:r w:rsidRPr="006760C4">
        <w:rPr>
          <w:rFonts w:ascii="微软雅黑" w:eastAsia="微软雅黑" w:hAnsi="微软雅黑" w:cs="宋体"/>
          <w:i/>
          <w:iCs/>
          <w:kern w:val="0"/>
          <w:sz w:val="24"/>
          <w:szCs w:val="24"/>
        </w:rPr>
        <w:t>ERBB2</w:t>
      </w:r>
      <w:r w:rsidRPr="006760C4">
        <w:rPr>
          <w:rFonts w:ascii="微软雅黑" w:eastAsia="微软雅黑" w:hAnsi="微软雅黑" w:cs="宋体"/>
          <w:kern w:val="0"/>
          <w:sz w:val="24"/>
          <w:szCs w:val="24"/>
        </w:rPr>
        <w:t> [ </w:t>
      </w:r>
      <w:hyperlink r:id="rId83" w:anchor="B45-ijms-23-14534" w:history="1">
        <w:r w:rsidRPr="006760C4">
          <w:rPr>
            <w:rFonts w:ascii="微软雅黑" w:eastAsia="微软雅黑" w:hAnsi="微软雅黑" w:cs="宋体"/>
            <w:kern w:val="0"/>
            <w:sz w:val="24"/>
            <w:szCs w:val="24"/>
            <w:u w:val="single"/>
          </w:rPr>
          <w:t>45</w:t>
        </w:r>
      </w:hyperlink>
      <w:r w:rsidRPr="006760C4">
        <w:rPr>
          <w:rFonts w:ascii="微软雅黑" w:eastAsia="微软雅黑" w:hAnsi="微软雅黑" w:cs="宋体"/>
          <w:kern w:val="0"/>
          <w:sz w:val="24"/>
          <w:szCs w:val="24"/>
        </w:rPr>
        <w:t> , </w:t>
      </w:r>
      <w:hyperlink r:id="rId84" w:anchor="B49-ijms-23-14534" w:history="1">
        <w:r w:rsidRPr="006760C4">
          <w:rPr>
            <w:rFonts w:ascii="微软雅黑" w:eastAsia="微软雅黑" w:hAnsi="微软雅黑" w:cs="宋体"/>
            <w:kern w:val="0"/>
            <w:sz w:val="24"/>
            <w:szCs w:val="24"/>
            <w:u w:val="single"/>
          </w:rPr>
          <w:t>49</w:t>
        </w:r>
      </w:hyperlink>
      <w:r w:rsidRPr="006760C4">
        <w:rPr>
          <w:rFonts w:ascii="微软雅黑" w:eastAsia="微软雅黑" w:hAnsi="微软雅黑" w:cs="宋体"/>
          <w:kern w:val="0"/>
          <w:sz w:val="24"/>
          <w:szCs w:val="24"/>
        </w:rPr>
        <w:t xml:space="preserve"> ]。特别是，一项近期研究表明，基线 </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 中存在</w:t>
      </w:r>
      <w:r w:rsidRPr="006760C4">
        <w:rPr>
          <w:rFonts w:ascii="微软雅黑" w:eastAsia="微软雅黑" w:hAnsi="微软雅黑" w:cs="宋体"/>
          <w:i/>
          <w:iCs/>
          <w:kern w:val="0"/>
          <w:sz w:val="24"/>
          <w:szCs w:val="24"/>
        </w:rPr>
        <w:t xml:space="preserve">CCND1改变的患者在接受 </w:t>
      </w:r>
      <w:proofErr w:type="spellStart"/>
      <w:r w:rsidRPr="006760C4">
        <w:rPr>
          <w:rFonts w:ascii="微软雅黑" w:eastAsia="微软雅黑" w:hAnsi="微软雅黑" w:cs="宋体"/>
          <w:i/>
          <w:iCs/>
          <w:kern w:val="0"/>
          <w:sz w:val="24"/>
          <w:szCs w:val="24"/>
        </w:rPr>
        <w:t>ribociclib</w:t>
      </w:r>
      <w:proofErr w:type="spellEnd"/>
      <w:r w:rsidRPr="006760C4">
        <w:rPr>
          <w:rFonts w:ascii="微软雅黑" w:eastAsia="微软雅黑" w:hAnsi="微软雅黑" w:cs="宋体"/>
          <w:i/>
          <w:iCs/>
          <w:kern w:val="0"/>
          <w:sz w:val="24"/>
          <w:szCs w:val="24"/>
        </w:rPr>
        <w:t xml:space="preserve"> 治疗后中位无进展生存期 (PFS) 更短，提示CCND1</w:t>
      </w:r>
      <w:r w:rsidRPr="006760C4">
        <w:rPr>
          <w:rFonts w:ascii="微软雅黑" w:eastAsia="微软雅黑" w:hAnsi="微软雅黑" w:cs="宋体"/>
          <w:kern w:val="0"/>
          <w:sz w:val="24"/>
          <w:szCs w:val="24"/>
        </w:rPr>
        <w:t>可作为预后生物标志物。作者还报道，</w:t>
      </w:r>
      <w:r w:rsidRPr="006760C4">
        <w:rPr>
          <w:rFonts w:ascii="微软雅黑" w:eastAsia="微软雅黑" w:hAnsi="微软雅黑" w:cs="宋体"/>
          <w:i/>
          <w:iCs/>
          <w:kern w:val="0"/>
          <w:sz w:val="24"/>
          <w:szCs w:val="24"/>
        </w:rPr>
        <w:t>MYC</w:t>
      </w:r>
      <w:r w:rsidRPr="006760C4">
        <w:rPr>
          <w:rFonts w:ascii="微软雅黑" w:eastAsia="微软雅黑" w:hAnsi="微软雅黑" w:cs="宋体"/>
          <w:kern w:val="0"/>
          <w:sz w:val="24"/>
          <w:szCs w:val="24"/>
        </w:rPr>
        <w:t>和</w:t>
      </w:r>
      <w:r w:rsidRPr="006760C4">
        <w:rPr>
          <w:rFonts w:ascii="微软雅黑" w:eastAsia="微软雅黑" w:hAnsi="微软雅黑" w:cs="宋体"/>
          <w:i/>
          <w:iCs/>
          <w:kern w:val="0"/>
          <w:sz w:val="24"/>
          <w:szCs w:val="24"/>
        </w:rPr>
        <w:t>TP53</w:t>
      </w:r>
      <w:r w:rsidRPr="006760C4">
        <w:rPr>
          <w:rFonts w:ascii="微软雅黑" w:eastAsia="微软雅黑" w:hAnsi="微软雅黑" w:cs="宋体"/>
          <w:kern w:val="0"/>
          <w:sz w:val="24"/>
          <w:szCs w:val="24"/>
        </w:rPr>
        <w:t xml:space="preserve">基因的改变与更短的 PFS 相关，但 </w:t>
      </w:r>
      <w:proofErr w:type="spellStart"/>
      <w:r w:rsidRPr="006760C4">
        <w:rPr>
          <w:rFonts w:ascii="微软雅黑" w:eastAsia="微软雅黑" w:hAnsi="微软雅黑" w:cs="宋体"/>
          <w:kern w:val="0"/>
          <w:sz w:val="24"/>
          <w:szCs w:val="24"/>
        </w:rPr>
        <w:t>ribociclib</w:t>
      </w:r>
      <w:proofErr w:type="spellEnd"/>
      <w:r w:rsidRPr="006760C4">
        <w:rPr>
          <w:rFonts w:ascii="微软雅黑" w:eastAsia="微软雅黑" w:hAnsi="微软雅黑" w:cs="宋体"/>
          <w:kern w:val="0"/>
          <w:sz w:val="24"/>
          <w:szCs w:val="24"/>
        </w:rPr>
        <w:t xml:space="preserve"> 的疗效与</w:t>
      </w:r>
      <w:r w:rsidRPr="006760C4">
        <w:rPr>
          <w:rFonts w:ascii="微软雅黑" w:eastAsia="微软雅黑" w:hAnsi="微软雅黑" w:cs="宋体"/>
          <w:i/>
          <w:iCs/>
          <w:kern w:val="0"/>
          <w:sz w:val="24"/>
          <w:szCs w:val="24"/>
        </w:rPr>
        <w:t>MYC</w:t>
      </w:r>
      <w:r w:rsidRPr="006760C4">
        <w:rPr>
          <w:rFonts w:ascii="微软雅黑" w:eastAsia="微软雅黑" w:hAnsi="微软雅黑" w:cs="宋体"/>
          <w:kern w:val="0"/>
          <w:sz w:val="24"/>
          <w:szCs w:val="24"/>
        </w:rPr>
        <w:t>和</w:t>
      </w:r>
      <w:r w:rsidRPr="006760C4">
        <w:rPr>
          <w:rFonts w:ascii="微软雅黑" w:eastAsia="微软雅黑" w:hAnsi="微软雅黑" w:cs="宋体"/>
          <w:i/>
          <w:iCs/>
          <w:kern w:val="0"/>
          <w:sz w:val="24"/>
          <w:szCs w:val="24"/>
        </w:rPr>
        <w:t>TP53</w:t>
      </w:r>
      <w:r w:rsidRPr="006760C4">
        <w:rPr>
          <w:rFonts w:ascii="微软雅黑" w:eastAsia="微软雅黑" w:hAnsi="微软雅黑" w:cs="宋体"/>
          <w:kern w:val="0"/>
          <w:sz w:val="24"/>
          <w:szCs w:val="24"/>
        </w:rPr>
        <w:t>的突变无关[ </w:t>
      </w:r>
      <w:hyperlink r:id="rId85" w:anchor="B49-ijms-23-14534" w:history="1">
        <w:r w:rsidRPr="006760C4">
          <w:rPr>
            <w:rFonts w:ascii="微软雅黑" w:eastAsia="微软雅黑" w:hAnsi="微软雅黑" w:cs="宋体"/>
            <w:kern w:val="0"/>
            <w:sz w:val="24"/>
            <w:szCs w:val="24"/>
            <w:u w:val="single"/>
          </w:rPr>
          <w:t>49</w:t>
        </w:r>
      </w:hyperlink>
      <w:r w:rsidRPr="006760C4">
        <w:rPr>
          <w:rFonts w:ascii="微软雅黑" w:eastAsia="微软雅黑" w:hAnsi="微软雅黑" w:cs="宋体"/>
          <w:kern w:val="0"/>
          <w:sz w:val="24"/>
          <w:szCs w:val="24"/>
        </w:rPr>
        <w:t> ]。</w:t>
      </w:r>
    </w:p>
    <w:p w14:paraId="6509481F" w14:textId="77777777" w:rsidR="006760C4" w:rsidRPr="006760C4" w:rsidRDefault="006760C4" w:rsidP="006760C4">
      <w:pPr>
        <w:widowControl/>
        <w:spacing w:line="450" w:lineRule="atLeast"/>
        <w:outlineLvl w:val="2"/>
        <w:rPr>
          <w:rFonts w:ascii="微软雅黑" w:eastAsia="微软雅黑" w:hAnsi="微软雅黑" w:cs="宋体"/>
          <w:kern w:val="0"/>
          <w:sz w:val="32"/>
          <w:szCs w:val="32"/>
        </w:rPr>
      </w:pPr>
      <w:r w:rsidRPr="006760C4">
        <w:rPr>
          <w:rFonts w:ascii="微软雅黑" w:eastAsia="微软雅黑" w:hAnsi="微软雅黑" w:cs="宋体"/>
          <w:kern w:val="0"/>
          <w:sz w:val="32"/>
          <w:szCs w:val="32"/>
        </w:rPr>
        <w:t>3.2. 循环游离RNA</w:t>
      </w:r>
    </w:p>
    <w:p w14:paraId="3020BACF"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肿瘤细胞中另一个可通过液体活检检测到的重要成分是游离RNA（</w:t>
      </w:r>
      <w:proofErr w:type="spellStart"/>
      <w:r w:rsidRPr="006760C4">
        <w:rPr>
          <w:rFonts w:ascii="微软雅黑" w:eastAsia="微软雅黑" w:hAnsi="微软雅黑" w:cs="宋体"/>
          <w:kern w:val="0"/>
          <w:sz w:val="24"/>
          <w:szCs w:val="24"/>
        </w:rPr>
        <w:t>cf</w:t>
      </w:r>
      <w:proofErr w:type="spellEnd"/>
      <w:r w:rsidRPr="006760C4">
        <w:rPr>
          <w:rFonts w:ascii="微软雅黑" w:eastAsia="微软雅黑" w:hAnsi="微软雅黑" w:cs="宋体"/>
          <w:kern w:val="0"/>
          <w:sz w:val="24"/>
          <w:szCs w:val="24"/>
        </w:rPr>
        <w:t>-RNA）。由于肿瘤细胞的高周转率，</w:t>
      </w:r>
      <w:proofErr w:type="spellStart"/>
      <w:r w:rsidRPr="006760C4">
        <w:rPr>
          <w:rFonts w:ascii="微软雅黑" w:eastAsia="微软雅黑" w:hAnsi="微软雅黑" w:cs="宋体"/>
          <w:kern w:val="0"/>
          <w:sz w:val="24"/>
          <w:szCs w:val="24"/>
        </w:rPr>
        <w:t>cf</w:t>
      </w:r>
      <w:proofErr w:type="spellEnd"/>
      <w:r w:rsidRPr="006760C4">
        <w:rPr>
          <w:rFonts w:ascii="微软雅黑" w:eastAsia="微软雅黑" w:hAnsi="微软雅黑" w:cs="宋体"/>
          <w:kern w:val="0"/>
          <w:sz w:val="24"/>
          <w:szCs w:val="24"/>
        </w:rPr>
        <w:t>-RNA由肿瘤细胞大量产生，并以核糖核蛋白复合物、血小板或循环肿瘤细胞（CTC）以及细胞外囊泡（如外</w:t>
      </w:r>
      <w:proofErr w:type="gramStart"/>
      <w:r w:rsidRPr="006760C4">
        <w:rPr>
          <w:rFonts w:ascii="微软雅黑" w:eastAsia="微软雅黑" w:hAnsi="微软雅黑" w:cs="宋体"/>
          <w:kern w:val="0"/>
          <w:sz w:val="24"/>
          <w:szCs w:val="24"/>
        </w:rPr>
        <w:t>泌</w:t>
      </w:r>
      <w:proofErr w:type="gramEnd"/>
      <w:r w:rsidRPr="006760C4">
        <w:rPr>
          <w:rFonts w:ascii="微软雅黑" w:eastAsia="微软雅黑" w:hAnsi="微软雅黑" w:cs="宋体"/>
          <w:kern w:val="0"/>
          <w:sz w:val="24"/>
          <w:szCs w:val="24"/>
        </w:rPr>
        <w:t>体）的形式释放到血液中[ </w:t>
      </w:r>
      <w:hyperlink r:id="rId86" w:anchor="B40-ijms-23-14534" w:history="1">
        <w:r w:rsidRPr="006760C4">
          <w:rPr>
            <w:rFonts w:ascii="微软雅黑" w:eastAsia="微软雅黑" w:hAnsi="微软雅黑" w:cs="宋体"/>
            <w:kern w:val="0"/>
            <w:sz w:val="24"/>
            <w:szCs w:val="24"/>
            <w:u w:val="single"/>
          </w:rPr>
          <w:t>40</w:t>
        </w:r>
      </w:hyperlink>
      <w:r w:rsidRPr="006760C4">
        <w:rPr>
          <w:rFonts w:ascii="微软雅黑" w:eastAsia="微软雅黑" w:hAnsi="微软雅黑" w:cs="宋体"/>
          <w:kern w:val="0"/>
          <w:sz w:val="24"/>
          <w:szCs w:val="24"/>
        </w:rPr>
        <w:t> ]。Del Re及其同事报道，血浆来源外</w:t>
      </w:r>
      <w:proofErr w:type="gramStart"/>
      <w:r w:rsidRPr="006760C4">
        <w:rPr>
          <w:rFonts w:ascii="微软雅黑" w:eastAsia="微软雅黑" w:hAnsi="微软雅黑" w:cs="宋体"/>
          <w:kern w:val="0"/>
          <w:sz w:val="24"/>
          <w:szCs w:val="24"/>
        </w:rPr>
        <w:t>泌</w:t>
      </w:r>
      <w:proofErr w:type="gramEnd"/>
      <w:r w:rsidRPr="006760C4">
        <w:rPr>
          <w:rFonts w:ascii="微软雅黑" w:eastAsia="微软雅黑" w:hAnsi="微软雅黑" w:cs="宋体"/>
          <w:kern w:val="0"/>
          <w:sz w:val="24"/>
          <w:szCs w:val="24"/>
        </w:rPr>
        <w:t>体中CDK4 mRNA的基线</w:t>
      </w:r>
      <w:r w:rsidRPr="006760C4">
        <w:rPr>
          <w:rFonts w:ascii="微软雅黑" w:eastAsia="微软雅黑" w:hAnsi="微软雅黑" w:cs="宋体"/>
          <w:kern w:val="0"/>
          <w:sz w:val="24"/>
          <w:szCs w:val="24"/>
        </w:rPr>
        <w:lastRenderedPageBreak/>
        <w:t>水平与帕博西尼联合内分泌治疗（ET）的疗效相关。相反，胸</w:t>
      </w:r>
      <w:proofErr w:type="gramStart"/>
      <w:r w:rsidRPr="006760C4">
        <w:rPr>
          <w:rFonts w:ascii="微软雅黑" w:eastAsia="微软雅黑" w:hAnsi="微软雅黑" w:cs="宋体"/>
          <w:kern w:val="0"/>
          <w:sz w:val="24"/>
          <w:szCs w:val="24"/>
        </w:rPr>
        <w:t>苷</w:t>
      </w:r>
      <w:proofErr w:type="gramEnd"/>
      <w:r w:rsidRPr="006760C4">
        <w:rPr>
          <w:rFonts w:ascii="微软雅黑" w:eastAsia="微软雅黑" w:hAnsi="微软雅黑" w:cs="宋体"/>
          <w:kern w:val="0"/>
          <w:sz w:val="24"/>
          <w:szCs w:val="24"/>
        </w:rPr>
        <w:t>激酶1（TK1）和CDK9 mRNA的升高与临床耐药相关[ </w:t>
      </w:r>
      <w:hyperlink r:id="rId87" w:anchor="B50-ijms-23-14534" w:history="1">
        <w:r w:rsidRPr="006760C4">
          <w:rPr>
            <w:rFonts w:ascii="微软雅黑" w:eastAsia="微软雅黑" w:hAnsi="微软雅黑" w:cs="宋体"/>
            <w:kern w:val="0"/>
            <w:sz w:val="24"/>
            <w:szCs w:val="24"/>
            <w:u w:val="single"/>
          </w:rPr>
          <w:t>50</w:t>
        </w:r>
      </w:hyperlink>
      <w:r w:rsidRPr="006760C4">
        <w:rPr>
          <w:rFonts w:ascii="微软雅黑" w:eastAsia="微软雅黑" w:hAnsi="微软雅黑" w:cs="宋体"/>
          <w:kern w:val="0"/>
          <w:sz w:val="24"/>
          <w:szCs w:val="24"/>
        </w:rPr>
        <w:t> ]。</w:t>
      </w:r>
      <w:proofErr w:type="spellStart"/>
      <w:r w:rsidRPr="006760C4">
        <w:rPr>
          <w:rFonts w:ascii="微软雅黑" w:eastAsia="微软雅黑" w:hAnsi="微软雅黑" w:cs="宋体"/>
          <w:kern w:val="0"/>
          <w:sz w:val="24"/>
          <w:szCs w:val="24"/>
        </w:rPr>
        <w:t>Bagegni</w:t>
      </w:r>
      <w:proofErr w:type="spellEnd"/>
      <w:r w:rsidRPr="006760C4">
        <w:rPr>
          <w:rFonts w:ascii="微软雅黑" w:eastAsia="微软雅黑" w:hAnsi="微软雅黑" w:cs="宋体"/>
          <w:kern w:val="0"/>
          <w:sz w:val="24"/>
          <w:szCs w:val="24"/>
        </w:rPr>
        <w:t xml:space="preserve">及其同事报道了类似的结果，他们发现血清TK1活性升高与早期HR+ HER2-乳腺癌患者的肿瘤细胞增殖反应显著相关。在 CDK4/6 治疗开始后两周就观察到了这些结果，表明 TK1 是 </w:t>
      </w:r>
      <w:proofErr w:type="spellStart"/>
      <w:r w:rsidRPr="006760C4">
        <w:rPr>
          <w:rFonts w:ascii="微软雅黑" w:eastAsia="微软雅黑" w:hAnsi="微软雅黑" w:cs="宋体"/>
          <w:kern w:val="0"/>
          <w:sz w:val="24"/>
          <w:szCs w:val="24"/>
        </w:rPr>
        <w:t>palbociclib</w:t>
      </w:r>
      <w:proofErr w:type="spellEnd"/>
      <w:r w:rsidRPr="006760C4">
        <w:rPr>
          <w:rFonts w:ascii="微软雅黑" w:eastAsia="微软雅黑" w:hAnsi="微软雅黑" w:cs="宋体"/>
          <w:kern w:val="0"/>
          <w:sz w:val="24"/>
          <w:szCs w:val="24"/>
        </w:rPr>
        <w:t xml:space="preserve"> 的一个有前途的药效学标志物，液体活检可能是无创早期检测和纵向监测患者反应的最佳工具 [ </w:t>
      </w:r>
      <w:hyperlink r:id="rId88" w:anchor="B40-ijms-23-14534" w:history="1">
        <w:r w:rsidRPr="006760C4">
          <w:rPr>
            <w:rFonts w:ascii="微软雅黑" w:eastAsia="微软雅黑" w:hAnsi="微软雅黑" w:cs="宋体"/>
            <w:kern w:val="0"/>
            <w:sz w:val="24"/>
            <w:szCs w:val="24"/>
            <w:u w:val="single"/>
          </w:rPr>
          <w:t>40</w:t>
        </w:r>
      </w:hyperlink>
      <w:r w:rsidRPr="006760C4">
        <w:rPr>
          <w:rFonts w:ascii="微软雅黑" w:eastAsia="微软雅黑" w:hAnsi="微软雅黑" w:cs="宋体"/>
          <w:kern w:val="0"/>
          <w:sz w:val="24"/>
          <w:szCs w:val="24"/>
        </w:rPr>
        <w:t> , </w:t>
      </w:r>
      <w:hyperlink r:id="rId89" w:anchor="B51-ijms-23-14534" w:history="1">
        <w:r w:rsidRPr="006760C4">
          <w:rPr>
            <w:rFonts w:ascii="微软雅黑" w:eastAsia="微软雅黑" w:hAnsi="微软雅黑" w:cs="宋体"/>
            <w:kern w:val="0"/>
            <w:sz w:val="24"/>
            <w:szCs w:val="24"/>
            <w:u w:val="single"/>
          </w:rPr>
          <w:t>51</w:t>
        </w:r>
      </w:hyperlink>
      <w:r w:rsidRPr="006760C4">
        <w:rPr>
          <w:rFonts w:ascii="微软雅黑" w:eastAsia="微软雅黑" w:hAnsi="微软雅黑" w:cs="宋体"/>
          <w:kern w:val="0"/>
          <w:sz w:val="24"/>
          <w:szCs w:val="24"/>
        </w:rPr>
        <w:t> ]。</w:t>
      </w:r>
    </w:p>
    <w:p w14:paraId="72AB601A" w14:textId="77777777" w:rsidR="006760C4" w:rsidRPr="006760C4" w:rsidRDefault="006760C4" w:rsidP="006760C4">
      <w:pPr>
        <w:widowControl/>
        <w:pBdr>
          <w:bottom w:val="single" w:sz="6" w:space="0" w:color="97B1C8"/>
        </w:pBdr>
        <w:spacing w:line="450" w:lineRule="atLeast"/>
        <w:outlineLvl w:val="1"/>
        <w:rPr>
          <w:rFonts w:ascii="微软雅黑" w:eastAsia="微软雅黑" w:hAnsi="微软雅黑" w:cs="宋体"/>
          <w:kern w:val="0"/>
          <w:sz w:val="34"/>
          <w:szCs w:val="34"/>
        </w:rPr>
      </w:pPr>
      <w:r w:rsidRPr="006760C4">
        <w:rPr>
          <w:rFonts w:ascii="微软雅黑" w:eastAsia="微软雅黑" w:hAnsi="微软雅黑" w:cs="宋体"/>
          <w:kern w:val="0"/>
          <w:sz w:val="34"/>
          <w:szCs w:val="34"/>
        </w:rPr>
        <w:t>4. miRNA作为预测CDK4/6抑制剂疗效的工具</w:t>
      </w:r>
    </w:p>
    <w:p w14:paraId="3392BB89"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miRNA是由20-22个核苷酸组成的小型非编码RNA，在发育和肿瘤发生中发挥着重要作用。这些分子在转录后水平发挥作用，负调控参与增殖、发育、分化、凋亡和癌症等多个过程的基因。值得注意的是，它们通过碱基配对结合靶mRNA的3′非翻译区（3′UTR），从而抑制其翻译或导致其不稳定并降解[ </w:t>
      </w:r>
      <w:hyperlink r:id="rId90" w:anchor="B52-ijms-23-14534" w:history="1">
        <w:r w:rsidRPr="006760C4">
          <w:rPr>
            <w:rFonts w:ascii="微软雅黑" w:eastAsia="微软雅黑" w:hAnsi="微软雅黑" w:cs="宋体"/>
            <w:kern w:val="0"/>
            <w:sz w:val="24"/>
            <w:szCs w:val="24"/>
            <w:u w:val="single"/>
          </w:rPr>
          <w:t>52</w:t>
        </w:r>
      </w:hyperlink>
      <w:r w:rsidRPr="006760C4">
        <w:rPr>
          <w:rFonts w:ascii="微软雅黑" w:eastAsia="微软雅黑" w:hAnsi="微软雅黑" w:cs="宋体"/>
          <w:kern w:val="0"/>
          <w:sz w:val="24"/>
          <w:szCs w:val="24"/>
        </w:rPr>
        <w:t> ]。</w:t>
      </w:r>
    </w:p>
    <w:p w14:paraId="1F313470"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近几十年来，多项研究项目聚焦于miRNA作为预测性生物标志物的作用，因为其失调通常与肿瘤进展相关[ </w:t>
      </w:r>
      <w:hyperlink r:id="rId91" w:anchor="B53-ijms-23-14534" w:history="1">
        <w:r w:rsidRPr="006760C4">
          <w:rPr>
            <w:rFonts w:ascii="微软雅黑" w:eastAsia="微软雅黑" w:hAnsi="微软雅黑" w:cs="宋体"/>
            <w:kern w:val="0"/>
            <w:sz w:val="24"/>
            <w:szCs w:val="24"/>
            <w:u w:val="single"/>
          </w:rPr>
          <w:t>53</w:t>
        </w:r>
      </w:hyperlink>
      <w:r w:rsidRPr="006760C4">
        <w:rPr>
          <w:rFonts w:ascii="微软雅黑" w:eastAsia="微软雅黑" w:hAnsi="微软雅黑" w:cs="宋体"/>
          <w:kern w:val="0"/>
          <w:sz w:val="24"/>
          <w:szCs w:val="24"/>
        </w:rPr>
        <w:t> ]。miRNA可分为致癌miRNA（癌基因miRNA）和抑癌miRNA；前者通过间接或直接调控与细胞增殖、肿瘤发展和转移相关的基因表达来促进癌症进展，而后者则参与抑癌基因的负调控，这些抑癌基因对于预防癌症易感细胞的形成至关重要[ </w:t>
      </w:r>
      <w:hyperlink r:id="rId92" w:anchor="B54-ijms-23-14534" w:history="1">
        <w:r w:rsidRPr="006760C4">
          <w:rPr>
            <w:rFonts w:ascii="微软雅黑" w:eastAsia="微软雅黑" w:hAnsi="微软雅黑" w:cs="宋体"/>
            <w:kern w:val="0"/>
            <w:sz w:val="24"/>
            <w:szCs w:val="24"/>
            <w:u w:val="single"/>
          </w:rPr>
          <w:t>54</w:t>
        </w:r>
      </w:hyperlink>
      <w:r w:rsidRPr="006760C4">
        <w:rPr>
          <w:rFonts w:ascii="微软雅黑" w:eastAsia="微软雅黑" w:hAnsi="微软雅黑" w:cs="宋体"/>
          <w:kern w:val="0"/>
          <w:sz w:val="24"/>
          <w:szCs w:val="24"/>
        </w:rPr>
        <w:t> ]。考虑到单个miRNA能够结合并调控数百个mRNA靶标，且不同的miRNA可以调控同一个靶标，因此可以根据精准的个体化医疗方法监测和</w:t>
      </w:r>
      <w:proofErr w:type="gramStart"/>
      <w:r w:rsidRPr="006760C4">
        <w:rPr>
          <w:rFonts w:ascii="微软雅黑" w:eastAsia="微软雅黑" w:hAnsi="微软雅黑" w:cs="宋体"/>
          <w:kern w:val="0"/>
          <w:sz w:val="24"/>
          <w:szCs w:val="24"/>
        </w:rPr>
        <w:t>靶向</w:t>
      </w:r>
      <w:proofErr w:type="gramEnd"/>
      <w:r w:rsidRPr="006760C4">
        <w:rPr>
          <w:rFonts w:ascii="微软雅黑" w:eastAsia="微软雅黑" w:hAnsi="微软雅黑" w:cs="宋体"/>
          <w:kern w:val="0"/>
          <w:sz w:val="24"/>
          <w:szCs w:val="24"/>
        </w:rPr>
        <w:t>miRNA的失调。值得注意的是，由于miRNA具有耐受性且存在于体液中，它们可以作为关键的循环生物标志物，通过液体活检进行检测，从而帮助监测患者对治疗的反应，并作为预防癌症发展的靶点[ </w:t>
      </w:r>
      <w:hyperlink r:id="rId93" w:anchor="B40-ijms-23-14534" w:history="1">
        <w:r w:rsidRPr="006760C4">
          <w:rPr>
            <w:rFonts w:ascii="微软雅黑" w:eastAsia="微软雅黑" w:hAnsi="微软雅黑" w:cs="宋体"/>
            <w:kern w:val="0"/>
            <w:sz w:val="24"/>
            <w:szCs w:val="24"/>
            <w:u w:val="single"/>
          </w:rPr>
          <w:t>40</w:t>
        </w:r>
      </w:hyperlink>
      <w:r w:rsidRPr="006760C4">
        <w:rPr>
          <w:rFonts w:ascii="微软雅黑" w:eastAsia="微软雅黑" w:hAnsi="微软雅黑" w:cs="宋体"/>
          <w:kern w:val="0"/>
          <w:sz w:val="24"/>
          <w:szCs w:val="24"/>
        </w:rPr>
        <w:t> ]。</w:t>
      </w:r>
    </w:p>
    <w:p w14:paraId="3DB572F9"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lastRenderedPageBreak/>
        <w:t>与其他生物标志物相比，miRNA的发现相对较晚。然而，多项临床前研究已经探讨了miRNA在调节CDK抑制剂疗效或耐药性方面的作用，并提供了证据表明miRNA可能作为CDK4/6抑制剂治疗的预测性生物标志物，而使用特定miRNA的靶</w:t>
      </w:r>
      <w:proofErr w:type="gramStart"/>
      <w:r w:rsidRPr="006760C4">
        <w:rPr>
          <w:rFonts w:ascii="微软雅黑" w:eastAsia="微软雅黑" w:hAnsi="微软雅黑" w:cs="宋体"/>
          <w:kern w:val="0"/>
          <w:sz w:val="24"/>
          <w:szCs w:val="24"/>
        </w:rPr>
        <w:t>向治疗</w:t>
      </w:r>
      <w:proofErr w:type="gramEnd"/>
      <w:r w:rsidRPr="006760C4">
        <w:rPr>
          <w:rFonts w:ascii="微软雅黑" w:eastAsia="微软雅黑" w:hAnsi="微软雅黑" w:cs="宋体"/>
          <w:kern w:val="0"/>
          <w:sz w:val="24"/>
          <w:szCs w:val="24"/>
        </w:rPr>
        <w:t>可能最大限度地提高对这些药物的敏感性[ </w:t>
      </w:r>
      <w:hyperlink r:id="rId94" w:anchor="B55-ijms-23-14534" w:history="1">
        <w:r w:rsidRPr="006760C4">
          <w:rPr>
            <w:rFonts w:ascii="微软雅黑" w:eastAsia="微软雅黑" w:hAnsi="微软雅黑" w:cs="宋体"/>
            <w:kern w:val="0"/>
            <w:sz w:val="24"/>
            <w:szCs w:val="24"/>
            <w:u w:val="single"/>
          </w:rPr>
          <w:t>55</w:t>
        </w:r>
      </w:hyperlink>
      <w:r w:rsidRPr="006760C4">
        <w:rPr>
          <w:rFonts w:ascii="微软雅黑" w:eastAsia="微软雅黑" w:hAnsi="微软雅黑" w:cs="宋体"/>
          <w:kern w:val="0"/>
          <w:sz w:val="24"/>
          <w:szCs w:val="24"/>
        </w:rPr>
        <w:t> ]。总体而言，文献研究表明，一些miRNA（例如miR-326、miR-29b-3p、miR-126和miR-3613-3p）与CDK4/6抑制剂的敏感性相关，而另一些miRNA（例如miR-432-5p、miR-223和miR-106b）似乎与治疗耐药性相关。下文将简要讨论关于miRNA与CDK4/6抑制剂关系的研究主要结果，并在</w:t>
      </w:r>
      <w:r w:rsidRPr="006760C4">
        <w:rPr>
          <w:rFonts w:ascii="微软雅黑" w:eastAsia="微软雅黑" w:hAnsi="微软雅黑" w:cs="宋体"/>
          <w:kern w:val="0"/>
          <w:sz w:val="24"/>
          <w:szCs w:val="24"/>
        </w:rPr>
        <w:fldChar w:fldCharType="begin"/>
      </w:r>
      <w:r w:rsidRPr="006760C4">
        <w:rPr>
          <w:rFonts w:ascii="微软雅黑" w:eastAsia="微软雅黑" w:hAnsi="微软雅黑" w:cs="宋体"/>
          <w:kern w:val="0"/>
          <w:sz w:val="24"/>
          <w:szCs w:val="24"/>
        </w:rPr>
        <w:instrText xml:space="preserve"> HYPERLINK "https://pmc.ncbi.nlm.nih.gov/articles/PMC9739115/" \l "ijms-23-14534-t001" </w:instrText>
      </w:r>
      <w:r w:rsidRPr="006760C4">
        <w:rPr>
          <w:rFonts w:ascii="微软雅黑" w:eastAsia="微软雅黑" w:hAnsi="微软雅黑" w:cs="宋体"/>
          <w:kern w:val="0"/>
          <w:sz w:val="24"/>
          <w:szCs w:val="24"/>
        </w:rPr>
        <w:fldChar w:fldCharType="separate"/>
      </w:r>
      <w:r w:rsidRPr="006760C4">
        <w:rPr>
          <w:rFonts w:ascii="微软雅黑" w:eastAsia="微软雅黑" w:hAnsi="微软雅黑" w:cs="宋体"/>
          <w:kern w:val="0"/>
          <w:sz w:val="24"/>
          <w:szCs w:val="24"/>
          <w:u w:val="single"/>
        </w:rPr>
        <w:t>表1</w:t>
      </w:r>
      <w:r w:rsidRPr="006760C4">
        <w:rPr>
          <w:rFonts w:ascii="微软雅黑" w:eastAsia="微软雅黑" w:hAnsi="微软雅黑" w:cs="宋体"/>
          <w:kern w:val="0"/>
          <w:sz w:val="24"/>
          <w:szCs w:val="24"/>
        </w:rPr>
        <w:fldChar w:fldCharType="end"/>
      </w:r>
      <w:r w:rsidRPr="006760C4">
        <w:rPr>
          <w:rFonts w:ascii="微软雅黑" w:eastAsia="微软雅黑" w:hAnsi="微软雅黑" w:cs="宋体"/>
          <w:kern w:val="0"/>
          <w:sz w:val="24"/>
          <w:szCs w:val="24"/>
        </w:rPr>
        <w:t>中进行了总结。</w:t>
      </w:r>
    </w:p>
    <w:p w14:paraId="75087C77" w14:textId="77777777" w:rsidR="006760C4" w:rsidRPr="006760C4" w:rsidRDefault="006760C4" w:rsidP="006760C4">
      <w:pPr>
        <w:widowControl/>
        <w:spacing w:line="450" w:lineRule="atLeast"/>
        <w:outlineLvl w:val="2"/>
        <w:rPr>
          <w:rFonts w:ascii="微软雅黑" w:eastAsia="微软雅黑" w:hAnsi="微软雅黑" w:cs="宋体"/>
          <w:kern w:val="0"/>
          <w:sz w:val="30"/>
          <w:szCs w:val="30"/>
        </w:rPr>
      </w:pPr>
      <w:r w:rsidRPr="006760C4">
        <w:rPr>
          <w:rFonts w:ascii="微软雅黑" w:eastAsia="微软雅黑" w:hAnsi="微软雅黑" w:cs="宋体"/>
          <w:kern w:val="0"/>
          <w:sz w:val="30"/>
          <w:szCs w:val="30"/>
        </w:rPr>
        <w:t>表1。</w:t>
      </w:r>
    </w:p>
    <w:p w14:paraId="619BE268"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关于 miRNA 预测 CDK4/6 抑制剂 (I) 反应或耐药性的研究总结。</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036"/>
        <w:gridCol w:w="1478"/>
        <w:gridCol w:w="1170"/>
        <w:gridCol w:w="875"/>
        <w:gridCol w:w="2976"/>
        <w:gridCol w:w="761"/>
      </w:tblGrid>
      <w:tr w:rsidR="00412BDA" w:rsidRPr="00412BDA" w14:paraId="4496B483" w14:textId="77777777" w:rsidTr="006760C4">
        <w:trPr>
          <w:tblHeader/>
          <w:tblCellSpacing w:w="15" w:type="dxa"/>
        </w:trPr>
        <w:tc>
          <w:tcPr>
            <w:tcW w:w="612" w:type="pct"/>
            <w:tcMar>
              <w:top w:w="56" w:type="dxa"/>
              <w:left w:w="56" w:type="dxa"/>
              <w:bottom w:w="56" w:type="dxa"/>
              <w:right w:w="56" w:type="dxa"/>
            </w:tcMar>
            <w:hideMark/>
          </w:tcPr>
          <w:p w14:paraId="34498F51" w14:textId="77777777" w:rsidR="006760C4" w:rsidRPr="006760C4" w:rsidRDefault="006760C4" w:rsidP="006760C4">
            <w:pPr>
              <w:widowControl/>
              <w:rPr>
                <w:rFonts w:ascii="微软雅黑" w:eastAsia="微软雅黑" w:hAnsi="微软雅黑" w:cs="宋体"/>
                <w:b/>
                <w:bCs/>
                <w:kern w:val="0"/>
                <w:sz w:val="24"/>
                <w:szCs w:val="24"/>
              </w:rPr>
            </w:pPr>
            <w:r w:rsidRPr="006760C4">
              <w:rPr>
                <w:rFonts w:ascii="微软雅黑" w:eastAsia="微软雅黑" w:hAnsi="微软雅黑" w:cs="宋体"/>
                <w:b/>
                <w:bCs/>
                <w:kern w:val="0"/>
                <w:sz w:val="24"/>
                <w:szCs w:val="24"/>
              </w:rPr>
              <w:t>miRNA</w:t>
            </w:r>
          </w:p>
        </w:tc>
        <w:tc>
          <w:tcPr>
            <w:tcW w:w="1036" w:type="pct"/>
            <w:tcMar>
              <w:top w:w="56" w:type="dxa"/>
              <w:left w:w="56" w:type="dxa"/>
              <w:bottom w:w="56" w:type="dxa"/>
              <w:right w:w="56" w:type="dxa"/>
            </w:tcMar>
            <w:hideMark/>
          </w:tcPr>
          <w:p w14:paraId="050BE09C" w14:textId="77777777" w:rsidR="006760C4" w:rsidRPr="006760C4" w:rsidRDefault="006760C4" w:rsidP="006760C4">
            <w:pPr>
              <w:widowControl/>
              <w:rPr>
                <w:rFonts w:ascii="微软雅黑" w:eastAsia="微软雅黑" w:hAnsi="微软雅黑" w:cs="宋体"/>
                <w:b/>
                <w:bCs/>
                <w:kern w:val="0"/>
                <w:sz w:val="24"/>
                <w:szCs w:val="24"/>
              </w:rPr>
            </w:pPr>
            <w:r w:rsidRPr="006760C4">
              <w:rPr>
                <w:rFonts w:ascii="微软雅黑" w:eastAsia="微软雅黑" w:hAnsi="微软雅黑" w:cs="宋体"/>
                <w:b/>
                <w:bCs/>
                <w:kern w:val="0"/>
                <w:sz w:val="24"/>
                <w:szCs w:val="24"/>
              </w:rPr>
              <w:t>瘤</w:t>
            </w:r>
          </w:p>
        </w:tc>
        <w:tc>
          <w:tcPr>
            <w:tcW w:w="559" w:type="pct"/>
            <w:tcMar>
              <w:top w:w="56" w:type="dxa"/>
              <w:left w:w="56" w:type="dxa"/>
              <w:bottom w:w="56" w:type="dxa"/>
              <w:right w:w="56" w:type="dxa"/>
            </w:tcMar>
            <w:hideMark/>
          </w:tcPr>
          <w:p w14:paraId="33B46D68" w14:textId="77777777" w:rsidR="006760C4" w:rsidRPr="006760C4" w:rsidRDefault="006760C4" w:rsidP="006760C4">
            <w:pPr>
              <w:widowControl/>
              <w:rPr>
                <w:rFonts w:ascii="微软雅黑" w:eastAsia="微软雅黑" w:hAnsi="微软雅黑" w:cs="宋体"/>
                <w:b/>
                <w:bCs/>
                <w:kern w:val="0"/>
                <w:sz w:val="24"/>
                <w:szCs w:val="24"/>
              </w:rPr>
            </w:pPr>
            <w:r w:rsidRPr="006760C4">
              <w:rPr>
                <w:rFonts w:ascii="微软雅黑" w:eastAsia="微软雅黑" w:hAnsi="微软雅黑" w:cs="宋体"/>
                <w:b/>
                <w:bCs/>
                <w:kern w:val="0"/>
                <w:sz w:val="24"/>
                <w:szCs w:val="24"/>
              </w:rPr>
              <w:t>CDK4/6I</w:t>
            </w:r>
          </w:p>
        </w:tc>
        <w:tc>
          <w:tcPr>
            <w:tcW w:w="497" w:type="pct"/>
            <w:tcMar>
              <w:top w:w="56" w:type="dxa"/>
              <w:left w:w="56" w:type="dxa"/>
              <w:bottom w:w="56" w:type="dxa"/>
              <w:right w:w="56" w:type="dxa"/>
            </w:tcMar>
            <w:hideMark/>
          </w:tcPr>
          <w:p w14:paraId="2BD5F31E" w14:textId="77777777" w:rsidR="006760C4" w:rsidRPr="006760C4" w:rsidRDefault="006760C4" w:rsidP="006760C4">
            <w:pPr>
              <w:widowControl/>
              <w:rPr>
                <w:rFonts w:ascii="微软雅黑" w:eastAsia="微软雅黑" w:hAnsi="微软雅黑" w:cs="宋体"/>
                <w:b/>
                <w:bCs/>
                <w:kern w:val="0"/>
                <w:sz w:val="24"/>
                <w:szCs w:val="24"/>
              </w:rPr>
            </w:pPr>
            <w:r w:rsidRPr="006760C4">
              <w:rPr>
                <w:rFonts w:ascii="微软雅黑" w:eastAsia="微软雅黑" w:hAnsi="微软雅黑" w:cs="宋体"/>
                <w:b/>
                <w:bCs/>
                <w:kern w:val="0"/>
                <w:sz w:val="24"/>
                <w:szCs w:val="24"/>
              </w:rPr>
              <w:t>放松管制</w:t>
            </w:r>
          </w:p>
        </w:tc>
        <w:tc>
          <w:tcPr>
            <w:tcW w:w="1886" w:type="pct"/>
            <w:tcMar>
              <w:top w:w="56" w:type="dxa"/>
              <w:left w:w="56" w:type="dxa"/>
              <w:bottom w:w="56" w:type="dxa"/>
              <w:right w:w="56" w:type="dxa"/>
            </w:tcMar>
            <w:hideMark/>
          </w:tcPr>
          <w:p w14:paraId="49DC928D" w14:textId="77777777" w:rsidR="006760C4" w:rsidRPr="006760C4" w:rsidRDefault="006760C4" w:rsidP="006760C4">
            <w:pPr>
              <w:widowControl/>
              <w:rPr>
                <w:rFonts w:ascii="微软雅黑" w:eastAsia="微软雅黑" w:hAnsi="微软雅黑" w:cs="宋体"/>
                <w:b/>
                <w:bCs/>
                <w:kern w:val="0"/>
                <w:sz w:val="24"/>
                <w:szCs w:val="24"/>
              </w:rPr>
            </w:pPr>
            <w:r w:rsidRPr="006760C4">
              <w:rPr>
                <w:rFonts w:ascii="微软雅黑" w:eastAsia="微软雅黑" w:hAnsi="微软雅黑" w:cs="宋体"/>
                <w:b/>
                <w:bCs/>
                <w:kern w:val="0"/>
                <w:sz w:val="24"/>
                <w:szCs w:val="24"/>
              </w:rPr>
              <w:t>影响</w:t>
            </w:r>
          </w:p>
        </w:tc>
        <w:tc>
          <w:tcPr>
            <w:tcW w:w="316" w:type="pct"/>
            <w:tcMar>
              <w:top w:w="56" w:type="dxa"/>
              <w:left w:w="56" w:type="dxa"/>
              <w:bottom w:w="56" w:type="dxa"/>
              <w:right w:w="56" w:type="dxa"/>
            </w:tcMar>
            <w:hideMark/>
          </w:tcPr>
          <w:p w14:paraId="2DEEFE18" w14:textId="77777777" w:rsidR="006760C4" w:rsidRPr="006760C4" w:rsidRDefault="006760C4" w:rsidP="006760C4">
            <w:pPr>
              <w:widowControl/>
              <w:rPr>
                <w:rFonts w:ascii="微软雅黑" w:eastAsia="微软雅黑" w:hAnsi="微软雅黑" w:cs="宋体"/>
                <w:b/>
                <w:bCs/>
                <w:kern w:val="0"/>
                <w:sz w:val="24"/>
                <w:szCs w:val="24"/>
              </w:rPr>
            </w:pPr>
            <w:r w:rsidRPr="006760C4">
              <w:rPr>
                <w:rFonts w:ascii="微软雅黑" w:eastAsia="微软雅黑" w:hAnsi="微软雅黑" w:cs="宋体"/>
                <w:b/>
                <w:bCs/>
                <w:kern w:val="0"/>
                <w:sz w:val="24"/>
                <w:szCs w:val="24"/>
              </w:rPr>
              <w:t>参考</w:t>
            </w:r>
          </w:p>
        </w:tc>
      </w:tr>
      <w:tr w:rsidR="00412BDA" w:rsidRPr="006760C4" w14:paraId="3143B20E" w14:textId="77777777" w:rsidTr="006760C4">
        <w:trPr>
          <w:tblCellSpacing w:w="15" w:type="dxa"/>
        </w:trPr>
        <w:tc>
          <w:tcPr>
            <w:tcW w:w="4973" w:type="pct"/>
            <w:gridSpan w:val="6"/>
            <w:tcMar>
              <w:top w:w="56" w:type="dxa"/>
              <w:left w:w="56" w:type="dxa"/>
              <w:bottom w:w="56" w:type="dxa"/>
              <w:right w:w="56" w:type="dxa"/>
            </w:tcMar>
            <w:hideMark/>
          </w:tcPr>
          <w:p w14:paraId="6497DE9A"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CDK4/6I 敏感性</w:t>
            </w:r>
          </w:p>
        </w:tc>
      </w:tr>
      <w:tr w:rsidR="00412BDA" w:rsidRPr="00412BDA" w14:paraId="495338D4" w14:textId="77777777" w:rsidTr="006760C4">
        <w:trPr>
          <w:tblCellSpacing w:w="15" w:type="dxa"/>
        </w:trPr>
        <w:tc>
          <w:tcPr>
            <w:tcW w:w="612" w:type="pct"/>
            <w:tcMar>
              <w:top w:w="56" w:type="dxa"/>
              <w:left w:w="56" w:type="dxa"/>
              <w:bottom w:w="56" w:type="dxa"/>
              <w:right w:w="56" w:type="dxa"/>
            </w:tcMar>
            <w:hideMark/>
          </w:tcPr>
          <w:p w14:paraId="0D12A372"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miR-326</w:t>
            </w:r>
          </w:p>
        </w:tc>
        <w:tc>
          <w:tcPr>
            <w:tcW w:w="1036" w:type="pct"/>
            <w:tcMar>
              <w:top w:w="56" w:type="dxa"/>
              <w:left w:w="56" w:type="dxa"/>
              <w:bottom w:w="56" w:type="dxa"/>
              <w:right w:w="56" w:type="dxa"/>
            </w:tcMar>
            <w:hideMark/>
          </w:tcPr>
          <w:p w14:paraId="1F151685"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HER2阳性乳腺癌</w:t>
            </w:r>
          </w:p>
        </w:tc>
        <w:tc>
          <w:tcPr>
            <w:tcW w:w="559" w:type="pct"/>
            <w:tcMar>
              <w:top w:w="56" w:type="dxa"/>
              <w:left w:w="56" w:type="dxa"/>
              <w:bottom w:w="56" w:type="dxa"/>
              <w:right w:w="56" w:type="dxa"/>
            </w:tcMar>
            <w:hideMark/>
          </w:tcPr>
          <w:p w14:paraId="070DB873"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利博西克利</w:t>
            </w:r>
          </w:p>
        </w:tc>
        <w:tc>
          <w:tcPr>
            <w:tcW w:w="497" w:type="pct"/>
            <w:tcMar>
              <w:top w:w="56" w:type="dxa"/>
              <w:left w:w="56" w:type="dxa"/>
              <w:bottom w:w="56" w:type="dxa"/>
              <w:right w:w="56" w:type="dxa"/>
            </w:tcMar>
            <w:hideMark/>
          </w:tcPr>
          <w:p w14:paraId="3469B5DF"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上调</w:t>
            </w:r>
          </w:p>
        </w:tc>
        <w:tc>
          <w:tcPr>
            <w:tcW w:w="1886" w:type="pct"/>
            <w:tcMar>
              <w:top w:w="56" w:type="dxa"/>
              <w:left w:w="56" w:type="dxa"/>
              <w:bottom w:w="56" w:type="dxa"/>
              <w:right w:w="56" w:type="dxa"/>
            </w:tcMar>
            <w:hideMark/>
          </w:tcPr>
          <w:p w14:paraId="5672F84A"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提高对</w:t>
            </w:r>
            <w:proofErr w:type="spellStart"/>
            <w:r w:rsidRPr="006760C4">
              <w:rPr>
                <w:rFonts w:ascii="微软雅黑" w:eastAsia="微软雅黑" w:hAnsi="微软雅黑" w:cs="宋体"/>
                <w:kern w:val="0"/>
                <w:sz w:val="24"/>
                <w:szCs w:val="24"/>
              </w:rPr>
              <w:t>ribociclib</w:t>
            </w:r>
            <w:proofErr w:type="spellEnd"/>
            <w:r w:rsidRPr="006760C4">
              <w:rPr>
                <w:rFonts w:ascii="微软雅黑" w:eastAsia="微软雅黑" w:hAnsi="微软雅黑" w:cs="宋体"/>
                <w:kern w:val="0"/>
                <w:sz w:val="24"/>
                <w:szCs w:val="24"/>
              </w:rPr>
              <w:t>的敏感性（对乳腺癌细胞的抗增殖活性）</w:t>
            </w:r>
          </w:p>
        </w:tc>
        <w:tc>
          <w:tcPr>
            <w:tcW w:w="316" w:type="pct"/>
            <w:tcMar>
              <w:top w:w="56" w:type="dxa"/>
              <w:left w:w="56" w:type="dxa"/>
              <w:bottom w:w="56" w:type="dxa"/>
              <w:right w:w="56" w:type="dxa"/>
            </w:tcMar>
            <w:hideMark/>
          </w:tcPr>
          <w:p w14:paraId="13AC0547"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 </w:t>
            </w:r>
            <w:hyperlink r:id="rId95" w:anchor="B56-ijms-23-14534" w:history="1">
              <w:r w:rsidRPr="006760C4">
                <w:rPr>
                  <w:rFonts w:ascii="微软雅黑" w:eastAsia="微软雅黑" w:hAnsi="微软雅黑" w:cs="宋体"/>
                  <w:kern w:val="0"/>
                  <w:sz w:val="24"/>
                  <w:szCs w:val="24"/>
                  <w:u w:val="single"/>
                </w:rPr>
                <w:t>56</w:t>
              </w:r>
            </w:hyperlink>
            <w:r w:rsidRPr="006760C4">
              <w:rPr>
                <w:rFonts w:ascii="微软雅黑" w:eastAsia="微软雅黑" w:hAnsi="微软雅黑" w:cs="宋体"/>
                <w:kern w:val="0"/>
                <w:sz w:val="24"/>
                <w:szCs w:val="24"/>
              </w:rPr>
              <w:t> ]</w:t>
            </w:r>
          </w:p>
        </w:tc>
      </w:tr>
      <w:tr w:rsidR="00412BDA" w:rsidRPr="00412BDA" w14:paraId="06AA865F" w14:textId="77777777" w:rsidTr="006760C4">
        <w:trPr>
          <w:tblCellSpacing w:w="15" w:type="dxa"/>
        </w:trPr>
        <w:tc>
          <w:tcPr>
            <w:tcW w:w="612" w:type="pct"/>
            <w:tcMar>
              <w:top w:w="56" w:type="dxa"/>
              <w:left w:w="56" w:type="dxa"/>
              <w:bottom w:w="56" w:type="dxa"/>
              <w:right w:w="56" w:type="dxa"/>
            </w:tcMar>
            <w:hideMark/>
          </w:tcPr>
          <w:p w14:paraId="18B7F429"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miR-29b-3p</w:t>
            </w:r>
          </w:p>
        </w:tc>
        <w:tc>
          <w:tcPr>
            <w:tcW w:w="1036" w:type="pct"/>
            <w:tcMar>
              <w:top w:w="56" w:type="dxa"/>
              <w:left w:w="56" w:type="dxa"/>
              <w:bottom w:w="56" w:type="dxa"/>
              <w:right w:w="56" w:type="dxa"/>
            </w:tcMar>
            <w:hideMark/>
          </w:tcPr>
          <w:p w14:paraId="641E85E2"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管腔型、HER2阳性乳腺癌</w:t>
            </w:r>
          </w:p>
        </w:tc>
        <w:tc>
          <w:tcPr>
            <w:tcW w:w="559" w:type="pct"/>
            <w:tcMar>
              <w:top w:w="56" w:type="dxa"/>
              <w:left w:w="56" w:type="dxa"/>
              <w:bottom w:w="56" w:type="dxa"/>
              <w:right w:w="56" w:type="dxa"/>
            </w:tcMar>
            <w:hideMark/>
          </w:tcPr>
          <w:p w14:paraId="020329C3"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帕博西尼</w:t>
            </w:r>
          </w:p>
        </w:tc>
        <w:tc>
          <w:tcPr>
            <w:tcW w:w="497" w:type="pct"/>
            <w:tcMar>
              <w:top w:w="56" w:type="dxa"/>
              <w:left w:w="56" w:type="dxa"/>
              <w:bottom w:w="56" w:type="dxa"/>
              <w:right w:w="56" w:type="dxa"/>
            </w:tcMar>
            <w:hideMark/>
          </w:tcPr>
          <w:p w14:paraId="4E65DE94"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上调</w:t>
            </w:r>
            <w:r w:rsidRPr="006760C4">
              <w:rPr>
                <w:rFonts w:ascii="微软雅黑" w:eastAsia="微软雅黑" w:hAnsi="微软雅黑" w:cs="宋体"/>
                <w:kern w:val="0"/>
                <w:sz w:val="24"/>
                <w:szCs w:val="24"/>
              </w:rPr>
              <w:br/>
              <w:t>（c-</w:t>
            </w:r>
            <w:proofErr w:type="spellStart"/>
            <w:r w:rsidRPr="006760C4">
              <w:rPr>
                <w:rFonts w:ascii="微软雅黑" w:eastAsia="微软雅黑" w:hAnsi="微软雅黑" w:cs="宋体"/>
                <w:kern w:val="0"/>
                <w:sz w:val="24"/>
                <w:szCs w:val="24"/>
              </w:rPr>
              <w:t>myc</w:t>
            </w:r>
            <w:proofErr w:type="spellEnd"/>
            <w:r w:rsidRPr="006760C4">
              <w:rPr>
                <w:rFonts w:ascii="微软雅黑" w:eastAsia="微软雅黑" w:hAnsi="微软雅黑" w:cs="宋体"/>
                <w:kern w:val="0"/>
                <w:sz w:val="24"/>
                <w:szCs w:val="24"/>
              </w:rPr>
              <w:t>）</w:t>
            </w:r>
          </w:p>
        </w:tc>
        <w:tc>
          <w:tcPr>
            <w:tcW w:w="1886" w:type="pct"/>
            <w:tcMar>
              <w:top w:w="56" w:type="dxa"/>
              <w:left w:w="56" w:type="dxa"/>
              <w:bottom w:w="56" w:type="dxa"/>
              <w:right w:w="56" w:type="dxa"/>
            </w:tcMar>
            <w:hideMark/>
          </w:tcPr>
          <w:p w14:paraId="3518AB36"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对帕博西尼的敏感性（减少上皮-间质转化）</w:t>
            </w:r>
          </w:p>
        </w:tc>
        <w:tc>
          <w:tcPr>
            <w:tcW w:w="316" w:type="pct"/>
            <w:tcMar>
              <w:top w:w="56" w:type="dxa"/>
              <w:left w:w="56" w:type="dxa"/>
              <w:bottom w:w="56" w:type="dxa"/>
              <w:right w:w="56" w:type="dxa"/>
            </w:tcMar>
            <w:hideMark/>
          </w:tcPr>
          <w:p w14:paraId="0E6D0020"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 </w:t>
            </w:r>
            <w:hyperlink r:id="rId96" w:anchor="B57-ijms-23-14534" w:history="1">
              <w:r w:rsidRPr="006760C4">
                <w:rPr>
                  <w:rFonts w:ascii="微软雅黑" w:eastAsia="微软雅黑" w:hAnsi="微软雅黑" w:cs="宋体"/>
                  <w:kern w:val="0"/>
                  <w:sz w:val="24"/>
                  <w:szCs w:val="24"/>
                  <w:u w:val="single"/>
                </w:rPr>
                <w:t>57</w:t>
              </w:r>
            </w:hyperlink>
            <w:r w:rsidRPr="006760C4">
              <w:rPr>
                <w:rFonts w:ascii="微软雅黑" w:eastAsia="微软雅黑" w:hAnsi="微软雅黑" w:cs="宋体"/>
                <w:kern w:val="0"/>
                <w:sz w:val="24"/>
                <w:szCs w:val="24"/>
              </w:rPr>
              <w:t> ]</w:t>
            </w:r>
          </w:p>
        </w:tc>
      </w:tr>
      <w:tr w:rsidR="00412BDA" w:rsidRPr="00412BDA" w14:paraId="2B162615" w14:textId="77777777" w:rsidTr="006760C4">
        <w:trPr>
          <w:tblCellSpacing w:w="15" w:type="dxa"/>
        </w:trPr>
        <w:tc>
          <w:tcPr>
            <w:tcW w:w="612" w:type="pct"/>
            <w:tcMar>
              <w:top w:w="56" w:type="dxa"/>
              <w:left w:w="56" w:type="dxa"/>
              <w:bottom w:w="56" w:type="dxa"/>
              <w:right w:w="56" w:type="dxa"/>
            </w:tcMar>
            <w:hideMark/>
          </w:tcPr>
          <w:p w14:paraId="56F1AD92"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lastRenderedPageBreak/>
              <w:t>miR-126</w:t>
            </w:r>
          </w:p>
        </w:tc>
        <w:tc>
          <w:tcPr>
            <w:tcW w:w="1036" w:type="pct"/>
            <w:tcMar>
              <w:top w:w="56" w:type="dxa"/>
              <w:left w:w="56" w:type="dxa"/>
              <w:bottom w:w="56" w:type="dxa"/>
              <w:right w:w="56" w:type="dxa"/>
            </w:tcMar>
            <w:hideMark/>
          </w:tcPr>
          <w:p w14:paraId="109CA9AF"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Lumina，HER2阳性乳腺癌</w:t>
            </w:r>
          </w:p>
        </w:tc>
        <w:tc>
          <w:tcPr>
            <w:tcW w:w="559" w:type="pct"/>
            <w:tcMar>
              <w:top w:w="56" w:type="dxa"/>
              <w:left w:w="56" w:type="dxa"/>
              <w:bottom w:w="56" w:type="dxa"/>
              <w:right w:w="56" w:type="dxa"/>
            </w:tcMar>
            <w:hideMark/>
          </w:tcPr>
          <w:p w14:paraId="65266AC6"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利博西克利</w:t>
            </w:r>
          </w:p>
        </w:tc>
        <w:tc>
          <w:tcPr>
            <w:tcW w:w="497" w:type="pct"/>
            <w:tcMar>
              <w:top w:w="56" w:type="dxa"/>
              <w:left w:w="56" w:type="dxa"/>
              <w:bottom w:w="56" w:type="dxa"/>
              <w:right w:w="56" w:type="dxa"/>
            </w:tcMar>
            <w:hideMark/>
          </w:tcPr>
          <w:p w14:paraId="0DDB23B8"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上调</w:t>
            </w:r>
          </w:p>
        </w:tc>
        <w:tc>
          <w:tcPr>
            <w:tcW w:w="1886" w:type="pct"/>
            <w:tcMar>
              <w:top w:w="56" w:type="dxa"/>
              <w:left w:w="56" w:type="dxa"/>
              <w:bottom w:w="56" w:type="dxa"/>
              <w:right w:w="56" w:type="dxa"/>
            </w:tcMar>
            <w:hideMark/>
          </w:tcPr>
          <w:p w14:paraId="2AF61200"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对帕博西尼（靶向细胞周期基因）的敏感性</w:t>
            </w:r>
          </w:p>
        </w:tc>
        <w:tc>
          <w:tcPr>
            <w:tcW w:w="316" w:type="pct"/>
            <w:tcMar>
              <w:top w:w="56" w:type="dxa"/>
              <w:left w:w="56" w:type="dxa"/>
              <w:bottom w:w="56" w:type="dxa"/>
              <w:right w:w="56" w:type="dxa"/>
            </w:tcMar>
            <w:hideMark/>
          </w:tcPr>
          <w:p w14:paraId="3D1D60C4"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 </w:t>
            </w:r>
            <w:hyperlink r:id="rId97" w:anchor="B56-ijms-23-14534" w:history="1">
              <w:r w:rsidRPr="006760C4">
                <w:rPr>
                  <w:rFonts w:ascii="微软雅黑" w:eastAsia="微软雅黑" w:hAnsi="微软雅黑" w:cs="宋体"/>
                  <w:kern w:val="0"/>
                  <w:sz w:val="24"/>
                  <w:szCs w:val="24"/>
                  <w:u w:val="single"/>
                </w:rPr>
                <w:t>56</w:t>
              </w:r>
            </w:hyperlink>
            <w:r w:rsidRPr="006760C4">
              <w:rPr>
                <w:rFonts w:ascii="微软雅黑" w:eastAsia="微软雅黑" w:hAnsi="微软雅黑" w:cs="宋体"/>
                <w:kern w:val="0"/>
                <w:sz w:val="24"/>
                <w:szCs w:val="24"/>
              </w:rPr>
              <w:t> ]</w:t>
            </w:r>
          </w:p>
        </w:tc>
      </w:tr>
      <w:tr w:rsidR="00412BDA" w:rsidRPr="00412BDA" w14:paraId="01A228EF" w14:textId="77777777" w:rsidTr="006760C4">
        <w:trPr>
          <w:tblCellSpacing w:w="15" w:type="dxa"/>
        </w:trPr>
        <w:tc>
          <w:tcPr>
            <w:tcW w:w="612" w:type="pct"/>
            <w:tcMar>
              <w:top w:w="56" w:type="dxa"/>
              <w:left w:w="56" w:type="dxa"/>
              <w:bottom w:w="56" w:type="dxa"/>
              <w:right w:w="56" w:type="dxa"/>
            </w:tcMar>
            <w:hideMark/>
          </w:tcPr>
          <w:p w14:paraId="0BBFB62B"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miR-3613-3p</w:t>
            </w:r>
          </w:p>
        </w:tc>
        <w:tc>
          <w:tcPr>
            <w:tcW w:w="1036" w:type="pct"/>
            <w:tcMar>
              <w:top w:w="56" w:type="dxa"/>
              <w:left w:w="56" w:type="dxa"/>
              <w:bottom w:w="56" w:type="dxa"/>
              <w:right w:w="56" w:type="dxa"/>
            </w:tcMar>
            <w:hideMark/>
          </w:tcPr>
          <w:p w14:paraId="54BC4E7C"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TNBC</w:t>
            </w:r>
          </w:p>
        </w:tc>
        <w:tc>
          <w:tcPr>
            <w:tcW w:w="559" w:type="pct"/>
            <w:tcMar>
              <w:top w:w="56" w:type="dxa"/>
              <w:left w:w="56" w:type="dxa"/>
              <w:bottom w:w="56" w:type="dxa"/>
              <w:right w:w="56" w:type="dxa"/>
            </w:tcMar>
            <w:hideMark/>
          </w:tcPr>
          <w:p w14:paraId="571BD418"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帕博西尼</w:t>
            </w:r>
          </w:p>
        </w:tc>
        <w:tc>
          <w:tcPr>
            <w:tcW w:w="497" w:type="pct"/>
            <w:tcMar>
              <w:top w:w="56" w:type="dxa"/>
              <w:left w:w="56" w:type="dxa"/>
              <w:bottom w:w="56" w:type="dxa"/>
              <w:right w:w="56" w:type="dxa"/>
            </w:tcMar>
            <w:hideMark/>
          </w:tcPr>
          <w:p w14:paraId="61A48FE2"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上调</w:t>
            </w:r>
          </w:p>
        </w:tc>
        <w:tc>
          <w:tcPr>
            <w:tcW w:w="1886" w:type="pct"/>
            <w:tcMar>
              <w:top w:w="56" w:type="dxa"/>
              <w:left w:w="56" w:type="dxa"/>
              <w:bottom w:w="56" w:type="dxa"/>
              <w:right w:w="56" w:type="dxa"/>
            </w:tcMar>
            <w:hideMark/>
          </w:tcPr>
          <w:p w14:paraId="0130B1EA"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i/>
                <w:iCs/>
                <w:kern w:val="0"/>
                <w:sz w:val="24"/>
                <w:szCs w:val="24"/>
              </w:rPr>
              <w:t>对帕博西尼（调节SMAD2</w:t>
            </w:r>
            <w:r w:rsidRPr="006760C4">
              <w:rPr>
                <w:rFonts w:ascii="微软雅黑" w:eastAsia="微软雅黑" w:hAnsi="微软雅黑" w:cs="宋体"/>
                <w:kern w:val="0"/>
                <w:sz w:val="24"/>
                <w:szCs w:val="24"/>
              </w:rPr>
              <w:t>和</w:t>
            </w:r>
            <w:r w:rsidRPr="006760C4">
              <w:rPr>
                <w:rFonts w:ascii="微软雅黑" w:eastAsia="微软雅黑" w:hAnsi="微软雅黑" w:cs="宋体"/>
                <w:i/>
                <w:iCs/>
                <w:kern w:val="0"/>
                <w:sz w:val="24"/>
                <w:szCs w:val="24"/>
              </w:rPr>
              <w:t>EZH2</w:t>
            </w:r>
            <w:r w:rsidRPr="006760C4">
              <w:rPr>
                <w:rFonts w:ascii="微软雅黑" w:eastAsia="微软雅黑" w:hAnsi="微软雅黑" w:cs="宋体"/>
                <w:kern w:val="0"/>
                <w:sz w:val="24"/>
                <w:szCs w:val="24"/>
              </w:rPr>
              <w:t>表达）的敏感性</w:t>
            </w:r>
          </w:p>
        </w:tc>
        <w:tc>
          <w:tcPr>
            <w:tcW w:w="316" w:type="pct"/>
            <w:tcMar>
              <w:top w:w="56" w:type="dxa"/>
              <w:left w:w="56" w:type="dxa"/>
              <w:bottom w:w="56" w:type="dxa"/>
              <w:right w:w="56" w:type="dxa"/>
            </w:tcMar>
            <w:hideMark/>
          </w:tcPr>
          <w:p w14:paraId="44260532"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 </w:t>
            </w:r>
            <w:hyperlink r:id="rId98" w:anchor="B58-ijms-23-14534" w:history="1">
              <w:r w:rsidRPr="006760C4">
                <w:rPr>
                  <w:rFonts w:ascii="微软雅黑" w:eastAsia="微软雅黑" w:hAnsi="微软雅黑" w:cs="宋体"/>
                  <w:kern w:val="0"/>
                  <w:sz w:val="24"/>
                  <w:szCs w:val="24"/>
                  <w:u w:val="single"/>
                </w:rPr>
                <w:t>58</w:t>
              </w:r>
            </w:hyperlink>
            <w:r w:rsidRPr="006760C4">
              <w:rPr>
                <w:rFonts w:ascii="微软雅黑" w:eastAsia="微软雅黑" w:hAnsi="微软雅黑" w:cs="宋体"/>
                <w:kern w:val="0"/>
                <w:sz w:val="24"/>
                <w:szCs w:val="24"/>
              </w:rPr>
              <w:t> ]</w:t>
            </w:r>
          </w:p>
        </w:tc>
      </w:tr>
      <w:tr w:rsidR="00412BDA" w:rsidRPr="006760C4" w14:paraId="069CDDFD" w14:textId="77777777" w:rsidTr="006760C4">
        <w:trPr>
          <w:tblCellSpacing w:w="15" w:type="dxa"/>
        </w:trPr>
        <w:tc>
          <w:tcPr>
            <w:tcW w:w="4973" w:type="pct"/>
            <w:gridSpan w:val="6"/>
            <w:tcMar>
              <w:top w:w="56" w:type="dxa"/>
              <w:left w:w="56" w:type="dxa"/>
              <w:bottom w:w="56" w:type="dxa"/>
              <w:right w:w="56" w:type="dxa"/>
            </w:tcMar>
            <w:hideMark/>
          </w:tcPr>
          <w:p w14:paraId="450908A1"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CDK4/6I</w:t>
            </w:r>
            <w:r w:rsidRPr="006760C4">
              <w:rPr>
                <w:rFonts w:ascii="微软雅黑" w:eastAsia="微软雅黑" w:hAnsi="微软雅黑" w:cs="宋体"/>
                <w:smallCaps/>
                <w:kern w:val="0"/>
                <w:sz w:val="24"/>
                <w:szCs w:val="24"/>
              </w:rPr>
              <w:t>耐药性</w:t>
            </w:r>
          </w:p>
        </w:tc>
      </w:tr>
      <w:tr w:rsidR="00412BDA" w:rsidRPr="00412BDA" w14:paraId="7A833455" w14:textId="77777777" w:rsidTr="006760C4">
        <w:trPr>
          <w:tblCellSpacing w:w="15" w:type="dxa"/>
        </w:trPr>
        <w:tc>
          <w:tcPr>
            <w:tcW w:w="612" w:type="pct"/>
            <w:tcMar>
              <w:top w:w="56" w:type="dxa"/>
              <w:left w:w="56" w:type="dxa"/>
              <w:bottom w:w="56" w:type="dxa"/>
              <w:right w:w="56" w:type="dxa"/>
            </w:tcMar>
            <w:hideMark/>
          </w:tcPr>
          <w:p w14:paraId="4AFCD527"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miR-432-5p</w:t>
            </w:r>
          </w:p>
        </w:tc>
        <w:tc>
          <w:tcPr>
            <w:tcW w:w="1036" w:type="pct"/>
            <w:tcMar>
              <w:top w:w="56" w:type="dxa"/>
              <w:left w:w="56" w:type="dxa"/>
              <w:bottom w:w="56" w:type="dxa"/>
              <w:right w:w="56" w:type="dxa"/>
            </w:tcMar>
            <w:hideMark/>
          </w:tcPr>
          <w:p w14:paraId="608A1361"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ER+ BC</w:t>
            </w:r>
          </w:p>
        </w:tc>
        <w:tc>
          <w:tcPr>
            <w:tcW w:w="559" w:type="pct"/>
            <w:tcMar>
              <w:top w:w="56" w:type="dxa"/>
              <w:left w:w="56" w:type="dxa"/>
              <w:bottom w:w="56" w:type="dxa"/>
              <w:right w:w="56" w:type="dxa"/>
            </w:tcMar>
            <w:hideMark/>
          </w:tcPr>
          <w:p w14:paraId="2C1664C1"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帕博西尼利</w:t>
            </w:r>
            <w:r w:rsidRPr="006760C4">
              <w:rPr>
                <w:rFonts w:ascii="微软雅黑" w:eastAsia="微软雅黑" w:hAnsi="微软雅黑" w:cs="宋体"/>
                <w:kern w:val="0"/>
                <w:sz w:val="24"/>
                <w:szCs w:val="24"/>
              </w:rPr>
              <w:br/>
              <w:t>利博西尼利</w:t>
            </w:r>
          </w:p>
        </w:tc>
        <w:tc>
          <w:tcPr>
            <w:tcW w:w="497" w:type="pct"/>
            <w:tcMar>
              <w:top w:w="56" w:type="dxa"/>
              <w:left w:w="56" w:type="dxa"/>
              <w:bottom w:w="56" w:type="dxa"/>
              <w:right w:w="56" w:type="dxa"/>
            </w:tcMar>
            <w:hideMark/>
          </w:tcPr>
          <w:p w14:paraId="722404E5"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上调</w:t>
            </w:r>
          </w:p>
        </w:tc>
        <w:tc>
          <w:tcPr>
            <w:tcW w:w="1886" w:type="pct"/>
            <w:tcMar>
              <w:top w:w="56" w:type="dxa"/>
              <w:left w:w="56" w:type="dxa"/>
              <w:bottom w:w="56" w:type="dxa"/>
              <w:right w:w="56" w:type="dxa"/>
            </w:tcMar>
            <w:hideMark/>
          </w:tcPr>
          <w:p w14:paraId="6ADCBBA7"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对帕博西尼（抑制SMAD4和TGF-β通路）的耐药性</w:t>
            </w:r>
          </w:p>
        </w:tc>
        <w:tc>
          <w:tcPr>
            <w:tcW w:w="316" w:type="pct"/>
            <w:tcMar>
              <w:top w:w="56" w:type="dxa"/>
              <w:left w:w="56" w:type="dxa"/>
              <w:bottom w:w="56" w:type="dxa"/>
              <w:right w:w="56" w:type="dxa"/>
            </w:tcMar>
            <w:hideMark/>
          </w:tcPr>
          <w:p w14:paraId="3117D640"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 </w:t>
            </w:r>
            <w:hyperlink r:id="rId99" w:anchor="B59-ijms-23-14534" w:history="1">
              <w:r w:rsidRPr="006760C4">
                <w:rPr>
                  <w:rFonts w:ascii="微软雅黑" w:eastAsia="微软雅黑" w:hAnsi="微软雅黑" w:cs="宋体"/>
                  <w:kern w:val="0"/>
                  <w:sz w:val="24"/>
                  <w:szCs w:val="24"/>
                  <w:u w:val="single"/>
                </w:rPr>
                <w:t>59</w:t>
              </w:r>
            </w:hyperlink>
            <w:r w:rsidRPr="006760C4">
              <w:rPr>
                <w:rFonts w:ascii="微软雅黑" w:eastAsia="微软雅黑" w:hAnsi="微软雅黑" w:cs="宋体"/>
                <w:kern w:val="0"/>
                <w:sz w:val="24"/>
                <w:szCs w:val="24"/>
              </w:rPr>
              <w:t> ]</w:t>
            </w:r>
          </w:p>
        </w:tc>
      </w:tr>
      <w:tr w:rsidR="00412BDA" w:rsidRPr="00412BDA" w14:paraId="2676E435" w14:textId="77777777" w:rsidTr="006760C4">
        <w:trPr>
          <w:tblCellSpacing w:w="15" w:type="dxa"/>
        </w:trPr>
        <w:tc>
          <w:tcPr>
            <w:tcW w:w="612" w:type="pct"/>
            <w:tcMar>
              <w:top w:w="56" w:type="dxa"/>
              <w:left w:w="56" w:type="dxa"/>
              <w:bottom w:w="56" w:type="dxa"/>
              <w:right w:w="56" w:type="dxa"/>
            </w:tcMar>
            <w:hideMark/>
          </w:tcPr>
          <w:p w14:paraId="167B8DFA"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miR-223</w:t>
            </w:r>
          </w:p>
        </w:tc>
        <w:tc>
          <w:tcPr>
            <w:tcW w:w="1036" w:type="pct"/>
            <w:tcMar>
              <w:top w:w="56" w:type="dxa"/>
              <w:left w:w="56" w:type="dxa"/>
              <w:bottom w:w="56" w:type="dxa"/>
              <w:right w:w="56" w:type="dxa"/>
            </w:tcMar>
            <w:hideMark/>
          </w:tcPr>
          <w:p w14:paraId="1D027548"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管腔型、HER2阳性乳腺癌</w:t>
            </w:r>
          </w:p>
        </w:tc>
        <w:tc>
          <w:tcPr>
            <w:tcW w:w="559" w:type="pct"/>
            <w:tcMar>
              <w:top w:w="56" w:type="dxa"/>
              <w:left w:w="56" w:type="dxa"/>
              <w:bottom w:w="56" w:type="dxa"/>
              <w:right w:w="56" w:type="dxa"/>
            </w:tcMar>
            <w:hideMark/>
          </w:tcPr>
          <w:p w14:paraId="025A0D3F"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帕博西尼</w:t>
            </w:r>
          </w:p>
        </w:tc>
        <w:tc>
          <w:tcPr>
            <w:tcW w:w="497" w:type="pct"/>
            <w:tcMar>
              <w:top w:w="56" w:type="dxa"/>
              <w:left w:w="56" w:type="dxa"/>
              <w:bottom w:w="56" w:type="dxa"/>
              <w:right w:w="56" w:type="dxa"/>
            </w:tcMar>
            <w:hideMark/>
          </w:tcPr>
          <w:p w14:paraId="53BAE54E"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下调</w:t>
            </w:r>
          </w:p>
        </w:tc>
        <w:tc>
          <w:tcPr>
            <w:tcW w:w="1886" w:type="pct"/>
            <w:tcMar>
              <w:top w:w="56" w:type="dxa"/>
              <w:left w:w="56" w:type="dxa"/>
              <w:bottom w:w="56" w:type="dxa"/>
              <w:right w:w="56" w:type="dxa"/>
            </w:tcMar>
            <w:hideMark/>
          </w:tcPr>
          <w:p w14:paraId="43FBBCC0"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对帕博西尼的耐药性（与 E2F1 激活相关）</w:t>
            </w:r>
          </w:p>
        </w:tc>
        <w:tc>
          <w:tcPr>
            <w:tcW w:w="316" w:type="pct"/>
            <w:tcMar>
              <w:top w:w="56" w:type="dxa"/>
              <w:left w:w="56" w:type="dxa"/>
              <w:bottom w:w="56" w:type="dxa"/>
              <w:right w:w="56" w:type="dxa"/>
            </w:tcMar>
            <w:hideMark/>
          </w:tcPr>
          <w:p w14:paraId="2B84F34F"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 </w:t>
            </w:r>
            <w:hyperlink r:id="rId100" w:anchor="B60-ijms-23-14534" w:history="1">
              <w:r w:rsidRPr="006760C4">
                <w:rPr>
                  <w:rFonts w:ascii="微软雅黑" w:eastAsia="微软雅黑" w:hAnsi="微软雅黑" w:cs="宋体"/>
                  <w:kern w:val="0"/>
                  <w:sz w:val="24"/>
                  <w:szCs w:val="24"/>
                  <w:u w:val="single"/>
                </w:rPr>
                <w:t>60</w:t>
              </w:r>
            </w:hyperlink>
            <w:r w:rsidRPr="006760C4">
              <w:rPr>
                <w:rFonts w:ascii="微软雅黑" w:eastAsia="微软雅黑" w:hAnsi="微软雅黑" w:cs="宋体"/>
                <w:kern w:val="0"/>
                <w:sz w:val="24"/>
                <w:szCs w:val="24"/>
              </w:rPr>
              <w:t> ]</w:t>
            </w:r>
          </w:p>
        </w:tc>
      </w:tr>
      <w:tr w:rsidR="00412BDA" w:rsidRPr="00412BDA" w14:paraId="7149CB90" w14:textId="77777777" w:rsidTr="006760C4">
        <w:trPr>
          <w:tblCellSpacing w:w="15" w:type="dxa"/>
        </w:trPr>
        <w:tc>
          <w:tcPr>
            <w:tcW w:w="612" w:type="pct"/>
            <w:tcMar>
              <w:top w:w="56" w:type="dxa"/>
              <w:left w:w="56" w:type="dxa"/>
              <w:bottom w:w="56" w:type="dxa"/>
              <w:right w:w="56" w:type="dxa"/>
            </w:tcMar>
            <w:hideMark/>
          </w:tcPr>
          <w:p w14:paraId="3A1D9C2C"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miR-106b</w:t>
            </w:r>
          </w:p>
        </w:tc>
        <w:tc>
          <w:tcPr>
            <w:tcW w:w="1036" w:type="pct"/>
            <w:tcMar>
              <w:top w:w="56" w:type="dxa"/>
              <w:left w:w="56" w:type="dxa"/>
              <w:bottom w:w="56" w:type="dxa"/>
              <w:right w:w="56" w:type="dxa"/>
            </w:tcMar>
            <w:hideMark/>
          </w:tcPr>
          <w:p w14:paraId="1CFD1270"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ER+ BC</w:t>
            </w:r>
          </w:p>
        </w:tc>
        <w:tc>
          <w:tcPr>
            <w:tcW w:w="559" w:type="pct"/>
            <w:tcMar>
              <w:top w:w="56" w:type="dxa"/>
              <w:left w:w="56" w:type="dxa"/>
              <w:bottom w:w="56" w:type="dxa"/>
              <w:right w:w="56" w:type="dxa"/>
            </w:tcMar>
            <w:hideMark/>
          </w:tcPr>
          <w:p w14:paraId="33B90CFC"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帕博西尼</w:t>
            </w:r>
          </w:p>
        </w:tc>
        <w:tc>
          <w:tcPr>
            <w:tcW w:w="497" w:type="pct"/>
            <w:tcMar>
              <w:top w:w="56" w:type="dxa"/>
              <w:left w:w="56" w:type="dxa"/>
              <w:bottom w:w="56" w:type="dxa"/>
              <w:right w:w="56" w:type="dxa"/>
            </w:tcMar>
            <w:hideMark/>
          </w:tcPr>
          <w:p w14:paraId="5D33DF29"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下调</w:t>
            </w:r>
          </w:p>
        </w:tc>
        <w:tc>
          <w:tcPr>
            <w:tcW w:w="1886" w:type="pct"/>
            <w:tcMar>
              <w:top w:w="56" w:type="dxa"/>
              <w:left w:w="56" w:type="dxa"/>
              <w:bottom w:w="56" w:type="dxa"/>
              <w:right w:w="56" w:type="dxa"/>
            </w:tcMar>
            <w:hideMark/>
          </w:tcPr>
          <w:p w14:paraId="2A0509E7"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对帕博西尼的耐药性（MCM7 RB/E2F 表达的调节）</w:t>
            </w:r>
          </w:p>
        </w:tc>
        <w:tc>
          <w:tcPr>
            <w:tcW w:w="316" w:type="pct"/>
            <w:tcMar>
              <w:top w:w="56" w:type="dxa"/>
              <w:left w:w="56" w:type="dxa"/>
              <w:bottom w:w="56" w:type="dxa"/>
              <w:right w:w="56" w:type="dxa"/>
            </w:tcMar>
            <w:hideMark/>
          </w:tcPr>
          <w:p w14:paraId="1E59ACE0"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t>[ </w:t>
            </w:r>
            <w:hyperlink r:id="rId101" w:anchor="B61-ijms-23-14534" w:history="1">
              <w:r w:rsidRPr="006760C4">
                <w:rPr>
                  <w:rFonts w:ascii="微软雅黑" w:eastAsia="微软雅黑" w:hAnsi="微软雅黑" w:cs="宋体"/>
                  <w:kern w:val="0"/>
                  <w:sz w:val="24"/>
                  <w:szCs w:val="24"/>
                  <w:u w:val="single"/>
                </w:rPr>
                <w:t>61</w:t>
              </w:r>
            </w:hyperlink>
            <w:r w:rsidRPr="006760C4">
              <w:rPr>
                <w:rFonts w:ascii="微软雅黑" w:eastAsia="微软雅黑" w:hAnsi="微软雅黑" w:cs="宋体"/>
                <w:kern w:val="0"/>
                <w:sz w:val="24"/>
                <w:szCs w:val="24"/>
              </w:rPr>
              <w:t> ]</w:t>
            </w:r>
          </w:p>
        </w:tc>
      </w:tr>
    </w:tbl>
    <w:p w14:paraId="7A191079" w14:textId="77777777" w:rsidR="006760C4" w:rsidRPr="006760C4" w:rsidRDefault="006760C4" w:rsidP="006760C4">
      <w:pPr>
        <w:widowControl/>
        <w:rPr>
          <w:rFonts w:ascii="微软雅黑" w:eastAsia="微软雅黑" w:hAnsi="微软雅黑" w:cs="宋体"/>
          <w:kern w:val="0"/>
          <w:sz w:val="24"/>
          <w:szCs w:val="24"/>
        </w:rPr>
      </w:pPr>
      <w:r w:rsidRPr="006760C4">
        <w:rPr>
          <w:rFonts w:ascii="微软雅黑" w:eastAsia="微软雅黑" w:hAnsi="微软雅黑" w:cs="宋体"/>
          <w:kern w:val="0"/>
          <w:sz w:val="24"/>
          <w:szCs w:val="24"/>
        </w:rPr>
        <w:lastRenderedPageBreak/>
        <w:t>缩写：BC：乳腺癌；CDK：细胞周期蛋白依赖性激酶；EGF：表皮生长因子；EMT：上皮-间质转化；ER+：雌激素受体阳性；EZH2：增强子组蛋白同源物2；HER2+：人表皮生长因子受体2阳性；MRP-1：多药耐药相关蛋白1；PTEN：磷酸酶和张力蛋白同源物；RB：视网膜母细胞瘤蛋白；SMAD：SMAD家族成员；TGF-β：转化生长因子β；TNBC：三阴性乳腺癌。</w:t>
      </w:r>
    </w:p>
    <w:p w14:paraId="2E99FCBA" w14:textId="77777777" w:rsidR="006760C4" w:rsidRPr="006760C4" w:rsidRDefault="006760C4" w:rsidP="006760C4">
      <w:pPr>
        <w:widowControl/>
        <w:spacing w:line="450" w:lineRule="atLeast"/>
        <w:outlineLvl w:val="2"/>
        <w:rPr>
          <w:rFonts w:ascii="微软雅黑" w:eastAsia="微软雅黑" w:hAnsi="微软雅黑" w:cs="宋体"/>
          <w:kern w:val="0"/>
          <w:sz w:val="32"/>
          <w:szCs w:val="32"/>
        </w:rPr>
      </w:pPr>
      <w:r w:rsidRPr="006760C4">
        <w:rPr>
          <w:rFonts w:ascii="微软雅黑" w:eastAsia="微软雅黑" w:hAnsi="微软雅黑" w:cs="宋体"/>
          <w:kern w:val="0"/>
          <w:sz w:val="32"/>
          <w:szCs w:val="32"/>
        </w:rPr>
        <w:t>4.1. 促进 CDK 4/6 抑制剂敏感性的 miRNA</w:t>
      </w:r>
    </w:p>
    <w:p w14:paraId="64812E54"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miR-326：与侵袭性较低的乳腺癌细胞相比，侵袭性较高的乳腺癌细胞中检测到的 miR-326 水平极低[ </w:t>
      </w:r>
      <w:hyperlink r:id="rId102" w:anchor="B62-ijms-23-14534" w:history="1">
        <w:r w:rsidRPr="006760C4">
          <w:rPr>
            <w:rFonts w:ascii="微软雅黑" w:eastAsia="微软雅黑" w:hAnsi="微软雅黑" w:cs="宋体"/>
            <w:kern w:val="0"/>
            <w:sz w:val="24"/>
            <w:szCs w:val="24"/>
            <w:u w:val="single"/>
          </w:rPr>
          <w:t>62</w:t>
        </w:r>
      </w:hyperlink>
      <w:r w:rsidRPr="006760C4">
        <w:rPr>
          <w:rFonts w:ascii="微软雅黑" w:eastAsia="微软雅黑" w:hAnsi="微软雅黑" w:cs="宋体"/>
          <w:kern w:val="0"/>
          <w:sz w:val="24"/>
          <w:szCs w:val="24"/>
        </w:rPr>
        <w:t> ]。Shang A. 及其同事报道，异位表达 miR-326 对乳腺癌细胞具有中等的抗增殖作用；Baldisseri 研究组也报道了相同的发现（</w:t>
      </w:r>
      <w:r w:rsidRPr="006760C4">
        <w:rPr>
          <w:rFonts w:ascii="微软雅黑" w:eastAsia="微软雅黑" w:hAnsi="微软雅黑" w:cs="宋体"/>
          <w:i/>
          <w:iCs/>
          <w:kern w:val="0"/>
          <w:sz w:val="24"/>
          <w:szCs w:val="24"/>
        </w:rPr>
        <w:t>p</w:t>
      </w:r>
      <w:r w:rsidRPr="006760C4">
        <w:rPr>
          <w:rFonts w:ascii="微软雅黑" w:eastAsia="微软雅黑" w:hAnsi="微软雅黑" w:cs="宋体"/>
          <w:kern w:val="0"/>
          <w:sz w:val="24"/>
          <w:szCs w:val="24"/>
        </w:rPr>
        <w:t xml:space="preserve"> = 0.058），并且与 HER2+ 乳腺癌细胞系对 </w:t>
      </w:r>
      <w:proofErr w:type="spellStart"/>
      <w:r w:rsidRPr="006760C4">
        <w:rPr>
          <w:rFonts w:ascii="微软雅黑" w:eastAsia="微软雅黑" w:hAnsi="微软雅黑" w:cs="宋体"/>
          <w:kern w:val="0"/>
          <w:sz w:val="24"/>
          <w:szCs w:val="24"/>
        </w:rPr>
        <w:t>ribociclib</w:t>
      </w:r>
      <w:proofErr w:type="spellEnd"/>
      <w:r w:rsidRPr="006760C4">
        <w:rPr>
          <w:rFonts w:ascii="微软雅黑" w:eastAsia="微软雅黑" w:hAnsi="微软雅黑" w:cs="宋体"/>
          <w:kern w:val="0"/>
          <w:sz w:val="24"/>
          <w:szCs w:val="24"/>
        </w:rPr>
        <w:t xml:space="preserve"> 的敏感性增加相关[ </w:t>
      </w:r>
      <w:hyperlink r:id="rId103" w:anchor="B56-ijms-23-14534" w:history="1">
        <w:r w:rsidRPr="006760C4">
          <w:rPr>
            <w:rFonts w:ascii="微软雅黑" w:eastAsia="微软雅黑" w:hAnsi="微软雅黑" w:cs="宋体"/>
            <w:kern w:val="0"/>
            <w:sz w:val="24"/>
            <w:szCs w:val="24"/>
            <w:u w:val="single"/>
          </w:rPr>
          <w:t>56</w:t>
        </w:r>
      </w:hyperlink>
      <w:r w:rsidRPr="006760C4">
        <w:rPr>
          <w:rFonts w:ascii="微软雅黑" w:eastAsia="微软雅黑" w:hAnsi="微软雅黑" w:cs="宋体"/>
          <w:kern w:val="0"/>
          <w:sz w:val="24"/>
          <w:szCs w:val="24"/>
        </w:rPr>
        <w:t> , </w:t>
      </w:r>
      <w:hyperlink r:id="rId104" w:anchor="B63-ijms-23-14534" w:history="1">
        <w:r w:rsidRPr="006760C4">
          <w:rPr>
            <w:rFonts w:ascii="微软雅黑" w:eastAsia="微软雅黑" w:hAnsi="微软雅黑" w:cs="宋体"/>
            <w:kern w:val="0"/>
            <w:sz w:val="24"/>
            <w:szCs w:val="24"/>
            <w:u w:val="single"/>
          </w:rPr>
          <w:t>63</w:t>
        </w:r>
      </w:hyperlink>
      <w:r w:rsidRPr="006760C4">
        <w:rPr>
          <w:rFonts w:ascii="微软雅黑" w:eastAsia="微软雅黑" w:hAnsi="微软雅黑" w:cs="宋体"/>
          <w:kern w:val="0"/>
          <w:sz w:val="24"/>
          <w:szCs w:val="24"/>
        </w:rPr>
        <w:t> ]。</w:t>
      </w:r>
    </w:p>
    <w:p w14:paraId="4ADB46A6"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miR-29b-3p：Ji W.及其同事的一项研究揭示了</w:t>
      </w:r>
      <w:proofErr w:type="gramStart"/>
      <w:r w:rsidRPr="006760C4">
        <w:rPr>
          <w:rFonts w:ascii="微软雅黑" w:eastAsia="微软雅黑" w:hAnsi="微软雅黑" w:cs="宋体"/>
          <w:kern w:val="0"/>
          <w:sz w:val="24"/>
          <w:szCs w:val="24"/>
        </w:rPr>
        <w:t>管腔型和</w:t>
      </w:r>
      <w:proofErr w:type="gramEnd"/>
      <w:r w:rsidRPr="006760C4">
        <w:rPr>
          <w:rFonts w:ascii="微软雅黑" w:eastAsia="微软雅黑" w:hAnsi="微软雅黑" w:cs="宋体"/>
          <w:kern w:val="0"/>
          <w:sz w:val="24"/>
          <w:szCs w:val="24"/>
        </w:rPr>
        <w:t>HER2阳性乳腺癌细胞系中存在一条新的c-</w:t>
      </w:r>
      <w:proofErr w:type="spellStart"/>
      <w:r w:rsidRPr="006760C4">
        <w:rPr>
          <w:rFonts w:ascii="微软雅黑" w:eastAsia="微软雅黑" w:hAnsi="微软雅黑" w:cs="宋体"/>
          <w:kern w:val="0"/>
          <w:sz w:val="24"/>
          <w:szCs w:val="24"/>
        </w:rPr>
        <w:t>myc</w:t>
      </w:r>
      <w:proofErr w:type="spellEnd"/>
      <w:r w:rsidRPr="006760C4">
        <w:rPr>
          <w:rFonts w:ascii="微软雅黑" w:eastAsia="微软雅黑" w:hAnsi="微软雅黑" w:cs="宋体"/>
          <w:kern w:val="0"/>
          <w:sz w:val="24"/>
          <w:szCs w:val="24"/>
        </w:rPr>
        <w:t>/miR-29b-3p/CDK6轴[ </w:t>
      </w:r>
      <w:hyperlink r:id="rId105" w:anchor="B57-ijms-23-14534" w:history="1">
        <w:r w:rsidRPr="006760C4">
          <w:rPr>
            <w:rFonts w:ascii="微软雅黑" w:eastAsia="微软雅黑" w:hAnsi="微软雅黑" w:cs="宋体"/>
            <w:kern w:val="0"/>
            <w:sz w:val="24"/>
            <w:szCs w:val="24"/>
            <w:u w:val="single"/>
          </w:rPr>
          <w:t>57</w:t>
        </w:r>
      </w:hyperlink>
      <w:r w:rsidRPr="006760C4">
        <w:rPr>
          <w:rFonts w:ascii="微软雅黑" w:eastAsia="微软雅黑" w:hAnsi="微软雅黑" w:cs="宋体"/>
          <w:kern w:val="0"/>
          <w:sz w:val="24"/>
          <w:szCs w:val="24"/>
        </w:rPr>
        <w:t> ]。miR-29b-3p通过下调乳腺癌细胞中CDK6的表达，诱导细胞周期阻滞并减少上皮-间质转化（EMT），从而发挥抗增殖作用。相应地，miR-29b-3p表达的下调与对CDK4/6抑制剂帕博西尼的耐药性相关。相反，其过表达可使帕博西尼耐药的乳腺癌细胞对帕博西尼敏感，这表明该miRNA在治疗已产生帕博西尼耐药性的癌细胞方面具有潜在的应用价值。</w:t>
      </w:r>
    </w:p>
    <w:p w14:paraId="59322AFD"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 xml:space="preserve">miR-126：CDK 4/6 抑制剂 </w:t>
      </w:r>
      <w:proofErr w:type="spellStart"/>
      <w:r w:rsidRPr="006760C4">
        <w:rPr>
          <w:rFonts w:ascii="微软雅黑" w:eastAsia="微软雅黑" w:hAnsi="微软雅黑" w:cs="宋体"/>
          <w:kern w:val="0"/>
          <w:sz w:val="24"/>
          <w:szCs w:val="24"/>
        </w:rPr>
        <w:t>ribociclib</w:t>
      </w:r>
      <w:proofErr w:type="spellEnd"/>
      <w:r w:rsidRPr="006760C4">
        <w:rPr>
          <w:rFonts w:ascii="微软雅黑" w:eastAsia="微软雅黑" w:hAnsi="微软雅黑" w:cs="宋体"/>
          <w:kern w:val="0"/>
          <w:sz w:val="24"/>
          <w:szCs w:val="24"/>
        </w:rPr>
        <w:t xml:space="preserve"> 与 miR-126 转染联合使用时，显示出增强的抗肿瘤作用。这种 miRNA 可使</w:t>
      </w:r>
      <w:proofErr w:type="gramStart"/>
      <w:r w:rsidRPr="006760C4">
        <w:rPr>
          <w:rFonts w:ascii="微软雅黑" w:eastAsia="微软雅黑" w:hAnsi="微软雅黑" w:cs="宋体"/>
          <w:kern w:val="0"/>
          <w:sz w:val="24"/>
          <w:szCs w:val="24"/>
        </w:rPr>
        <w:t>管腔型和</w:t>
      </w:r>
      <w:proofErr w:type="gramEnd"/>
      <w:r w:rsidRPr="006760C4">
        <w:rPr>
          <w:rFonts w:ascii="微软雅黑" w:eastAsia="微软雅黑" w:hAnsi="微软雅黑" w:cs="宋体"/>
          <w:kern w:val="0"/>
          <w:sz w:val="24"/>
          <w:szCs w:val="24"/>
        </w:rPr>
        <w:t xml:space="preserve"> HER2 阳性乳腺癌细胞对 </w:t>
      </w:r>
      <w:r w:rsidRPr="006760C4">
        <w:rPr>
          <w:rFonts w:ascii="微软雅黑" w:eastAsia="微软雅黑" w:hAnsi="微软雅黑" w:cs="宋体"/>
          <w:kern w:val="0"/>
          <w:sz w:val="24"/>
          <w:szCs w:val="24"/>
        </w:rPr>
        <w:lastRenderedPageBreak/>
        <w:t>CDK 4/6 治疗更加敏感（</w:t>
      </w:r>
      <w:r w:rsidRPr="006760C4">
        <w:rPr>
          <w:rFonts w:ascii="微软雅黑" w:eastAsia="微软雅黑" w:hAnsi="微软雅黑" w:cs="宋体"/>
          <w:i/>
          <w:iCs/>
          <w:kern w:val="0"/>
          <w:sz w:val="24"/>
          <w:szCs w:val="24"/>
        </w:rPr>
        <w:t>p</w:t>
      </w:r>
      <w:r w:rsidRPr="006760C4">
        <w:rPr>
          <w:rFonts w:ascii="微软雅黑" w:eastAsia="微软雅黑" w:hAnsi="微软雅黑" w:cs="宋体"/>
          <w:kern w:val="0"/>
          <w:sz w:val="24"/>
          <w:szCs w:val="24"/>
        </w:rPr>
        <w:t> &lt; 0.005），因为其靶点包括与细胞周期进程、有丝分裂和糖酵解相关的基因 [ </w:t>
      </w:r>
      <w:hyperlink r:id="rId106" w:anchor="B56-ijms-23-14534" w:history="1">
        <w:r w:rsidRPr="006760C4">
          <w:rPr>
            <w:rFonts w:ascii="微软雅黑" w:eastAsia="微软雅黑" w:hAnsi="微软雅黑" w:cs="宋体"/>
            <w:kern w:val="0"/>
            <w:sz w:val="24"/>
            <w:szCs w:val="24"/>
            <w:u w:val="single"/>
          </w:rPr>
          <w:t>56</w:t>
        </w:r>
      </w:hyperlink>
      <w:r w:rsidRPr="006760C4">
        <w:rPr>
          <w:rFonts w:ascii="微软雅黑" w:eastAsia="微软雅黑" w:hAnsi="微软雅黑" w:cs="宋体"/>
          <w:kern w:val="0"/>
          <w:sz w:val="24"/>
          <w:szCs w:val="24"/>
        </w:rPr>
        <w:t> ]。</w:t>
      </w:r>
    </w:p>
    <w:p w14:paraId="74A82032"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miR-3613-3p：Yu Y.及其同事报道，miR-3613-3p在三阴性乳腺癌（TNBC）细胞中发挥抑癌miRNA的作用，其表达似乎下调[ </w:t>
      </w:r>
      <w:hyperlink r:id="rId107" w:anchor="B58-ijms-23-14534" w:history="1">
        <w:r w:rsidRPr="006760C4">
          <w:rPr>
            <w:rFonts w:ascii="微软雅黑" w:eastAsia="微软雅黑" w:hAnsi="微软雅黑" w:cs="宋体"/>
            <w:kern w:val="0"/>
            <w:sz w:val="24"/>
            <w:szCs w:val="24"/>
            <w:u w:val="single"/>
          </w:rPr>
          <w:t>58 ]。该miRNA通过直接调控</w:t>
        </w:r>
      </w:hyperlink>
      <w:r w:rsidRPr="006760C4">
        <w:rPr>
          <w:rFonts w:ascii="微软雅黑" w:eastAsia="微软雅黑" w:hAnsi="微软雅黑" w:cs="宋体"/>
          <w:i/>
          <w:iCs/>
          <w:kern w:val="0"/>
          <w:sz w:val="24"/>
          <w:szCs w:val="24"/>
        </w:rPr>
        <w:t>SMAD2</w:t>
      </w:r>
      <w:r w:rsidRPr="006760C4">
        <w:rPr>
          <w:rFonts w:ascii="微软雅黑" w:eastAsia="微软雅黑" w:hAnsi="微软雅黑" w:cs="宋体"/>
          <w:kern w:val="0"/>
          <w:sz w:val="24"/>
          <w:szCs w:val="24"/>
        </w:rPr>
        <w:t>和</w:t>
      </w:r>
      <w:r w:rsidRPr="006760C4">
        <w:rPr>
          <w:rFonts w:ascii="微软雅黑" w:eastAsia="微软雅黑" w:hAnsi="微软雅黑" w:cs="宋体"/>
          <w:i/>
          <w:iCs/>
          <w:kern w:val="0"/>
          <w:sz w:val="24"/>
          <w:szCs w:val="24"/>
        </w:rPr>
        <w:t>EZH2的</w:t>
      </w:r>
      <w:r w:rsidRPr="006760C4">
        <w:rPr>
          <w:rFonts w:ascii="微软雅黑" w:eastAsia="微软雅黑" w:hAnsi="微软雅黑" w:cs="宋体"/>
          <w:kern w:val="0"/>
          <w:sz w:val="24"/>
          <w:szCs w:val="24"/>
        </w:rPr>
        <w:t>表达发挥作用，SMAD2和EZH2是参与细胞增殖和肿瘤生长的两个重要基因。miR-3613-3p过表达与帕博西尼联合使用可增强TNBC细胞对CDK4/6抑制剂的敏感性，诱导细胞周期阻滞并触发细胞衰老[ </w:t>
      </w:r>
      <w:hyperlink r:id="rId108" w:anchor="B58-ijms-23-14534" w:history="1">
        <w:r w:rsidRPr="006760C4">
          <w:rPr>
            <w:rFonts w:ascii="微软雅黑" w:eastAsia="微软雅黑" w:hAnsi="微软雅黑" w:cs="宋体"/>
            <w:kern w:val="0"/>
            <w:sz w:val="24"/>
            <w:szCs w:val="24"/>
            <w:u w:val="single"/>
          </w:rPr>
          <w:t>58</w:t>
        </w:r>
      </w:hyperlink>
      <w:r w:rsidRPr="006760C4">
        <w:rPr>
          <w:rFonts w:ascii="微软雅黑" w:eastAsia="微软雅黑" w:hAnsi="微软雅黑" w:cs="宋体"/>
          <w:kern w:val="0"/>
          <w:sz w:val="24"/>
          <w:szCs w:val="24"/>
        </w:rPr>
        <w:t> ]。</w:t>
      </w:r>
    </w:p>
    <w:p w14:paraId="70E81AC4" w14:textId="77777777" w:rsidR="006760C4" w:rsidRPr="006760C4" w:rsidRDefault="006760C4" w:rsidP="006760C4">
      <w:pPr>
        <w:widowControl/>
        <w:spacing w:line="450" w:lineRule="atLeast"/>
        <w:outlineLvl w:val="2"/>
        <w:rPr>
          <w:rFonts w:ascii="微软雅黑" w:eastAsia="微软雅黑" w:hAnsi="微软雅黑" w:cs="宋体"/>
          <w:kern w:val="0"/>
          <w:sz w:val="32"/>
          <w:szCs w:val="32"/>
        </w:rPr>
      </w:pPr>
      <w:r w:rsidRPr="006760C4">
        <w:rPr>
          <w:rFonts w:ascii="微软雅黑" w:eastAsia="微软雅黑" w:hAnsi="微软雅黑" w:cs="宋体"/>
          <w:kern w:val="0"/>
          <w:sz w:val="32"/>
          <w:szCs w:val="32"/>
        </w:rPr>
        <w:t>4.2. 促进 CDK 4/6 抑制剂耐药性的 miRNA</w:t>
      </w:r>
    </w:p>
    <w:p w14:paraId="1357D41B"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miR-432-5p：Cornell L.及其同事报道，在对帕博西尼耐药的ER+乳腺癌细胞系中，miR-432-5p的表达增加[ </w:t>
      </w:r>
      <w:hyperlink r:id="rId109" w:anchor="B55-ijms-23-14534" w:history="1">
        <w:r w:rsidRPr="006760C4">
          <w:rPr>
            <w:rFonts w:ascii="微软雅黑" w:eastAsia="微软雅黑" w:hAnsi="微软雅黑" w:cs="宋体"/>
            <w:kern w:val="0"/>
            <w:sz w:val="24"/>
            <w:szCs w:val="24"/>
            <w:u w:val="single"/>
          </w:rPr>
          <w:t>55</w:t>
        </w:r>
      </w:hyperlink>
      <w:r w:rsidRPr="006760C4">
        <w:rPr>
          <w:rFonts w:ascii="微软雅黑" w:eastAsia="微软雅黑" w:hAnsi="微软雅黑" w:cs="宋体"/>
          <w:kern w:val="0"/>
          <w:sz w:val="24"/>
          <w:szCs w:val="24"/>
        </w:rPr>
        <w:t> ]。这些细胞表现出CDK6和CCND1表达增加；此外，通过细胞外信号传导，当亲代细胞与耐药细胞共培养时，亲代细胞也会对帕博西尼产生耐药性。miR-432-5p通过触发CDK6过表达并促进CDK4/6抑制剂耐药性来抑制SMAD4和TGF-β通路[ </w:t>
      </w:r>
      <w:hyperlink r:id="rId110" w:anchor="B59-ijms-23-14534" w:history="1">
        <w:r w:rsidRPr="006760C4">
          <w:rPr>
            <w:rFonts w:ascii="微软雅黑" w:eastAsia="微软雅黑" w:hAnsi="微软雅黑" w:cs="宋体"/>
            <w:kern w:val="0"/>
            <w:sz w:val="24"/>
            <w:szCs w:val="24"/>
            <w:u w:val="single"/>
          </w:rPr>
          <w:t>59</w:t>
        </w:r>
      </w:hyperlink>
      <w:r w:rsidRPr="006760C4">
        <w:rPr>
          <w:rFonts w:ascii="微软雅黑" w:eastAsia="微软雅黑" w:hAnsi="微软雅黑" w:cs="宋体"/>
          <w:kern w:val="0"/>
          <w:sz w:val="24"/>
          <w:szCs w:val="24"/>
        </w:rPr>
        <w:t> ]。</w:t>
      </w:r>
    </w:p>
    <w:p w14:paraId="2B70CFE0"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miR-223：Citron F.及其同事报道，miR-223在</w:t>
      </w:r>
      <w:proofErr w:type="gramStart"/>
      <w:r w:rsidRPr="006760C4">
        <w:rPr>
          <w:rFonts w:ascii="微软雅黑" w:eastAsia="微软雅黑" w:hAnsi="微软雅黑" w:cs="宋体"/>
          <w:kern w:val="0"/>
          <w:sz w:val="24"/>
          <w:szCs w:val="24"/>
        </w:rPr>
        <w:t>管腔型和</w:t>
      </w:r>
      <w:proofErr w:type="gramEnd"/>
      <w:r w:rsidRPr="006760C4">
        <w:rPr>
          <w:rFonts w:ascii="微软雅黑" w:eastAsia="微软雅黑" w:hAnsi="微软雅黑" w:cs="宋体"/>
          <w:kern w:val="0"/>
          <w:sz w:val="24"/>
          <w:szCs w:val="24"/>
        </w:rPr>
        <w:t>HER2阳性乳腺癌细胞中表达下调，且与CDK4/6抑制剂帕博西尼的耐药性相关[ </w:t>
      </w:r>
      <w:hyperlink r:id="rId111" w:anchor="B60-ijms-23-14534" w:history="1">
        <w:r w:rsidRPr="006760C4">
          <w:rPr>
            <w:rFonts w:ascii="微软雅黑" w:eastAsia="微软雅黑" w:hAnsi="微软雅黑" w:cs="宋体"/>
            <w:kern w:val="0"/>
            <w:sz w:val="24"/>
            <w:szCs w:val="24"/>
            <w:u w:val="single"/>
          </w:rPr>
          <w:t>60</w:t>
        </w:r>
      </w:hyperlink>
      <w:r w:rsidRPr="006760C4">
        <w:rPr>
          <w:rFonts w:ascii="微软雅黑" w:eastAsia="微软雅黑" w:hAnsi="微软雅黑" w:cs="宋体"/>
          <w:kern w:val="0"/>
          <w:sz w:val="24"/>
          <w:szCs w:val="24"/>
        </w:rPr>
        <w:t> ]。在癌症发生过程中，E2F1转录因子的激活导致miR-223表达抑制，进而降低患者的总体生存率。Citron团队阐述了他们研究的意义，并提出miR-223可作为CDK4/6抑制剂治疗反应的新型生物标志物[ </w:t>
      </w:r>
      <w:hyperlink r:id="rId112" w:anchor="B60-ijms-23-14534" w:history="1">
        <w:r w:rsidRPr="006760C4">
          <w:rPr>
            <w:rFonts w:ascii="微软雅黑" w:eastAsia="微软雅黑" w:hAnsi="微软雅黑" w:cs="宋体"/>
            <w:kern w:val="0"/>
            <w:sz w:val="24"/>
            <w:szCs w:val="24"/>
            <w:u w:val="single"/>
          </w:rPr>
          <w:t>60</w:t>
        </w:r>
      </w:hyperlink>
      <w:r w:rsidRPr="006760C4">
        <w:rPr>
          <w:rFonts w:ascii="微软雅黑" w:eastAsia="微软雅黑" w:hAnsi="微软雅黑" w:cs="宋体"/>
          <w:kern w:val="0"/>
          <w:sz w:val="24"/>
          <w:szCs w:val="24"/>
        </w:rPr>
        <w:t> ]。</w:t>
      </w:r>
    </w:p>
    <w:p w14:paraId="21E38377"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lastRenderedPageBreak/>
        <w:t>miR-106b：帕博西尼治疗通过调节MCM7 RB/E2F靶基因的表达，经由RB通路下调ER+乳腺癌细胞中miR-106b的表达[ </w:t>
      </w:r>
      <w:hyperlink r:id="rId113" w:anchor="B51-ijms-23-14534" w:history="1">
        <w:r w:rsidRPr="006760C4">
          <w:rPr>
            <w:rFonts w:ascii="微软雅黑" w:eastAsia="微软雅黑" w:hAnsi="微软雅黑" w:cs="宋体"/>
            <w:kern w:val="0"/>
            <w:sz w:val="24"/>
            <w:szCs w:val="24"/>
            <w:u w:val="single"/>
          </w:rPr>
          <w:t>51</w:t>
        </w:r>
      </w:hyperlink>
      <w:r w:rsidRPr="006760C4">
        <w:rPr>
          <w:rFonts w:ascii="微软雅黑" w:eastAsia="微软雅黑" w:hAnsi="微软雅黑" w:cs="宋体"/>
          <w:kern w:val="0"/>
          <w:sz w:val="24"/>
          <w:szCs w:val="24"/>
        </w:rPr>
        <w:t> ]。有趣的是，正如Chen XE及其同事报道的那样，miR-106b的靶基因之一是抑癌基因</w:t>
      </w:r>
      <w:r w:rsidRPr="006760C4">
        <w:rPr>
          <w:rFonts w:ascii="微软雅黑" w:eastAsia="微软雅黑" w:hAnsi="微软雅黑" w:cs="宋体"/>
          <w:i/>
          <w:iCs/>
          <w:kern w:val="0"/>
          <w:sz w:val="24"/>
          <w:szCs w:val="24"/>
        </w:rPr>
        <w:t>PTEN</w:t>
      </w:r>
      <w:r w:rsidRPr="006760C4">
        <w:rPr>
          <w:rFonts w:ascii="微软雅黑" w:eastAsia="微软雅黑" w:hAnsi="微软雅黑" w:cs="宋体"/>
          <w:kern w:val="0"/>
          <w:sz w:val="24"/>
          <w:szCs w:val="24"/>
        </w:rPr>
        <w:t>，而帕博西尼治疗后PTEN表达上调[ </w:t>
      </w:r>
      <w:hyperlink r:id="rId114" w:anchor="B64-ijms-23-14534" w:history="1">
        <w:r w:rsidRPr="006760C4">
          <w:rPr>
            <w:rFonts w:ascii="微软雅黑" w:eastAsia="微软雅黑" w:hAnsi="微软雅黑" w:cs="宋体"/>
            <w:kern w:val="0"/>
            <w:sz w:val="24"/>
            <w:szCs w:val="24"/>
            <w:u w:val="single"/>
          </w:rPr>
          <w:t>64</w:t>
        </w:r>
      </w:hyperlink>
      <w:r w:rsidRPr="006760C4">
        <w:rPr>
          <w:rFonts w:ascii="微软雅黑" w:eastAsia="微软雅黑" w:hAnsi="微软雅黑" w:cs="宋体"/>
          <w:kern w:val="0"/>
          <w:sz w:val="24"/>
          <w:szCs w:val="24"/>
        </w:rPr>
        <w:t> ]。</w:t>
      </w:r>
    </w:p>
    <w:p w14:paraId="303743D3"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基于上述证据，识别miRNA的特定表达模式可能是研究肿瘤对CDK4/6抑制剂反应并将其作为新型生物标志物的一种有前景的方法。由于miRNA具有抗降解性，且以循环miRNA的形式存在于体液中，因此它们是一种创新且强大的非侵入性工具，易于使用和实施，尤其是在液体活检技术取得最新进展的背景下[ </w:t>
      </w:r>
      <w:hyperlink r:id="rId115" w:anchor="B40-ijms-23-14534" w:history="1">
        <w:r w:rsidRPr="006760C4">
          <w:rPr>
            <w:rFonts w:ascii="微软雅黑" w:eastAsia="微软雅黑" w:hAnsi="微软雅黑" w:cs="宋体"/>
            <w:kern w:val="0"/>
            <w:sz w:val="24"/>
            <w:szCs w:val="24"/>
            <w:u w:val="single"/>
          </w:rPr>
          <w:t>40</w:t>
        </w:r>
      </w:hyperlink>
      <w:r w:rsidRPr="006760C4">
        <w:rPr>
          <w:rFonts w:ascii="微软雅黑" w:eastAsia="微软雅黑" w:hAnsi="微软雅黑" w:cs="宋体"/>
          <w:kern w:val="0"/>
          <w:sz w:val="24"/>
          <w:szCs w:val="24"/>
        </w:rPr>
        <w:t> ]。此外，与蛋白质编码基因不同，非编码RNA已被证实具有严格的谱系特异性；因此，它们的表达可能决定细胞表型，从而有助于识别对CDK抑制剂耐药的特定肿瘤亚群[ </w:t>
      </w:r>
      <w:hyperlink r:id="rId116" w:anchor="B65-ijms-23-14534" w:history="1">
        <w:r w:rsidRPr="006760C4">
          <w:rPr>
            <w:rFonts w:ascii="微软雅黑" w:eastAsia="微软雅黑" w:hAnsi="微软雅黑" w:cs="宋体"/>
            <w:kern w:val="0"/>
            <w:sz w:val="24"/>
            <w:szCs w:val="24"/>
            <w:u w:val="single"/>
          </w:rPr>
          <w:t>65</w:t>
        </w:r>
      </w:hyperlink>
      <w:r w:rsidRPr="006760C4">
        <w:rPr>
          <w:rFonts w:ascii="微软雅黑" w:eastAsia="微软雅黑" w:hAnsi="微软雅黑" w:cs="宋体"/>
          <w:kern w:val="0"/>
          <w:sz w:val="24"/>
          <w:szCs w:val="24"/>
        </w:rPr>
        <w:t> ]。</w:t>
      </w:r>
    </w:p>
    <w:p w14:paraId="5331B617" w14:textId="77777777" w:rsidR="006760C4" w:rsidRPr="006760C4" w:rsidRDefault="006760C4" w:rsidP="006760C4">
      <w:pPr>
        <w:widowControl/>
        <w:pBdr>
          <w:bottom w:val="single" w:sz="6" w:space="0" w:color="97B1C8"/>
        </w:pBdr>
        <w:spacing w:line="450" w:lineRule="atLeast"/>
        <w:outlineLvl w:val="1"/>
        <w:rPr>
          <w:rFonts w:ascii="微软雅黑" w:eastAsia="微软雅黑" w:hAnsi="微软雅黑" w:cs="宋体"/>
          <w:kern w:val="0"/>
          <w:sz w:val="34"/>
          <w:szCs w:val="34"/>
        </w:rPr>
      </w:pPr>
      <w:r w:rsidRPr="006760C4">
        <w:rPr>
          <w:rFonts w:ascii="微软雅黑" w:eastAsia="微软雅黑" w:hAnsi="微软雅黑" w:cs="宋体"/>
          <w:kern w:val="0"/>
          <w:sz w:val="34"/>
          <w:szCs w:val="34"/>
        </w:rPr>
        <w:t>5. CDK4/6抑制剂在三阴性乳腺癌中的应用及耐药机制的进一步探讨</w:t>
      </w:r>
    </w:p>
    <w:p w14:paraId="3523724A"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三阴性乳腺癌（TNBC）是一种异质性疾病[ </w:t>
      </w:r>
      <w:hyperlink r:id="rId117" w:anchor="B66-ijms-23-14534" w:history="1">
        <w:r w:rsidRPr="006760C4">
          <w:rPr>
            <w:rFonts w:ascii="微软雅黑" w:eastAsia="微软雅黑" w:hAnsi="微软雅黑" w:cs="宋体"/>
            <w:kern w:val="0"/>
            <w:sz w:val="24"/>
            <w:szCs w:val="24"/>
            <w:u w:val="single"/>
          </w:rPr>
          <w:t>66</w:t>
        </w:r>
      </w:hyperlink>
      <w:r w:rsidRPr="006760C4">
        <w:rPr>
          <w:rFonts w:ascii="微软雅黑" w:eastAsia="微软雅黑" w:hAnsi="微软雅黑" w:cs="宋体"/>
          <w:kern w:val="0"/>
          <w:sz w:val="24"/>
          <w:szCs w:val="24"/>
        </w:rPr>
        <w:t> ]，约占乳腺癌病例的15%，与其他乳腺癌亚型相比，其远处转移发生率更高，预后更差。这些特点，加上缺乏</w:t>
      </w:r>
      <w:proofErr w:type="gramStart"/>
      <w:r w:rsidRPr="006760C4">
        <w:rPr>
          <w:rFonts w:ascii="微软雅黑" w:eastAsia="微软雅黑" w:hAnsi="微软雅黑" w:cs="宋体"/>
          <w:kern w:val="0"/>
          <w:sz w:val="24"/>
          <w:szCs w:val="24"/>
        </w:rPr>
        <w:t>可靶向</w:t>
      </w:r>
      <w:proofErr w:type="gramEnd"/>
      <w:r w:rsidRPr="006760C4">
        <w:rPr>
          <w:rFonts w:ascii="微软雅黑" w:eastAsia="微软雅黑" w:hAnsi="微软雅黑" w:cs="宋体"/>
          <w:kern w:val="0"/>
          <w:sz w:val="24"/>
          <w:szCs w:val="24"/>
        </w:rPr>
        <w:t>的受体（如HR和HER2），使得TNBC的治疗在大多数情况下极具挑战性[ </w:t>
      </w:r>
      <w:hyperlink r:id="rId118" w:anchor="B67-ijms-23-14534" w:history="1">
        <w:r w:rsidRPr="006760C4">
          <w:rPr>
            <w:rFonts w:ascii="微软雅黑" w:eastAsia="微软雅黑" w:hAnsi="微软雅黑" w:cs="宋体"/>
            <w:kern w:val="0"/>
            <w:sz w:val="24"/>
            <w:szCs w:val="24"/>
            <w:u w:val="single"/>
          </w:rPr>
          <w:t>67</w:t>
        </w:r>
      </w:hyperlink>
      <w:r w:rsidRPr="006760C4">
        <w:rPr>
          <w:rFonts w:ascii="微软雅黑" w:eastAsia="微软雅黑" w:hAnsi="微软雅黑" w:cs="宋体"/>
          <w:kern w:val="0"/>
          <w:sz w:val="24"/>
          <w:szCs w:val="24"/>
        </w:rPr>
        <w:t> ]，因此迫切需要新的治疗方案。CDK4/6抑制剂在HR+/HER2-乳腺癌中取得的显著临床疗效及其作用机制，使其成为治疗TNBC的理想选择。CDK4/6抑制剂发挥作用需要RB1蛋白的参与，因为后者通过促进RB1蛋白保持未磷酸化状态来阻断G1/S期细胞周期转换。 Finn等人的一项著名研究表明，与HR+细胞相比，TNBC细胞系对帕博西尼的敏感性较低[ </w:t>
      </w:r>
      <w:hyperlink r:id="rId119" w:anchor="B12-ijms-23-14534" w:history="1">
        <w:r w:rsidRPr="006760C4">
          <w:rPr>
            <w:rFonts w:ascii="微软雅黑" w:eastAsia="微软雅黑" w:hAnsi="微软雅黑" w:cs="宋体"/>
            <w:kern w:val="0"/>
            <w:sz w:val="24"/>
            <w:szCs w:val="24"/>
            <w:u w:val="single"/>
          </w:rPr>
          <w:t>12</w:t>
        </w:r>
      </w:hyperlink>
      <w:r w:rsidRPr="006760C4">
        <w:rPr>
          <w:rFonts w:ascii="微软雅黑" w:eastAsia="微软雅黑" w:hAnsi="微软雅黑" w:cs="宋体"/>
          <w:kern w:val="0"/>
          <w:sz w:val="24"/>
          <w:szCs w:val="24"/>
        </w:rPr>
        <w:t> ]。随后，一项更细致的</w:t>
      </w:r>
      <w:r w:rsidRPr="006760C4">
        <w:rPr>
          <w:rFonts w:ascii="微软雅黑" w:eastAsia="微软雅黑" w:hAnsi="微软雅黑" w:cs="宋体"/>
          <w:kern w:val="0"/>
          <w:sz w:val="24"/>
          <w:szCs w:val="24"/>
        </w:rPr>
        <w:lastRenderedPageBreak/>
        <w:t>研究采用单细胞分析，检测了帕博西尼和瑞博西尼对12种TNBC细胞系的活性，这些细胞系包括早期基因谱分析研究中鉴定的所有亚组，即基底样细胞、管腔雄激素受体（AR）样细胞（LAR）、间充质细胞（MES）和间充质干细胞样细胞（MSL）。结果显示，LAR细胞系对药物的敏感性高于基底样细胞和MES细胞系，这一结果也在异种移植模型中得到证实[ </w:t>
      </w:r>
      <w:hyperlink r:id="rId120" w:anchor="B13-ijms-23-14534" w:history="1">
        <w:r w:rsidRPr="006760C4">
          <w:rPr>
            <w:rFonts w:ascii="微软雅黑" w:eastAsia="微软雅黑" w:hAnsi="微软雅黑" w:cs="宋体"/>
            <w:kern w:val="0"/>
            <w:sz w:val="24"/>
            <w:szCs w:val="24"/>
            <w:u w:val="single"/>
          </w:rPr>
          <w:t>13</w:t>
        </w:r>
      </w:hyperlink>
      <w:r w:rsidRPr="006760C4">
        <w:rPr>
          <w:rFonts w:ascii="微软雅黑" w:eastAsia="微软雅黑" w:hAnsi="微软雅黑" w:cs="宋体"/>
          <w:kern w:val="0"/>
          <w:sz w:val="24"/>
          <w:szCs w:val="24"/>
        </w:rPr>
        <w:t> ]。对这些发现的最佳解释是，RB1的缺失（可永久性地解除E2F抑制）在基底样TNBC中较为常见，但在LAR亚组中则不然[ </w:t>
      </w:r>
      <w:hyperlink r:id="rId121" w:anchor="B68-ijms-23-14534" w:history="1">
        <w:r w:rsidRPr="006760C4">
          <w:rPr>
            <w:rFonts w:ascii="微软雅黑" w:eastAsia="微软雅黑" w:hAnsi="微软雅黑" w:cs="宋体"/>
            <w:kern w:val="0"/>
            <w:sz w:val="24"/>
            <w:szCs w:val="24"/>
            <w:u w:val="single"/>
          </w:rPr>
          <w:t>68</w:t>
        </w:r>
      </w:hyperlink>
      <w:r w:rsidRPr="006760C4">
        <w:rPr>
          <w:rFonts w:ascii="微软雅黑" w:eastAsia="微软雅黑" w:hAnsi="微软雅黑" w:cs="宋体"/>
          <w:kern w:val="0"/>
          <w:sz w:val="24"/>
          <w:szCs w:val="24"/>
        </w:rPr>
        <w:t> ]。此外，基底样、MES 和 MSL 亚组更常表现出与 TNBC 相关的典型基因组改变，这可能解释了 CDK4/6 耐药性，例如细胞周期蛋白 E1 扩增、</w:t>
      </w:r>
      <w:r w:rsidRPr="006760C4">
        <w:rPr>
          <w:rFonts w:ascii="微软雅黑" w:eastAsia="微软雅黑" w:hAnsi="微软雅黑" w:cs="宋体"/>
          <w:i/>
          <w:iCs/>
          <w:kern w:val="0"/>
          <w:sz w:val="24"/>
          <w:szCs w:val="24"/>
        </w:rPr>
        <w:t>TP53</w:t>
      </w:r>
      <w:r w:rsidRPr="006760C4">
        <w:rPr>
          <w:rFonts w:ascii="微软雅黑" w:eastAsia="微软雅黑" w:hAnsi="微软雅黑" w:cs="宋体"/>
          <w:kern w:val="0"/>
          <w:sz w:val="24"/>
          <w:szCs w:val="24"/>
        </w:rPr>
        <w:t>突变和 CDKN2A 表达增加 [ </w:t>
      </w:r>
      <w:hyperlink r:id="rId122" w:anchor="B69-ijms-23-14534" w:history="1">
        <w:r w:rsidRPr="006760C4">
          <w:rPr>
            <w:rFonts w:ascii="微软雅黑" w:eastAsia="微软雅黑" w:hAnsi="微软雅黑" w:cs="宋体"/>
            <w:kern w:val="0"/>
            <w:sz w:val="24"/>
            <w:szCs w:val="24"/>
            <w:u w:val="single"/>
          </w:rPr>
          <w:t>69</w:t>
        </w:r>
      </w:hyperlink>
      <w:r w:rsidRPr="006760C4">
        <w:rPr>
          <w:rFonts w:ascii="微软雅黑" w:eastAsia="微软雅黑" w:hAnsi="微软雅黑" w:cs="宋体"/>
          <w:kern w:val="0"/>
          <w:sz w:val="24"/>
          <w:szCs w:val="24"/>
        </w:rPr>
        <w:t> , </w:t>
      </w:r>
      <w:hyperlink r:id="rId123" w:anchor="B70-ijms-23-14534" w:history="1">
        <w:r w:rsidRPr="006760C4">
          <w:rPr>
            <w:rFonts w:ascii="微软雅黑" w:eastAsia="微软雅黑" w:hAnsi="微软雅黑" w:cs="宋体"/>
            <w:kern w:val="0"/>
            <w:sz w:val="24"/>
            <w:szCs w:val="24"/>
            <w:u w:val="single"/>
          </w:rPr>
          <w:t>70</w:t>
        </w:r>
      </w:hyperlink>
      <w:r w:rsidRPr="006760C4">
        <w:rPr>
          <w:rFonts w:ascii="微软雅黑" w:eastAsia="微软雅黑" w:hAnsi="微软雅黑" w:cs="宋体"/>
          <w:kern w:val="0"/>
          <w:sz w:val="24"/>
          <w:szCs w:val="24"/>
        </w:rPr>
        <w:t> ]。CDK4/6 抑制剂与其他药物的序贯或联合治疗已被研究作为克服 TNBC 耐药性或提高活性的潜在策略。特别是，帕博西尼预处理可提高 TNBC 细胞系对紫杉醇的敏感性 [ </w:t>
      </w:r>
      <w:hyperlink r:id="rId124" w:anchor="B71-ijms-23-14534" w:history="1">
        <w:r w:rsidRPr="006760C4">
          <w:rPr>
            <w:rFonts w:ascii="微软雅黑" w:eastAsia="微软雅黑" w:hAnsi="微软雅黑" w:cs="宋体"/>
            <w:kern w:val="0"/>
            <w:sz w:val="24"/>
            <w:szCs w:val="24"/>
            <w:u w:val="single"/>
          </w:rPr>
          <w:t>71</w:t>
        </w:r>
      </w:hyperlink>
      <w:r w:rsidRPr="006760C4">
        <w:rPr>
          <w:rFonts w:ascii="微软雅黑" w:eastAsia="微软雅黑" w:hAnsi="微软雅黑" w:cs="宋体"/>
          <w:kern w:val="0"/>
          <w:sz w:val="24"/>
          <w:szCs w:val="24"/>
        </w:rPr>
        <w:t> ]，而帕博西尼和</w:t>
      </w:r>
      <w:proofErr w:type="gramStart"/>
      <w:r w:rsidRPr="006760C4">
        <w:rPr>
          <w:rFonts w:ascii="微软雅黑" w:eastAsia="微软雅黑" w:hAnsi="微软雅黑" w:cs="宋体"/>
          <w:kern w:val="0"/>
          <w:sz w:val="24"/>
          <w:szCs w:val="24"/>
        </w:rPr>
        <w:t>恩扎卢胺联合</w:t>
      </w:r>
      <w:proofErr w:type="gramEnd"/>
      <w:r w:rsidRPr="006760C4">
        <w:rPr>
          <w:rFonts w:ascii="微软雅黑" w:eastAsia="微软雅黑" w:hAnsi="微软雅黑" w:cs="宋体"/>
          <w:kern w:val="0"/>
          <w:sz w:val="24"/>
          <w:szCs w:val="24"/>
        </w:rPr>
        <w:t>治疗 AR+ TNBC 细胞系可产生协同增强作用，增强两种药物单独给药时的细胞抑制效果 [ </w:t>
      </w:r>
      <w:hyperlink r:id="rId125" w:anchor="B72-ijms-23-14534" w:history="1">
        <w:r w:rsidRPr="006760C4">
          <w:rPr>
            <w:rFonts w:ascii="微软雅黑" w:eastAsia="微软雅黑" w:hAnsi="微软雅黑" w:cs="宋体"/>
            <w:kern w:val="0"/>
            <w:sz w:val="24"/>
            <w:szCs w:val="24"/>
            <w:u w:val="single"/>
          </w:rPr>
          <w:t>72</w:t>
        </w:r>
      </w:hyperlink>
      <w:r w:rsidRPr="006760C4">
        <w:rPr>
          <w:rFonts w:ascii="微软雅黑" w:eastAsia="微软雅黑" w:hAnsi="微软雅黑" w:cs="宋体"/>
          <w:kern w:val="0"/>
          <w:sz w:val="24"/>
          <w:szCs w:val="24"/>
        </w:rPr>
        <w:t> ]。</w:t>
      </w:r>
    </w:p>
    <w:p w14:paraId="2BE443DF"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 xml:space="preserve">关于 CDK4/6 抑制剂在临床试验中的疗效证据仍然有限。2015 年，一项评估帕博西尼在 37 例乳腺癌患者中安全性的 II 期临床试验显示，4 例三阴性乳腺癌 (TNBC) 患者的无进展生存期 (PFS) 短于 33 例激素受体阳性 (HR+) 乳腺癌患者（1.5 </w:t>
      </w:r>
      <w:proofErr w:type="gramStart"/>
      <w:r w:rsidRPr="006760C4">
        <w:rPr>
          <w:rFonts w:ascii="微软雅黑" w:eastAsia="微软雅黑" w:hAnsi="微软雅黑" w:cs="宋体"/>
          <w:kern w:val="0"/>
          <w:sz w:val="24"/>
          <w:szCs w:val="24"/>
        </w:rPr>
        <w:t>个</w:t>
      </w:r>
      <w:proofErr w:type="gramEnd"/>
      <w:r w:rsidRPr="006760C4">
        <w:rPr>
          <w:rFonts w:ascii="微软雅黑" w:eastAsia="微软雅黑" w:hAnsi="微软雅黑" w:cs="宋体"/>
          <w:kern w:val="0"/>
          <w:sz w:val="24"/>
          <w:szCs w:val="24"/>
        </w:rPr>
        <w:t xml:space="preserve">月 vs. 4.5 </w:t>
      </w:r>
      <w:proofErr w:type="gramStart"/>
      <w:r w:rsidRPr="006760C4">
        <w:rPr>
          <w:rFonts w:ascii="微软雅黑" w:eastAsia="微软雅黑" w:hAnsi="微软雅黑" w:cs="宋体"/>
          <w:kern w:val="0"/>
          <w:sz w:val="24"/>
          <w:szCs w:val="24"/>
        </w:rPr>
        <w:t>个</w:t>
      </w:r>
      <w:proofErr w:type="gramEnd"/>
      <w:r w:rsidRPr="006760C4">
        <w:rPr>
          <w:rFonts w:ascii="微软雅黑" w:eastAsia="微软雅黑" w:hAnsi="微软雅黑" w:cs="宋体"/>
          <w:kern w:val="0"/>
          <w:sz w:val="24"/>
          <w:szCs w:val="24"/>
        </w:rPr>
        <w:t>月）。此后，多项试验开始研究 CDK4/6 抑制剂在 TNBC 中的疗效，其中大部分试验采用联合用药方案。这些试验仍在进行中；例如，一些早期试验正在评估帕博西尼联合比卡鲁胺 ( </w:t>
      </w:r>
      <w:hyperlink r:id="rId126" w:tgtFrame="_blank" w:history="1">
        <w:r w:rsidRPr="006760C4">
          <w:rPr>
            <w:rFonts w:ascii="微软雅黑" w:eastAsia="微软雅黑" w:hAnsi="微软雅黑" w:cs="宋体"/>
            <w:kern w:val="0"/>
            <w:sz w:val="24"/>
            <w:szCs w:val="24"/>
            <w:u w:val="single"/>
          </w:rPr>
          <w:t>NCT02605486</w:t>
        </w:r>
      </w:hyperlink>
      <w:r w:rsidRPr="006760C4">
        <w:rPr>
          <w:rFonts w:ascii="微软雅黑" w:eastAsia="微软雅黑" w:hAnsi="微软雅黑" w:cs="宋体"/>
          <w:kern w:val="0"/>
          <w:sz w:val="24"/>
          <w:szCs w:val="24"/>
        </w:rPr>
        <w:t> )、帕博西尼联合阿</w:t>
      </w:r>
      <w:proofErr w:type="gramStart"/>
      <w:r w:rsidRPr="006760C4">
        <w:rPr>
          <w:rFonts w:ascii="微软雅黑" w:eastAsia="微软雅黑" w:hAnsi="微软雅黑" w:cs="宋体"/>
          <w:kern w:val="0"/>
          <w:sz w:val="24"/>
          <w:szCs w:val="24"/>
        </w:rPr>
        <w:t>维鲁单</w:t>
      </w:r>
      <w:proofErr w:type="gramEnd"/>
      <w:r w:rsidRPr="006760C4">
        <w:rPr>
          <w:rFonts w:ascii="微软雅黑" w:eastAsia="微软雅黑" w:hAnsi="微软雅黑" w:cs="宋体"/>
          <w:kern w:val="0"/>
          <w:sz w:val="24"/>
          <w:szCs w:val="24"/>
        </w:rPr>
        <w:t>抗 ( </w:t>
      </w:r>
      <w:hyperlink r:id="rId127" w:tgtFrame="_blank" w:history="1">
        <w:r w:rsidRPr="006760C4">
          <w:rPr>
            <w:rFonts w:ascii="微软雅黑" w:eastAsia="微软雅黑" w:hAnsi="微软雅黑" w:cs="宋体"/>
            <w:kern w:val="0"/>
            <w:sz w:val="24"/>
            <w:szCs w:val="24"/>
            <w:u w:val="single"/>
          </w:rPr>
          <w:t>NCT04360941</w:t>
        </w:r>
      </w:hyperlink>
      <w:r w:rsidRPr="006760C4">
        <w:rPr>
          <w:rFonts w:ascii="微软雅黑" w:eastAsia="微软雅黑" w:hAnsi="微软雅黑" w:cs="宋体"/>
          <w:kern w:val="0"/>
          <w:sz w:val="24"/>
          <w:szCs w:val="24"/>
        </w:rPr>
        <w:t> ) 以及瑞博西尼联合比卡鲁胺 ( </w:t>
      </w:r>
      <w:hyperlink r:id="rId128" w:tgtFrame="_blank" w:history="1">
        <w:r w:rsidRPr="006760C4">
          <w:rPr>
            <w:rFonts w:ascii="微软雅黑" w:eastAsia="微软雅黑" w:hAnsi="微软雅黑" w:cs="宋体"/>
            <w:kern w:val="0"/>
            <w:sz w:val="24"/>
            <w:szCs w:val="24"/>
            <w:u w:val="single"/>
          </w:rPr>
          <w:t>NCT03090165</w:t>
        </w:r>
      </w:hyperlink>
      <w:r w:rsidRPr="006760C4">
        <w:rPr>
          <w:rFonts w:ascii="微软雅黑" w:eastAsia="微软雅黑" w:hAnsi="微软雅黑" w:cs="宋体"/>
          <w:kern w:val="0"/>
          <w:sz w:val="24"/>
          <w:szCs w:val="24"/>
        </w:rPr>
        <w:t xml:space="preserve"> ) 等联合用药方案。另一项正在进行的有趣的 2 </w:t>
      </w:r>
      <w:proofErr w:type="gramStart"/>
      <w:r w:rsidRPr="006760C4">
        <w:rPr>
          <w:rFonts w:ascii="微软雅黑" w:eastAsia="微软雅黑" w:hAnsi="微软雅黑" w:cs="宋体"/>
          <w:kern w:val="0"/>
          <w:sz w:val="24"/>
          <w:szCs w:val="24"/>
        </w:rPr>
        <w:t>期试验</w:t>
      </w:r>
      <w:proofErr w:type="gramEnd"/>
      <w:r w:rsidRPr="006760C4">
        <w:rPr>
          <w:rFonts w:ascii="微软雅黑" w:eastAsia="微软雅黑" w:hAnsi="微软雅黑" w:cs="宋体"/>
          <w:kern w:val="0"/>
          <w:sz w:val="24"/>
          <w:szCs w:val="24"/>
        </w:rPr>
        <w:t>正在评</w:t>
      </w:r>
      <w:r w:rsidRPr="006760C4">
        <w:rPr>
          <w:rFonts w:ascii="微软雅黑" w:eastAsia="微软雅黑" w:hAnsi="微软雅黑" w:cs="宋体"/>
          <w:kern w:val="0"/>
          <w:sz w:val="24"/>
          <w:szCs w:val="24"/>
        </w:rPr>
        <w:lastRenderedPageBreak/>
        <w:t xml:space="preserve">估单药 </w:t>
      </w:r>
      <w:proofErr w:type="spellStart"/>
      <w:r w:rsidRPr="006760C4">
        <w:rPr>
          <w:rFonts w:ascii="微软雅黑" w:eastAsia="微软雅黑" w:hAnsi="微软雅黑" w:cs="宋体"/>
          <w:kern w:val="0"/>
          <w:sz w:val="24"/>
          <w:szCs w:val="24"/>
        </w:rPr>
        <w:t>abemaciclib</w:t>
      </w:r>
      <w:proofErr w:type="spellEnd"/>
      <w:r w:rsidRPr="006760C4">
        <w:rPr>
          <w:rFonts w:ascii="微软雅黑" w:eastAsia="微软雅黑" w:hAnsi="微软雅黑" w:cs="宋体"/>
          <w:kern w:val="0"/>
          <w:sz w:val="24"/>
          <w:szCs w:val="24"/>
        </w:rPr>
        <w:t xml:space="preserve"> 在 RB1 阳性 TNBC 患者中的安全性 ( </w:t>
      </w:r>
      <w:hyperlink r:id="rId129" w:tgtFrame="_blank" w:history="1">
        <w:r w:rsidRPr="006760C4">
          <w:rPr>
            <w:rFonts w:ascii="微软雅黑" w:eastAsia="微软雅黑" w:hAnsi="微软雅黑" w:cs="宋体"/>
            <w:kern w:val="0"/>
            <w:sz w:val="24"/>
            <w:szCs w:val="24"/>
            <w:u w:val="single"/>
          </w:rPr>
          <w:t>NCT03090165</w:t>
        </w:r>
      </w:hyperlink>
      <w:r w:rsidRPr="006760C4">
        <w:rPr>
          <w:rFonts w:ascii="微软雅黑" w:eastAsia="微软雅黑" w:hAnsi="微软雅黑" w:cs="宋体"/>
          <w:kern w:val="0"/>
          <w:sz w:val="24"/>
          <w:szCs w:val="24"/>
        </w:rPr>
        <w:t> )。</w:t>
      </w:r>
    </w:p>
    <w:p w14:paraId="6F0C8452" w14:textId="77777777" w:rsidR="006760C4" w:rsidRPr="006760C4" w:rsidRDefault="006760C4" w:rsidP="006760C4">
      <w:pPr>
        <w:widowControl/>
        <w:pBdr>
          <w:bottom w:val="single" w:sz="6" w:space="0" w:color="97B1C8"/>
        </w:pBdr>
        <w:spacing w:line="450" w:lineRule="atLeast"/>
        <w:outlineLvl w:val="1"/>
        <w:rPr>
          <w:rFonts w:ascii="微软雅黑" w:eastAsia="微软雅黑" w:hAnsi="微软雅黑" w:cs="宋体"/>
          <w:kern w:val="0"/>
          <w:sz w:val="34"/>
          <w:szCs w:val="34"/>
        </w:rPr>
      </w:pPr>
      <w:r w:rsidRPr="006760C4">
        <w:rPr>
          <w:rFonts w:ascii="微软雅黑" w:eastAsia="微软雅黑" w:hAnsi="微软雅黑" w:cs="宋体"/>
          <w:kern w:val="0"/>
          <w:sz w:val="34"/>
          <w:szCs w:val="34"/>
        </w:rPr>
        <w:t>6. 与 CDK4/6 抑制剂耐药性相关的其他癌症基因组改变</w:t>
      </w:r>
    </w:p>
    <w:p w14:paraId="4E3D347A"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影响 CDK4/6 抑制剂活性的基因组</w:t>
      </w:r>
      <w:proofErr w:type="gramStart"/>
      <w:r w:rsidRPr="006760C4">
        <w:rPr>
          <w:rFonts w:ascii="微软雅黑" w:eastAsia="微软雅黑" w:hAnsi="微软雅黑" w:cs="宋体"/>
          <w:kern w:val="0"/>
          <w:sz w:val="24"/>
          <w:szCs w:val="24"/>
        </w:rPr>
        <w:t>改变谱远不止</w:t>
      </w:r>
      <w:proofErr w:type="gramEnd"/>
      <w:r w:rsidRPr="006760C4">
        <w:rPr>
          <w:rFonts w:ascii="微软雅黑" w:eastAsia="微软雅黑" w:hAnsi="微软雅黑" w:cs="宋体"/>
          <w:kern w:val="0"/>
          <w:sz w:val="24"/>
          <w:szCs w:val="24"/>
        </w:rPr>
        <w:t>液体活检和 microRNA 调控的那些。在这些背景下，一些最相关的突变涉及以下基因：</w:t>
      </w:r>
      <w:r w:rsidRPr="006760C4">
        <w:rPr>
          <w:rFonts w:ascii="微软雅黑" w:eastAsia="微软雅黑" w:hAnsi="微软雅黑" w:cs="宋体"/>
          <w:i/>
          <w:iCs/>
          <w:kern w:val="0"/>
          <w:sz w:val="24"/>
          <w:szCs w:val="24"/>
        </w:rPr>
        <w:t>MLL3</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GPR124</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MAP2K4</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CREBBP</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AURKA</w:t>
      </w:r>
      <w:r w:rsidRPr="006760C4">
        <w:rPr>
          <w:rFonts w:ascii="微软雅黑" w:eastAsia="微软雅黑" w:hAnsi="微软雅黑" w:cs="宋体"/>
          <w:kern w:val="0"/>
          <w:sz w:val="24"/>
          <w:szCs w:val="24"/>
        </w:rPr>
        <w:t>和</w:t>
      </w:r>
      <w:r w:rsidRPr="006760C4">
        <w:rPr>
          <w:rFonts w:ascii="微软雅黑" w:eastAsia="微软雅黑" w:hAnsi="微软雅黑" w:cs="宋体"/>
          <w:i/>
          <w:iCs/>
          <w:kern w:val="0"/>
          <w:sz w:val="24"/>
          <w:szCs w:val="24"/>
        </w:rPr>
        <w:t>PTEN</w:t>
      </w:r>
      <w:r w:rsidRPr="006760C4">
        <w:rPr>
          <w:rFonts w:ascii="微软雅黑" w:eastAsia="微软雅黑" w:hAnsi="微软雅黑" w:cs="宋体"/>
          <w:kern w:val="0"/>
          <w:sz w:val="24"/>
          <w:szCs w:val="24"/>
        </w:rPr>
        <w:t>。其他基因扩增后也会赋予 CDK4/6 抑制剂耐药性，例如</w:t>
      </w:r>
      <w:r w:rsidRPr="006760C4">
        <w:rPr>
          <w:rFonts w:ascii="微软雅黑" w:eastAsia="微软雅黑" w:hAnsi="微软雅黑" w:cs="宋体"/>
          <w:i/>
          <w:iCs/>
          <w:kern w:val="0"/>
          <w:sz w:val="24"/>
          <w:szCs w:val="24"/>
        </w:rPr>
        <w:t>ZNF703</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FGFR1</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MDM2</w:t>
      </w:r>
      <w:r w:rsidRPr="006760C4">
        <w:rPr>
          <w:rFonts w:ascii="微软雅黑" w:eastAsia="微软雅黑" w:hAnsi="微软雅黑" w:cs="宋体"/>
          <w:kern w:val="0"/>
          <w:sz w:val="24"/>
          <w:szCs w:val="24"/>
        </w:rPr>
        <w:t>、</w:t>
      </w:r>
      <w:r w:rsidRPr="006760C4">
        <w:rPr>
          <w:rFonts w:ascii="微软雅黑" w:eastAsia="微软雅黑" w:hAnsi="微软雅黑" w:cs="宋体"/>
          <w:i/>
          <w:iCs/>
          <w:kern w:val="0"/>
          <w:sz w:val="24"/>
          <w:szCs w:val="24"/>
        </w:rPr>
        <w:t>AURKA</w:t>
      </w:r>
      <w:r w:rsidRPr="006760C4">
        <w:rPr>
          <w:rFonts w:ascii="微软雅黑" w:eastAsia="微软雅黑" w:hAnsi="微软雅黑" w:cs="宋体"/>
          <w:kern w:val="0"/>
          <w:sz w:val="24"/>
          <w:szCs w:val="24"/>
        </w:rPr>
        <w:t>和</w:t>
      </w:r>
      <w:r w:rsidRPr="006760C4">
        <w:rPr>
          <w:rFonts w:ascii="微软雅黑" w:eastAsia="微软雅黑" w:hAnsi="微软雅黑" w:cs="宋体"/>
          <w:i/>
          <w:iCs/>
          <w:kern w:val="0"/>
          <w:sz w:val="24"/>
          <w:szCs w:val="24"/>
        </w:rPr>
        <w:t>FRS2</w:t>
      </w:r>
      <w:r w:rsidRPr="006760C4">
        <w:rPr>
          <w:rFonts w:ascii="微软雅黑" w:eastAsia="微软雅黑" w:hAnsi="微软雅黑" w:cs="宋体"/>
          <w:kern w:val="0"/>
          <w:sz w:val="24"/>
          <w:szCs w:val="24"/>
        </w:rPr>
        <w:t> [ </w:t>
      </w:r>
      <w:hyperlink r:id="rId130" w:anchor="B18-ijms-23-14534" w:history="1">
        <w:r w:rsidRPr="006760C4">
          <w:rPr>
            <w:rFonts w:ascii="微软雅黑" w:eastAsia="微软雅黑" w:hAnsi="微软雅黑" w:cs="宋体"/>
            <w:kern w:val="0"/>
            <w:sz w:val="24"/>
            <w:szCs w:val="24"/>
            <w:u w:val="single"/>
          </w:rPr>
          <w:t>18</w:t>
        </w:r>
      </w:hyperlink>
      <w:r w:rsidRPr="006760C4">
        <w:rPr>
          <w:rFonts w:ascii="微软雅黑" w:eastAsia="微软雅黑" w:hAnsi="微软雅黑" w:cs="宋体"/>
          <w:kern w:val="0"/>
          <w:sz w:val="24"/>
          <w:szCs w:val="24"/>
        </w:rPr>
        <w:t> , </w:t>
      </w:r>
      <w:hyperlink r:id="rId131" w:anchor="B29-ijms-23-14534" w:history="1">
        <w:r w:rsidRPr="006760C4">
          <w:rPr>
            <w:rFonts w:ascii="微软雅黑" w:eastAsia="微软雅黑" w:hAnsi="微软雅黑" w:cs="宋体"/>
            <w:kern w:val="0"/>
            <w:sz w:val="24"/>
            <w:szCs w:val="24"/>
            <w:u w:val="single"/>
          </w:rPr>
          <w:t>29</w:t>
        </w:r>
      </w:hyperlink>
      <w:r w:rsidRPr="006760C4">
        <w:rPr>
          <w:rFonts w:ascii="微软雅黑" w:eastAsia="微软雅黑" w:hAnsi="微软雅黑" w:cs="宋体"/>
          <w:kern w:val="0"/>
          <w:sz w:val="24"/>
          <w:szCs w:val="24"/>
        </w:rPr>
        <w:t> ]。这似乎是在液体活检和 microRNA 谱分析中寻找生物标志物时需要考虑的一个特别重要的方面。</w:t>
      </w:r>
    </w:p>
    <w:p w14:paraId="1D12FB5F" w14:textId="77777777" w:rsidR="006760C4" w:rsidRPr="006760C4" w:rsidRDefault="006760C4" w:rsidP="006760C4">
      <w:pPr>
        <w:widowControl/>
        <w:pBdr>
          <w:bottom w:val="single" w:sz="6" w:space="0" w:color="97B1C8"/>
        </w:pBdr>
        <w:spacing w:line="450" w:lineRule="atLeast"/>
        <w:outlineLvl w:val="1"/>
        <w:rPr>
          <w:rFonts w:ascii="微软雅黑" w:eastAsia="微软雅黑" w:hAnsi="微软雅黑" w:cs="宋体"/>
          <w:kern w:val="0"/>
          <w:sz w:val="34"/>
          <w:szCs w:val="34"/>
        </w:rPr>
      </w:pPr>
      <w:r w:rsidRPr="006760C4">
        <w:rPr>
          <w:rFonts w:ascii="微软雅黑" w:eastAsia="微软雅黑" w:hAnsi="微软雅黑" w:cs="宋体"/>
          <w:kern w:val="0"/>
          <w:sz w:val="34"/>
          <w:szCs w:val="34"/>
        </w:rPr>
        <w:t>7. 讨论</w:t>
      </w:r>
    </w:p>
    <w:p w14:paraId="7C423730"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尽管 CDK4/6 抑制剂已成为治疗转移性 HR+/HER2- 乳腺癌的主要手段，但仍存在一些挑战需要克服。绝大多数晚期乳腺癌患者的肿瘤会对这些药物产生获得性耐药；此外，部分患者的肿瘤存在原发性耐药，导致早期进展。精准医疗模式下的癌症患者管理模式要求识别并验证能够预测治疗反应/耐药性的生物标志物，并将其应用于临床实践。</w:t>
      </w:r>
    </w:p>
    <w:p w14:paraId="134C17D0"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本文报告了一项旨在获取 CDK4/6 抑制剂耐药机制最新数据的文献检索结果。所有采用新方法表征这些药物疗效和耐药性预测生物标志物的相关研究均被纳入。我们分析了液体活检和创新生物标志物（例如基因组改变、基因表达和 miRNA 表达）的证据。</w:t>
      </w:r>
    </w:p>
    <w:p w14:paraId="693A4546"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lastRenderedPageBreak/>
        <w:t>我们对现有文献的回顾证实了液体活检在管理接受新型药物治疗的晚期乳腺癌方面的潜力，其结果与其他癌症及其他情况下液体活检所取得的结果相似[ </w:t>
      </w:r>
      <w:hyperlink r:id="rId132" w:anchor="B73-ijms-23-14534" w:history="1">
        <w:r w:rsidRPr="006760C4">
          <w:rPr>
            <w:rFonts w:ascii="微软雅黑" w:eastAsia="微软雅黑" w:hAnsi="微软雅黑" w:cs="宋体"/>
            <w:kern w:val="0"/>
            <w:sz w:val="24"/>
            <w:szCs w:val="24"/>
            <w:u w:val="single"/>
          </w:rPr>
          <w:t>73</w:t>
        </w:r>
      </w:hyperlink>
      <w:r w:rsidRPr="006760C4">
        <w:rPr>
          <w:rFonts w:ascii="微软雅黑" w:eastAsia="微软雅黑" w:hAnsi="微软雅黑" w:cs="宋体"/>
          <w:kern w:val="0"/>
          <w:sz w:val="24"/>
          <w:szCs w:val="24"/>
        </w:rPr>
        <w:t> ]。液体活检对于研究癌症动态至关重要，因为它能够解释癌症的异质性，而癌症异质性是转移性疾病的关键因素，无法完全通过单个转移灶的基因组或蛋白质组学特征来体现。另一方面，我们发现对 CDK4/6 抑制剂的耐药性可以从不同层面来解释，例如细胞周期、DNA 损伤、修复机制、信号通路和肿瘤微环境。大量证据表明，可以从液体活检中提取循环肿瘤 DNA (</w:t>
      </w:r>
      <w:proofErr w:type="spellStart"/>
      <w:r w:rsidRPr="006760C4">
        <w:rPr>
          <w:rFonts w:ascii="微软雅黑" w:eastAsia="微软雅黑" w:hAnsi="微软雅黑" w:cs="宋体"/>
          <w:kern w:val="0"/>
          <w:sz w:val="24"/>
          <w:szCs w:val="24"/>
        </w:rPr>
        <w:t>ct</w:t>
      </w:r>
      <w:proofErr w:type="spellEnd"/>
      <w:r w:rsidRPr="006760C4">
        <w:rPr>
          <w:rFonts w:ascii="微软雅黑" w:eastAsia="微软雅黑" w:hAnsi="微软雅黑" w:cs="宋体"/>
          <w:kern w:val="0"/>
          <w:sz w:val="24"/>
          <w:szCs w:val="24"/>
        </w:rPr>
        <w:t>-DNA) 和循环肿瘤 RNA (</w:t>
      </w:r>
      <w:proofErr w:type="spellStart"/>
      <w:r w:rsidRPr="006760C4">
        <w:rPr>
          <w:rFonts w:ascii="微软雅黑" w:eastAsia="微软雅黑" w:hAnsi="微软雅黑" w:cs="宋体"/>
          <w:kern w:val="0"/>
          <w:sz w:val="24"/>
          <w:szCs w:val="24"/>
        </w:rPr>
        <w:t>cf</w:t>
      </w:r>
      <w:proofErr w:type="spellEnd"/>
      <w:r w:rsidRPr="006760C4">
        <w:rPr>
          <w:rFonts w:ascii="微软雅黑" w:eastAsia="微软雅黑" w:hAnsi="微软雅黑" w:cs="宋体"/>
          <w:kern w:val="0"/>
          <w:sz w:val="24"/>
          <w:szCs w:val="24"/>
        </w:rPr>
        <w:t>-RNA)，并用于寻找特定突变和基因表达失调（通过下一代测序或聚合酶链式反应等传统技术），作为上述所有层面耐药性的生物标志物。</w:t>
      </w:r>
    </w:p>
    <w:p w14:paraId="7B808FE7"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miRNA谱分析有望为接受CDK4/6抑制剂治疗的晚期乳腺癌的生物标志物研究增添新的重要层面。基于其作用机制，量化miRNA的相对失调程度能够反映肿瘤在基因组和</w:t>
      </w:r>
      <w:proofErr w:type="gramStart"/>
      <w:r w:rsidRPr="006760C4">
        <w:rPr>
          <w:rFonts w:ascii="微软雅黑" w:eastAsia="微软雅黑" w:hAnsi="微软雅黑" w:cs="宋体"/>
          <w:kern w:val="0"/>
          <w:sz w:val="24"/>
          <w:szCs w:val="24"/>
        </w:rPr>
        <w:t>转录组</w:t>
      </w:r>
      <w:proofErr w:type="gramEnd"/>
      <w:r w:rsidRPr="006760C4">
        <w:rPr>
          <w:rFonts w:ascii="微软雅黑" w:eastAsia="微软雅黑" w:hAnsi="微软雅黑" w:cs="宋体"/>
          <w:kern w:val="0"/>
          <w:sz w:val="24"/>
          <w:szCs w:val="24"/>
        </w:rPr>
        <w:t>水平之外的本质，从而为目前主要活跃的细胞功能改变提供重要见解。总体而言，现有数据证实了这些小分子在乳腺癌中的多方面潜力，这与其他癌症的研究结果一致[ </w:t>
      </w:r>
      <w:hyperlink r:id="rId133" w:anchor="B74-ijms-23-14534" w:history="1">
        <w:r w:rsidRPr="006760C4">
          <w:rPr>
            <w:rFonts w:ascii="微软雅黑" w:eastAsia="微软雅黑" w:hAnsi="微软雅黑" w:cs="宋体"/>
            <w:kern w:val="0"/>
            <w:sz w:val="24"/>
            <w:szCs w:val="24"/>
            <w:u w:val="single"/>
          </w:rPr>
          <w:t>74</w:t>
        </w:r>
      </w:hyperlink>
      <w:r w:rsidRPr="006760C4">
        <w:rPr>
          <w:rFonts w:ascii="微软雅黑" w:eastAsia="微软雅黑" w:hAnsi="微软雅黑" w:cs="宋体"/>
          <w:kern w:val="0"/>
          <w:sz w:val="24"/>
          <w:szCs w:val="24"/>
        </w:rPr>
        <w:t> , </w:t>
      </w:r>
      <w:hyperlink r:id="rId134" w:anchor="B75-ijms-23-14534" w:history="1">
        <w:r w:rsidRPr="006760C4">
          <w:rPr>
            <w:rFonts w:ascii="微软雅黑" w:eastAsia="微软雅黑" w:hAnsi="微软雅黑" w:cs="宋体"/>
            <w:kern w:val="0"/>
            <w:sz w:val="24"/>
            <w:szCs w:val="24"/>
            <w:u w:val="single"/>
          </w:rPr>
          <w:t>75</w:t>
        </w:r>
      </w:hyperlink>
      <w:r w:rsidRPr="006760C4">
        <w:rPr>
          <w:rFonts w:ascii="微软雅黑" w:eastAsia="微软雅黑" w:hAnsi="微软雅黑" w:cs="宋体"/>
          <w:kern w:val="0"/>
          <w:sz w:val="24"/>
          <w:szCs w:val="24"/>
        </w:rPr>
        <w:t> ]。</w:t>
      </w:r>
    </w:p>
    <w:p w14:paraId="0E1D8C54"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然而，关于miRNA作为CDK4/6抑制剂在晚期乳腺癌中疗效/耐药性预测因子的具体作用，目前大多数证据来自乳腺癌细胞系的临床前研究。特定miRNA的失调似乎会影响乳腺癌细胞系对CDK4/6抑制剂的敏感性/耐药性。在其他肿瘤类型中进行的类似临床前研究也获得了相似的结果。特别是，关于与CDK4/6抑制剂敏感性增加相关的miRNA，可以提及以下miRNA及其相关研究。MIR17HG基因编码一个包含六个miRNA的基因簇，这些</w:t>
      </w:r>
      <w:r w:rsidRPr="006760C4">
        <w:rPr>
          <w:rFonts w:ascii="微软雅黑" w:eastAsia="微软雅黑" w:hAnsi="微软雅黑" w:cs="宋体"/>
          <w:i/>
          <w:iCs/>
          <w:kern w:val="0"/>
          <w:sz w:val="24"/>
          <w:szCs w:val="24"/>
        </w:rPr>
        <w:t>miRNA</w:t>
      </w:r>
      <w:r w:rsidRPr="006760C4">
        <w:rPr>
          <w:rFonts w:ascii="微软雅黑" w:eastAsia="微软雅黑" w:hAnsi="微软雅黑" w:cs="宋体"/>
          <w:kern w:val="0"/>
          <w:sz w:val="24"/>
          <w:szCs w:val="24"/>
        </w:rPr>
        <w:t>已被证明可以提高非典型畸胎瘤样横纹肌瘤（ATRT）对帕博西尼的敏感性。ATRT是一种由</w:t>
      </w:r>
      <w:r w:rsidRPr="006760C4">
        <w:rPr>
          <w:rFonts w:ascii="微软雅黑" w:eastAsia="微软雅黑" w:hAnsi="微软雅黑" w:cs="宋体"/>
          <w:kern w:val="0"/>
          <w:sz w:val="24"/>
          <w:szCs w:val="24"/>
        </w:rPr>
        <w:lastRenderedPageBreak/>
        <w:t>SMARCB1缺陷引起的致命性儿童中枢神经系统恶性肿瘤[ </w:t>
      </w:r>
      <w:hyperlink r:id="rId135" w:anchor="B76-ijms-23-14534" w:history="1">
        <w:r w:rsidRPr="006760C4">
          <w:rPr>
            <w:rFonts w:ascii="微软雅黑" w:eastAsia="微软雅黑" w:hAnsi="微软雅黑" w:cs="宋体"/>
            <w:kern w:val="0"/>
            <w:sz w:val="24"/>
            <w:szCs w:val="24"/>
            <w:u w:val="single"/>
          </w:rPr>
          <w:t>76</w:t>
        </w:r>
      </w:hyperlink>
      <w:r w:rsidRPr="006760C4">
        <w:rPr>
          <w:rFonts w:ascii="微软雅黑" w:eastAsia="微软雅黑" w:hAnsi="微软雅黑" w:cs="宋体"/>
          <w:kern w:val="0"/>
          <w:sz w:val="24"/>
          <w:szCs w:val="24"/>
        </w:rPr>
        <w:t> , </w:t>
      </w:r>
      <w:hyperlink r:id="rId136" w:anchor="B77-ijms-23-14534" w:history="1">
        <w:r w:rsidRPr="006760C4">
          <w:rPr>
            <w:rFonts w:ascii="微软雅黑" w:eastAsia="微软雅黑" w:hAnsi="微软雅黑" w:cs="宋体"/>
            <w:kern w:val="0"/>
            <w:sz w:val="24"/>
            <w:szCs w:val="24"/>
            <w:u w:val="single"/>
          </w:rPr>
          <w:t>77</w:t>
        </w:r>
      </w:hyperlink>
      <w:r w:rsidRPr="006760C4">
        <w:rPr>
          <w:rFonts w:ascii="微软雅黑" w:eastAsia="微软雅黑" w:hAnsi="微软雅黑" w:cs="宋体"/>
          <w:kern w:val="0"/>
          <w:sz w:val="24"/>
          <w:szCs w:val="24"/>
        </w:rPr>
        <w:t> ]。这些miRNA负调控细胞周期蛋白D1的表达，从而增强CDK4/6抑制剂的治疗效果。有趣的是，在神经前体胶质母细胞瘤中，由于E2F转录因子与miR-17-92启动子结合，该miRNA</w:t>
      </w:r>
      <w:proofErr w:type="gramStart"/>
      <w:r w:rsidRPr="006760C4">
        <w:rPr>
          <w:rFonts w:ascii="微软雅黑" w:eastAsia="微软雅黑" w:hAnsi="微软雅黑" w:cs="宋体"/>
          <w:kern w:val="0"/>
          <w:sz w:val="24"/>
          <w:szCs w:val="24"/>
        </w:rPr>
        <w:t>簇</w:t>
      </w:r>
      <w:proofErr w:type="gramEnd"/>
      <w:r w:rsidRPr="006760C4">
        <w:rPr>
          <w:rFonts w:ascii="微软雅黑" w:eastAsia="微软雅黑" w:hAnsi="微软雅黑" w:cs="宋体"/>
          <w:kern w:val="0"/>
          <w:sz w:val="24"/>
          <w:szCs w:val="24"/>
        </w:rPr>
        <w:t>表达上调。Li M.及其同事证实，胶质母细胞瘤干细胞样细胞系对</w:t>
      </w:r>
      <w:proofErr w:type="spellStart"/>
      <w:r w:rsidRPr="006760C4">
        <w:rPr>
          <w:rFonts w:ascii="微软雅黑" w:eastAsia="微软雅黑" w:hAnsi="微软雅黑" w:cs="宋体"/>
          <w:kern w:val="0"/>
          <w:sz w:val="24"/>
          <w:szCs w:val="24"/>
        </w:rPr>
        <w:t>ribociclib</w:t>
      </w:r>
      <w:proofErr w:type="spellEnd"/>
      <w:r w:rsidRPr="006760C4">
        <w:rPr>
          <w:rFonts w:ascii="微软雅黑" w:eastAsia="微软雅黑" w:hAnsi="微软雅黑" w:cs="宋体"/>
          <w:kern w:val="0"/>
          <w:sz w:val="24"/>
          <w:szCs w:val="24"/>
        </w:rPr>
        <w:t>和</w:t>
      </w:r>
      <w:proofErr w:type="spellStart"/>
      <w:r w:rsidRPr="006760C4">
        <w:rPr>
          <w:rFonts w:ascii="微软雅黑" w:eastAsia="微软雅黑" w:hAnsi="微软雅黑" w:cs="宋体"/>
          <w:kern w:val="0"/>
          <w:sz w:val="24"/>
          <w:szCs w:val="24"/>
        </w:rPr>
        <w:t>palbociclib</w:t>
      </w:r>
      <w:proofErr w:type="spellEnd"/>
      <w:r w:rsidRPr="006760C4">
        <w:rPr>
          <w:rFonts w:ascii="微软雅黑" w:eastAsia="微软雅黑" w:hAnsi="微软雅黑" w:cs="宋体"/>
          <w:kern w:val="0"/>
          <w:sz w:val="24"/>
          <w:szCs w:val="24"/>
        </w:rPr>
        <w:t>治疗的敏感性增加，并且</w:t>
      </w:r>
      <w:proofErr w:type="spellStart"/>
      <w:r w:rsidRPr="006760C4">
        <w:rPr>
          <w:rFonts w:ascii="微软雅黑" w:eastAsia="微软雅黑" w:hAnsi="微软雅黑" w:cs="宋体"/>
          <w:kern w:val="0"/>
          <w:sz w:val="24"/>
          <w:szCs w:val="24"/>
        </w:rPr>
        <w:t>palbociclib</w:t>
      </w:r>
      <w:proofErr w:type="spellEnd"/>
      <w:r w:rsidRPr="006760C4">
        <w:rPr>
          <w:rFonts w:ascii="微软雅黑" w:eastAsia="微软雅黑" w:hAnsi="微软雅黑" w:cs="宋体"/>
          <w:kern w:val="0"/>
          <w:sz w:val="24"/>
          <w:szCs w:val="24"/>
        </w:rPr>
        <w:t>与N,N-二乙氨基苯甲醛（间充质驱动因子ALDH1A3的抑制剂）联合治疗对细胞增殖具有协同抑制作用[ </w:t>
      </w:r>
      <w:hyperlink r:id="rId137" w:anchor="B78-ijms-23-14534" w:history="1">
        <w:r w:rsidRPr="006760C4">
          <w:rPr>
            <w:rFonts w:ascii="微软雅黑" w:eastAsia="微软雅黑" w:hAnsi="微软雅黑" w:cs="宋体"/>
            <w:kern w:val="0"/>
            <w:sz w:val="24"/>
            <w:szCs w:val="24"/>
            <w:u w:val="single"/>
          </w:rPr>
          <w:t>78</w:t>
        </w:r>
      </w:hyperlink>
      <w:r w:rsidRPr="006760C4">
        <w:rPr>
          <w:rFonts w:ascii="微软雅黑" w:eastAsia="微软雅黑" w:hAnsi="微软雅黑" w:cs="宋体"/>
          <w:kern w:val="0"/>
          <w:sz w:val="24"/>
          <w:szCs w:val="24"/>
        </w:rPr>
        <w:t> ]。另一项研究发现，由于CpG岛甲基化，miR-497在乳腺癌中表达下调[ </w:t>
      </w:r>
      <w:hyperlink r:id="rId138" w:anchor="B79-ijms-23-14534" w:history="1">
        <w:r w:rsidRPr="006760C4">
          <w:rPr>
            <w:rFonts w:ascii="微软雅黑" w:eastAsia="微软雅黑" w:hAnsi="微软雅黑" w:cs="宋体"/>
            <w:kern w:val="0"/>
            <w:sz w:val="24"/>
            <w:szCs w:val="24"/>
            <w:u w:val="single"/>
          </w:rPr>
          <w:t>79</w:t>
        </w:r>
      </w:hyperlink>
      <w:r w:rsidRPr="006760C4">
        <w:rPr>
          <w:rFonts w:ascii="微软雅黑" w:eastAsia="微软雅黑" w:hAnsi="微软雅黑" w:cs="宋体"/>
          <w:kern w:val="0"/>
          <w:sz w:val="24"/>
          <w:szCs w:val="24"/>
        </w:rPr>
        <w:t> ]。该miRNA作为一种抑癌基因发挥作用，因为其过表达会抑制细胞增殖和侵袭。此外，</w:t>
      </w:r>
      <w:proofErr w:type="spellStart"/>
      <w:r w:rsidRPr="006760C4">
        <w:rPr>
          <w:rFonts w:ascii="微软雅黑" w:eastAsia="微软雅黑" w:hAnsi="微软雅黑" w:cs="宋体"/>
          <w:kern w:val="0"/>
          <w:sz w:val="24"/>
          <w:szCs w:val="24"/>
        </w:rPr>
        <w:t>Hoareau-Aveilla</w:t>
      </w:r>
      <w:proofErr w:type="spellEnd"/>
      <w:r w:rsidRPr="006760C4">
        <w:rPr>
          <w:rFonts w:ascii="微软雅黑" w:eastAsia="微软雅黑" w:hAnsi="微软雅黑" w:cs="宋体"/>
          <w:kern w:val="0"/>
          <w:sz w:val="24"/>
          <w:szCs w:val="24"/>
        </w:rPr>
        <w:t xml:space="preserve"> C.及其同事研究了miR-497在NPM-间变性大细胞淋巴瘤（NPM-ALK+ ALCL）细胞中的作用，发现其能够调控细胞周期蛋白E1、CDK6和E2F3的表达。作者证实了NPM-ALK+ ALCL细胞对帕博西尼的敏感性，提示miR-497的下游靶点可用于预测临床疗效[ </w:t>
      </w:r>
      <w:hyperlink r:id="rId139" w:anchor="B80-ijms-23-14534" w:history="1">
        <w:r w:rsidRPr="006760C4">
          <w:rPr>
            <w:rFonts w:ascii="微软雅黑" w:eastAsia="微软雅黑" w:hAnsi="微软雅黑" w:cs="宋体"/>
            <w:kern w:val="0"/>
            <w:sz w:val="24"/>
            <w:szCs w:val="24"/>
            <w:u w:val="single"/>
          </w:rPr>
          <w:t>80</w:t>
        </w:r>
      </w:hyperlink>
      <w:r w:rsidRPr="006760C4">
        <w:rPr>
          <w:rFonts w:ascii="微软雅黑" w:eastAsia="微软雅黑" w:hAnsi="微软雅黑" w:cs="宋体"/>
          <w:kern w:val="0"/>
          <w:sz w:val="24"/>
          <w:szCs w:val="24"/>
        </w:rPr>
        <w:t> ]。此外，另一种miRNA miR-33a作为抑癌基因在细胞代谢中发挥关键作用，已在多种癌症中得到证实，例如肺癌、黑色素瘤和乳腺癌[ </w:t>
      </w:r>
      <w:hyperlink r:id="rId140" w:anchor="B81-ijms-23-14534" w:history="1">
        <w:r w:rsidRPr="006760C4">
          <w:rPr>
            <w:rFonts w:ascii="微软雅黑" w:eastAsia="微软雅黑" w:hAnsi="微软雅黑" w:cs="宋体"/>
            <w:kern w:val="0"/>
            <w:sz w:val="24"/>
            <w:szCs w:val="24"/>
            <w:u w:val="single"/>
          </w:rPr>
          <w:t>81</w:t>
        </w:r>
      </w:hyperlink>
      <w:r w:rsidRPr="006760C4">
        <w:rPr>
          <w:rFonts w:ascii="微软雅黑" w:eastAsia="微软雅黑" w:hAnsi="微软雅黑" w:cs="宋体"/>
          <w:kern w:val="0"/>
          <w:sz w:val="24"/>
          <w:szCs w:val="24"/>
        </w:rPr>
        <w:t> , </w:t>
      </w:r>
      <w:hyperlink r:id="rId141" w:anchor="B82-ijms-23-14534" w:history="1">
        <w:r w:rsidRPr="006760C4">
          <w:rPr>
            <w:rFonts w:ascii="微软雅黑" w:eastAsia="微软雅黑" w:hAnsi="微软雅黑" w:cs="宋体"/>
            <w:kern w:val="0"/>
            <w:sz w:val="24"/>
            <w:szCs w:val="24"/>
            <w:u w:val="single"/>
          </w:rPr>
          <w:t>82</w:t>
        </w:r>
      </w:hyperlink>
      <w:r w:rsidRPr="006760C4">
        <w:rPr>
          <w:rFonts w:ascii="微软雅黑" w:eastAsia="微软雅黑" w:hAnsi="微软雅黑" w:cs="宋体"/>
          <w:kern w:val="0"/>
          <w:sz w:val="24"/>
          <w:szCs w:val="24"/>
        </w:rPr>
        <w:t> , </w:t>
      </w:r>
      <w:hyperlink r:id="rId142" w:anchor="B83-ijms-23-14534" w:history="1">
        <w:r w:rsidRPr="006760C4">
          <w:rPr>
            <w:rFonts w:ascii="微软雅黑" w:eastAsia="微软雅黑" w:hAnsi="微软雅黑" w:cs="宋体"/>
            <w:kern w:val="0"/>
            <w:sz w:val="24"/>
            <w:szCs w:val="24"/>
            <w:u w:val="single"/>
          </w:rPr>
          <w:t>83</w:t>
        </w:r>
      </w:hyperlink>
      <w:r w:rsidRPr="006760C4">
        <w:rPr>
          <w:rFonts w:ascii="微软雅黑" w:eastAsia="微软雅黑" w:hAnsi="微软雅黑" w:cs="宋体"/>
          <w:kern w:val="0"/>
          <w:sz w:val="24"/>
          <w:szCs w:val="24"/>
        </w:rPr>
        <w:t> , </w:t>
      </w:r>
      <w:hyperlink r:id="rId143" w:anchor="B84-ijms-23-14534" w:history="1">
        <w:r w:rsidRPr="006760C4">
          <w:rPr>
            <w:rFonts w:ascii="微软雅黑" w:eastAsia="微软雅黑" w:hAnsi="微软雅黑" w:cs="宋体"/>
            <w:kern w:val="0"/>
            <w:sz w:val="24"/>
            <w:szCs w:val="24"/>
            <w:u w:val="single"/>
          </w:rPr>
          <w:t>84</w:t>
        </w:r>
      </w:hyperlink>
      <w:r w:rsidRPr="006760C4">
        <w:rPr>
          <w:rFonts w:ascii="微软雅黑" w:eastAsia="微软雅黑" w:hAnsi="微软雅黑" w:cs="宋体"/>
          <w:kern w:val="0"/>
          <w:sz w:val="24"/>
          <w:szCs w:val="24"/>
        </w:rPr>
        <w:t> ]。值得注意的是，</w:t>
      </w:r>
      <w:proofErr w:type="spellStart"/>
      <w:r w:rsidRPr="006760C4">
        <w:rPr>
          <w:rFonts w:ascii="微软雅黑" w:eastAsia="微软雅黑" w:hAnsi="微软雅黑" w:cs="宋体"/>
          <w:kern w:val="0"/>
          <w:sz w:val="24"/>
          <w:szCs w:val="24"/>
        </w:rPr>
        <w:t>Rencuzogullari</w:t>
      </w:r>
      <w:proofErr w:type="spellEnd"/>
      <w:r w:rsidRPr="006760C4">
        <w:rPr>
          <w:rFonts w:ascii="微软雅黑" w:eastAsia="微软雅黑" w:hAnsi="微软雅黑" w:cs="宋体"/>
          <w:kern w:val="0"/>
          <w:sz w:val="24"/>
          <w:szCs w:val="24"/>
        </w:rPr>
        <w:t xml:space="preserve"> O.及其同事报道，在胰腺癌中，帕博西尼治疗也是通过上调这种代谢miRNA发挥作用，从而调控AMPK/mTOR信号通路并增强胰腺癌细胞死亡[ </w:t>
      </w:r>
      <w:hyperlink r:id="rId144" w:anchor="B85-ijms-23-14534" w:history="1">
        <w:r w:rsidRPr="006760C4">
          <w:rPr>
            <w:rFonts w:ascii="微软雅黑" w:eastAsia="微软雅黑" w:hAnsi="微软雅黑" w:cs="宋体"/>
            <w:kern w:val="0"/>
            <w:sz w:val="24"/>
            <w:szCs w:val="24"/>
            <w:u w:val="single"/>
          </w:rPr>
          <w:t>85 ]。</w:t>
        </w:r>
      </w:hyperlink>
      <w:r w:rsidRPr="006760C4">
        <w:rPr>
          <w:rFonts w:ascii="微软雅黑" w:eastAsia="微软雅黑" w:hAnsi="微软雅黑" w:cs="宋体"/>
          <w:kern w:val="0"/>
          <w:sz w:val="24"/>
          <w:szCs w:val="24"/>
        </w:rPr>
        <w:t>另一方面，其他研究强调了某些miRNA的表达与不同肿瘤类型中CDK4/6抑制剂耐药性的增加之间的相关性。特别是，</w:t>
      </w:r>
      <w:proofErr w:type="spellStart"/>
      <w:r w:rsidRPr="006760C4">
        <w:rPr>
          <w:rFonts w:ascii="微软雅黑" w:eastAsia="微软雅黑" w:hAnsi="微软雅黑" w:cs="宋体"/>
          <w:kern w:val="0"/>
          <w:sz w:val="24"/>
          <w:szCs w:val="24"/>
        </w:rPr>
        <w:t>Kauloniemi</w:t>
      </w:r>
      <w:proofErr w:type="spellEnd"/>
      <w:r w:rsidRPr="006760C4">
        <w:rPr>
          <w:rFonts w:ascii="微软雅黑" w:eastAsia="微软雅黑" w:hAnsi="微软雅黑" w:cs="宋体"/>
          <w:kern w:val="0"/>
          <w:sz w:val="24"/>
          <w:szCs w:val="24"/>
        </w:rPr>
        <w:t>团队证实，miR-193b在前列腺癌细胞中存在高甲基化，导致靶基因CCND1（编码细胞周期蛋白D1）的表达上调[ </w:t>
      </w:r>
      <w:hyperlink r:id="rId145" w:anchor="B86-ijms-23-14534" w:history="1">
        <w:r w:rsidRPr="006760C4">
          <w:rPr>
            <w:rFonts w:ascii="微软雅黑" w:eastAsia="微软雅黑" w:hAnsi="微软雅黑" w:cs="宋体"/>
            <w:kern w:val="0"/>
            <w:sz w:val="24"/>
            <w:szCs w:val="24"/>
            <w:u w:val="single"/>
          </w:rPr>
          <w:t>86</w:t>
        </w:r>
      </w:hyperlink>
      <w:r w:rsidRPr="006760C4">
        <w:rPr>
          <w:rFonts w:ascii="微软雅黑" w:eastAsia="微软雅黑" w:hAnsi="微软雅黑" w:cs="宋体"/>
          <w:kern w:val="0"/>
          <w:sz w:val="24"/>
          <w:szCs w:val="24"/>
        </w:rPr>
        <w:t> ]。这种miRNA作为肿瘤抑制因子的作用也在其他肿瘤类型中得到证实，例如非小细胞肺癌[ </w:t>
      </w:r>
      <w:hyperlink r:id="rId146" w:anchor="B87-ijms-23-14534" w:history="1">
        <w:r w:rsidRPr="006760C4">
          <w:rPr>
            <w:rFonts w:ascii="微软雅黑" w:eastAsia="微软雅黑" w:hAnsi="微软雅黑" w:cs="宋体"/>
            <w:kern w:val="0"/>
            <w:sz w:val="24"/>
            <w:szCs w:val="24"/>
            <w:u w:val="single"/>
          </w:rPr>
          <w:t>87</w:t>
        </w:r>
      </w:hyperlink>
      <w:r w:rsidRPr="006760C4">
        <w:rPr>
          <w:rFonts w:ascii="微软雅黑" w:eastAsia="微软雅黑" w:hAnsi="微软雅黑" w:cs="宋体"/>
          <w:kern w:val="0"/>
          <w:sz w:val="24"/>
          <w:szCs w:val="24"/>
        </w:rPr>
        <w:t> ]和胃癌[ </w:t>
      </w:r>
      <w:hyperlink r:id="rId147" w:anchor="B88-ijms-23-14534" w:history="1">
        <w:r w:rsidRPr="006760C4">
          <w:rPr>
            <w:rFonts w:ascii="微软雅黑" w:eastAsia="微软雅黑" w:hAnsi="微软雅黑" w:cs="宋体"/>
            <w:kern w:val="0"/>
            <w:sz w:val="24"/>
            <w:szCs w:val="24"/>
            <w:u w:val="single"/>
          </w:rPr>
          <w:t>88</w:t>
        </w:r>
      </w:hyperlink>
      <w:r w:rsidRPr="006760C4">
        <w:rPr>
          <w:rFonts w:ascii="微软雅黑" w:eastAsia="微软雅黑" w:hAnsi="微软雅黑" w:cs="宋体"/>
          <w:kern w:val="0"/>
          <w:sz w:val="24"/>
          <w:szCs w:val="24"/>
        </w:rPr>
        <w:t> ]。有趣的是，前列腺癌细胞中该miRNA的表达水平较低，而细胞周期蛋白D1的表达水平较</w:t>
      </w:r>
      <w:r w:rsidRPr="006760C4">
        <w:rPr>
          <w:rFonts w:ascii="微软雅黑" w:eastAsia="微软雅黑" w:hAnsi="微软雅黑" w:cs="宋体"/>
          <w:kern w:val="0"/>
          <w:sz w:val="24"/>
          <w:szCs w:val="24"/>
        </w:rPr>
        <w:lastRenderedPageBreak/>
        <w:t>高，这有利于肿瘤进展。使用CDK4/6抑制剂治疗显示，在miR-193b表达水平较低的癌细胞中，细胞生长受到抑制。相反，在高水平的 miR-193b 下未观察到显著效应，这凸显了该 miRNA 与 CDK 4/6 抑制剂耐药性的关系 [ </w:t>
      </w:r>
      <w:hyperlink r:id="rId148" w:anchor="B86-ijms-23-14534" w:history="1">
        <w:r w:rsidRPr="006760C4">
          <w:rPr>
            <w:rFonts w:ascii="微软雅黑" w:eastAsia="微软雅黑" w:hAnsi="微软雅黑" w:cs="宋体"/>
            <w:kern w:val="0"/>
            <w:sz w:val="24"/>
            <w:szCs w:val="24"/>
            <w:u w:val="single"/>
          </w:rPr>
          <w:t>86</w:t>
        </w:r>
      </w:hyperlink>
      <w:r w:rsidRPr="006760C4">
        <w:rPr>
          <w:rFonts w:ascii="微软雅黑" w:eastAsia="微软雅黑" w:hAnsi="微软雅黑" w:cs="宋体"/>
          <w:kern w:val="0"/>
          <w:sz w:val="24"/>
          <w:szCs w:val="24"/>
        </w:rPr>
        <w:t> ]。此外，Bustos MA 及其同事报道，在转移性黑色素瘤中，miR-200a 表达降低，这与帕博西尼治疗耐药性相关 [ </w:t>
      </w:r>
      <w:hyperlink r:id="rId149" w:anchor="B89-ijms-23-14534" w:history="1">
        <w:r w:rsidRPr="006760C4">
          <w:rPr>
            <w:rFonts w:ascii="微软雅黑" w:eastAsia="微软雅黑" w:hAnsi="微软雅黑" w:cs="宋体"/>
            <w:kern w:val="0"/>
            <w:sz w:val="24"/>
            <w:szCs w:val="24"/>
            <w:u w:val="single"/>
          </w:rPr>
          <w:t>89</w:t>
        </w:r>
      </w:hyperlink>
      <w:r w:rsidRPr="006760C4">
        <w:rPr>
          <w:rFonts w:ascii="微软雅黑" w:eastAsia="微软雅黑" w:hAnsi="微软雅黑" w:cs="宋体"/>
          <w:kern w:val="0"/>
          <w:sz w:val="24"/>
          <w:szCs w:val="24"/>
        </w:rPr>
        <w:t> ]。正如 Gong 等人在肝细胞癌 (HCC) 中报道的那样，该 miRNA 直接靶向 CDK 6，并且在黑色素瘤癌细胞中，CDK 6 下调诱导了治疗耐药性 [ </w:t>
      </w:r>
      <w:hyperlink r:id="rId150" w:anchor="B89-ijms-23-14534" w:history="1">
        <w:r w:rsidRPr="006760C4">
          <w:rPr>
            <w:rFonts w:ascii="微软雅黑" w:eastAsia="微软雅黑" w:hAnsi="微软雅黑" w:cs="宋体"/>
            <w:kern w:val="0"/>
            <w:sz w:val="24"/>
            <w:szCs w:val="24"/>
            <w:u w:val="single"/>
          </w:rPr>
          <w:t>89</w:t>
        </w:r>
      </w:hyperlink>
      <w:r w:rsidRPr="006760C4">
        <w:rPr>
          <w:rFonts w:ascii="微软雅黑" w:eastAsia="微软雅黑" w:hAnsi="微软雅黑" w:cs="宋体"/>
          <w:kern w:val="0"/>
          <w:sz w:val="24"/>
          <w:szCs w:val="24"/>
        </w:rPr>
        <w:t> , </w:t>
      </w:r>
      <w:hyperlink r:id="rId151" w:anchor="B90-ijms-23-14534" w:history="1">
        <w:r w:rsidRPr="006760C4">
          <w:rPr>
            <w:rFonts w:ascii="微软雅黑" w:eastAsia="微软雅黑" w:hAnsi="微软雅黑" w:cs="宋体"/>
            <w:kern w:val="0"/>
            <w:sz w:val="24"/>
            <w:szCs w:val="24"/>
            <w:u w:val="single"/>
          </w:rPr>
          <w:t>90</w:t>
        </w:r>
      </w:hyperlink>
      <w:r w:rsidRPr="006760C4">
        <w:rPr>
          <w:rFonts w:ascii="微软雅黑" w:eastAsia="微软雅黑" w:hAnsi="微软雅黑" w:cs="宋体"/>
          <w:kern w:val="0"/>
          <w:sz w:val="24"/>
          <w:szCs w:val="24"/>
        </w:rPr>
        <w:t> ]。Kim 等人报道，RNA 结合蛋白 Quaking (QKI) 是一种与内皮细胞成熟和增</w:t>
      </w:r>
      <w:r w:rsidRPr="006760C4">
        <w:rPr>
          <w:rFonts w:ascii="MS Gothic" w:eastAsia="MS Gothic" w:hAnsi="MS Gothic" w:cs="MS Gothic" w:hint="eastAsia"/>
          <w:kern w:val="0"/>
          <w:sz w:val="24"/>
          <w:szCs w:val="24"/>
        </w:rPr>
        <w:t>​​</w:t>
      </w:r>
      <w:proofErr w:type="gramStart"/>
      <w:r w:rsidRPr="006760C4">
        <w:rPr>
          <w:rFonts w:ascii="微软雅黑" w:eastAsia="微软雅黑" w:hAnsi="微软雅黑" w:cs="宋体"/>
          <w:kern w:val="0"/>
          <w:sz w:val="24"/>
          <w:szCs w:val="24"/>
        </w:rPr>
        <w:t>殖</w:t>
      </w:r>
      <w:proofErr w:type="gramEnd"/>
      <w:r w:rsidRPr="006760C4">
        <w:rPr>
          <w:rFonts w:ascii="微软雅黑" w:eastAsia="微软雅黑" w:hAnsi="微软雅黑" w:cs="宋体"/>
          <w:kern w:val="0"/>
          <w:sz w:val="24"/>
          <w:szCs w:val="24"/>
        </w:rPr>
        <w:t>相关的蛋白，在口腔鳞状细胞癌 (OSCC) 中是 miR-200b 的靶标 [ </w:t>
      </w:r>
      <w:hyperlink r:id="rId152" w:anchor="B91-ijms-23-14534" w:history="1">
        <w:r w:rsidRPr="006760C4">
          <w:rPr>
            <w:rFonts w:ascii="微软雅黑" w:eastAsia="微软雅黑" w:hAnsi="微软雅黑" w:cs="宋体"/>
            <w:kern w:val="0"/>
            <w:sz w:val="24"/>
            <w:szCs w:val="24"/>
            <w:u w:val="single"/>
          </w:rPr>
          <w:t>91</w:t>
        </w:r>
      </w:hyperlink>
      <w:r w:rsidRPr="006760C4">
        <w:rPr>
          <w:rFonts w:ascii="微软雅黑" w:eastAsia="微软雅黑" w:hAnsi="微软雅黑" w:cs="宋体"/>
          <w:kern w:val="0"/>
          <w:sz w:val="24"/>
          <w:szCs w:val="24"/>
        </w:rPr>
        <w:t xml:space="preserve"> ]。QKI 通过结合并稳定细胞周期蛋白 D1 mRNA，在 CCND1 </w:t>
      </w:r>
      <w:proofErr w:type="gramStart"/>
      <w:r w:rsidRPr="006760C4">
        <w:rPr>
          <w:rFonts w:ascii="微软雅黑" w:eastAsia="微软雅黑" w:hAnsi="微软雅黑" w:cs="宋体"/>
          <w:kern w:val="0"/>
          <w:sz w:val="24"/>
          <w:szCs w:val="24"/>
        </w:rPr>
        <w:t>介</w:t>
      </w:r>
      <w:proofErr w:type="gramEnd"/>
      <w:r w:rsidRPr="006760C4">
        <w:rPr>
          <w:rFonts w:ascii="微软雅黑" w:eastAsia="微软雅黑" w:hAnsi="微软雅黑" w:cs="宋体"/>
          <w:kern w:val="0"/>
          <w:sz w:val="24"/>
          <w:szCs w:val="24"/>
        </w:rPr>
        <w:t>导的内皮细胞周期进程中发挥作用，从而参与肿瘤血管生成； miR-200b反过来通过负调控QKI表达影响细胞周期进程、血管生成和转移[ </w:t>
      </w:r>
      <w:hyperlink r:id="rId153" w:anchor="B92-ijms-23-14534" w:history="1">
        <w:r w:rsidRPr="006760C4">
          <w:rPr>
            <w:rFonts w:ascii="微软雅黑" w:eastAsia="微软雅黑" w:hAnsi="微软雅黑" w:cs="宋体"/>
            <w:kern w:val="0"/>
            <w:sz w:val="24"/>
            <w:szCs w:val="24"/>
            <w:u w:val="single"/>
          </w:rPr>
          <w:t>92</w:t>
        </w:r>
      </w:hyperlink>
      <w:r w:rsidRPr="006760C4">
        <w:rPr>
          <w:rFonts w:ascii="微软雅黑" w:eastAsia="微软雅黑" w:hAnsi="微软雅黑" w:cs="宋体"/>
          <w:kern w:val="0"/>
          <w:sz w:val="24"/>
          <w:szCs w:val="24"/>
        </w:rPr>
        <w:t> ]。正如Azam SH及其同事所证明的，在肺肿瘤发展过程中，内皮细胞中miR-200b的表达下调，导致QKI表达增加并激活miR-200b/QKI/CCND1通路[ </w:t>
      </w:r>
      <w:hyperlink r:id="rId154" w:anchor="B92-ijms-23-14534" w:history="1">
        <w:r w:rsidRPr="006760C4">
          <w:rPr>
            <w:rFonts w:ascii="微软雅黑" w:eastAsia="微软雅黑" w:hAnsi="微软雅黑" w:cs="宋体"/>
            <w:kern w:val="0"/>
            <w:sz w:val="24"/>
            <w:szCs w:val="24"/>
            <w:u w:val="single"/>
          </w:rPr>
          <w:t>92</w:t>
        </w:r>
      </w:hyperlink>
      <w:r w:rsidRPr="006760C4">
        <w:rPr>
          <w:rFonts w:ascii="微软雅黑" w:eastAsia="微软雅黑" w:hAnsi="微软雅黑" w:cs="宋体"/>
          <w:kern w:val="0"/>
          <w:sz w:val="24"/>
          <w:szCs w:val="24"/>
        </w:rPr>
        <w:t> , </w:t>
      </w:r>
      <w:hyperlink r:id="rId155" w:anchor="B93-ijms-23-14534" w:history="1">
        <w:r w:rsidRPr="006760C4">
          <w:rPr>
            <w:rFonts w:ascii="微软雅黑" w:eastAsia="微软雅黑" w:hAnsi="微软雅黑" w:cs="宋体"/>
            <w:kern w:val="0"/>
            <w:sz w:val="24"/>
            <w:szCs w:val="24"/>
            <w:u w:val="single"/>
          </w:rPr>
          <w:t>93</w:t>
        </w:r>
      </w:hyperlink>
      <w:r w:rsidRPr="006760C4">
        <w:rPr>
          <w:rFonts w:ascii="微软雅黑" w:eastAsia="微软雅黑" w:hAnsi="微软雅黑" w:cs="宋体"/>
          <w:kern w:val="0"/>
          <w:sz w:val="24"/>
          <w:szCs w:val="24"/>
        </w:rPr>
        <w:t> ]。Palbociclib通过破坏miR-200b/QKI/CCND1轴抑制血管生成和肿瘤进展，导致CDK4/6-cyclin D1复合物解离[ </w:t>
      </w:r>
      <w:hyperlink r:id="rId156" w:anchor="B89-ijms-23-14534" w:history="1">
        <w:r w:rsidRPr="006760C4">
          <w:rPr>
            <w:rFonts w:ascii="微软雅黑" w:eastAsia="微软雅黑" w:hAnsi="微软雅黑" w:cs="宋体"/>
            <w:kern w:val="0"/>
            <w:sz w:val="24"/>
            <w:szCs w:val="24"/>
            <w:u w:val="single"/>
          </w:rPr>
          <w:t>89</w:t>
        </w:r>
      </w:hyperlink>
      <w:r w:rsidRPr="006760C4">
        <w:rPr>
          <w:rFonts w:ascii="微软雅黑" w:eastAsia="微软雅黑" w:hAnsi="微软雅黑" w:cs="宋体"/>
          <w:kern w:val="0"/>
          <w:sz w:val="24"/>
          <w:szCs w:val="24"/>
        </w:rPr>
        <w:t> ]。最后，CDK6是let-7a和miR-21的共同下游靶点。多篇已发表的文章报道miR-21负调控CDK6[ </w:t>
      </w:r>
      <w:hyperlink r:id="rId157" w:anchor="B94-ijms-23-14534" w:history="1">
        <w:r w:rsidRPr="006760C4">
          <w:rPr>
            <w:rFonts w:ascii="微软雅黑" w:eastAsia="微软雅黑" w:hAnsi="微软雅黑" w:cs="宋体"/>
            <w:kern w:val="0"/>
            <w:sz w:val="24"/>
            <w:szCs w:val="24"/>
            <w:u w:val="single"/>
          </w:rPr>
          <w:t>94</w:t>
        </w:r>
      </w:hyperlink>
      <w:r w:rsidRPr="006760C4">
        <w:rPr>
          <w:rFonts w:ascii="微软雅黑" w:eastAsia="微软雅黑" w:hAnsi="微软雅黑" w:cs="宋体"/>
          <w:kern w:val="0"/>
          <w:sz w:val="24"/>
          <w:szCs w:val="24"/>
        </w:rPr>
        <w:t> , </w:t>
      </w:r>
      <w:hyperlink r:id="rId158" w:anchor="B95-ijms-23-14534" w:history="1">
        <w:r w:rsidRPr="006760C4">
          <w:rPr>
            <w:rFonts w:ascii="微软雅黑" w:eastAsia="微软雅黑" w:hAnsi="微软雅黑" w:cs="宋体"/>
            <w:kern w:val="0"/>
            <w:sz w:val="24"/>
            <w:szCs w:val="24"/>
            <w:u w:val="single"/>
          </w:rPr>
          <w:t>95] 。</w:t>
        </w:r>
      </w:hyperlink>
      <w:r w:rsidRPr="006760C4">
        <w:rPr>
          <w:rFonts w:ascii="微软雅黑" w:eastAsia="微软雅黑" w:hAnsi="微软雅黑" w:cs="宋体"/>
          <w:kern w:val="0"/>
          <w:sz w:val="24"/>
          <w:szCs w:val="24"/>
        </w:rPr>
        <w:t>Gary JM及其同事在胸腺T细胞急性淋巴细胞白血病/淋巴瘤（T-ALL/LBL）中观察到mTOR-let7a/miR-21/CDK6轴的存在。mTOR抑制后，let-7a和miR-21的表达水平升高，导致CDK6下调，并引发帕博西尼耐药。有趣的是，mTOR抑制通路与帕博西尼联合用药较单独使用时表现出更强的抗肿瘤作用[ </w:t>
      </w:r>
      <w:hyperlink r:id="rId159" w:anchor="B96-ijms-23-14534" w:history="1">
        <w:r w:rsidRPr="006760C4">
          <w:rPr>
            <w:rFonts w:ascii="微软雅黑" w:eastAsia="微软雅黑" w:hAnsi="微软雅黑" w:cs="宋体"/>
            <w:kern w:val="0"/>
            <w:sz w:val="24"/>
            <w:szCs w:val="24"/>
            <w:u w:val="single"/>
          </w:rPr>
          <w:t>96</w:t>
        </w:r>
      </w:hyperlink>
      <w:r w:rsidRPr="006760C4">
        <w:rPr>
          <w:rFonts w:ascii="微软雅黑" w:eastAsia="微软雅黑" w:hAnsi="微软雅黑" w:cs="宋体"/>
          <w:kern w:val="0"/>
          <w:sz w:val="24"/>
          <w:szCs w:val="24"/>
        </w:rPr>
        <w:t> ]。</w:t>
      </w:r>
    </w:p>
    <w:p w14:paraId="1E9D2C4A"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lastRenderedPageBreak/>
        <w:t>总体而言，现有证据表明，将miRNA作为乳腺癌及其他癌症类型中CDK4/6活性的预测性生物标志物的研究尚处于起步阶段。这凸显了设计新研究以充分挖掘miRNA在此领域潜力的迫切需要。此外，由于这些小分子也可在血液和其他体液中检测到，因此miRNA谱分析可以融入到已发挥重要作用的液相活检中[ </w:t>
      </w:r>
      <w:hyperlink r:id="rId160" w:anchor="B62-ijms-23-14534" w:history="1">
        <w:r w:rsidRPr="006760C4">
          <w:rPr>
            <w:rFonts w:ascii="微软雅黑" w:eastAsia="微软雅黑" w:hAnsi="微软雅黑" w:cs="宋体"/>
            <w:kern w:val="0"/>
            <w:sz w:val="24"/>
            <w:szCs w:val="24"/>
            <w:u w:val="single"/>
          </w:rPr>
          <w:t>62</w:t>
        </w:r>
      </w:hyperlink>
      <w:r w:rsidRPr="006760C4">
        <w:rPr>
          <w:rFonts w:ascii="微软雅黑" w:eastAsia="微软雅黑" w:hAnsi="微软雅黑" w:cs="宋体"/>
          <w:kern w:val="0"/>
          <w:sz w:val="24"/>
          <w:szCs w:val="24"/>
        </w:rPr>
        <w:t> ]。多项研究表明，在液相活检中，miRNA谱分析（作为单一生物标志物，以特征谱或与基因组改变和mRNA表达水平的组合形式）无疑可以提高基于液相活检的技术的准确性，这些技术旨在早期诊断癌症复发、量化肿瘤负荷、制定个体化治疗方案和监测疗效[ </w:t>
      </w:r>
      <w:hyperlink r:id="rId161" w:anchor="B97-ijms-23-14534" w:history="1">
        <w:r w:rsidRPr="006760C4">
          <w:rPr>
            <w:rFonts w:ascii="微软雅黑" w:eastAsia="微软雅黑" w:hAnsi="微软雅黑" w:cs="宋体"/>
            <w:kern w:val="0"/>
            <w:sz w:val="24"/>
            <w:szCs w:val="24"/>
            <w:u w:val="single"/>
          </w:rPr>
          <w:t>97</w:t>
        </w:r>
      </w:hyperlink>
      <w:r w:rsidRPr="006760C4">
        <w:rPr>
          <w:rFonts w:ascii="微软雅黑" w:eastAsia="微软雅黑" w:hAnsi="微软雅黑" w:cs="宋体"/>
          <w:kern w:val="0"/>
          <w:sz w:val="24"/>
          <w:szCs w:val="24"/>
        </w:rPr>
        <w:t> , </w:t>
      </w:r>
      <w:hyperlink r:id="rId162" w:anchor="B98-ijms-23-14534" w:history="1">
        <w:r w:rsidRPr="006760C4">
          <w:rPr>
            <w:rFonts w:ascii="微软雅黑" w:eastAsia="微软雅黑" w:hAnsi="微软雅黑" w:cs="宋体"/>
            <w:kern w:val="0"/>
            <w:sz w:val="24"/>
            <w:szCs w:val="24"/>
            <w:u w:val="single"/>
          </w:rPr>
          <w:t>98</w:t>
        </w:r>
      </w:hyperlink>
      <w:r w:rsidRPr="006760C4">
        <w:rPr>
          <w:rFonts w:ascii="微软雅黑" w:eastAsia="微软雅黑" w:hAnsi="微软雅黑" w:cs="宋体"/>
          <w:kern w:val="0"/>
          <w:sz w:val="24"/>
          <w:szCs w:val="24"/>
        </w:rPr>
        <w:t> , </w:t>
      </w:r>
      <w:hyperlink r:id="rId163" w:anchor="B99-ijms-23-14534" w:history="1">
        <w:r w:rsidRPr="006760C4">
          <w:rPr>
            <w:rFonts w:ascii="微软雅黑" w:eastAsia="微软雅黑" w:hAnsi="微软雅黑" w:cs="宋体"/>
            <w:kern w:val="0"/>
            <w:sz w:val="24"/>
            <w:szCs w:val="24"/>
            <w:u w:val="single"/>
          </w:rPr>
          <w:t>99</w:t>
        </w:r>
      </w:hyperlink>
      <w:r w:rsidRPr="006760C4">
        <w:rPr>
          <w:rFonts w:ascii="微软雅黑" w:eastAsia="微软雅黑" w:hAnsi="微软雅黑" w:cs="宋体"/>
          <w:kern w:val="0"/>
          <w:sz w:val="24"/>
          <w:szCs w:val="24"/>
        </w:rPr>
        <w:t> ]。</w:t>
      </w:r>
    </w:p>
    <w:p w14:paraId="0EB8C816"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总而言之，液体活检和 miRNA 在癌症管理中的应用价值的快速发展的证据，促使我们的研究小组设计并开展了一项前瞻性观察研究，该研究即将完成。该研究基于在液体活检中进行 miRNA 分析，并量化接受 CDK4/6 抑制剂治疗的乳腺癌患者的组织水平基因表达的想法。</w:t>
      </w:r>
    </w:p>
    <w:p w14:paraId="61E0A61E"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最后，关于miRNA的另一个方面值得在本篇文献综述中提及，尤其是在旨在预测治疗效果的方法领域。特别是，miRNA因其在治疗层面的潜在应用而备受关注[ </w:t>
      </w:r>
      <w:hyperlink r:id="rId164" w:anchor="B100-ijms-23-14534" w:history="1">
        <w:r w:rsidRPr="006760C4">
          <w:rPr>
            <w:rFonts w:ascii="微软雅黑" w:eastAsia="微软雅黑" w:hAnsi="微软雅黑" w:cs="宋体"/>
            <w:kern w:val="0"/>
            <w:sz w:val="24"/>
            <w:szCs w:val="24"/>
            <w:u w:val="single"/>
          </w:rPr>
          <w:t>100</w:t>
        </w:r>
      </w:hyperlink>
      <w:r w:rsidRPr="006760C4">
        <w:rPr>
          <w:rFonts w:ascii="微软雅黑" w:eastAsia="微软雅黑" w:hAnsi="微软雅黑" w:cs="宋体"/>
          <w:kern w:val="0"/>
          <w:sz w:val="24"/>
          <w:szCs w:val="24"/>
        </w:rPr>
        <w:t> ]。这可能为未来带来新的可能性，尤其是在CDK4/6治疗等领域，疗效/耐药性预测可以转化为这些药物与外源性miRNA的协同组合，从而提高治疗效果。</w:t>
      </w:r>
    </w:p>
    <w:p w14:paraId="0251BA99" w14:textId="77777777" w:rsidR="006760C4" w:rsidRPr="006760C4" w:rsidRDefault="006760C4" w:rsidP="006760C4">
      <w:pPr>
        <w:widowControl/>
        <w:pBdr>
          <w:bottom w:val="single" w:sz="6" w:space="0" w:color="97B1C8"/>
        </w:pBdr>
        <w:spacing w:line="450" w:lineRule="atLeast"/>
        <w:outlineLvl w:val="1"/>
        <w:rPr>
          <w:rFonts w:ascii="微软雅黑" w:eastAsia="微软雅黑" w:hAnsi="微软雅黑" w:cs="宋体"/>
          <w:kern w:val="0"/>
          <w:sz w:val="34"/>
          <w:szCs w:val="34"/>
        </w:rPr>
      </w:pPr>
      <w:r w:rsidRPr="006760C4">
        <w:rPr>
          <w:rFonts w:ascii="微软雅黑" w:eastAsia="微软雅黑" w:hAnsi="微软雅黑" w:cs="宋体"/>
          <w:kern w:val="0"/>
          <w:sz w:val="34"/>
          <w:szCs w:val="34"/>
        </w:rPr>
        <w:t>8. 结论</w:t>
      </w:r>
    </w:p>
    <w:p w14:paraId="14703010"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总之，CDK4/6抑制剂在治疗晚期HR+/HER2-乳腺癌方面展现出的卓越疗效凸显了开发分子生物标志物的必要性，这些标志物有望预测疗效和/或耐药性，并</w:t>
      </w:r>
      <w:r w:rsidRPr="006760C4">
        <w:rPr>
          <w:rFonts w:ascii="微软雅黑" w:eastAsia="微软雅黑" w:hAnsi="微软雅黑" w:cs="宋体"/>
          <w:kern w:val="0"/>
          <w:sz w:val="24"/>
          <w:szCs w:val="24"/>
        </w:rPr>
        <w:lastRenderedPageBreak/>
        <w:t>对患者进行预后分层。基于这些事实，我们撰写了这篇综述，并将文献检索重点放在先进技术（例如液体活检）和新型分子生物标志物（例如miRNA）上。数据显示，液体活检在预测CDK4/6抑制剂疗效/耐药性方面的应用价值目前已得到充分评估，并已发现多种基因组和</w:t>
      </w:r>
      <w:proofErr w:type="gramStart"/>
      <w:r w:rsidRPr="006760C4">
        <w:rPr>
          <w:rFonts w:ascii="微软雅黑" w:eastAsia="微软雅黑" w:hAnsi="微软雅黑" w:cs="宋体"/>
          <w:kern w:val="0"/>
          <w:sz w:val="24"/>
          <w:szCs w:val="24"/>
        </w:rPr>
        <w:t>转录组</w:t>
      </w:r>
      <w:proofErr w:type="gramEnd"/>
      <w:r w:rsidRPr="006760C4">
        <w:rPr>
          <w:rFonts w:ascii="微软雅黑" w:eastAsia="微软雅黑" w:hAnsi="微软雅黑" w:cs="宋体"/>
          <w:kern w:val="0"/>
          <w:sz w:val="24"/>
          <w:szCs w:val="24"/>
        </w:rPr>
        <w:t>生物标志物。相比之下，miRNA在同一领域的研究尚处于起步阶段，但已有证据证实其潜力。这些数据促使我们的研究团队开展了一项前瞻性观察性研究，该研究基于液体活检中的miRNA谱分析和接受CDK4/6抑制剂治疗的患者的肿瘤组织基因表达定量分析，目前已接近完成。</w:t>
      </w:r>
    </w:p>
    <w:p w14:paraId="2EF09D4C" w14:textId="77777777" w:rsidR="006760C4" w:rsidRPr="006760C4" w:rsidRDefault="006760C4" w:rsidP="006760C4">
      <w:pPr>
        <w:widowControl/>
        <w:spacing w:before="450"/>
        <w:rPr>
          <w:rFonts w:ascii="微软雅黑" w:eastAsia="微软雅黑" w:hAnsi="微软雅黑" w:cs="宋体"/>
          <w:kern w:val="0"/>
          <w:sz w:val="24"/>
          <w:szCs w:val="24"/>
        </w:rPr>
      </w:pPr>
      <w:r w:rsidRPr="006760C4">
        <w:rPr>
          <w:rFonts w:ascii="微软雅黑" w:eastAsia="微软雅黑" w:hAnsi="微软雅黑" w:cs="宋体"/>
          <w:kern w:val="0"/>
          <w:sz w:val="24"/>
          <w:szCs w:val="24"/>
        </w:rPr>
        <w:t>迫切需要开展未来转化研究，对临床和患者分子进行精确分层，这将有助于揭示耐药机制的异同，从而确定和利用潜在的弱点，以开发未来可能的联合疗法。</w:t>
      </w:r>
    </w:p>
    <w:p w14:paraId="562ED64D" w14:textId="77777777" w:rsidR="00DF7ED5" w:rsidRPr="00412BDA" w:rsidRDefault="00DF7ED5" w:rsidP="006760C4">
      <w:pPr>
        <w:rPr>
          <w:rFonts w:ascii="微软雅黑" w:eastAsia="微软雅黑" w:hAnsi="微软雅黑"/>
        </w:rPr>
      </w:pPr>
    </w:p>
    <w:sectPr w:rsidR="00DF7ED5" w:rsidRPr="00412BDA">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C548C3"/>
    <w:multiLevelType w:val="multilevel"/>
    <w:tmpl w:val="47C0E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ED5"/>
    <w:rsid w:val="00412BDA"/>
    <w:rsid w:val="006760C4"/>
    <w:rsid w:val="00DF7E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858BE"/>
  <w15:chartTrackingRefBased/>
  <w15:docId w15:val="{9B59FD6F-BC32-4330-A107-39B7B59A8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6760C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6760C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6760C4"/>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760C4"/>
    <w:rPr>
      <w:rFonts w:ascii="宋体" w:eastAsia="宋体" w:hAnsi="宋体" w:cs="宋体"/>
      <w:b/>
      <w:bCs/>
      <w:kern w:val="36"/>
      <w:sz w:val="48"/>
      <w:szCs w:val="48"/>
    </w:rPr>
  </w:style>
  <w:style w:type="character" w:customStyle="1" w:styleId="20">
    <w:name w:val="标题 2 字符"/>
    <w:basedOn w:val="a0"/>
    <w:link w:val="2"/>
    <w:uiPriority w:val="9"/>
    <w:rsid w:val="006760C4"/>
    <w:rPr>
      <w:rFonts w:ascii="宋体" w:eastAsia="宋体" w:hAnsi="宋体" w:cs="宋体"/>
      <w:b/>
      <w:bCs/>
      <w:kern w:val="0"/>
      <w:sz w:val="36"/>
      <w:szCs w:val="36"/>
    </w:rPr>
  </w:style>
  <w:style w:type="character" w:customStyle="1" w:styleId="30">
    <w:name w:val="标题 3 字符"/>
    <w:basedOn w:val="a0"/>
    <w:link w:val="3"/>
    <w:uiPriority w:val="9"/>
    <w:rsid w:val="006760C4"/>
    <w:rPr>
      <w:rFonts w:ascii="宋体" w:eastAsia="宋体" w:hAnsi="宋体" w:cs="宋体"/>
      <w:b/>
      <w:bCs/>
      <w:kern w:val="0"/>
      <w:sz w:val="27"/>
      <w:szCs w:val="27"/>
    </w:rPr>
  </w:style>
  <w:style w:type="paragraph" w:customStyle="1" w:styleId="msonormal0">
    <w:name w:val="msonormal"/>
    <w:basedOn w:val="a"/>
    <w:rsid w:val="006760C4"/>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6760C4"/>
    <w:rPr>
      <w:color w:val="0000FF"/>
      <w:u w:val="single"/>
    </w:rPr>
  </w:style>
  <w:style w:type="character" w:styleId="a4">
    <w:name w:val="FollowedHyperlink"/>
    <w:basedOn w:val="a0"/>
    <w:uiPriority w:val="99"/>
    <w:semiHidden/>
    <w:unhideWhenUsed/>
    <w:rsid w:val="006760C4"/>
    <w:rPr>
      <w:color w:val="800080"/>
      <w:u w:val="single"/>
    </w:rPr>
  </w:style>
  <w:style w:type="character" w:customStyle="1" w:styleId="name">
    <w:name w:val="name"/>
    <w:basedOn w:val="a0"/>
    <w:rsid w:val="006760C4"/>
  </w:style>
  <w:style w:type="paragraph" w:styleId="a5">
    <w:name w:val="Normal (Web)"/>
    <w:basedOn w:val="a"/>
    <w:uiPriority w:val="99"/>
    <w:semiHidden/>
    <w:unhideWhenUsed/>
    <w:rsid w:val="006760C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760C4"/>
    <w:rPr>
      <w:b/>
      <w:bCs/>
    </w:rPr>
  </w:style>
  <w:style w:type="paragraph" w:customStyle="1" w:styleId="img-box">
    <w:name w:val="img-box"/>
    <w:basedOn w:val="a"/>
    <w:rsid w:val="006760C4"/>
    <w:pPr>
      <w:widowControl/>
      <w:spacing w:before="100" w:beforeAutospacing="1" w:after="100" w:afterAutospacing="1"/>
      <w:jc w:val="left"/>
    </w:pPr>
    <w:rPr>
      <w:rFonts w:ascii="宋体" w:eastAsia="宋体" w:hAnsi="宋体" w:cs="宋体"/>
      <w:kern w:val="0"/>
      <w:sz w:val="24"/>
      <w:szCs w:val="24"/>
    </w:rPr>
  </w:style>
  <w:style w:type="character" w:styleId="a7">
    <w:name w:val="Emphasis"/>
    <w:basedOn w:val="a0"/>
    <w:uiPriority w:val="20"/>
    <w:qFormat/>
    <w:rsid w:val="006760C4"/>
    <w:rPr>
      <w:i/>
      <w:iCs/>
    </w:rPr>
  </w:style>
  <w:style w:type="character" w:customStyle="1" w:styleId="font-variant-small-caps">
    <w:name w:val="font-variant-small-caps"/>
    <w:basedOn w:val="a0"/>
    <w:rsid w:val="006760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130868">
      <w:bodyDiv w:val="1"/>
      <w:marLeft w:val="0"/>
      <w:marRight w:val="0"/>
      <w:marTop w:val="0"/>
      <w:marBottom w:val="0"/>
      <w:divBdr>
        <w:top w:val="none" w:sz="0" w:space="0" w:color="auto"/>
        <w:left w:val="none" w:sz="0" w:space="0" w:color="auto"/>
        <w:bottom w:val="none" w:sz="0" w:space="0" w:color="auto"/>
        <w:right w:val="none" w:sz="0" w:space="0" w:color="auto"/>
      </w:divBdr>
      <w:divsChild>
        <w:div w:id="1016930397">
          <w:marLeft w:val="0"/>
          <w:marRight w:val="0"/>
          <w:marTop w:val="0"/>
          <w:marBottom w:val="0"/>
          <w:divBdr>
            <w:top w:val="none" w:sz="0" w:space="0" w:color="auto"/>
            <w:left w:val="none" w:sz="0" w:space="0" w:color="auto"/>
            <w:bottom w:val="none" w:sz="0" w:space="0" w:color="auto"/>
            <w:right w:val="none" w:sz="0" w:space="0" w:color="auto"/>
          </w:divBdr>
          <w:divsChild>
            <w:div w:id="1682049690">
              <w:marLeft w:val="0"/>
              <w:marRight w:val="0"/>
              <w:marTop w:val="225"/>
              <w:marBottom w:val="0"/>
              <w:divBdr>
                <w:top w:val="none" w:sz="0" w:space="0" w:color="auto"/>
                <w:left w:val="none" w:sz="0" w:space="0" w:color="auto"/>
                <w:bottom w:val="none" w:sz="0" w:space="0" w:color="auto"/>
                <w:right w:val="none" w:sz="0" w:space="0" w:color="auto"/>
              </w:divBdr>
            </w:div>
            <w:div w:id="1263993010">
              <w:marLeft w:val="0"/>
              <w:marRight w:val="0"/>
              <w:marTop w:val="225"/>
              <w:marBottom w:val="0"/>
              <w:divBdr>
                <w:top w:val="none" w:sz="0" w:space="0" w:color="auto"/>
                <w:left w:val="none" w:sz="0" w:space="0" w:color="auto"/>
                <w:bottom w:val="none" w:sz="0" w:space="0" w:color="auto"/>
                <w:right w:val="none" w:sz="0" w:space="0" w:color="auto"/>
              </w:divBdr>
            </w:div>
            <w:div w:id="370688139">
              <w:marLeft w:val="0"/>
              <w:marRight w:val="0"/>
              <w:marTop w:val="0"/>
              <w:marBottom w:val="0"/>
              <w:divBdr>
                <w:top w:val="none" w:sz="0" w:space="0" w:color="auto"/>
                <w:left w:val="none" w:sz="0" w:space="0" w:color="auto"/>
                <w:bottom w:val="none" w:sz="0" w:space="0" w:color="auto"/>
                <w:right w:val="none" w:sz="0" w:space="0" w:color="auto"/>
              </w:divBdr>
            </w:div>
          </w:divsChild>
        </w:div>
        <w:div w:id="410739807">
          <w:marLeft w:val="0"/>
          <w:marRight w:val="0"/>
          <w:marTop w:val="450"/>
          <w:marBottom w:val="0"/>
          <w:divBdr>
            <w:top w:val="none" w:sz="0" w:space="0" w:color="auto"/>
            <w:left w:val="none" w:sz="0" w:space="0" w:color="auto"/>
            <w:bottom w:val="none" w:sz="0" w:space="0" w:color="auto"/>
            <w:right w:val="none" w:sz="0" w:space="0" w:color="auto"/>
          </w:divBdr>
        </w:div>
        <w:div w:id="654574254">
          <w:marLeft w:val="0"/>
          <w:marRight w:val="0"/>
          <w:marTop w:val="450"/>
          <w:marBottom w:val="0"/>
          <w:divBdr>
            <w:top w:val="none" w:sz="0" w:space="0" w:color="auto"/>
            <w:left w:val="none" w:sz="0" w:space="0" w:color="auto"/>
            <w:bottom w:val="none" w:sz="0" w:space="0" w:color="auto"/>
            <w:right w:val="none" w:sz="0" w:space="0" w:color="auto"/>
          </w:divBdr>
        </w:div>
        <w:div w:id="1036077494">
          <w:marLeft w:val="0"/>
          <w:marRight w:val="0"/>
          <w:marTop w:val="450"/>
          <w:marBottom w:val="0"/>
          <w:divBdr>
            <w:top w:val="none" w:sz="0" w:space="0" w:color="auto"/>
            <w:left w:val="none" w:sz="0" w:space="0" w:color="auto"/>
            <w:bottom w:val="none" w:sz="0" w:space="0" w:color="auto"/>
            <w:right w:val="none" w:sz="0" w:space="0" w:color="auto"/>
          </w:divBdr>
        </w:div>
        <w:div w:id="1691489279">
          <w:marLeft w:val="0"/>
          <w:marRight w:val="0"/>
          <w:marTop w:val="450"/>
          <w:marBottom w:val="0"/>
          <w:divBdr>
            <w:top w:val="none" w:sz="0" w:space="0" w:color="auto"/>
            <w:left w:val="none" w:sz="0" w:space="0" w:color="auto"/>
            <w:bottom w:val="none" w:sz="0" w:space="0" w:color="auto"/>
            <w:right w:val="none" w:sz="0" w:space="0" w:color="auto"/>
          </w:divBdr>
        </w:div>
        <w:div w:id="1876231602">
          <w:marLeft w:val="0"/>
          <w:marRight w:val="0"/>
          <w:marTop w:val="450"/>
          <w:marBottom w:val="0"/>
          <w:divBdr>
            <w:top w:val="none" w:sz="0" w:space="0" w:color="auto"/>
            <w:left w:val="none" w:sz="0" w:space="0" w:color="auto"/>
            <w:bottom w:val="none" w:sz="0" w:space="0" w:color="auto"/>
            <w:right w:val="none" w:sz="0" w:space="0" w:color="auto"/>
          </w:divBdr>
          <w:divsChild>
            <w:div w:id="43440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mc.ncbi.nlm.nih.gov/articles/PMC9739115/" TargetMode="External"/><Relationship Id="rId21" Type="http://schemas.openxmlformats.org/officeDocument/2006/relationships/hyperlink" Target="https://pmc.ncbi.nlm.nih.gov/articles/PMC9739115/" TargetMode="External"/><Relationship Id="rId42" Type="http://schemas.openxmlformats.org/officeDocument/2006/relationships/hyperlink" Target="https://pmc.ncbi.nlm.nih.gov/articles/PMC9739115/" TargetMode="External"/><Relationship Id="rId63" Type="http://schemas.openxmlformats.org/officeDocument/2006/relationships/hyperlink" Target="https://pmc.ncbi.nlm.nih.gov/articles/PMC9739115/" TargetMode="External"/><Relationship Id="rId84" Type="http://schemas.openxmlformats.org/officeDocument/2006/relationships/hyperlink" Target="https://pmc.ncbi.nlm.nih.gov/articles/PMC9739115/" TargetMode="External"/><Relationship Id="rId138" Type="http://schemas.openxmlformats.org/officeDocument/2006/relationships/hyperlink" Target="https://pmc.ncbi.nlm.nih.gov/articles/PMC9739115/" TargetMode="External"/><Relationship Id="rId159" Type="http://schemas.openxmlformats.org/officeDocument/2006/relationships/hyperlink" Target="https://pmc.ncbi.nlm.nih.gov/articles/PMC9739115/" TargetMode="External"/><Relationship Id="rId107" Type="http://schemas.openxmlformats.org/officeDocument/2006/relationships/hyperlink" Target="https://pmc.ncbi.nlm.nih.gov/articles/PMC9739115/" TargetMode="External"/><Relationship Id="rId11" Type="http://schemas.openxmlformats.org/officeDocument/2006/relationships/hyperlink" Target="https://pmc.ncbi.nlm.nih.gov/articles/PMC9739115/" TargetMode="External"/><Relationship Id="rId32" Type="http://schemas.openxmlformats.org/officeDocument/2006/relationships/hyperlink" Target="https://pmc.ncbi.nlm.nih.gov/articles/PMC9739115/" TargetMode="External"/><Relationship Id="rId53" Type="http://schemas.openxmlformats.org/officeDocument/2006/relationships/hyperlink" Target="https://pmc.ncbi.nlm.nih.gov/articles/PMC9739115/" TargetMode="External"/><Relationship Id="rId74" Type="http://schemas.openxmlformats.org/officeDocument/2006/relationships/hyperlink" Target="https://pmc.ncbi.nlm.nih.gov/articles/PMC9739115/" TargetMode="External"/><Relationship Id="rId128" Type="http://schemas.openxmlformats.org/officeDocument/2006/relationships/hyperlink" Target="https://clinicaltrials.gov/ct2/show/NCT03090165" TargetMode="External"/><Relationship Id="rId149" Type="http://schemas.openxmlformats.org/officeDocument/2006/relationships/hyperlink" Target="https://pmc.ncbi.nlm.nih.gov/articles/PMC9739115/" TargetMode="External"/><Relationship Id="rId5" Type="http://schemas.openxmlformats.org/officeDocument/2006/relationships/hyperlink" Target="https://pmc.ncbi.nlm.nih.gov/articles/PMC9739115/" TargetMode="External"/><Relationship Id="rId95" Type="http://schemas.openxmlformats.org/officeDocument/2006/relationships/hyperlink" Target="https://pmc.ncbi.nlm.nih.gov/articles/PMC9739115/" TargetMode="External"/><Relationship Id="rId160" Type="http://schemas.openxmlformats.org/officeDocument/2006/relationships/hyperlink" Target="https://pmc.ncbi.nlm.nih.gov/articles/PMC9739115/" TargetMode="External"/><Relationship Id="rId22" Type="http://schemas.openxmlformats.org/officeDocument/2006/relationships/hyperlink" Target="https://pmc.ncbi.nlm.nih.gov/articles/PMC9739115/" TargetMode="External"/><Relationship Id="rId43" Type="http://schemas.openxmlformats.org/officeDocument/2006/relationships/hyperlink" Target="https://pmc.ncbi.nlm.nih.gov/articles/PMC9739115/" TargetMode="External"/><Relationship Id="rId64" Type="http://schemas.openxmlformats.org/officeDocument/2006/relationships/hyperlink" Target="https://pmc.ncbi.nlm.nih.gov/articles/PMC9739115/" TargetMode="External"/><Relationship Id="rId118" Type="http://schemas.openxmlformats.org/officeDocument/2006/relationships/hyperlink" Target="https://pmc.ncbi.nlm.nih.gov/articles/PMC9739115/" TargetMode="External"/><Relationship Id="rId139" Type="http://schemas.openxmlformats.org/officeDocument/2006/relationships/hyperlink" Target="https://pmc.ncbi.nlm.nih.gov/articles/PMC9739115/" TargetMode="External"/><Relationship Id="rId85" Type="http://schemas.openxmlformats.org/officeDocument/2006/relationships/hyperlink" Target="https://pmc.ncbi.nlm.nih.gov/articles/PMC9739115/" TargetMode="External"/><Relationship Id="rId150" Type="http://schemas.openxmlformats.org/officeDocument/2006/relationships/hyperlink" Target="https://pmc.ncbi.nlm.nih.gov/articles/PMC9739115/" TargetMode="External"/><Relationship Id="rId12" Type="http://schemas.openxmlformats.org/officeDocument/2006/relationships/hyperlink" Target="https://pmc.ncbi.nlm.nih.gov/articles/PMC9739115/" TargetMode="External"/><Relationship Id="rId17" Type="http://schemas.openxmlformats.org/officeDocument/2006/relationships/hyperlink" Target="https://pmc.ncbi.nlm.nih.gov/articles/PMC9739115/" TargetMode="External"/><Relationship Id="rId33" Type="http://schemas.openxmlformats.org/officeDocument/2006/relationships/hyperlink" Target="https://pmc.ncbi.nlm.nih.gov/articles/PMC9739115/" TargetMode="External"/><Relationship Id="rId38" Type="http://schemas.openxmlformats.org/officeDocument/2006/relationships/hyperlink" Target="https://pmc.ncbi.nlm.nih.gov/articles/PMC9739115/" TargetMode="External"/><Relationship Id="rId59" Type="http://schemas.openxmlformats.org/officeDocument/2006/relationships/hyperlink" Target="https://pmc.ncbi.nlm.nih.gov/articles/PMC9739115/" TargetMode="External"/><Relationship Id="rId103" Type="http://schemas.openxmlformats.org/officeDocument/2006/relationships/hyperlink" Target="https://pmc.ncbi.nlm.nih.gov/articles/PMC9739115/" TargetMode="External"/><Relationship Id="rId108" Type="http://schemas.openxmlformats.org/officeDocument/2006/relationships/hyperlink" Target="https://pmc.ncbi.nlm.nih.gov/articles/PMC9739115/" TargetMode="External"/><Relationship Id="rId124" Type="http://schemas.openxmlformats.org/officeDocument/2006/relationships/hyperlink" Target="https://pmc.ncbi.nlm.nih.gov/articles/PMC9739115/" TargetMode="External"/><Relationship Id="rId129" Type="http://schemas.openxmlformats.org/officeDocument/2006/relationships/hyperlink" Target="https://clinicaltrials.gov/ct2/show/NCT03090165" TargetMode="External"/><Relationship Id="rId54" Type="http://schemas.openxmlformats.org/officeDocument/2006/relationships/hyperlink" Target="https://pmc.ncbi.nlm.nih.gov/articles/PMC9739115/" TargetMode="External"/><Relationship Id="rId70" Type="http://schemas.openxmlformats.org/officeDocument/2006/relationships/hyperlink" Target="https://pmc.ncbi.nlm.nih.gov/articles/PMC9739115/" TargetMode="External"/><Relationship Id="rId75" Type="http://schemas.openxmlformats.org/officeDocument/2006/relationships/hyperlink" Target="https://pmc.ncbi.nlm.nih.gov/articles/PMC9739115/" TargetMode="External"/><Relationship Id="rId91" Type="http://schemas.openxmlformats.org/officeDocument/2006/relationships/hyperlink" Target="https://pmc.ncbi.nlm.nih.gov/articles/PMC9739115/" TargetMode="External"/><Relationship Id="rId96" Type="http://schemas.openxmlformats.org/officeDocument/2006/relationships/hyperlink" Target="https://pmc.ncbi.nlm.nih.gov/articles/PMC9739115/" TargetMode="External"/><Relationship Id="rId140" Type="http://schemas.openxmlformats.org/officeDocument/2006/relationships/hyperlink" Target="https://pmc.ncbi.nlm.nih.gov/articles/PMC9739115/" TargetMode="External"/><Relationship Id="rId145" Type="http://schemas.openxmlformats.org/officeDocument/2006/relationships/hyperlink" Target="https://pmc.ncbi.nlm.nih.gov/articles/PMC9739115/" TargetMode="External"/><Relationship Id="rId161" Type="http://schemas.openxmlformats.org/officeDocument/2006/relationships/hyperlink" Target="https://pmc.ncbi.nlm.nih.gov/articles/PMC9739115/" TargetMode="External"/><Relationship Id="rId16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pmc.ncbi.nlm.nih.gov/articles/PMC9739115/" TargetMode="External"/><Relationship Id="rId23" Type="http://schemas.openxmlformats.org/officeDocument/2006/relationships/hyperlink" Target="https://pmc.ncbi.nlm.nih.gov/articles/PMC9739115/" TargetMode="External"/><Relationship Id="rId28" Type="http://schemas.openxmlformats.org/officeDocument/2006/relationships/hyperlink" Target="https://pmc.ncbi.nlm.nih.gov/articles/PMC9739115/" TargetMode="External"/><Relationship Id="rId49" Type="http://schemas.openxmlformats.org/officeDocument/2006/relationships/hyperlink" Target="https://pmc.ncbi.nlm.nih.gov/articles/PMC9739115/" TargetMode="External"/><Relationship Id="rId114" Type="http://schemas.openxmlformats.org/officeDocument/2006/relationships/hyperlink" Target="https://pmc.ncbi.nlm.nih.gov/articles/PMC9739115/" TargetMode="External"/><Relationship Id="rId119" Type="http://schemas.openxmlformats.org/officeDocument/2006/relationships/hyperlink" Target="https://pmc.ncbi.nlm.nih.gov/articles/PMC9739115/" TargetMode="External"/><Relationship Id="rId44" Type="http://schemas.openxmlformats.org/officeDocument/2006/relationships/hyperlink" Target="https://pmc.ncbi.nlm.nih.gov/articles/PMC9739115/" TargetMode="External"/><Relationship Id="rId60" Type="http://schemas.openxmlformats.org/officeDocument/2006/relationships/hyperlink" Target="https://pmc.ncbi.nlm.nih.gov/articles/PMC9739115/" TargetMode="External"/><Relationship Id="rId65" Type="http://schemas.openxmlformats.org/officeDocument/2006/relationships/hyperlink" Target="https://pmc.ncbi.nlm.nih.gov/articles/PMC9739115/" TargetMode="External"/><Relationship Id="rId81" Type="http://schemas.openxmlformats.org/officeDocument/2006/relationships/hyperlink" Target="https://pmc.ncbi.nlm.nih.gov/articles/PMC9739115/" TargetMode="External"/><Relationship Id="rId86" Type="http://schemas.openxmlformats.org/officeDocument/2006/relationships/hyperlink" Target="https://pmc.ncbi.nlm.nih.gov/articles/PMC9739115/" TargetMode="External"/><Relationship Id="rId130" Type="http://schemas.openxmlformats.org/officeDocument/2006/relationships/hyperlink" Target="https://pmc.ncbi.nlm.nih.gov/articles/PMC9739115/" TargetMode="External"/><Relationship Id="rId135" Type="http://schemas.openxmlformats.org/officeDocument/2006/relationships/hyperlink" Target="https://pmc.ncbi.nlm.nih.gov/articles/PMC9739115/" TargetMode="External"/><Relationship Id="rId151" Type="http://schemas.openxmlformats.org/officeDocument/2006/relationships/hyperlink" Target="https://pmc.ncbi.nlm.nih.gov/articles/PMC9739115/" TargetMode="External"/><Relationship Id="rId156" Type="http://schemas.openxmlformats.org/officeDocument/2006/relationships/hyperlink" Target="https://pmc.ncbi.nlm.nih.gov/articles/PMC9739115/" TargetMode="External"/><Relationship Id="rId13" Type="http://schemas.openxmlformats.org/officeDocument/2006/relationships/hyperlink" Target="https://pmc.ncbi.nlm.nih.gov/articles/PMC9739115/" TargetMode="External"/><Relationship Id="rId18" Type="http://schemas.openxmlformats.org/officeDocument/2006/relationships/hyperlink" Target="https://pmc.ncbi.nlm.nih.gov/articles/PMC9739115/" TargetMode="External"/><Relationship Id="rId39" Type="http://schemas.openxmlformats.org/officeDocument/2006/relationships/hyperlink" Target="https://pmc.ncbi.nlm.nih.gov/articles/PMC9739115/" TargetMode="External"/><Relationship Id="rId109" Type="http://schemas.openxmlformats.org/officeDocument/2006/relationships/hyperlink" Target="https://pmc.ncbi.nlm.nih.gov/articles/PMC9739115/" TargetMode="External"/><Relationship Id="rId34" Type="http://schemas.openxmlformats.org/officeDocument/2006/relationships/hyperlink" Target="https://pmc.ncbi.nlm.nih.gov/articles/PMC9739115/" TargetMode="External"/><Relationship Id="rId50" Type="http://schemas.openxmlformats.org/officeDocument/2006/relationships/hyperlink" Target="https://pmc.ncbi.nlm.nih.gov/articles/PMC9739115/" TargetMode="External"/><Relationship Id="rId55" Type="http://schemas.openxmlformats.org/officeDocument/2006/relationships/hyperlink" Target="https://pmc.ncbi.nlm.nih.gov/articles/PMC9739115/" TargetMode="External"/><Relationship Id="rId76" Type="http://schemas.openxmlformats.org/officeDocument/2006/relationships/hyperlink" Target="https://pmc.ncbi.nlm.nih.gov/articles/PMC9739115/" TargetMode="External"/><Relationship Id="rId97" Type="http://schemas.openxmlformats.org/officeDocument/2006/relationships/hyperlink" Target="https://pmc.ncbi.nlm.nih.gov/articles/PMC9739115/" TargetMode="External"/><Relationship Id="rId104" Type="http://schemas.openxmlformats.org/officeDocument/2006/relationships/hyperlink" Target="https://pmc.ncbi.nlm.nih.gov/articles/PMC9739115/" TargetMode="External"/><Relationship Id="rId120" Type="http://schemas.openxmlformats.org/officeDocument/2006/relationships/hyperlink" Target="https://pmc.ncbi.nlm.nih.gov/articles/PMC9739115/" TargetMode="External"/><Relationship Id="rId125" Type="http://schemas.openxmlformats.org/officeDocument/2006/relationships/hyperlink" Target="https://pmc.ncbi.nlm.nih.gov/articles/PMC9739115/" TargetMode="External"/><Relationship Id="rId141" Type="http://schemas.openxmlformats.org/officeDocument/2006/relationships/hyperlink" Target="https://pmc.ncbi.nlm.nih.gov/articles/PMC9739115/" TargetMode="External"/><Relationship Id="rId146" Type="http://schemas.openxmlformats.org/officeDocument/2006/relationships/hyperlink" Target="https://pmc.ncbi.nlm.nih.gov/articles/PMC9739115/" TargetMode="External"/><Relationship Id="rId7" Type="http://schemas.openxmlformats.org/officeDocument/2006/relationships/hyperlink" Target="https://pmc.ncbi.nlm.nih.gov/articles/PMC9739115/" TargetMode="External"/><Relationship Id="rId71" Type="http://schemas.openxmlformats.org/officeDocument/2006/relationships/hyperlink" Target="https://pmc.ncbi.nlm.nih.gov/articles/PMC9739115/" TargetMode="External"/><Relationship Id="rId92" Type="http://schemas.openxmlformats.org/officeDocument/2006/relationships/hyperlink" Target="https://pmc.ncbi.nlm.nih.gov/articles/PMC9739115/" TargetMode="External"/><Relationship Id="rId162" Type="http://schemas.openxmlformats.org/officeDocument/2006/relationships/hyperlink" Target="https://pmc.ncbi.nlm.nih.gov/articles/PMC9739115/" TargetMode="External"/><Relationship Id="rId2" Type="http://schemas.openxmlformats.org/officeDocument/2006/relationships/styles" Target="styles.xml"/><Relationship Id="rId29" Type="http://schemas.openxmlformats.org/officeDocument/2006/relationships/hyperlink" Target="https://pmc.ncbi.nlm.nih.gov/articles/PMC9739115/" TargetMode="External"/><Relationship Id="rId24" Type="http://schemas.openxmlformats.org/officeDocument/2006/relationships/hyperlink" Target="https://pmc.ncbi.nlm.nih.gov/articles/PMC9739115/" TargetMode="External"/><Relationship Id="rId40" Type="http://schemas.openxmlformats.org/officeDocument/2006/relationships/hyperlink" Target="https://pmc.ncbi.nlm.nih.gov/articles/PMC9739115/" TargetMode="External"/><Relationship Id="rId45" Type="http://schemas.openxmlformats.org/officeDocument/2006/relationships/hyperlink" Target="https://pmc.ncbi.nlm.nih.gov/articles/PMC9739115/" TargetMode="External"/><Relationship Id="rId66" Type="http://schemas.openxmlformats.org/officeDocument/2006/relationships/hyperlink" Target="https://pmc.ncbi.nlm.nih.gov/articles/PMC9739115/" TargetMode="External"/><Relationship Id="rId87" Type="http://schemas.openxmlformats.org/officeDocument/2006/relationships/hyperlink" Target="https://pmc.ncbi.nlm.nih.gov/articles/PMC9739115/" TargetMode="External"/><Relationship Id="rId110" Type="http://schemas.openxmlformats.org/officeDocument/2006/relationships/hyperlink" Target="https://pmc.ncbi.nlm.nih.gov/articles/PMC9739115/" TargetMode="External"/><Relationship Id="rId115" Type="http://schemas.openxmlformats.org/officeDocument/2006/relationships/hyperlink" Target="https://pmc.ncbi.nlm.nih.gov/articles/PMC9739115/" TargetMode="External"/><Relationship Id="rId131" Type="http://schemas.openxmlformats.org/officeDocument/2006/relationships/hyperlink" Target="https://pmc.ncbi.nlm.nih.gov/articles/PMC9739115/" TargetMode="External"/><Relationship Id="rId136" Type="http://schemas.openxmlformats.org/officeDocument/2006/relationships/hyperlink" Target="https://pmc.ncbi.nlm.nih.gov/articles/PMC9739115/" TargetMode="External"/><Relationship Id="rId157" Type="http://schemas.openxmlformats.org/officeDocument/2006/relationships/hyperlink" Target="https://pmc.ncbi.nlm.nih.gov/articles/PMC9739115/" TargetMode="External"/><Relationship Id="rId61" Type="http://schemas.openxmlformats.org/officeDocument/2006/relationships/hyperlink" Target="https://pmc.ncbi.nlm.nih.gov/articles/PMC9739115/" TargetMode="External"/><Relationship Id="rId82" Type="http://schemas.openxmlformats.org/officeDocument/2006/relationships/hyperlink" Target="https://pmc.ncbi.nlm.nih.gov/articles/PMC9739115/" TargetMode="External"/><Relationship Id="rId152" Type="http://schemas.openxmlformats.org/officeDocument/2006/relationships/hyperlink" Target="https://pmc.ncbi.nlm.nih.gov/articles/PMC9739115/" TargetMode="External"/><Relationship Id="rId19" Type="http://schemas.openxmlformats.org/officeDocument/2006/relationships/hyperlink" Target="https://pmc.ncbi.nlm.nih.gov/articles/PMC9739115/" TargetMode="External"/><Relationship Id="rId14" Type="http://schemas.openxmlformats.org/officeDocument/2006/relationships/hyperlink" Target="https://pmc.ncbi.nlm.nih.gov/articles/PMC9739115/" TargetMode="External"/><Relationship Id="rId30" Type="http://schemas.openxmlformats.org/officeDocument/2006/relationships/hyperlink" Target="https://pmc.ncbi.nlm.nih.gov/articles/PMC9739115/" TargetMode="External"/><Relationship Id="rId35" Type="http://schemas.openxmlformats.org/officeDocument/2006/relationships/hyperlink" Target="https://pmc.ncbi.nlm.nih.gov/articles/PMC9739115/" TargetMode="External"/><Relationship Id="rId56" Type="http://schemas.openxmlformats.org/officeDocument/2006/relationships/hyperlink" Target="https://pmc.ncbi.nlm.nih.gov/articles/PMC9739115/" TargetMode="External"/><Relationship Id="rId77" Type="http://schemas.openxmlformats.org/officeDocument/2006/relationships/hyperlink" Target="https://pmc.ncbi.nlm.nih.gov/articles/PMC9739115/" TargetMode="External"/><Relationship Id="rId100" Type="http://schemas.openxmlformats.org/officeDocument/2006/relationships/hyperlink" Target="https://pmc.ncbi.nlm.nih.gov/articles/PMC9739115/" TargetMode="External"/><Relationship Id="rId105" Type="http://schemas.openxmlformats.org/officeDocument/2006/relationships/hyperlink" Target="https://pmc.ncbi.nlm.nih.gov/articles/PMC9739115/" TargetMode="External"/><Relationship Id="rId126" Type="http://schemas.openxmlformats.org/officeDocument/2006/relationships/hyperlink" Target="https://clinicaltrials.gov/ct2/show/NCT02605486" TargetMode="External"/><Relationship Id="rId147" Type="http://schemas.openxmlformats.org/officeDocument/2006/relationships/hyperlink" Target="https://pmc.ncbi.nlm.nih.gov/articles/PMC9739115/" TargetMode="External"/><Relationship Id="rId8" Type="http://schemas.openxmlformats.org/officeDocument/2006/relationships/hyperlink" Target="https://pmc.ncbi.nlm.nih.gov/articles/PMC9739115/" TargetMode="External"/><Relationship Id="rId51" Type="http://schemas.openxmlformats.org/officeDocument/2006/relationships/hyperlink" Target="https://pmc.ncbi.nlm.nih.gov/articles/PMC9739115/" TargetMode="External"/><Relationship Id="rId72" Type="http://schemas.openxmlformats.org/officeDocument/2006/relationships/hyperlink" Target="https://pmc.ncbi.nlm.nih.gov/articles/PMC9739115/" TargetMode="External"/><Relationship Id="rId93" Type="http://schemas.openxmlformats.org/officeDocument/2006/relationships/hyperlink" Target="https://pmc.ncbi.nlm.nih.gov/articles/PMC9739115/" TargetMode="External"/><Relationship Id="rId98" Type="http://schemas.openxmlformats.org/officeDocument/2006/relationships/hyperlink" Target="https://pmc.ncbi.nlm.nih.gov/articles/PMC9739115/" TargetMode="External"/><Relationship Id="rId121" Type="http://schemas.openxmlformats.org/officeDocument/2006/relationships/hyperlink" Target="https://pmc.ncbi.nlm.nih.gov/articles/PMC9739115/" TargetMode="External"/><Relationship Id="rId142" Type="http://schemas.openxmlformats.org/officeDocument/2006/relationships/hyperlink" Target="https://pmc.ncbi.nlm.nih.gov/articles/PMC9739115/" TargetMode="External"/><Relationship Id="rId163" Type="http://schemas.openxmlformats.org/officeDocument/2006/relationships/hyperlink" Target="https://pmc.ncbi.nlm.nih.gov/articles/PMC9739115/" TargetMode="External"/><Relationship Id="rId3" Type="http://schemas.openxmlformats.org/officeDocument/2006/relationships/settings" Target="settings.xml"/><Relationship Id="rId25" Type="http://schemas.openxmlformats.org/officeDocument/2006/relationships/hyperlink" Target="https://pmc.ncbi.nlm.nih.gov/articles/PMC9739115/" TargetMode="External"/><Relationship Id="rId46" Type="http://schemas.openxmlformats.org/officeDocument/2006/relationships/hyperlink" Target="https://pmc.ncbi.nlm.nih.gov/articles/PMC9739115/" TargetMode="External"/><Relationship Id="rId67" Type="http://schemas.openxmlformats.org/officeDocument/2006/relationships/hyperlink" Target="https://pmc.ncbi.nlm.nih.gov/articles/PMC9739115/" TargetMode="External"/><Relationship Id="rId116" Type="http://schemas.openxmlformats.org/officeDocument/2006/relationships/hyperlink" Target="https://pmc.ncbi.nlm.nih.gov/articles/PMC9739115/" TargetMode="External"/><Relationship Id="rId137" Type="http://schemas.openxmlformats.org/officeDocument/2006/relationships/hyperlink" Target="https://pmc.ncbi.nlm.nih.gov/articles/PMC9739115/" TargetMode="External"/><Relationship Id="rId158" Type="http://schemas.openxmlformats.org/officeDocument/2006/relationships/hyperlink" Target="https://pmc.ncbi.nlm.nih.gov/articles/PMC9739115/" TargetMode="External"/><Relationship Id="rId20" Type="http://schemas.openxmlformats.org/officeDocument/2006/relationships/hyperlink" Target="https://pmc.ncbi.nlm.nih.gov/articles/PMC9739115/" TargetMode="External"/><Relationship Id="rId41" Type="http://schemas.openxmlformats.org/officeDocument/2006/relationships/hyperlink" Target="https://pmc.ncbi.nlm.nih.gov/articles/PMC9739115/" TargetMode="External"/><Relationship Id="rId62" Type="http://schemas.openxmlformats.org/officeDocument/2006/relationships/hyperlink" Target="https://pmc.ncbi.nlm.nih.gov/articles/PMC9739115/" TargetMode="External"/><Relationship Id="rId83" Type="http://schemas.openxmlformats.org/officeDocument/2006/relationships/hyperlink" Target="https://pmc.ncbi.nlm.nih.gov/articles/PMC9739115/" TargetMode="External"/><Relationship Id="rId88" Type="http://schemas.openxmlformats.org/officeDocument/2006/relationships/hyperlink" Target="https://pmc.ncbi.nlm.nih.gov/articles/PMC9739115/" TargetMode="External"/><Relationship Id="rId111" Type="http://schemas.openxmlformats.org/officeDocument/2006/relationships/hyperlink" Target="https://pmc.ncbi.nlm.nih.gov/articles/PMC9739115/" TargetMode="External"/><Relationship Id="rId132" Type="http://schemas.openxmlformats.org/officeDocument/2006/relationships/hyperlink" Target="https://pmc.ncbi.nlm.nih.gov/articles/PMC9739115/" TargetMode="External"/><Relationship Id="rId153" Type="http://schemas.openxmlformats.org/officeDocument/2006/relationships/hyperlink" Target="https://pmc.ncbi.nlm.nih.gov/articles/PMC9739115/" TargetMode="External"/><Relationship Id="rId15" Type="http://schemas.openxmlformats.org/officeDocument/2006/relationships/hyperlink" Target="https://pmc.ncbi.nlm.nih.gov/articles/PMC9739115/" TargetMode="External"/><Relationship Id="rId36" Type="http://schemas.openxmlformats.org/officeDocument/2006/relationships/hyperlink" Target="https://pmc.ncbi.nlm.nih.gov/articles/PMC9739115/" TargetMode="External"/><Relationship Id="rId57" Type="http://schemas.openxmlformats.org/officeDocument/2006/relationships/hyperlink" Target="https://pmc.ncbi.nlm.nih.gov/articles/PMC9739115/" TargetMode="External"/><Relationship Id="rId106" Type="http://schemas.openxmlformats.org/officeDocument/2006/relationships/hyperlink" Target="https://pmc.ncbi.nlm.nih.gov/articles/PMC9739115/" TargetMode="External"/><Relationship Id="rId127" Type="http://schemas.openxmlformats.org/officeDocument/2006/relationships/hyperlink" Target="https://clinicaltrials.gov/ct2/show/NCT04360941" TargetMode="External"/><Relationship Id="rId10" Type="http://schemas.openxmlformats.org/officeDocument/2006/relationships/hyperlink" Target="https://pmc.ncbi.nlm.nih.gov/articles/PMC9739115/" TargetMode="External"/><Relationship Id="rId31" Type="http://schemas.openxmlformats.org/officeDocument/2006/relationships/hyperlink" Target="https://pmc.ncbi.nlm.nih.gov/articles/PMC9739115/" TargetMode="External"/><Relationship Id="rId52" Type="http://schemas.openxmlformats.org/officeDocument/2006/relationships/hyperlink" Target="https://pmc.ncbi.nlm.nih.gov/articles/PMC9739115/" TargetMode="External"/><Relationship Id="rId73" Type="http://schemas.openxmlformats.org/officeDocument/2006/relationships/hyperlink" Target="https://pmc.ncbi.nlm.nih.gov/articles/PMC9739115/" TargetMode="External"/><Relationship Id="rId78" Type="http://schemas.openxmlformats.org/officeDocument/2006/relationships/hyperlink" Target="https://pmc.ncbi.nlm.nih.gov/articles/PMC9739115/" TargetMode="External"/><Relationship Id="rId94" Type="http://schemas.openxmlformats.org/officeDocument/2006/relationships/hyperlink" Target="https://pmc.ncbi.nlm.nih.gov/articles/PMC9739115/" TargetMode="External"/><Relationship Id="rId99" Type="http://schemas.openxmlformats.org/officeDocument/2006/relationships/hyperlink" Target="https://pmc.ncbi.nlm.nih.gov/articles/PMC9739115/" TargetMode="External"/><Relationship Id="rId101" Type="http://schemas.openxmlformats.org/officeDocument/2006/relationships/hyperlink" Target="https://pmc.ncbi.nlm.nih.gov/articles/PMC9739115/" TargetMode="External"/><Relationship Id="rId122" Type="http://schemas.openxmlformats.org/officeDocument/2006/relationships/hyperlink" Target="https://pmc.ncbi.nlm.nih.gov/articles/PMC9739115/" TargetMode="External"/><Relationship Id="rId143" Type="http://schemas.openxmlformats.org/officeDocument/2006/relationships/hyperlink" Target="https://pmc.ncbi.nlm.nih.gov/articles/PMC9739115/" TargetMode="External"/><Relationship Id="rId148" Type="http://schemas.openxmlformats.org/officeDocument/2006/relationships/hyperlink" Target="https://pmc.ncbi.nlm.nih.gov/articles/PMC9739115/" TargetMode="External"/><Relationship Id="rId164" Type="http://schemas.openxmlformats.org/officeDocument/2006/relationships/hyperlink" Target="https://pmc.ncbi.nlm.nih.gov/articles/PMC9739115/" TargetMode="External"/><Relationship Id="rId4" Type="http://schemas.openxmlformats.org/officeDocument/2006/relationships/webSettings" Target="webSettings.xml"/><Relationship Id="rId9" Type="http://schemas.openxmlformats.org/officeDocument/2006/relationships/hyperlink" Target="https://pmc.ncbi.nlm.nih.gov/articles/PMC9739115/" TargetMode="External"/><Relationship Id="rId26" Type="http://schemas.openxmlformats.org/officeDocument/2006/relationships/hyperlink" Target="https://www.ncbi.nlm.nih.gov/core/lw/2.0/html/tileshop_pmc/tileshop_pmc_inline.html?title=Click%20on%20image%20to%20zoom&amp;p=PMC3&amp;id=9739115_ijms-23-14534-g001.jpg" TargetMode="External"/><Relationship Id="rId47" Type="http://schemas.openxmlformats.org/officeDocument/2006/relationships/hyperlink" Target="https://pmc.ncbi.nlm.nih.gov/articles/PMC9739115/" TargetMode="External"/><Relationship Id="rId68" Type="http://schemas.openxmlformats.org/officeDocument/2006/relationships/hyperlink" Target="https://pmc.ncbi.nlm.nih.gov/articles/PMC9739115/" TargetMode="External"/><Relationship Id="rId89" Type="http://schemas.openxmlformats.org/officeDocument/2006/relationships/hyperlink" Target="https://pmc.ncbi.nlm.nih.gov/articles/PMC9739115/" TargetMode="External"/><Relationship Id="rId112" Type="http://schemas.openxmlformats.org/officeDocument/2006/relationships/hyperlink" Target="https://pmc.ncbi.nlm.nih.gov/articles/PMC9739115/" TargetMode="External"/><Relationship Id="rId133" Type="http://schemas.openxmlformats.org/officeDocument/2006/relationships/hyperlink" Target="https://pmc.ncbi.nlm.nih.gov/articles/PMC9739115/" TargetMode="External"/><Relationship Id="rId154" Type="http://schemas.openxmlformats.org/officeDocument/2006/relationships/hyperlink" Target="https://pmc.ncbi.nlm.nih.gov/articles/PMC9739115/" TargetMode="External"/><Relationship Id="rId16" Type="http://schemas.openxmlformats.org/officeDocument/2006/relationships/hyperlink" Target="https://pmc.ncbi.nlm.nih.gov/articles/PMC9739115/" TargetMode="External"/><Relationship Id="rId37" Type="http://schemas.openxmlformats.org/officeDocument/2006/relationships/hyperlink" Target="https://pmc.ncbi.nlm.nih.gov/articles/PMC9739115/" TargetMode="External"/><Relationship Id="rId58" Type="http://schemas.openxmlformats.org/officeDocument/2006/relationships/hyperlink" Target="https://pmc.ncbi.nlm.nih.gov/articles/PMC9739115/" TargetMode="External"/><Relationship Id="rId79" Type="http://schemas.openxmlformats.org/officeDocument/2006/relationships/hyperlink" Target="https://pmc.ncbi.nlm.nih.gov/articles/PMC9739115/" TargetMode="External"/><Relationship Id="rId102" Type="http://schemas.openxmlformats.org/officeDocument/2006/relationships/hyperlink" Target="https://pmc.ncbi.nlm.nih.gov/articles/PMC9739115/" TargetMode="External"/><Relationship Id="rId123" Type="http://schemas.openxmlformats.org/officeDocument/2006/relationships/hyperlink" Target="https://pmc.ncbi.nlm.nih.gov/articles/PMC9739115/" TargetMode="External"/><Relationship Id="rId144" Type="http://schemas.openxmlformats.org/officeDocument/2006/relationships/hyperlink" Target="https://pmc.ncbi.nlm.nih.gov/articles/PMC9739115/" TargetMode="External"/><Relationship Id="rId90" Type="http://schemas.openxmlformats.org/officeDocument/2006/relationships/hyperlink" Target="https://pmc.ncbi.nlm.nih.gov/articles/PMC9739115/" TargetMode="External"/><Relationship Id="rId165" Type="http://schemas.openxmlformats.org/officeDocument/2006/relationships/fontTable" Target="fontTable.xml"/><Relationship Id="rId27" Type="http://schemas.openxmlformats.org/officeDocument/2006/relationships/image" Target="media/image1.jpeg"/><Relationship Id="rId48" Type="http://schemas.openxmlformats.org/officeDocument/2006/relationships/hyperlink" Target="https://pmc.ncbi.nlm.nih.gov/articles/PMC9739115/" TargetMode="External"/><Relationship Id="rId69" Type="http://schemas.openxmlformats.org/officeDocument/2006/relationships/hyperlink" Target="https://pmc.ncbi.nlm.nih.gov/articles/PMC9739115/" TargetMode="External"/><Relationship Id="rId113" Type="http://schemas.openxmlformats.org/officeDocument/2006/relationships/hyperlink" Target="https://pmc.ncbi.nlm.nih.gov/articles/PMC9739115/" TargetMode="External"/><Relationship Id="rId134" Type="http://schemas.openxmlformats.org/officeDocument/2006/relationships/hyperlink" Target="https://pmc.ncbi.nlm.nih.gov/articles/PMC9739115/" TargetMode="External"/><Relationship Id="rId80" Type="http://schemas.openxmlformats.org/officeDocument/2006/relationships/hyperlink" Target="https://pmc.ncbi.nlm.nih.gov/articles/PMC9739115/" TargetMode="External"/><Relationship Id="rId155" Type="http://schemas.openxmlformats.org/officeDocument/2006/relationships/hyperlink" Target="https://pmc.ncbi.nlm.nih.gov/articles/PMC9739115/"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23</Pages>
  <Words>4470</Words>
  <Characters>25484</Characters>
  <Application>Microsoft Office Word</Application>
  <DocSecurity>0</DocSecurity>
  <Lines>212</Lines>
  <Paragraphs>59</Paragraphs>
  <ScaleCrop>false</ScaleCrop>
  <Company/>
  <LinksUpToDate>false</LinksUpToDate>
  <CharactersWithSpaces>29895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4</cp:revision>
  <dcterms:created xsi:type="dcterms:W3CDTF">2025-12-28T10:28:00Z</dcterms:created>
  <dcterms:modified xsi:type="dcterms:W3CDTF">2025-12-28T10:31:00Z</dcterms:modified>
</cp:coreProperties>
</file>