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18B40" w14:textId="77777777" w:rsidR="00C35F76" w:rsidRPr="00C35F76" w:rsidRDefault="00C35F76" w:rsidP="00C35F76">
      <w:pPr>
        <w:widowControl/>
        <w:spacing w:line="450" w:lineRule="atLeast"/>
        <w:outlineLvl w:val="0"/>
        <w:rPr>
          <w:rFonts w:ascii="微软雅黑" w:eastAsia="微软雅黑" w:hAnsi="微软雅黑" w:cs="宋体"/>
          <w:b/>
          <w:bCs/>
          <w:kern w:val="36"/>
          <w:sz w:val="36"/>
          <w:szCs w:val="36"/>
        </w:rPr>
      </w:pPr>
      <w:r w:rsidRPr="00C35F76">
        <w:rPr>
          <w:rFonts w:ascii="微软雅黑" w:eastAsia="微软雅黑" w:hAnsi="微软雅黑" w:cs="宋体"/>
          <w:b/>
          <w:bCs/>
          <w:kern w:val="36"/>
          <w:sz w:val="36"/>
          <w:szCs w:val="36"/>
        </w:rPr>
        <w:t>HR +乳腺癌中CDK4/6抑制剂耐药的免疫机制</w:t>
      </w:r>
    </w:p>
    <w:p w14:paraId="157F1368" w14:textId="7ADECC23" w:rsidR="00C35F76" w:rsidRPr="00C35F76" w:rsidRDefault="00C35F76" w:rsidP="00C35F76">
      <w:pPr>
        <w:widowControl/>
        <w:pBdr>
          <w:bottom w:val="single" w:sz="6" w:space="0" w:color="97B1C8"/>
        </w:pBdr>
        <w:spacing w:line="450" w:lineRule="atLeast"/>
        <w:outlineLvl w:val="1"/>
        <w:rPr>
          <w:rFonts w:ascii="微软雅黑" w:eastAsia="微软雅黑" w:hAnsi="微软雅黑" w:cs="宋体"/>
          <w:kern w:val="0"/>
          <w:sz w:val="34"/>
          <w:szCs w:val="34"/>
        </w:rPr>
      </w:pPr>
      <w:r w:rsidRPr="00264ED9">
        <w:rPr>
          <w:rFonts w:ascii="微软雅黑" w:eastAsia="微软雅黑" w:hAnsi="微软雅黑" w:cs="宋体" w:hint="eastAsia"/>
          <w:kern w:val="0"/>
          <w:sz w:val="34"/>
          <w:szCs w:val="34"/>
        </w:rPr>
        <w:t>摘要</w:t>
      </w:r>
    </w:p>
    <w:p w14:paraId="471843E3"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t xml:space="preserve">CDK4/6抑制剂在HR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乳腺癌的临床治疗中起着核心作用。我们最近的研究表明，在CDK4/6抑制后，通过CCL2依赖性机制募集到肿瘤微环境的免疫抑制性IL-17分泌</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T细胞，能够使肿瘤相关巨噬细胞重新极化为CX3CR1 +表型，而这种表型与治疗耐药性相关。</w:t>
      </w:r>
    </w:p>
    <w:p w14:paraId="08F143C5" w14:textId="77777777" w:rsidR="00C35F76" w:rsidRPr="00C35F76" w:rsidRDefault="00C35F76" w:rsidP="00C35F76">
      <w:pPr>
        <w:widowControl/>
        <w:rPr>
          <w:rFonts w:ascii="微软雅黑" w:eastAsia="微软雅黑" w:hAnsi="微软雅黑" w:cs="宋体"/>
          <w:kern w:val="0"/>
          <w:sz w:val="24"/>
          <w:szCs w:val="24"/>
        </w:rPr>
      </w:pPr>
      <w:r w:rsidRPr="00C35F76">
        <w:rPr>
          <w:rFonts w:ascii="微软雅黑" w:eastAsia="微软雅黑" w:hAnsi="微软雅黑" w:cs="宋体"/>
          <w:kern w:val="0"/>
          <w:sz w:val="24"/>
          <w:szCs w:val="24"/>
        </w:rPr>
        <w:t>关键词：循环生物标志物、内分泌治疗、缺氧、帕博西尼、单细胞RNA测序、肿瘤相关巨噬细胞</w:t>
      </w:r>
    </w:p>
    <w:p w14:paraId="2AC18A0D"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pict w14:anchorId="0A5C8162">
          <v:rect id="_x0000_i1025" style="width:0;height:0" o:hralign="center" o:hrstd="t" o:hr="t" fillcolor="#a0a0a0" stroked="f"/>
        </w:pict>
      </w:r>
    </w:p>
    <w:p w14:paraId="5DD9D203"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t>细胞周期蛋白依赖性激酶4/6 (CDK4/6) 抑制剂目前与内分泌治疗 (ET) 联合用于治疗晚期/转移性 HR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xml:space="preserve">乳腺癌女性患者。 </w:t>
      </w:r>
      <w:r w:rsidRPr="00C35F76">
        <w:rPr>
          <w:rFonts w:ascii="微软雅黑" w:eastAsia="微软雅黑" w:hAnsi="微软雅黑" w:cs="宋体"/>
          <w:kern w:val="0"/>
          <w:sz w:val="24"/>
          <w:szCs w:val="24"/>
          <w:u w:val="single"/>
          <w:vertAlign w:val="superscript"/>
        </w:rPr>
        <w:t>&lt;sup&gt; </w:t>
      </w:r>
      <w:hyperlink r:id="rId5" w:anchor="cit0001" w:history="1">
        <w:r w:rsidRPr="00C35F76">
          <w:rPr>
            <w:rFonts w:ascii="微软雅黑" w:eastAsia="微软雅黑" w:hAnsi="微软雅黑" w:cs="宋体"/>
            <w:kern w:val="0"/>
            <w:sz w:val="24"/>
            <w:szCs w:val="24"/>
            <w:u w:val="single"/>
            <w:vertAlign w:val="superscript"/>
          </w:rPr>
          <w:t>1</w:t>
        </w:r>
      </w:hyperlink>
      <w:r w:rsidRPr="00C35F76">
        <w:rPr>
          <w:rFonts w:ascii="微软雅黑" w:eastAsia="微软雅黑" w:hAnsi="微软雅黑" w:cs="宋体"/>
          <w:kern w:val="0"/>
          <w:sz w:val="24"/>
          <w:szCs w:val="24"/>
          <w:u w:val="single"/>
          <w:vertAlign w:val="superscript"/>
        </w:rPr>
        <w:t xml:space="preserve"> &lt;/sup&gt; </w:t>
      </w:r>
      <w:r w:rsidRPr="00C35F76">
        <w:rPr>
          <w:rFonts w:ascii="微软雅黑" w:eastAsia="微软雅黑" w:hAnsi="微软雅黑" w:cs="宋体"/>
          <w:kern w:val="0"/>
          <w:sz w:val="24"/>
          <w:szCs w:val="24"/>
        </w:rPr>
        <w:t>CDK4/6 抑制剂在多项针对该患者群体的临床试验中均显示出持续的无进展生存期 (PFS) 获益，但就总生存期 (OS) 而言，结果则不太一致，至少在某些情况下，这可能是由于出现了适应性耐药。</w:t>
      </w:r>
      <w:r w:rsidRPr="00C35F76">
        <w:rPr>
          <w:rFonts w:ascii="微软雅黑" w:eastAsia="微软雅黑" w:hAnsi="微软雅黑" w:cs="宋体"/>
          <w:kern w:val="0"/>
          <w:sz w:val="24"/>
          <w:szCs w:val="24"/>
          <w:u w:val="single"/>
          <w:vertAlign w:val="superscript"/>
        </w:rPr>
        <w:t>&lt;sup&gt; </w:t>
      </w:r>
      <w:hyperlink r:id="rId6" w:anchor="cit0001" w:history="1">
        <w:r w:rsidRPr="00C35F76">
          <w:rPr>
            <w:rFonts w:ascii="微软雅黑" w:eastAsia="微软雅黑" w:hAnsi="微软雅黑" w:cs="宋体"/>
            <w:kern w:val="0"/>
            <w:sz w:val="24"/>
            <w:szCs w:val="24"/>
            <w:u w:val="single"/>
            <w:vertAlign w:val="superscript"/>
          </w:rPr>
          <w:t>1</w:t>
        </w:r>
      </w:hyperlink>
      <w:r w:rsidRPr="00C35F76">
        <w:rPr>
          <w:rFonts w:ascii="微软雅黑" w:eastAsia="微软雅黑" w:hAnsi="微软雅黑" w:cs="宋体"/>
          <w:kern w:val="0"/>
          <w:sz w:val="24"/>
          <w:szCs w:val="24"/>
          <w:u w:val="single"/>
          <w:vertAlign w:val="superscript"/>
        </w:rPr>
        <w:t xml:space="preserve"> &lt;/sup&gt; </w:t>
      </w:r>
      <w:r w:rsidRPr="00C35F76">
        <w:rPr>
          <w:rFonts w:ascii="微软雅黑" w:eastAsia="微软雅黑" w:hAnsi="微软雅黑" w:cs="宋体"/>
          <w:kern w:val="0"/>
          <w:sz w:val="24"/>
          <w:szCs w:val="24"/>
        </w:rPr>
        <w:t>从机制上讲，CDK4/6 抑制剂被认为是通过视网膜母细胞瘤蛋白 1 (RB1) 和所谓的 DREAM 复合物来维持稳定的增殖停滞，从而阻止 E2F 依赖性转录程序的激活，进而抑制 G</w:t>
      </w:r>
      <w:r w:rsidRPr="00C35F76">
        <w:rPr>
          <w:rFonts w:ascii="微软雅黑" w:eastAsia="微软雅黑" w:hAnsi="微软雅黑" w:cs="宋体"/>
          <w:kern w:val="0"/>
          <w:sz w:val="24"/>
          <w:szCs w:val="24"/>
          <w:u w:val="single"/>
          <w:vertAlign w:val="superscript"/>
        </w:rPr>
        <w:t>&lt;sub&gt; 1 &lt;/sub&gt;</w:t>
      </w:r>
      <w:r w:rsidRPr="00C35F76">
        <w:rPr>
          <w:rFonts w:ascii="微软雅黑" w:eastAsia="微软雅黑" w:hAnsi="微软雅黑" w:cs="宋体"/>
          <w:kern w:val="0"/>
          <w:sz w:val="24"/>
          <w:szCs w:val="24"/>
        </w:rPr>
        <w:t>/S 期细胞周期转换。</w:t>
      </w:r>
      <w:r w:rsidRPr="00C35F76">
        <w:rPr>
          <w:rFonts w:ascii="微软雅黑" w:eastAsia="微软雅黑" w:hAnsi="微软雅黑" w:cs="宋体"/>
          <w:kern w:val="0"/>
          <w:sz w:val="24"/>
          <w:szCs w:val="24"/>
          <w:vertAlign w:val="superscript"/>
        </w:rPr>
        <w:fldChar w:fldCharType="begin"/>
      </w:r>
      <w:r w:rsidRPr="00C35F76">
        <w:rPr>
          <w:rFonts w:ascii="微软雅黑" w:eastAsia="微软雅黑" w:hAnsi="微软雅黑" w:cs="宋体"/>
          <w:kern w:val="0"/>
          <w:sz w:val="24"/>
          <w:szCs w:val="24"/>
          <w:vertAlign w:val="superscript"/>
        </w:rPr>
        <w:instrText xml:space="preserve"> HYPERLINK "https://pmc.ncbi.nlm.nih.gov/articles/PMC12269697/" \l "cit0002" </w:instrText>
      </w:r>
      <w:r w:rsidRPr="00C35F76">
        <w:rPr>
          <w:rFonts w:ascii="微软雅黑" w:eastAsia="微软雅黑" w:hAnsi="微软雅黑" w:cs="宋体"/>
          <w:kern w:val="0"/>
          <w:sz w:val="24"/>
          <w:szCs w:val="24"/>
          <w:vertAlign w:val="superscript"/>
        </w:rPr>
        <w:fldChar w:fldCharType="separate"/>
      </w:r>
      <w:r w:rsidRPr="00C35F76">
        <w:rPr>
          <w:rFonts w:ascii="微软雅黑" w:eastAsia="微软雅黑" w:hAnsi="微软雅黑" w:cs="宋体"/>
          <w:kern w:val="0"/>
          <w:sz w:val="24"/>
          <w:szCs w:val="24"/>
          <w:u w:val="single"/>
          <w:vertAlign w:val="superscript"/>
        </w:rPr>
        <w:t>2</w:t>
      </w:r>
      <w:r w:rsidRPr="00C35F76">
        <w:rPr>
          <w:rFonts w:ascii="微软雅黑" w:eastAsia="微软雅黑" w:hAnsi="微软雅黑" w:cs="宋体"/>
          <w:kern w:val="0"/>
          <w:sz w:val="24"/>
          <w:szCs w:val="24"/>
          <w:vertAlign w:val="superscript"/>
        </w:rPr>
        <w:fldChar w:fldCharType="end"/>
      </w:r>
      <w:r w:rsidRPr="00C35F76">
        <w:rPr>
          <w:rFonts w:ascii="微软雅黑" w:eastAsia="微软雅黑" w:hAnsi="微软雅黑" w:cs="宋体"/>
          <w:kern w:val="0"/>
          <w:sz w:val="24"/>
          <w:szCs w:val="24"/>
        </w:rPr>
        <w:t>与此观点一致，CDK4/6抑制剂的常见耐药机制包括</w:t>
      </w:r>
      <w:r w:rsidRPr="00C35F76">
        <w:rPr>
          <w:rFonts w:ascii="微软雅黑" w:eastAsia="微软雅黑" w:hAnsi="微软雅黑" w:cs="宋体"/>
          <w:i/>
          <w:iCs/>
          <w:kern w:val="0"/>
          <w:sz w:val="24"/>
          <w:szCs w:val="24"/>
        </w:rPr>
        <w:t>RB1</w:t>
      </w:r>
      <w:r w:rsidRPr="00C35F76">
        <w:rPr>
          <w:rFonts w:ascii="微软雅黑" w:eastAsia="微软雅黑" w:hAnsi="微软雅黑" w:cs="宋体"/>
          <w:kern w:val="0"/>
          <w:sz w:val="24"/>
          <w:szCs w:val="24"/>
        </w:rPr>
        <w:t>基因缺失以及肿瘤蛋白53（TP53，即p53）系统的缺陷，后者对于在有效阻断CDK4/6的情况下抑制代偿性CDK2激活至关重要</w:t>
      </w:r>
      <w:r w:rsidRPr="00C35F76">
        <w:rPr>
          <w:rFonts w:ascii="微软雅黑" w:eastAsia="微软雅黑" w:hAnsi="微软雅黑" w:cs="宋体"/>
          <w:kern w:val="0"/>
          <w:sz w:val="24"/>
          <w:szCs w:val="24"/>
          <w:vertAlign w:val="superscript"/>
        </w:rPr>
        <w:fldChar w:fldCharType="begin"/>
      </w:r>
      <w:r w:rsidRPr="00C35F76">
        <w:rPr>
          <w:rFonts w:ascii="微软雅黑" w:eastAsia="微软雅黑" w:hAnsi="微软雅黑" w:cs="宋体"/>
          <w:kern w:val="0"/>
          <w:sz w:val="24"/>
          <w:szCs w:val="24"/>
          <w:vertAlign w:val="superscript"/>
        </w:rPr>
        <w:instrText xml:space="preserve"> HYPERLINK "https://pmc.ncbi.nlm.nih.gov/articles/PMC12269697/" \l "cit0001" </w:instrText>
      </w:r>
      <w:r w:rsidRPr="00C35F76">
        <w:rPr>
          <w:rFonts w:ascii="微软雅黑" w:eastAsia="微软雅黑" w:hAnsi="微软雅黑" w:cs="宋体"/>
          <w:kern w:val="0"/>
          <w:sz w:val="24"/>
          <w:szCs w:val="24"/>
          <w:vertAlign w:val="superscript"/>
        </w:rPr>
        <w:fldChar w:fldCharType="separate"/>
      </w:r>
      <w:r w:rsidRPr="00C35F76">
        <w:rPr>
          <w:rFonts w:ascii="微软雅黑" w:eastAsia="微软雅黑" w:hAnsi="微软雅黑" w:cs="宋体"/>
          <w:kern w:val="0"/>
          <w:sz w:val="24"/>
          <w:szCs w:val="24"/>
          <w:u w:val="single"/>
          <w:vertAlign w:val="superscript"/>
        </w:rPr>
        <w:t>。1</w:t>
      </w:r>
      <w:r w:rsidRPr="00C35F76">
        <w:rPr>
          <w:rFonts w:ascii="微软雅黑" w:eastAsia="微软雅黑" w:hAnsi="微软雅黑" w:cs="宋体"/>
          <w:kern w:val="0"/>
          <w:sz w:val="24"/>
          <w:szCs w:val="24"/>
          <w:vertAlign w:val="superscript"/>
        </w:rPr>
        <w:fldChar w:fldCharType="end"/>
      </w:r>
    </w:p>
    <w:p w14:paraId="085AAD43"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lastRenderedPageBreak/>
        <w:t>尽管如此，CDK4/6抑制剂也被证实具有免疫刺激作用，这可能（至少部分地）有助于其临床疗效。</w:t>
      </w:r>
      <w:r w:rsidRPr="00C35F76">
        <w:rPr>
          <w:rFonts w:ascii="微软雅黑" w:eastAsia="微软雅黑" w:hAnsi="微软雅黑" w:cs="宋体"/>
          <w:kern w:val="0"/>
          <w:sz w:val="24"/>
          <w:szCs w:val="24"/>
          <w:vertAlign w:val="superscript"/>
        </w:rPr>
        <w:fldChar w:fldCharType="begin"/>
      </w:r>
      <w:r w:rsidRPr="00C35F76">
        <w:rPr>
          <w:rFonts w:ascii="微软雅黑" w:eastAsia="微软雅黑" w:hAnsi="微软雅黑" w:cs="宋体"/>
          <w:kern w:val="0"/>
          <w:sz w:val="24"/>
          <w:szCs w:val="24"/>
          <w:vertAlign w:val="superscript"/>
        </w:rPr>
        <w:instrText xml:space="preserve"> HYPERLINK "https://pmc.ncbi.nlm.nih.gov/articles/PMC12269697/" \l "cit0003" </w:instrText>
      </w:r>
      <w:r w:rsidRPr="00C35F76">
        <w:rPr>
          <w:rFonts w:ascii="微软雅黑" w:eastAsia="微软雅黑" w:hAnsi="微软雅黑" w:cs="宋体"/>
          <w:kern w:val="0"/>
          <w:sz w:val="24"/>
          <w:szCs w:val="24"/>
          <w:vertAlign w:val="superscript"/>
        </w:rPr>
        <w:fldChar w:fldCharType="separate"/>
      </w:r>
      <w:r w:rsidRPr="00C35F76">
        <w:rPr>
          <w:rFonts w:ascii="微软雅黑" w:eastAsia="微软雅黑" w:hAnsi="微软雅黑" w:cs="宋体"/>
          <w:kern w:val="0"/>
          <w:sz w:val="24"/>
          <w:szCs w:val="24"/>
          <w:u w:val="single"/>
          <w:vertAlign w:val="superscript"/>
        </w:rPr>
        <w:t>&lt;sup&gt;</w:t>
      </w:r>
      <w:r w:rsidRPr="00C35F76">
        <w:rPr>
          <w:rFonts w:ascii="微软雅黑" w:eastAsia="微软雅黑" w:hAnsi="微软雅黑" w:cs="宋体"/>
          <w:kern w:val="0"/>
          <w:sz w:val="24"/>
          <w:szCs w:val="24"/>
          <w:vertAlign w:val="superscript"/>
        </w:rPr>
        <w:fldChar w:fldCharType="end"/>
      </w:r>
      <w:r w:rsidRPr="00C35F76">
        <w:rPr>
          <w:rFonts w:ascii="微软雅黑" w:eastAsia="微软雅黑" w:hAnsi="微软雅黑" w:cs="宋体"/>
          <w:kern w:val="0"/>
          <w:sz w:val="24"/>
          <w:szCs w:val="24"/>
          <w:vertAlign w:val="superscript"/>
        </w:rPr>
        <w:t> 3,4 </w:t>
      </w:r>
      <w:hyperlink r:id="rId7" w:anchor="cit0004" w:history="1">
        <w:r w:rsidRPr="00C35F76">
          <w:rPr>
            <w:rFonts w:ascii="微软雅黑" w:eastAsia="微软雅黑" w:hAnsi="微软雅黑" w:cs="宋体"/>
            <w:kern w:val="0"/>
            <w:sz w:val="24"/>
            <w:szCs w:val="24"/>
            <w:u w:val="single"/>
            <w:vertAlign w:val="superscript"/>
          </w:rPr>
          <w:t>&lt;/sup&gt;</w:t>
        </w:r>
      </w:hyperlink>
      <w:r w:rsidRPr="00C35F76">
        <w:rPr>
          <w:rFonts w:ascii="微软雅黑" w:eastAsia="微软雅黑" w:hAnsi="微软雅黑" w:cs="宋体"/>
          <w:kern w:val="0"/>
          <w:sz w:val="24"/>
          <w:szCs w:val="24"/>
        </w:rPr>
        <w:t>具体而言，CDK4/6抑制剂似乎：(2) 刺激恶性细胞分泌免疫刺激细胞因子，例如III型干扰素（IFN）和趋化因子，例如CC基序趋化因子配体2（CCL2），从而将免疫效应细胞募集到肿瘤微环境（TME）并激活它们；(2) 促进癌细胞表面MHC I类分子的表达，从而使其更容易被宿主免疫系统识别；以及 (3) 对免疫抑制性CD4&lt;sup&gt;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&lt;/sup&gt;CD25&lt;sup&gt;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&lt;/sup&gt;FOXP3 &lt;sup&gt;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&lt;/sup&gt;调节性T细胞（T </w:t>
      </w:r>
      <w:r w:rsidRPr="00C35F76">
        <w:rPr>
          <w:rFonts w:ascii="微软雅黑" w:eastAsia="微软雅黑" w:hAnsi="微软雅黑" w:cs="宋体"/>
          <w:kern w:val="0"/>
          <w:sz w:val="24"/>
          <w:szCs w:val="24"/>
          <w:vertAlign w:val="subscript"/>
        </w:rPr>
        <w:t>&lt;sub&gt;REG&lt;/sub&gt;</w:t>
      </w:r>
      <w:r w:rsidRPr="00C35F76">
        <w:rPr>
          <w:rFonts w:ascii="微软雅黑" w:eastAsia="微软雅黑" w:hAnsi="微软雅黑" w:cs="宋体"/>
          <w:kern w:val="0"/>
          <w:sz w:val="24"/>
          <w:szCs w:val="24"/>
        </w:rPr>
        <w:t>）发挥直接的抗增殖作用。</w:t>
      </w:r>
      <w:r w:rsidRPr="00C35F76">
        <w:rPr>
          <w:rFonts w:ascii="微软雅黑" w:eastAsia="微软雅黑" w:hAnsi="微软雅黑" w:cs="宋体"/>
          <w:kern w:val="0"/>
          <w:sz w:val="24"/>
          <w:szCs w:val="24"/>
          <w:vertAlign w:val="superscript"/>
        </w:rPr>
        <w:fldChar w:fldCharType="begin"/>
      </w:r>
      <w:r w:rsidRPr="00C35F76">
        <w:rPr>
          <w:rFonts w:ascii="微软雅黑" w:eastAsia="微软雅黑" w:hAnsi="微软雅黑" w:cs="宋体"/>
          <w:kern w:val="0"/>
          <w:sz w:val="24"/>
          <w:szCs w:val="24"/>
          <w:vertAlign w:val="superscript"/>
        </w:rPr>
        <w:instrText xml:space="preserve"> HYPERLINK "https://pmc.ncbi.nlm.nih.gov/articles/PMC12269697/" \l "cit0003" </w:instrText>
      </w:r>
      <w:r w:rsidRPr="00C35F76">
        <w:rPr>
          <w:rFonts w:ascii="微软雅黑" w:eastAsia="微软雅黑" w:hAnsi="微软雅黑" w:cs="宋体"/>
          <w:kern w:val="0"/>
          <w:sz w:val="24"/>
          <w:szCs w:val="24"/>
          <w:vertAlign w:val="superscript"/>
        </w:rPr>
        <w:fldChar w:fldCharType="separate"/>
      </w:r>
      <w:r w:rsidRPr="00C35F76">
        <w:rPr>
          <w:rFonts w:ascii="微软雅黑" w:eastAsia="微软雅黑" w:hAnsi="微软雅黑" w:cs="宋体"/>
          <w:kern w:val="0"/>
          <w:sz w:val="24"/>
          <w:szCs w:val="24"/>
          <w:u w:val="single"/>
          <w:vertAlign w:val="superscript"/>
        </w:rPr>
        <w:t>3,5</w:t>
      </w:r>
      <w:r w:rsidRPr="00C35F76">
        <w:rPr>
          <w:rFonts w:ascii="微软雅黑" w:eastAsia="微软雅黑" w:hAnsi="微软雅黑" w:cs="宋体"/>
          <w:kern w:val="0"/>
          <w:sz w:val="24"/>
          <w:szCs w:val="24"/>
          <w:vertAlign w:val="superscript"/>
        </w:rPr>
        <w:fldChar w:fldCharType="end"/>
      </w:r>
      <w:r w:rsidRPr="00C35F76">
        <w:rPr>
          <w:rFonts w:ascii="微软雅黑" w:eastAsia="微软雅黑" w:hAnsi="微软雅黑" w:cs="宋体"/>
          <w:kern w:val="0"/>
          <w:sz w:val="24"/>
          <w:szCs w:val="24"/>
        </w:rPr>
        <w:t>在此背景下，我们着手研究（至少在某些情况下）对 CDK4/6 抑制剂的耐药性是否也涉及局部或全身免疫抑制。我们利用一种能够重现人类乳腺癌关键免疫生物学特征的免疫活性 HR+ 乳腺癌模型</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"cit0005"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 6以及来自</w:t>
      </w:r>
      <w:hyperlink r:id="rId8" w:anchor="cit0006" w:history="1">
        <w:r w:rsidRPr="00C35F76">
          <w:rPr>
            <w:rFonts w:ascii="微软雅黑" w:eastAsia="微软雅黑" w:hAnsi="微软雅黑" w:cs="宋体"/>
            <w:kern w:val="0"/>
            <w:sz w:val="24"/>
            <w:szCs w:val="24"/>
          </w:rPr>
          <w:t>至少</w:t>
        </w:r>
      </w:hyperlink>
      <w:r w:rsidRPr="00C35F76">
        <w:rPr>
          <w:rFonts w:ascii="微软雅黑" w:eastAsia="微软雅黑" w:hAnsi="微软雅黑" w:cs="宋体"/>
          <w:kern w:val="0"/>
          <w:sz w:val="24"/>
          <w:szCs w:val="24"/>
        </w:rPr>
        <w:t xml:space="preserve">6 </w:t>
      </w:r>
      <w:proofErr w:type="gramStart"/>
      <w:r w:rsidRPr="00C35F76">
        <w:rPr>
          <w:rFonts w:ascii="微软雅黑" w:eastAsia="微软雅黑" w:hAnsi="微软雅黑" w:cs="宋体"/>
          <w:kern w:val="0"/>
          <w:sz w:val="24"/>
          <w:szCs w:val="24"/>
        </w:rPr>
        <w:t>个</w:t>
      </w:r>
      <w:proofErr w:type="gramEnd"/>
      <w:r w:rsidRPr="00C35F76">
        <w:rPr>
          <w:rFonts w:ascii="微软雅黑" w:eastAsia="微软雅黑" w:hAnsi="微软雅黑" w:cs="宋体"/>
          <w:kern w:val="0"/>
          <w:sz w:val="24"/>
          <w:szCs w:val="24"/>
        </w:rPr>
        <w:t xml:space="preserve">不同 HR + HER2-乳腺癌患者队列的临床样本，近期发现了一种新的 CDK4/6 抑制剂适应性耐药免疫机制，该机制涉及分泌白细胞介素 17 (IL-17) 的 </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 细胞和表达 C-X3-C 基序趋化因子受体 1 (CX3CR1) 的肿瘤相关巨噬细胞 (TAM) </w:t>
      </w:r>
      <w:hyperlink r:id="rId9" w:anchor="cit0007" w:history="1">
        <w:r w:rsidRPr="00C35F76">
          <w:rPr>
            <w:rFonts w:ascii="微软雅黑" w:eastAsia="微软雅黑" w:hAnsi="微软雅黑" w:cs="宋体"/>
            <w:kern w:val="0"/>
            <w:sz w:val="24"/>
            <w:szCs w:val="24"/>
          </w:rPr>
          <w:t>。7</w:t>
        </w:r>
      </w:hyperlink>
    </w:p>
    <w:p w14:paraId="19B59399"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t>我们研究了由缓释醋酸甲羟孕酮（MPA，M）植入剂和口服二甲基苯并[α]</w:t>
      </w:r>
      <w:proofErr w:type="gramStart"/>
      <w:r w:rsidRPr="00C35F76">
        <w:rPr>
          <w:rFonts w:ascii="微软雅黑" w:eastAsia="微软雅黑" w:hAnsi="微软雅黑" w:cs="宋体"/>
          <w:kern w:val="0"/>
          <w:sz w:val="24"/>
          <w:szCs w:val="24"/>
        </w:rPr>
        <w:t>蒽</w:t>
      </w:r>
      <w:proofErr w:type="gramEnd"/>
      <w:r w:rsidRPr="00C35F76">
        <w:rPr>
          <w:rFonts w:ascii="微软雅黑" w:eastAsia="微软雅黑" w:hAnsi="微软雅黑" w:cs="宋体"/>
          <w:kern w:val="0"/>
          <w:sz w:val="24"/>
          <w:szCs w:val="24"/>
        </w:rPr>
        <w:t>（DMBA，D）诱导的乳腺癌雌性C57BL/6小鼠肿瘤微环境（TME）的免疫学变化。这些小鼠</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"cit0006"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接受</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了原型CDK4/6抑制剂帕博西尼（P）联合他</w:t>
      </w:r>
      <w:proofErr w:type="gramStart"/>
      <w:r w:rsidRPr="00C35F76">
        <w:rPr>
          <w:rFonts w:ascii="微软雅黑" w:eastAsia="微软雅黑" w:hAnsi="微软雅黑" w:cs="宋体"/>
          <w:kern w:val="0"/>
          <w:sz w:val="24"/>
          <w:szCs w:val="24"/>
        </w:rPr>
        <w:t>莫昔芬</w:t>
      </w:r>
      <w:proofErr w:type="gramEnd"/>
      <w:r w:rsidRPr="00C35F76">
        <w:rPr>
          <w:rFonts w:ascii="微软雅黑" w:eastAsia="微软雅黑" w:hAnsi="微软雅黑" w:cs="宋体"/>
          <w:kern w:val="0"/>
          <w:sz w:val="24"/>
          <w:szCs w:val="24"/>
        </w:rPr>
        <w:t xml:space="preserve">（T）的内分泌治疗（ET），可选择在内分泌治疗前进行局部低分割放射治疗（RT），每次10 </w:t>
      </w:r>
      <w:proofErr w:type="spellStart"/>
      <w:r w:rsidRPr="00C35F76">
        <w:rPr>
          <w:rFonts w:ascii="微软雅黑" w:eastAsia="微软雅黑" w:hAnsi="微软雅黑" w:cs="宋体"/>
          <w:kern w:val="0"/>
          <w:sz w:val="24"/>
          <w:szCs w:val="24"/>
        </w:rPr>
        <w:t>Gy</w:t>
      </w:r>
      <w:proofErr w:type="spellEnd"/>
      <w:r w:rsidRPr="00C35F76">
        <w:rPr>
          <w:rFonts w:ascii="微软雅黑" w:eastAsia="微软雅黑" w:hAnsi="微软雅黑" w:cs="宋体"/>
          <w:kern w:val="0"/>
          <w:sz w:val="24"/>
          <w:szCs w:val="24"/>
        </w:rPr>
        <w:t>，共3次。这些肿瘤对免疫检查点抑制剂的敏感性较低，</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"cit0006"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但</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对帕博西尼有反应，且在P治疗前进行RT（RT→P）可增强其治疗活性。</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"cit0008"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单</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细胞RNA测序（</w:t>
      </w:r>
      <w:proofErr w:type="spellStart"/>
      <w:r w:rsidRPr="00C35F76">
        <w:rPr>
          <w:rFonts w:ascii="微软雅黑" w:eastAsia="微软雅黑" w:hAnsi="微软雅黑" w:cs="宋体"/>
          <w:kern w:val="0"/>
          <w:sz w:val="24"/>
          <w:szCs w:val="24"/>
        </w:rPr>
        <w:t>scRNAseq</w:t>
      </w:r>
      <w:proofErr w:type="spellEnd"/>
      <w:r w:rsidRPr="00C35F76">
        <w:rPr>
          <w:rFonts w:ascii="微软雅黑" w:eastAsia="微软雅黑" w:hAnsi="微软雅黑" w:cs="宋体"/>
          <w:kern w:val="0"/>
          <w:sz w:val="24"/>
          <w:szCs w:val="24"/>
        </w:rPr>
        <w:t>）显示，P+T可诱导M/D诱导的肿瘤TME中</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T细胞的积累，</w:t>
      </w:r>
      <w:r w:rsidRPr="00C35F76">
        <w:rPr>
          <w:rFonts w:ascii="微软雅黑" w:eastAsia="微软雅黑" w:hAnsi="微软雅黑" w:cs="宋体"/>
          <w:kern w:val="0"/>
          <w:sz w:val="24"/>
          <w:szCs w:val="24"/>
        </w:rPr>
        <w:lastRenderedPageBreak/>
        <w:t>而RT→P+T治疗的病灶中未观察到这种效应。这些</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T细胞表现出一种转录谱，该转录谱此前已被证实与免疫抑制特性相关</w:t>
      </w:r>
      <w:r w:rsidRPr="00C35F76">
        <w:rPr>
          <w:rFonts w:ascii="微软雅黑" w:eastAsia="微软雅黑" w:hAnsi="微软雅黑" w:cs="宋体"/>
          <w:kern w:val="0"/>
          <w:sz w:val="24"/>
          <w:szCs w:val="24"/>
          <w:u w:val="single"/>
          <w:vertAlign w:val="superscript"/>
        </w:rPr>
        <w:t>&lt;sup&gt; </w:t>
      </w:r>
      <w:hyperlink r:id="rId10" w:anchor="cit0009" w:history="1">
        <w:r w:rsidRPr="00C35F76">
          <w:rPr>
            <w:rFonts w:ascii="微软雅黑" w:eastAsia="微软雅黑" w:hAnsi="微软雅黑" w:cs="宋体"/>
            <w:kern w:val="0"/>
            <w:sz w:val="24"/>
            <w:szCs w:val="24"/>
            <w:u w:val="single"/>
            <w:vertAlign w:val="superscript"/>
          </w:rPr>
          <w:t>9</w:t>
        </w:r>
      </w:hyperlink>
      <w:r w:rsidRPr="00C35F76">
        <w:rPr>
          <w:rFonts w:ascii="微软雅黑" w:eastAsia="微软雅黑" w:hAnsi="微软雅黑" w:cs="宋体"/>
          <w:kern w:val="0"/>
          <w:sz w:val="24"/>
          <w:szCs w:val="24"/>
          <w:u w:val="single"/>
          <w:vertAlign w:val="superscript"/>
        </w:rPr>
        <w:t> &lt;/sup&gt;</w:t>
      </w:r>
      <w:r w:rsidRPr="00C35F76">
        <w:rPr>
          <w:rFonts w:ascii="微软雅黑" w:eastAsia="微软雅黑" w:hAnsi="微软雅黑" w:cs="宋体"/>
          <w:kern w:val="0"/>
          <w:sz w:val="24"/>
          <w:szCs w:val="24"/>
        </w:rPr>
        <w:t>，尤其值得注意的是</w:t>
      </w:r>
      <w:r w:rsidRPr="00C35F76">
        <w:rPr>
          <w:rFonts w:ascii="微软雅黑" w:eastAsia="微软雅黑" w:hAnsi="微软雅黑" w:cs="宋体"/>
          <w:i/>
          <w:iCs/>
          <w:kern w:val="0"/>
          <w:sz w:val="24"/>
          <w:szCs w:val="24"/>
        </w:rPr>
        <w:t>IL-17A</w:t>
      </w:r>
      <w:r w:rsidRPr="00C35F76">
        <w:rPr>
          <w:rFonts w:ascii="微软雅黑" w:eastAsia="微软雅黑" w:hAnsi="微软雅黑" w:cs="宋体"/>
          <w:kern w:val="0"/>
          <w:sz w:val="24"/>
          <w:szCs w:val="24"/>
        </w:rPr>
        <w:t>表达以及干扰素γ（</w:t>
      </w:r>
      <w:r w:rsidRPr="00C35F76">
        <w:rPr>
          <w:rFonts w:ascii="微软雅黑" w:eastAsia="微软雅黑" w:hAnsi="微软雅黑" w:cs="宋体"/>
          <w:i/>
          <w:iCs/>
          <w:kern w:val="0"/>
          <w:sz w:val="24"/>
          <w:szCs w:val="24"/>
        </w:rPr>
        <w:t>IFN-γ</w:t>
      </w:r>
      <w:r w:rsidRPr="00C35F76">
        <w:rPr>
          <w:rFonts w:ascii="微软雅黑" w:eastAsia="微软雅黑" w:hAnsi="微软雅黑" w:cs="宋体"/>
          <w:kern w:val="0"/>
          <w:sz w:val="24"/>
          <w:szCs w:val="24"/>
        </w:rPr>
        <w:t>）和</w:t>
      </w:r>
      <w:r w:rsidRPr="00C35F76">
        <w:rPr>
          <w:rFonts w:ascii="微软雅黑" w:eastAsia="微软雅黑" w:hAnsi="微软雅黑" w:cs="宋体"/>
          <w:i/>
          <w:iCs/>
          <w:kern w:val="0"/>
          <w:sz w:val="24"/>
          <w:szCs w:val="24"/>
        </w:rPr>
        <w:t>CD27水平的降低。在人HR</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乳腺癌样本的</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T细胞中，单细胞RNA测序（</w:t>
      </w:r>
      <w:proofErr w:type="spellStart"/>
      <w:r w:rsidRPr="00C35F76">
        <w:rPr>
          <w:rFonts w:ascii="微软雅黑" w:eastAsia="微软雅黑" w:hAnsi="微软雅黑" w:cs="宋体"/>
          <w:kern w:val="0"/>
          <w:sz w:val="24"/>
          <w:szCs w:val="24"/>
        </w:rPr>
        <w:t>scRNAseq</w:t>
      </w:r>
      <w:proofErr w:type="spellEnd"/>
      <w:r w:rsidRPr="00C35F76">
        <w:rPr>
          <w:rFonts w:ascii="微软雅黑" w:eastAsia="微软雅黑" w:hAnsi="微软雅黑" w:cs="宋体"/>
          <w:kern w:val="0"/>
          <w:sz w:val="24"/>
          <w:szCs w:val="24"/>
        </w:rPr>
        <w:t>）也证实了类似的免疫抑制特征。鉴于</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T细胞能够促进对CDK4/6抑制剂的耐药性，P+T疗法对M/D驱动的乳腺肿瘤的治疗活性可通过以下方式提高：（1）</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TCR拮抗抗体；（2）IL-17A中和抗体；以及（3）从宿主中删除</w:t>
      </w:r>
      <w:proofErr w:type="spellStart"/>
      <w:r w:rsidRPr="00C35F76">
        <w:rPr>
          <w:rFonts w:ascii="微软雅黑" w:eastAsia="微软雅黑" w:hAnsi="微软雅黑" w:cs="宋体"/>
          <w:i/>
          <w:iCs/>
          <w:kern w:val="0"/>
          <w:sz w:val="24"/>
          <w:szCs w:val="24"/>
        </w:rPr>
        <w:t>Tcrd</w:t>
      </w:r>
      <w:proofErr w:type="spellEnd"/>
      <w:r w:rsidRPr="00C35F76">
        <w:rPr>
          <w:rFonts w:ascii="微软雅黑" w:eastAsia="微软雅黑" w:hAnsi="微软雅黑" w:cs="宋体"/>
          <w:i/>
          <w:iCs/>
          <w:kern w:val="0"/>
          <w:sz w:val="24"/>
          <w:szCs w:val="24"/>
        </w:rPr>
        <w:t>基因</w:t>
      </w:r>
      <w:r w:rsidRPr="00C35F76">
        <w:rPr>
          <w:rFonts w:ascii="微软雅黑" w:eastAsia="微软雅黑" w:hAnsi="微软雅黑" w:cs="宋体"/>
          <w:kern w:val="0"/>
          <w:sz w:val="24"/>
          <w:szCs w:val="24"/>
        </w:rPr>
        <w:t>（编码</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TCR链之一）</w:t>
      </w:r>
      <w:r w:rsidRPr="00C35F76">
        <w:rPr>
          <w:rFonts w:ascii="微软雅黑" w:eastAsia="微软雅黑" w:hAnsi="微软雅黑" w:cs="宋体"/>
          <w:kern w:val="0"/>
          <w:sz w:val="24"/>
          <w:szCs w:val="24"/>
          <w:u w:val="single"/>
          <w:vertAlign w:val="superscript"/>
        </w:rPr>
        <w:t>&lt;sup&gt; </w:t>
      </w:r>
      <w:hyperlink r:id="rId11" w:anchor="cit0010" w:history="1">
        <w:r w:rsidRPr="00C35F76">
          <w:rPr>
            <w:rFonts w:ascii="微软雅黑" w:eastAsia="微软雅黑" w:hAnsi="微软雅黑" w:cs="宋体"/>
            <w:kern w:val="0"/>
            <w:sz w:val="24"/>
            <w:szCs w:val="24"/>
            <w:u w:val="single"/>
            <w:vertAlign w:val="superscript"/>
          </w:rPr>
          <w:t>10 &lt;/sup&gt;。&lt;sup&gt; </w:t>
        </w:r>
      </w:hyperlink>
      <w:hyperlink r:id="rId12" w:anchor="cit0007" w:history="1">
        <w:r w:rsidRPr="00C35F76">
          <w:rPr>
            <w:rFonts w:ascii="微软雅黑" w:eastAsia="微软雅黑" w:hAnsi="微软雅黑" w:cs="宋体"/>
            <w:kern w:val="0"/>
            <w:sz w:val="24"/>
            <w:szCs w:val="24"/>
            <w:u w:val="single"/>
            <w:vertAlign w:val="superscript"/>
          </w:rPr>
          <w:t>7&lt;/sup&gt;</w:t>
        </w:r>
      </w:hyperlink>
    </w:p>
    <w:p w14:paraId="65EC0728" w14:textId="37CF8D40"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t>我们基于小鼠单细胞RNA测序数据集以及对来自公共METABRIC数据集</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"cit0011"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的</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 xml:space="preserve">ER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乳腺癌患者进行生物信息学分析，并基于IL17信号通路转录特征，结果表明CCL2及其同源受体CC基序趋化因子受体2 (CCR2)可能是M/D驱动型肿瘤中</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T细胞浸润的潜在驱动因子，这些肿瘤对P+T疗法有反应。事实上，小鼠和人HR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乳腺癌细胞在P刺激下均会分泌CCL2。此外，使用特异性单克隆抗体中和CCL2不仅增强了P+T疗法对M/D驱动型乳腺癌的治疗效果，而且还限制了IL17产生型</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T细胞的浸润。有趣的是，RT抑制P+T募集</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T细胞的能力反映了其选择性（至少在初期）靶向乏氧肿瘤区域的能力，这些区域（1）不适宜</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T细胞生存</w:t>
      </w:r>
      <w:r w:rsidRPr="00C35F76">
        <w:rPr>
          <w:rFonts w:ascii="微软雅黑" w:eastAsia="微软雅黑" w:hAnsi="微软雅黑" w:cs="宋体"/>
          <w:kern w:val="0"/>
          <w:sz w:val="24"/>
          <w:szCs w:val="24"/>
          <w:u w:val="single"/>
          <w:vertAlign w:val="superscript"/>
        </w:rPr>
        <w:t>&lt;sup&gt; </w:t>
      </w:r>
      <w:hyperlink r:id="rId13" w:anchor="cit0012" w:history="1">
        <w:r w:rsidRPr="00C35F76">
          <w:rPr>
            <w:rFonts w:ascii="微软雅黑" w:eastAsia="微软雅黑" w:hAnsi="微软雅黑" w:cs="宋体"/>
            <w:kern w:val="0"/>
            <w:sz w:val="24"/>
            <w:szCs w:val="24"/>
            <w:u w:val="single"/>
            <w:vertAlign w:val="superscript"/>
          </w:rPr>
          <w:t>12</w:t>
        </w:r>
      </w:hyperlink>
      <w:r w:rsidRPr="00C35F76">
        <w:rPr>
          <w:rFonts w:ascii="微软雅黑" w:eastAsia="微软雅黑" w:hAnsi="微软雅黑" w:cs="宋体"/>
          <w:kern w:val="0"/>
          <w:sz w:val="24"/>
          <w:szCs w:val="24"/>
          <w:u w:val="single"/>
          <w:vertAlign w:val="superscript"/>
        </w:rPr>
        <w:t> &lt;/sup&gt;</w:t>
      </w:r>
      <w:r w:rsidRPr="00C35F76">
        <w:rPr>
          <w:rFonts w:ascii="微软雅黑" w:eastAsia="微软雅黑" w:hAnsi="微软雅黑" w:cs="宋体"/>
          <w:kern w:val="0"/>
          <w:sz w:val="24"/>
          <w:szCs w:val="24"/>
        </w:rPr>
        <w:t>，（2）干扰P+T驱动的癌细胞CCL2分泌</w:t>
      </w:r>
      <w:r w:rsidRPr="00C35F76">
        <w:rPr>
          <w:rFonts w:ascii="微软雅黑" w:eastAsia="微软雅黑" w:hAnsi="微软雅黑" w:cs="宋体"/>
          <w:kern w:val="0"/>
          <w:sz w:val="24"/>
          <w:szCs w:val="24"/>
          <w:u w:val="single"/>
          <w:vertAlign w:val="superscript"/>
        </w:rPr>
        <w:t>&lt;sup&gt; </w:t>
      </w:r>
      <w:hyperlink r:id="rId14" w:anchor="cit0007" w:history="1">
        <w:r w:rsidRPr="00C35F76">
          <w:rPr>
            <w:rFonts w:ascii="微软雅黑" w:eastAsia="微软雅黑" w:hAnsi="微软雅黑" w:cs="宋体"/>
            <w:kern w:val="0"/>
            <w:sz w:val="24"/>
            <w:szCs w:val="24"/>
            <w:u w:val="single"/>
            <w:vertAlign w:val="superscript"/>
          </w:rPr>
          <w:t>7&lt;/sup&gt; 。</w:t>
        </w:r>
      </w:hyperlink>
    </w:p>
    <w:p w14:paraId="2ADB7AAD" w14:textId="04712409"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t>小鼠单细胞RNA测序（</w:t>
      </w:r>
      <w:proofErr w:type="spellStart"/>
      <w:r w:rsidRPr="00C35F76">
        <w:rPr>
          <w:rFonts w:ascii="微软雅黑" w:eastAsia="微软雅黑" w:hAnsi="微软雅黑" w:cs="宋体"/>
          <w:kern w:val="0"/>
          <w:sz w:val="24"/>
          <w:szCs w:val="24"/>
        </w:rPr>
        <w:t>scRNAseq</w:t>
      </w:r>
      <w:proofErr w:type="spellEnd"/>
      <w:r w:rsidRPr="00C35F76">
        <w:rPr>
          <w:rFonts w:ascii="微软雅黑" w:eastAsia="微软雅黑" w:hAnsi="微软雅黑" w:cs="宋体"/>
          <w:kern w:val="0"/>
          <w:sz w:val="24"/>
          <w:szCs w:val="24"/>
        </w:rPr>
        <w:t>）数据显示，P+T诱导的</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T细胞募集与CX3CR1 +肿瘤相关巨噬细胞（TAM）的富集相关。与CX3CR1- TAM相比，CX3CR1 + TAM表现出与免疫抑制相关的转录谱，特别是I型干扰素（IFN）和</w:t>
      </w:r>
      <w:r w:rsidRPr="00C35F76">
        <w:rPr>
          <w:rFonts w:ascii="微软雅黑" w:eastAsia="微软雅黑" w:hAnsi="微软雅黑" w:cs="宋体"/>
          <w:kern w:val="0"/>
          <w:sz w:val="24"/>
          <w:szCs w:val="24"/>
        </w:rPr>
        <w:lastRenderedPageBreak/>
        <w:t>IFNG信号通路相关基因特征的下调，以及（1）白细胞介素17受体A（</w:t>
      </w:r>
      <w:r w:rsidRPr="00C35F76">
        <w:rPr>
          <w:rFonts w:ascii="微软雅黑" w:eastAsia="微软雅黑" w:hAnsi="微软雅黑" w:cs="宋体"/>
          <w:i/>
          <w:iCs/>
          <w:kern w:val="0"/>
          <w:sz w:val="24"/>
          <w:szCs w:val="24"/>
        </w:rPr>
        <w:t>IL-17RA</w:t>
      </w:r>
      <w:r w:rsidRPr="00C35F76">
        <w:rPr>
          <w:rFonts w:ascii="微软雅黑" w:eastAsia="微软雅黑" w:hAnsi="微软雅黑" w:cs="宋体"/>
          <w:kern w:val="0"/>
          <w:sz w:val="24"/>
          <w:szCs w:val="24"/>
        </w:rPr>
        <w:t>）的上调和（2）IL-17信号通路相关转录本的丰度增加。在人HR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乳腺癌样本的CX3CR1 + TAM中也观察到了类似的转录特征。值得注意的是，使用靶向集落刺激因子1受体（CSF1R）的单克隆抗体将CX3CR1 + TAM重新极化为免疫刺激状态，可增强P+T对M/D驱动型乳腺癌的活性，其效果与IL-17A中和作用相当。阻断 CSF1R 和中和 IL17A 对 P+T 的治疗效果没有表现出上位性相互作用，这表明这两个过程在同一耐药机制中发挥作用</w:t>
      </w:r>
      <w:r w:rsidRPr="00264ED9">
        <w:rPr>
          <w:rFonts w:ascii="微软雅黑" w:eastAsia="微软雅黑" w:hAnsi="微软雅黑" w:cs="宋体" w:hint="eastAsia"/>
          <w:kern w:val="0"/>
          <w:sz w:val="24"/>
          <w:szCs w:val="24"/>
        </w:rPr>
        <w:t>。</w:t>
      </w:r>
    </w:p>
    <w:p w14:paraId="40FDFCF7" w14:textId="77777777" w:rsidR="00C35F76" w:rsidRPr="00C35F76" w:rsidRDefault="00C35F76" w:rsidP="00C35F76">
      <w:pPr>
        <w:widowControl/>
        <w:spacing w:before="450"/>
        <w:rPr>
          <w:rFonts w:ascii="微软雅黑" w:eastAsia="微软雅黑" w:hAnsi="微软雅黑" w:cs="宋体"/>
          <w:kern w:val="0"/>
          <w:sz w:val="24"/>
          <w:szCs w:val="24"/>
        </w:rPr>
      </w:pPr>
      <w:hyperlink r:id="rId15" w:anchor="cit0011" w:history="1">
        <w:r w:rsidRPr="00C35F76">
          <w:rPr>
            <w:rFonts w:ascii="微软雅黑" w:eastAsia="微软雅黑" w:hAnsi="微软雅黑" w:cs="宋体"/>
            <w:kern w:val="0"/>
            <w:sz w:val="24"/>
            <w:szCs w:val="24"/>
          </w:rPr>
          <w:t>值得注意的是，来自METABRIC数据集</w:t>
        </w:r>
        <w:r w:rsidRPr="00C35F76">
          <w:rPr>
            <w:rFonts w:ascii="微软雅黑" w:eastAsia="微软雅黑" w:hAnsi="微软雅黑" w:cs="宋体"/>
            <w:kern w:val="0"/>
            <w:sz w:val="24"/>
            <w:szCs w:val="24"/>
            <w:u w:val="single"/>
            <w:vertAlign w:val="superscript"/>
          </w:rPr>
          <w:t>&lt;sup&gt;11&lt;/sup&gt;的</w:t>
        </w:r>
      </w:hyperlink>
      <w:r w:rsidRPr="00C35F76">
        <w:rPr>
          <w:rFonts w:ascii="微软雅黑" w:eastAsia="微软雅黑" w:hAnsi="微软雅黑" w:cs="宋体"/>
          <w:kern w:val="0"/>
          <w:sz w:val="24"/>
          <w:szCs w:val="24"/>
        </w:rPr>
        <w:t>1042例HR</w:t>
      </w:r>
      <w:r w:rsidRPr="00C35F76">
        <w:rPr>
          <w:rFonts w:ascii="微软雅黑" w:eastAsia="微软雅黑" w:hAnsi="微软雅黑" w:cs="宋体"/>
          <w:kern w:val="0"/>
          <w:sz w:val="24"/>
          <w:szCs w:val="24"/>
          <w:vertAlign w:val="superscript"/>
        </w:rPr>
        <w:t>&lt;sup&gt; +</w:t>
      </w:r>
      <w:r w:rsidRPr="00C35F76">
        <w:rPr>
          <w:rFonts w:ascii="微软雅黑" w:eastAsia="微软雅黑" w:hAnsi="微软雅黑" w:cs="宋体"/>
          <w:kern w:val="0"/>
          <w:sz w:val="24"/>
          <w:szCs w:val="24"/>
          <w:u w:val="single"/>
          <w:vertAlign w:val="superscript"/>
        </w:rPr>
        <w:t> &lt;/sup&gt;</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乳腺癌患者的诊断性活检样本中，</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T细胞浸润或IL-17信号传导的遗传特征与疾病特异性生存期（DSS）降低相关。此外，86例患者的诊断性活检样本显示，</w:t>
      </w:r>
      <w:r w:rsidRPr="00C35F76">
        <w:rPr>
          <w:rFonts w:ascii="微软雅黑" w:eastAsia="微软雅黑" w:hAnsi="微软雅黑" w:cs="宋体"/>
          <w:i/>
          <w:iCs/>
          <w:kern w:val="0"/>
          <w:sz w:val="24"/>
          <w:szCs w:val="24"/>
        </w:rPr>
        <w:t>与</w:t>
      </w:r>
      <w:r w:rsidRPr="00C35F76">
        <w:rPr>
          <w:rFonts w:ascii="微软雅黑" w:eastAsia="微软雅黑" w:hAnsi="微软雅黑" w:cs="宋体"/>
          <w:kern w:val="0"/>
          <w:sz w:val="24"/>
          <w:szCs w:val="24"/>
        </w:rPr>
        <w:t>I级或II级HR</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乳腺癌相比，III</w:t>
      </w:r>
      <w:proofErr w:type="gramStart"/>
      <w:r w:rsidRPr="00C35F76">
        <w:rPr>
          <w:rFonts w:ascii="微软雅黑" w:eastAsia="微软雅黑" w:hAnsi="微软雅黑" w:cs="宋体"/>
          <w:kern w:val="0"/>
          <w:sz w:val="24"/>
          <w:szCs w:val="24"/>
        </w:rPr>
        <w:t>级人乳腺癌</w:t>
      </w:r>
      <w:proofErr w:type="gramEnd"/>
      <w:r w:rsidRPr="00C35F76">
        <w:rPr>
          <w:rFonts w:ascii="微软雅黑" w:eastAsia="微软雅黑" w:hAnsi="微软雅黑" w:cs="宋体"/>
          <w:kern w:val="0"/>
          <w:sz w:val="24"/>
          <w:szCs w:val="24"/>
        </w:rPr>
        <w:t>的微环境中</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T细胞富集。类似地，在一项针对高危HR</w:t>
      </w:r>
      <w:r w:rsidRPr="00C35F76">
        <w:rPr>
          <w:rFonts w:ascii="微软雅黑" w:eastAsia="微软雅黑" w:hAnsi="微软雅黑" w:cs="宋体"/>
          <w:kern w:val="0"/>
          <w:sz w:val="24"/>
          <w:szCs w:val="24"/>
          <w:u w:val="single"/>
          <w:vertAlign w:val="superscript"/>
        </w:rPr>
        <w:t>&lt;sup&gt;+&lt;/sup&gt;</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u w:val="single"/>
          <w:vertAlign w:val="superscript"/>
        </w:rPr>
        <w:t>&lt;sup&gt;-&lt;/sup&gt;</w:t>
      </w:r>
      <w:r w:rsidRPr="00C35F76">
        <w:rPr>
          <w:rFonts w:ascii="微软雅黑" w:eastAsia="微软雅黑" w:hAnsi="微软雅黑" w:cs="宋体"/>
          <w:kern w:val="0"/>
          <w:sz w:val="24"/>
          <w:szCs w:val="24"/>
        </w:rPr>
        <w:t>乳腺癌患者的临床试验中，12例患者接受新辅助</w:t>
      </w:r>
      <w:proofErr w:type="gramStart"/>
      <w:r w:rsidRPr="00C35F76">
        <w:rPr>
          <w:rFonts w:ascii="微软雅黑" w:eastAsia="微软雅黑" w:hAnsi="微软雅黑" w:cs="宋体"/>
          <w:kern w:val="0"/>
          <w:sz w:val="24"/>
          <w:szCs w:val="24"/>
        </w:rPr>
        <w:t>帕博利珠单</w:t>
      </w:r>
      <w:proofErr w:type="gramEnd"/>
      <w:r w:rsidRPr="00C35F76">
        <w:rPr>
          <w:rFonts w:ascii="微软雅黑" w:eastAsia="微软雅黑" w:hAnsi="微软雅黑" w:cs="宋体"/>
          <w:kern w:val="0"/>
          <w:sz w:val="24"/>
          <w:szCs w:val="24"/>
        </w:rPr>
        <w:t>抗治疗后序</w:t>
      </w:r>
      <w:proofErr w:type="gramStart"/>
      <w:r w:rsidRPr="00C35F76">
        <w:rPr>
          <w:rFonts w:ascii="微软雅黑" w:eastAsia="微软雅黑" w:hAnsi="微软雅黑" w:cs="宋体"/>
          <w:kern w:val="0"/>
          <w:sz w:val="24"/>
          <w:szCs w:val="24"/>
        </w:rPr>
        <w:t>贯帕博利珠单</w:t>
      </w:r>
      <w:proofErr w:type="gramEnd"/>
      <w:r w:rsidRPr="00C35F76">
        <w:rPr>
          <w:rFonts w:ascii="微软雅黑" w:eastAsia="微软雅黑" w:hAnsi="微软雅黑" w:cs="宋体"/>
          <w:kern w:val="0"/>
          <w:sz w:val="24"/>
          <w:szCs w:val="24"/>
        </w:rPr>
        <w:t>抗联合立体定向放射治疗（SBRT），结果显示基线时CX3CR1</w:t>
      </w:r>
      <w:r w:rsidRPr="00C35F76">
        <w:rPr>
          <w:rFonts w:ascii="微软雅黑" w:eastAsia="微软雅黑" w:hAnsi="微软雅黑" w:cs="宋体"/>
          <w:kern w:val="0"/>
          <w:sz w:val="24"/>
          <w:szCs w:val="24"/>
          <w:u w:val="single"/>
          <w:vertAlign w:val="superscript"/>
        </w:rPr>
        <w:t>&lt;sup&gt; + &lt;/sup&gt;</w:t>
      </w:r>
      <w:r w:rsidRPr="00C35F76">
        <w:rPr>
          <w:rFonts w:ascii="微软雅黑" w:eastAsia="微软雅黑" w:hAnsi="微软雅黑" w:cs="宋体"/>
          <w:kern w:val="0"/>
          <w:sz w:val="24"/>
          <w:szCs w:val="24"/>
        </w:rPr>
        <w:t>肿瘤相关巨噬细胞（TAM）数量增加与未达到病理完全缓解（</w:t>
      </w:r>
      <w:proofErr w:type="spellStart"/>
      <w:r w:rsidRPr="00C35F76">
        <w:rPr>
          <w:rFonts w:ascii="微软雅黑" w:eastAsia="微软雅黑" w:hAnsi="微软雅黑" w:cs="宋体"/>
          <w:kern w:val="0"/>
          <w:sz w:val="24"/>
          <w:szCs w:val="24"/>
        </w:rPr>
        <w:t>pCR</w:t>
      </w:r>
      <w:proofErr w:type="spellEnd"/>
      <w:r w:rsidRPr="00C35F76">
        <w:rPr>
          <w:rFonts w:ascii="微软雅黑" w:eastAsia="微软雅黑" w:hAnsi="微软雅黑" w:cs="宋体"/>
          <w:kern w:val="0"/>
          <w:sz w:val="24"/>
          <w:szCs w:val="24"/>
        </w:rPr>
        <w:t>）相关。</w:t>
      </w:r>
      <w:hyperlink r:id="rId16" w:anchor="cit0013" w:history="1">
        <w:r w:rsidRPr="00C35F76">
          <w:rPr>
            <w:rFonts w:ascii="微软雅黑" w:eastAsia="微软雅黑" w:hAnsi="微软雅黑" w:cs="宋体"/>
            <w:kern w:val="0"/>
            <w:sz w:val="24"/>
            <w:szCs w:val="24"/>
          </w:rPr>
          <w:t>13</w:t>
        </w:r>
      </w:hyperlink>
      <w:r w:rsidRPr="00C35F76">
        <w:rPr>
          <w:rFonts w:ascii="微软雅黑" w:eastAsia="微软雅黑" w:hAnsi="微软雅黑" w:cs="宋体"/>
          <w:kern w:val="0"/>
          <w:sz w:val="24"/>
          <w:szCs w:val="24"/>
        </w:rPr>
        <w:t xml:space="preserve">最后，(1) 在前瞻性分配接受 CDK4/6 抑制剂治疗的 23 例 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xml:space="preserve">乳腺癌患者中，循环中活化 </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 细胞数量的增加与无进展生存期 (PFS) 的缩短相关；(2) 在同一队列中，应答者（而非无应答者）表现出循环 CCL2 的早期升高；(3) 在 8 例 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-乳</w:t>
      </w:r>
      <w:r w:rsidRPr="00C35F76">
        <w:rPr>
          <w:rFonts w:ascii="微软雅黑" w:eastAsia="微软雅黑" w:hAnsi="微软雅黑" w:cs="宋体"/>
          <w:kern w:val="0"/>
          <w:sz w:val="24"/>
          <w:szCs w:val="24"/>
        </w:rPr>
        <w:t xml:space="preserve">腺癌患者中，CDK4/6 抑制后的复发与肿瘤内 </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 细胞的增加相关</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"cit0007"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。7</w:t>
      </w:r>
      <w:r w:rsidRPr="00C35F76">
        <w:rPr>
          <w:rFonts w:ascii="微软雅黑" w:eastAsia="微软雅黑" w:hAnsi="微软雅黑" w:cs="宋体"/>
          <w:kern w:val="0"/>
          <w:sz w:val="24"/>
          <w:szCs w:val="24"/>
        </w:rPr>
        <w:fldChar w:fldCharType="end"/>
      </w:r>
    </w:p>
    <w:p w14:paraId="6ADE5975" w14:textId="77777777" w:rsidR="00C35F76" w:rsidRPr="00C35F76" w:rsidRDefault="00C35F76" w:rsidP="00C35F76">
      <w:pPr>
        <w:widowControl/>
        <w:spacing w:before="450"/>
        <w:rPr>
          <w:rFonts w:ascii="微软雅黑" w:eastAsia="微软雅黑" w:hAnsi="微软雅黑" w:cs="宋体"/>
          <w:kern w:val="0"/>
          <w:sz w:val="24"/>
          <w:szCs w:val="24"/>
        </w:rPr>
      </w:pPr>
      <w:r w:rsidRPr="00C35F76">
        <w:rPr>
          <w:rFonts w:ascii="微软雅黑" w:eastAsia="微软雅黑" w:hAnsi="微软雅黑" w:cs="宋体"/>
          <w:kern w:val="0"/>
          <w:sz w:val="24"/>
          <w:szCs w:val="24"/>
        </w:rPr>
        <w:lastRenderedPageBreak/>
        <w:t>总之，我们的数据揭示了一种新的免疫机制：在CDK4/6抑制剂驱动下，</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T细胞在CCL2分泌后被募集到HR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乳腺癌肿瘤的肿瘤微环境（TME）中，进而促进肿瘤相关巨噬细胞（TAM）发生IL-17依赖性的重极化，向CX3CR1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表型转变，而CX3CR1</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表型与治疗耐药相关（</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"f0001"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图1</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）。由于在P+T治疗前进行局部低分割放疗可以阻断这一机制，一项随机II期临床试验（CIMER，</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"https://clinicaltrials.gov/ct2/show/NCT04563507" \t "_blank"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NCT04563507</w:t>
      </w:r>
      <w:r w:rsidRPr="00C35F76">
        <w:rPr>
          <w:rFonts w:ascii="微软雅黑" w:eastAsia="微软雅黑" w:hAnsi="微软雅黑" w:cs="宋体"/>
          <w:kern w:val="0"/>
          <w:sz w:val="24"/>
          <w:szCs w:val="24"/>
        </w:rPr>
        <w:fldChar w:fldCharType="end"/>
      </w:r>
      <w:r w:rsidRPr="00C35F76">
        <w:rPr>
          <w:rFonts w:ascii="微软雅黑" w:eastAsia="微软雅黑" w:hAnsi="微软雅黑" w:cs="宋体"/>
          <w:kern w:val="0"/>
          <w:sz w:val="24"/>
          <w:szCs w:val="24"/>
        </w:rPr>
        <w:t>）目前正在招募受试者，以研究标准治疗方案CDK4/6抑制剂联合内分泌治疗（ET）与立体定向放射治疗（SBRT）后序</w:t>
      </w:r>
      <w:proofErr w:type="gramStart"/>
      <w:r w:rsidRPr="00C35F76">
        <w:rPr>
          <w:rFonts w:ascii="微软雅黑" w:eastAsia="微软雅黑" w:hAnsi="微软雅黑" w:cs="宋体"/>
          <w:kern w:val="0"/>
          <w:sz w:val="24"/>
          <w:szCs w:val="24"/>
        </w:rPr>
        <w:t>贯</w:t>
      </w:r>
      <w:proofErr w:type="gramEnd"/>
      <w:r w:rsidRPr="00C35F76">
        <w:rPr>
          <w:rFonts w:ascii="微软雅黑" w:eastAsia="微软雅黑" w:hAnsi="微软雅黑" w:cs="宋体"/>
          <w:kern w:val="0"/>
          <w:sz w:val="24"/>
          <w:szCs w:val="24"/>
        </w:rPr>
        <w:t>CDK4/6抑制剂联合ET治疗</w:t>
      </w:r>
      <w:proofErr w:type="gramStart"/>
      <w:r w:rsidRPr="00C35F76">
        <w:rPr>
          <w:rFonts w:ascii="微软雅黑" w:eastAsia="微软雅黑" w:hAnsi="微软雅黑" w:cs="宋体"/>
          <w:kern w:val="0"/>
          <w:sz w:val="24"/>
          <w:szCs w:val="24"/>
        </w:rPr>
        <w:t>寡</w:t>
      </w:r>
      <w:proofErr w:type="gramEnd"/>
      <w:r w:rsidRPr="00C35F76">
        <w:rPr>
          <w:rFonts w:ascii="微软雅黑" w:eastAsia="微软雅黑" w:hAnsi="微软雅黑" w:cs="宋体"/>
          <w:kern w:val="0"/>
          <w:sz w:val="24"/>
          <w:szCs w:val="24"/>
        </w:rPr>
        <w:t>转移（≤5个转移灶，无脑转移）HR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乳腺癌患者的疗效。作为未来的发展方向，值得研究的是，IL17 抑制剂（目前至少有 3 种已获准用于治疗银屑病和其他炎症性疾病）</w:t>
      </w:r>
      <w:r w:rsidRPr="00C35F76">
        <w:rPr>
          <w:rFonts w:ascii="微软雅黑" w:eastAsia="微软雅黑" w:hAnsi="微软雅黑" w:cs="宋体"/>
          <w:kern w:val="0"/>
          <w:sz w:val="24"/>
          <w:szCs w:val="24"/>
          <w:vertAlign w:val="superscript"/>
        </w:rPr>
        <w:fldChar w:fldCharType="begin"/>
      </w:r>
      <w:r w:rsidRPr="00C35F76">
        <w:rPr>
          <w:rFonts w:ascii="微软雅黑" w:eastAsia="微软雅黑" w:hAnsi="微软雅黑" w:cs="宋体"/>
          <w:kern w:val="0"/>
          <w:sz w:val="24"/>
          <w:szCs w:val="24"/>
          <w:vertAlign w:val="superscript"/>
        </w:rPr>
        <w:instrText xml:space="preserve"> HYPERLINK "https://pmc.ncbi.nlm.nih.gov/articles/PMC12269697/" \l "cit0014" </w:instrText>
      </w:r>
      <w:r w:rsidRPr="00C35F76">
        <w:rPr>
          <w:rFonts w:ascii="微软雅黑" w:eastAsia="微软雅黑" w:hAnsi="微软雅黑" w:cs="宋体"/>
          <w:kern w:val="0"/>
          <w:sz w:val="24"/>
          <w:szCs w:val="24"/>
          <w:vertAlign w:val="superscript"/>
        </w:rPr>
        <w:fldChar w:fldCharType="separate"/>
      </w:r>
      <w:r w:rsidRPr="00C35F76">
        <w:rPr>
          <w:rFonts w:ascii="微软雅黑" w:eastAsia="微软雅黑" w:hAnsi="微软雅黑" w:cs="宋体"/>
          <w:kern w:val="0"/>
          <w:sz w:val="24"/>
          <w:szCs w:val="24"/>
          <w:u w:val="single"/>
          <w:vertAlign w:val="superscript"/>
        </w:rPr>
        <w:t>14</w:t>
      </w:r>
      <w:r w:rsidRPr="00C35F76">
        <w:rPr>
          <w:rFonts w:ascii="微软雅黑" w:eastAsia="微软雅黑" w:hAnsi="微软雅黑" w:cs="宋体"/>
          <w:kern w:val="0"/>
          <w:sz w:val="24"/>
          <w:szCs w:val="24"/>
          <w:vertAlign w:val="superscript"/>
        </w:rPr>
        <w:fldChar w:fldCharType="end"/>
      </w:r>
      <w:r w:rsidRPr="00C35F76">
        <w:rPr>
          <w:rFonts w:ascii="微软雅黑" w:eastAsia="微软雅黑" w:hAnsi="微软雅黑" w:cs="宋体"/>
          <w:kern w:val="0"/>
          <w:sz w:val="24"/>
          <w:szCs w:val="24"/>
        </w:rPr>
        <w:t xml:space="preserve">或 CSF1R 抑制剂（如 </w:t>
      </w:r>
      <w:proofErr w:type="spellStart"/>
      <w:r w:rsidRPr="00C35F76">
        <w:rPr>
          <w:rFonts w:ascii="微软雅黑" w:eastAsia="微软雅黑" w:hAnsi="微软雅黑" w:cs="宋体"/>
          <w:kern w:val="0"/>
          <w:sz w:val="24"/>
          <w:szCs w:val="24"/>
        </w:rPr>
        <w:t>pexidartinib</w:t>
      </w:r>
      <w:proofErr w:type="spellEnd"/>
      <w:r w:rsidRPr="00C35F76">
        <w:rPr>
          <w:rFonts w:ascii="微软雅黑" w:eastAsia="微软雅黑" w:hAnsi="微软雅黑" w:cs="宋体"/>
          <w:kern w:val="0"/>
          <w:sz w:val="24"/>
          <w:szCs w:val="24"/>
        </w:rPr>
        <w:t xml:space="preserve"> 和 </w:t>
      </w:r>
      <w:proofErr w:type="spellStart"/>
      <w:r w:rsidRPr="00C35F76">
        <w:rPr>
          <w:rFonts w:ascii="微软雅黑" w:eastAsia="微软雅黑" w:hAnsi="微软雅黑" w:cs="宋体"/>
          <w:kern w:val="0"/>
          <w:sz w:val="24"/>
          <w:szCs w:val="24"/>
        </w:rPr>
        <w:t>vimseltinib</w:t>
      </w:r>
      <w:proofErr w:type="spellEnd"/>
      <w:r w:rsidRPr="00C35F76">
        <w:rPr>
          <w:rFonts w:ascii="微软雅黑" w:eastAsia="微软雅黑" w:hAnsi="微软雅黑" w:cs="宋体"/>
          <w:kern w:val="0"/>
          <w:sz w:val="24"/>
          <w:szCs w:val="24"/>
        </w:rPr>
        <w:t>，目前已获准用于治疗腱鞘巨细胞瘤）</w:t>
      </w:r>
      <w:r w:rsidRPr="00C35F76">
        <w:rPr>
          <w:rFonts w:ascii="微软雅黑" w:eastAsia="微软雅黑" w:hAnsi="微软雅黑" w:cs="宋体"/>
          <w:kern w:val="0"/>
          <w:sz w:val="24"/>
          <w:szCs w:val="24"/>
        </w:rPr>
        <w:fldChar w:fldCharType="begin"/>
      </w:r>
      <w:r w:rsidRPr="00C35F76">
        <w:rPr>
          <w:rFonts w:ascii="微软雅黑" w:eastAsia="微软雅黑" w:hAnsi="微软雅黑" w:cs="宋体"/>
          <w:kern w:val="0"/>
          <w:sz w:val="24"/>
          <w:szCs w:val="24"/>
        </w:rPr>
        <w:instrText xml:space="preserve"> HYPERLINK "https://pmc.ncbi.nlm.nih.gov/articles/PMC12269697/" \l "cit0015" </w:instrText>
      </w:r>
      <w:r w:rsidRPr="00C35F76">
        <w:rPr>
          <w:rFonts w:ascii="微软雅黑" w:eastAsia="微软雅黑" w:hAnsi="微软雅黑" w:cs="宋体"/>
          <w:kern w:val="0"/>
          <w:sz w:val="24"/>
          <w:szCs w:val="24"/>
        </w:rPr>
        <w:fldChar w:fldCharType="separate"/>
      </w:r>
      <w:r w:rsidRPr="00C35F76">
        <w:rPr>
          <w:rFonts w:ascii="微软雅黑" w:eastAsia="微软雅黑" w:hAnsi="微软雅黑" w:cs="宋体"/>
          <w:kern w:val="0"/>
          <w:sz w:val="24"/>
          <w:szCs w:val="24"/>
        </w:rPr>
        <w:t>15,16是否可以安全有效地与 CDK4 </w:t>
      </w:r>
      <w:r w:rsidRPr="00C35F76">
        <w:rPr>
          <w:rFonts w:ascii="微软雅黑" w:eastAsia="微软雅黑" w:hAnsi="微软雅黑" w:cs="宋体"/>
          <w:kern w:val="0"/>
          <w:sz w:val="24"/>
          <w:szCs w:val="24"/>
        </w:rPr>
        <w:fldChar w:fldCharType="end"/>
      </w:r>
      <w:hyperlink r:id="rId17" w:anchor="cit0016" w:history="1">
        <w:r w:rsidRPr="00C35F76">
          <w:rPr>
            <w:rFonts w:ascii="微软雅黑" w:eastAsia="微软雅黑" w:hAnsi="微软雅黑" w:cs="宋体"/>
            <w:kern w:val="0"/>
            <w:sz w:val="24"/>
            <w:szCs w:val="24"/>
          </w:rPr>
          <w:t>/</w:t>
        </w:r>
      </w:hyperlink>
      <w:r w:rsidRPr="00C35F76">
        <w:rPr>
          <w:rFonts w:ascii="微软雅黑" w:eastAsia="微软雅黑" w:hAnsi="微软雅黑" w:cs="宋体"/>
          <w:kern w:val="0"/>
          <w:sz w:val="24"/>
          <w:szCs w:val="24"/>
        </w:rPr>
        <w:t> 6 抑制剂联合用于不适合接受 SBRT 的 HR </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HER2</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乳腺癌患者。</w:t>
      </w:r>
    </w:p>
    <w:p w14:paraId="6F1AD383" w14:textId="77777777" w:rsidR="00C35F76" w:rsidRPr="00C35F76" w:rsidRDefault="00C35F76" w:rsidP="00C35F76">
      <w:pPr>
        <w:widowControl/>
        <w:spacing w:line="450" w:lineRule="atLeast"/>
        <w:outlineLvl w:val="1"/>
        <w:rPr>
          <w:rFonts w:ascii="微软雅黑" w:eastAsia="微软雅黑" w:hAnsi="微软雅黑" w:cs="宋体"/>
          <w:kern w:val="0"/>
          <w:sz w:val="30"/>
          <w:szCs w:val="30"/>
        </w:rPr>
      </w:pPr>
      <w:r w:rsidRPr="00C35F76">
        <w:rPr>
          <w:rFonts w:ascii="微软雅黑" w:eastAsia="微软雅黑" w:hAnsi="微软雅黑" w:cs="宋体"/>
          <w:kern w:val="0"/>
          <w:sz w:val="30"/>
          <w:szCs w:val="30"/>
        </w:rPr>
        <w:t>图1。</w:t>
      </w:r>
    </w:p>
    <w:p w14:paraId="73314C16" w14:textId="151E86BD" w:rsidR="00C35F76" w:rsidRPr="00C35F76" w:rsidRDefault="00C35F76" w:rsidP="00C35F76">
      <w:pPr>
        <w:widowControl/>
        <w:spacing w:before="450"/>
        <w:rPr>
          <w:rFonts w:ascii="微软雅黑" w:eastAsia="微软雅黑" w:hAnsi="微软雅黑" w:cs="宋体"/>
          <w:kern w:val="0"/>
          <w:sz w:val="24"/>
          <w:szCs w:val="24"/>
        </w:rPr>
      </w:pPr>
      <w:r w:rsidRPr="00264ED9">
        <w:rPr>
          <w:rFonts w:ascii="微软雅黑" w:eastAsia="微软雅黑" w:hAnsi="微软雅黑" w:cs="宋体"/>
          <w:noProof/>
          <w:kern w:val="0"/>
          <w:sz w:val="24"/>
          <w:szCs w:val="24"/>
        </w:rPr>
        <w:drawing>
          <wp:inline distT="0" distB="0" distL="0" distR="0" wp14:anchorId="19DC4360" wp14:editId="02D73525">
            <wp:extent cx="5274310" cy="1134110"/>
            <wp:effectExtent l="0" t="0" r="2540" b="8890"/>
            <wp:docPr id="1" name="图片 1" descr="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图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4310" cy="1134110"/>
                    </a:xfrm>
                    <a:prstGeom prst="rect">
                      <a:avLst/>
                    </a:prstGeom>
                    <a:noFill/>
                    <a:ln>
                      <a:noFill/>
                    </a:ln>
                  </pic:spPr>
                </pic:pic>
              </a:graphicData>
            </a:graphic>
          </wp:inline>
        </w:drawing>
      </w:r>
    </w:p>
    <w:p w14:paraId="64D6A665" w14:textId="77777777" w:rsidR="00C35F76" w:rsidRPr="00C35F76" w:rsidRDefault="00C35F76" w:rsidP="00C35F76">
      <w:pPr>
        <w:widowControl/>
        <w:rPr>
          <w:rFonts w:ascii="微软雅黑" w:eastAsia="微软雅黑" w:hAnsi="微软雅黑" w:cs="宋体"/>
          <w:kern w:val="0"/>
          <w:sz w:val="24"/>
          <w:szCs w:val="24"/>
        </w:rPr>
      </w:pPr>
      <w:r w:rsidRPr="00C35F76">
        <w:rPr>
          <w:rFonts w:ascii="微软雅黑" w:eastAsia="微软雅黑" w:hAnsi="微软雅黑" w:cs="宋体"/>
          <w:kern w:val="0"/>
          <w:sz w:val="24"/>
          <w:szCs w:val="24"/>
        </w:rPr>
        <w:t>HR</w:t>
      </w:r>
      <w:r w:rsidRPr="00C35F76">
        <w:rPr>
          <w:rFonts w:ascii="微软雅黑" w:eastAsia="微软雅黑" w:hAnsi="微软雅黑" w:cs="宋体"/>
          <w:kern w:val="0"/>
          <w:sz w:val="24"/>
          <w:szCs w:val="24"/>
          <w:vertAlign w:val="superscript"/>
        </w:rPr>
        <w:t xml:space="preserve"> +</w:t>
      </w:r>
      <w:r w:rsidRPr="00C35F76">
        <w:rPr>
          <w:rFonts w:ascii="微软雅黑" w:eastAsia="微软雅黑" w:hAnsi="微软雅黑" w:cs="宋体"/>
          <w:kern w:val="0"/>
          <w:sz w:val="24"/>
          <w:szCs w:val="24"/>
        </w:rPr>
        <w:t> HER2-乳腺癌中CDK4/6抑制剂耐药的新免疫机制。至少在免疫功能正常的HR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 HER2-乳腺癌小鼠模型中，CDK4/6抑制剂帕博西尼的治疗效果似乎受到以下机制的限制：(1)恶性细胞分泌CCL2；(2)CCL2依赖性地将</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T细胞募集到肿瘤微环境；(3)</w:t>
      </w:r>
      <w:proofErr w:type="spellStart"/>
      <w:r w:rsidRPr="00C35F76">
        <w:rPr>
          <w:rFonts w:ascii="微软雅黑" w:eastAsia="微软雅黑" w:hAnsi="微软雅黑" w:cs="宋体"/>
          <w:kern w:val="0"/>
          <w:sz w:val="24"/>
          <w:szCs w:val="24"/>
        </w:rPr>
        <w:t>γδ</w:t>
      </w:r>
      <w:proofErr w:type="spellEnd"/>
      <w:r w:rsidRPr="00C35F76">
        <w:rPr>
          <w:rFonts w:ascii="微软雅黑" w:eastAsia="微软雅黑" w:hAnsi="微软雅黑" w:cs="宋体"/>
          <w:kern w:val="0"/>
          <w:sz w:val="24"/>
          <w:szCs w:val="24"/>
        </w:rPr>
        <w:t xml:space="preserve"> T细胞分泌IL-17；以及(4)IL-17依赖性地使肿瘤相关巨噬细胞(TAM)富集，形成免疫抑制性的CX3CR1 </w:t>
      </w:r>
      <w:r w:rsidRPr="00C35F76">
        <w:rPr>
          <w:rFonts w:ascii="微软雅黑" w:eastAsia="微软雅黑" w:hAnsi="微软雅黑" w:cs="宋体"/>
          <w:kern w:val="0"/>
          <w:sz w:val="24"/>
          <w:szCs w:val="24"/>
          <w:vertAlign w:val="superscript"/>
        </w:rPr>
        <w:t>+</w:t>
      </w:r>
      <w:r w:rsidRPr="00C35F76">
        <w:rPr>
          <w:rFonts w:ascii="微软雅黑" w:eastAsia="微软雅黑" w:hAnsi="微软雅黑" w:cs="宋体"/>
          <w:kern w:val="0"/>
          <w:sz w:val="24"/>
          <w:szCs w:val="24"/>
        </w:rPr>
        <w:t>表型。由于低分割放射治疗</w:t>
      </w:r>
      <w:r w:rsidRPr="00C35F76">
        <w:rPr>
          <w:rFonts w:ascii="微软雅黑" w:eastAsia="微软雅黑" w:hAnsi="微软雅黑" w:cs="宋体"/>
          <w:kern w:val="0"/>
          <w:sz w:val="24"/>
          <w:szCs w:val="24"/>
        </w:rPr>
        <w:lastRenderedPageBreak/>
        <w:t>(RT)能够（至少在初期）选择性地作用于缺氧且CCL2表达不足的肿瘤区域，因此可能有效克服这种耐药机制，使其成为CDK4/6抑制剂在临床应用中的一个有前景的治疗靶点。阻断 IL17 或使用 CSF1R 抑制剂将 CX3CR1 </w:t>
      </w:r>
      <w:r w:rsidRPr="00C35F76">
        <w:rPr>
          <w:rFonts w:ascii="微软雅黑" w:eastAsia="微软雅黑" w:hAnsi="微软雅黑" w:cs="宋体"/>
          <w:kern w:val="0"/>
          <w:sz w:val="24"/>
          <w:szCs w:val="24"/>
          <w:vertAlign w:val="superscript"/>
        </w:rPr>
        <w:t xml:space="preserve">+ </w:t>
      </w:r>
      <w:r w:rsidRPr="00C35F76">
        <w:rPr>
          <w:rFonts w:ascii="微软雅黑" w:eastAsia="微软雅黑" w:hAnsi="微软雅黑" w:cs="宋体"/>
          <w:kern w:val="0"/>
          <w:sz w:val="24"/>
          <w:szCs w:val="24"/>
        </w:rPr>
        <w:t>TAM 重新极化为免疫刺激状态是否也可能构成临床上可行的限制晚期/转移性 HR</w:t>
      </w:r>
      <w:r w:rsidRPr="00C35F76">
        <w:rPr>
          <w:rFonts w:ascii="微软雅黑" w:eastAsia="微软雅黑" w:hAnsi="微软雅黑" w:cs="宋体"/>
          <w:kern w:val="0"/>
          <w:sz w:val="24"/>
          <w:szCs w:val="24"/>
          <w:vertAlign w:val="superscript"/>
        </w:rPr>
        <w:t> +</w:t>
      </w:r>
      <w:r w:rsidRPr="00C35F76">
        <w:rPr>
          <w:rFonts w:ascii="微软雅黑" w:eastAsia="微软雅黑" w:hAnsi="微软雅黑" w:cs="宋体"/>
          <w:kern w:val="0"/>
          <w:sz w:val="24"/>
          <w:szCs w:val="24"/>
        </w:rPr>
        <w:t> HER2 </w:t>
      </w:r>
      <w:r w:rsidRPr="00C35F76">
        <w:rPr>
          <w:rFonts w:ascii="微软雅黑" w:eastAsia="微软雅黑" w:hAnsi="微软雅黑" w:cs="微软雅黑" w:hint="eastAsia"/>
          <w:kern w:val="0"/>
          <w:sz w:val="24"/>
          <w:szCs w:val="24"/>
          <w:vertAlign w:val="superscript"/>
        </w:rPr>
        <w:t>−</w:t>
      </w:r>
      <w:r w:rsidRPr="00C35F76">
        <w:rPr>
          <w:rFonts w:ascii="微软雅黑" w:eastAsia="微软雅黑" w:hAnsi="微软雅黑" w:cs="宋体"/>
          <w:kern w:val="0"/>
          <w:sz w:val="24"/>
          <w:szCs w:val="24"/>
        </w:rPr>
        <w:t>乳腺癌患者对 CDK4/6 阻滞剂耐药性的方法，还有待正式阐明。</w:t>
      </w:r>
    </w:p>
    <w:p w14:paraId="384031CF" w14:textId="77777777" w:rsidR="00C31B27" w:rsidRPr="00264ED9" w:rsidRDefault="00C31B27" w:rsidP="00C35F76">
      <w:pPr>
        <w:rPr>
          <w:rFonts w:ascii="微软雅黑" w:eastAsia="微软雅黑" w:hAnsi="微软雅黑"/>
        </w:rPr>
      </w:pPr>
    </w:p>
    <w:sectPr w:rsidR="00C31B27" w:rsidRPr="00264ED9">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A60F8"/>
    <w:multiLevelType w:val="multilevel"/>
    <w:tmpl w:val="9E5A5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27"/>
    <w:rsid w:val="00264ED9"/>
    <w:rsid w:val="00C31B27"/>
    <w:rsid w:val="00C35F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5E23C"/>
  <w15:chartTrackingRefBased/>
  <w15:docId w15:val="{76F534ED-16D8-4919-A1C2-03C167E62F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C35F76"/>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C35F76"/>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C35F76"/>
    <w:rPr>
      <w:rFonts w:ascii="宋体" w:eastAsia="宋体" w:hAnsi="宋体" w:cs="宋体"/>
      <w:b/>
      <w:bCs/>
      <w:kern w:val="36"/>
      <w:sz w:val="48"/>
      <w:szCs w:val="48"/>
    </w:rPr>
  </w:style>
  <w:style w:type="character" w:customStyle="1" w:styleId="20">
    <w:name w:val="标题 2 字符"/>
    <w:basedOn w:val="a0"/>
    <w:link w:val="2"/>
    <w:uiPriority w:val="9"/>
    <w:rsid w:val="00C35F76"/>
    <w:rPr>
      <w:rFonts w:ascii="宋体" w:eastAsia="宋体" w:hAnsi="宋体" w:cs="宋体"/>
      <w:b/>
      <w:bCs/>
      <w:kern w:val="0"/>
      <w:sz w:val="36"/>
      <w:szCs w:val="36"/>
    </w:rPr>
  </w:style>
  <w:style w:type="character" w:styleId="a3">
    <w:name w:val="Hyperlink"/>
    <w:basedOn w:val="a0"/>
    <w:uiPriority w:val="99"/>
    <w:semiHidden/>
    <w:unhideWhenUsed/>
    <w:rsid w:val="00C35F76"/>
    <w:rPr>
      <w:color w:val="0000FF"/>
      <w:u w:val="single"/>
    </w:rPr>
  </w:style>
  <w:style w:type="character" w:customStyle="1" w:styleId="name">
    <w:name w:val="name"/>
    <w:basedOn w:val="a0"/>
    <w:rsid w:val="00C35F76"/>
  </w:style>
  <w:style w:type="paragraph" w:styleId="a4">
    <w:name w:val="Normal (Web)"/>
    <w:basedOn w:val="a"/>
    <w:uiPriority w:val="99"/>
    <w:semiHidden/>
    <w:unhideWhenUsed/>
    <w:rsid w:val="00C35F76"/>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C35F76"/>
    <w:rPr>
      <w:b/>
      <w:bCs/>
    </w:rPr>
  </w:style>
  <w:style w:type="character" w:styleId="a6">
    <w:name w:val="Emphasis"/>
    <w:basedOn w:val="a0"/>
    <w:uiPriority w:val="20"/>
    <w:qFormat/>
    <w:rsid w:val="00C35F76"/>
    <w:rPr>
      <w:i/>
      <w:iCs/>
    </w:rPr>
  </w:style>
  <w:style w:type="paragraph" w:customStyle="1" w:styleId="img-box">
    <w:name w:val="img-box"/>
    <w:basedOn w:val="a"/>
    <w:rsid w:val="00C35F7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45459610">
      <w:bodyDiv w:val="1"/>
      <w:marLeft w:val="0"/>
      <w:marRight w:val="0"/>
      <w:marTop w:val="0"/>
      <w:marBottom w:val="0"/>
      <w:divBdr>
        <w:top w:val="none" w:sz="0" w:space="0" w:color="auto"/>
        <w:left w:val="none" w:sz="0" w:space="0" w:color="auto"/>
        <w:bottom w:val="none" w:sz="0" w:space="0" w:color="auto"/>
        <w:right w:val="none" w:sz="0" w:space="0" w:color="auto"/>
      </w:divBdr>
      <w:divsChild>
        <w:div w:id="631714806">
          <w:marLeft w:val="0"/>
          <w:marRight w:val="0"/>
          <w:marTop w:val="0"/>
          <w:marBottom w:val="0"/>
          <w:divBdr>
            <w:top w:val="none" w:sz="0" w:space="0" w:color="auto"/>
            <w:left w:val="none" w:sz="0" w:space="0" w:color="auto"/>
            <w:bottom w:val="none" w:sz="0" w:space="0" w:color="auto"/>
            <w:right w:val="none" w:sz="0" w:space="0" w:color="auto"/>
          </w:divBdr>
          <w:divsChild>
            <w:div w:id="1675104942">
              <w:marLeft w:val="0"/>
              <w:marRight w:val="0"/>
              <w:marTop w:val="225"/>
              <w:marBottom w:val="0"/>
              <w:divBdr>
                <w:top w:val="none" w:sz="0" w:space="0" w:color="auto"/>
                <w:left w:val="none" w:sz="0" w:space="0" w:color="auto"/>
                <w:bottom w:val="none" w:sz="0" w:space="0" w:color="auto"/>
                <w:right w:val="none" w:sz="0" w:space="0" w:color="auto"/>
              </w:divBdr>
            </w:div>
            <w:div w:id="1405879567">
              <w:marLeft w:val="0"/>
              <w:marRight w:val="0"/>
              <w:marTop w:val="0"/>
              <w:marBottom w:val="0"/>
              <w:divBdr>
                <w:top w:val="none" w:sz="0" w:space="0" w:color="auto"/>
                <w:left w:val="none" w:sz="0" w:space="0" w:color="auto"/>
                <w:bottom w:val="none" w:sz="0" w:space="0" w:color="auto"/>
                <w:right w:val="none" w:sz="0" w:space="0" w:color="auto"/>
              </w:divBdr>
            </w:div>
          </w:divsChild>
        </w:div>
        <w:div w:id="1852790313">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mc.ncbi.nlm.nih.gov/articles/PMC12269697/" TargetMode="External"/><Relationship Id="rId13" Type="http://schemas.openxmlformats.org/officeDocument/2006/relationships/hyperlink" Target="https://pmc.ncbi.nlm.nih.gov/articles/PMC12269697/" TargetMode="External"/><Relationship Id="rId1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pmc.ncbi.nlm.nih.gov/articles/PMC12269697/" TargetMode="External"/><Relationship Id="rId12" Type="http://schemas.openxmlformats.org/officeDocument/2006/relationships/hyperlink" Target="https://pmc.ncbi.nlm.nih.gov/articles/PMC12269697/" TargetMode="External"/><Relationship Id="rId17" Type="http://schemas.openxmlformats.org/officeDocument/2006/relationships/hyperlink" Target="https://pmc.ncbi.nlm.nih.gov/articles/PMC12269697/" TargetMode="External"/><Relationship Id="rId2" Type="http://schemas.openxmlformats.org/officeDocument/2006/relationships/styles" Target="styles.xml"/><Relationship Id="rId16" Type="http://schemas.openxmlformats.org/officeDocument/2006/relationships/hyperlink" Target="https://pmc.ncbi.nlm.nih.gov/articles/PMC12269697/"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pmc.ncbi.nlm.nih.gov/articles/PMC12269697/" TargetMode="External"/><Relationship Id="rId11" Type="http://schemas.openxmlformats.org/officeDocument/2006/relationships/hyperlink" Target="https://pmc.ncbi.nlm.nih.gov/articles/PMC12269697/" TargetMode="External"/><Relationship Id="rId5" Type="http://schemas.openxmlformats.org/officeDocument/2006/relationships/hyperlink" Target="https://pmc.ncbi.nlm.nih.gov/articles/PMC12269697/" TargetMode="External"/><Relationship Id="rId15" Type="http://schemas.openxmlformats.org/officeDocument/2006/relationships/hyperlink" Target="https://pmc.ncbi.nlm.nih.gov/articles/PMC12269697/" TargetMode="External"/><Relationship Id="rId10" Type="http://schemas.openxmlformats.org/officeDocument/2006/relationships/hyperlink" Target="https://pmc.ncbi.nlm.nih.gov/articles/PMC12269697/"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pmc.ncbi.nlm.nih.gov/articles/PMC12269697/" TargetMode="External"/><Relationship Id="rId14" Type="http://schemas.openxmlformats.org/officeDocument/2006/relationships/hyperlink" Target="https://pmc.ncbi.nlm.nih.gov/articles/PMC1226969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920</Words>
  <Characters>5250</Characters>
  <Application>Microsoft Office Word</Application>
  <DocSecurity>0</DocSecurity>
  <Lines>43</Lines>
  <Paragraphs>12</Paragraphs>
  <ScaleCrop>false</ScaleCrop>
  <Company/>
  <LinksUpToDate>false</LinksUpToDate>
  <CharactersWithSpaces>6158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2026-01-04T10:21:00Z</dcterms:created>
  <dcterms:modified xsi:type="dcterms:W3CDTF">2026-01-04T10:33:00Z</dcterms:modified>
</cp:coreProperties>
</file>