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9AFD2"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破伤风疫苗与免疫球蛋白详细区别</w:t>
      </w:r>
    </w:p>
    <w:p w14:paraId="2FBAB9F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一、核心概念与作用机制</w:t>
      </w:r>
    </w:p>
    <w:p w14:paraId="0513E6C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1. 破伤风疫苗（主动免疫制剂）  </w:t>
      </w:r>
    </w:p>
    <w:p w14:paraId="0782107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成分：含破伤风类毒素（经甲醛灭活的无毒性毒素）。  </w:t>
      </w:r>
    </w:p>
    <w:p w14:paraId="0EE8789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作用：刺激人体免疫系统产生自身抗体和免疫记忆细胞。  </w:t>
      </w:r>
    </w:p>
    <w:p w14:paraId="06C84C6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机制：类毒素作为抗原激活B细胞→分化为浆细胞分泌抗体（IgG）→形成长期免疫保护。  </w:t>
      </w:r>
    </w:p>
    <w:p w14:paraId="382CFAE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目标：提供长期预防（通常保护期10年以上）。</w:t>
      </w:r>
    </w:p>
    <w:p w14:paraId="49FDA94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2. 破伤风免疫球蛋白（TIG，被动免疫制剂） </w:t>
      </w:r>
    </w:p>
    <w:p w14:paraId="5FF5782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成分：从破伤风疫苗免疫者的血浆中提取的高浓度特异性抗体（IgG）。  </w:t>
      </w:r>
    </w:p>
    <w:p w14:paraId="775F044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作用：直接中和伤口中的破伤风毒素。  </w:t>
      </w:r>
    </w:p>
    <w:p w14:paraId="074D866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机制：外源性抗体注入体内→立即与游离毒素结合→阻止毒素侵入神经系统。  </w:t>
      </w:r>
    </w:p>
    <w:p w14:paraId="375C910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目标：提供紧急短期保护（保护期约4周）。</w:t>
      </w:r>
    </w:p>
    <w:p w14:paraId="3E56B31A">
      <w:pPr>
        <w:numPr>
          <w:ilvl w:val="0"/>
          <w:numId w:val="1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关键差异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26"/>
        <w:gridCol w:w="3800"/>
        <w:gridCol w:w="2996"/>
      </w:tblGrid>
      <w:tr w14:paraId="31759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26" w:type="dxa"/>
          </w:tcPr>
          <w:p w14:paraId="08AC94AE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维度</w:t>
            </w:r>
          </w:p>
        </w:tc>
        <w:tc>
          <w:tcPr>
            <w:tcW w:w="3800" w:type="dxa"/>
          </w:tcPr>
          <w:p w14:paraId="39BF3392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破伤风疫苗 </w:t>
            </w:r>
            <w:bookmarkStart w:id="0" w:name="_GoBack"/>
            <w:bookmarkEnd w:id="0"/>
          </w:p>
        </w:tc>
        <w:tc>
          <w:tcPr>
            <w:tcW w:w="2996" w:type="dxa"/>
          </w:tcPr>
          <w:p w14:paraId="16747862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破伤风免疫球蛋白（TIG）</w:t>
            </w:r>
          </w:p>
        </w:tc>
      </w:tr>
      <w:tr w14:paraId="19C1F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26" w:type="dxa"/>
          </w:tcPr>
          <w:p w14:paraId="605C578F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免疫类型</w:t>
            </w:r>
          </w:p>
        </w:tc>
        <w:tc>
          <w:tcPr>
            <w:tcW w:w="3800" w:type="dxa"/>
          </w:tcPr>
          <w:p w14:paraId="7AB0BD8C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主动免疫（激活自身免疫系统）</w:t>
            </w:r>
          </w:p>
        </w:tc>
        <w:tc>
          <w:tcPr>
            <w:tcW w:w="2996" w:type="dxa"/>
          </w:tcPr>
          <w:p w14:paraId="47276058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被动免疫（输入现成抗体）</w:t>
            </w:r>
          </w:p>
        </w:tc>
      </w:tr>
      <w:tr w14:paraId="623C4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26" w:type="dxa"/>
          </w:tcPr>
          <w:p w14:paraId="515212CF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起效时间</w:t>
            </w:r>
          </w:p>
        </w:tc>
        <w:tc>
          <w:tcPr>
            <w:tcW w:w="3800" w:type="dxa"/>
          </w:tcPr>
          <w:p w14:paraId="1A26D4A2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缓慢（需7~14天产生抗体）</w:t>
            </w:r>
          </w:p>
        </w:tc>
        <w:tc>
          <w:tcPr>
            <w:tcW w:w="2996" w:type="dxa"/>
          </w:tcPr>
          <w:p w14:paraId="7C474DFA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即时生效（注射后数小时）</w:t>
            </w:r>
          </w:p>
        </w:tc>
      </w:tr>
      <w:tr w14:paraId="5619B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26" w:type="dxa"/>
          </w:tcPr>
          <w:p w14:paraId="18C23328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保护持续时间</w:t>
            </w:r>
          </w:p>
        </w:tc>
        <w:tc>
          <w:tcPr>
            <w:tcW w:w="3800" w:type="dxa"/>
          </w:tcPr>
          <w:p w14:paraId="27A0B000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长效（基础免疫+加强针可达30年）</w:t>
            </w:r>
          </w:p>
        </w:tc>
        <w:tc>
          <w:tcPr>
            <w:tcW w:w="2996" w:type="dxa"/>
          </w:tcPr>
          <w:p w14:paraId="3E1FF4D0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（抗体半衰期约28天）</w:t>
            </w:r>
          </w:p>
        </w:tc>
      </w:tr>
      <w:tr w14:paraId="06DFD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26" w:type="dxa"/>
          </w:tcPr>
          <w:p w14:paraId="146FDF7C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适用场景</w:t>
            </w:r>
          </w:p>
        </w:tc>
        <w:tc>
          <w:tcPr>
            <w:tcW w:w="3800" w:type="dxa"/>
          </w:tcPr>
          <w:p w14:paraId="67EED613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预防性接种（计划免疫/暴露前）</w:t>
            </w:r>
          </w:p>
        </w:tc>
        <w:tc>
          <w:tcPr>
            <w:tcW w:w="2996" w:type="dxa"/>
          </w:tcPr>
          <w:p w14:paraId="73E3C278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暴露后紧急防护（尤其高危伤口） </w:t>
            </w:r>
          </w:p>
        </w:tc>
      </w:tr>
      <w:tr w14:paraId="6AC64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26" w:type="dxa"/>
          </w:tcPr>
          <w:p w14:paraId="07620FD3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免疫记忆</w:t>
            </w:r>
          </w:p>
        </w:tc>
        <w:tc>
          <w:tcPr>
            <w:tcW w:w="3800" w:type="dxa"/>
          </w:tcPr>
          <w:p w14:paraId="26B85ED8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可形成记忆细胞（长期防御）</w:t>
            </w:r>
          </w:p>
        </w:tc>
        <w:tc>
          <w:tcPr>
            <w:tcW w:w="2996" w:type="dxa"/>
          </w:tcPr>
          <w:p w14:paraId="382EA10D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无免疫记忆   </w:t>
            </w:r>
          </w:p>
        </w:tc>
      </w:tr>
      <w:tr w14:paraId="59B26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26" w:type="dxa"/>
          </w:tcPr>
          <w:p w14:paraId="3CA9916A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来源</w:t>
            </w:r>
          </w:p>
        </w:tc>
        <w:tc>
          <w:tcPr>
            <w:tcW w:w="3800" w:type="dxa"/>
          </w:tcPr>
          <w:p w14:paraId="0D43E37B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生物工程制备</w:t>
            </w:r>
          </w:p>
        </w:tc>
        <w:tc>
          <w:tcPr>
            <w:tcW w:w="2996" w:type="dxa"/>
          </w:tcPr>
          <w:p w14:paraId="51DCD86D">
            <w:pPr>
              <w:numPr>
                <w:numId w:val="0"/>
              </w:num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人源血浆提取（需严格筛查）  </w:t>
            </w:r>
          </w:p>
        </w:tc>
      </w:tr>
    </w:tbl>
    <w:p w14:paraId="74AEB3A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</w:t>
      </w:r>
    </w:p>
    <w:p w14:paraId="6C84EB6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三、临床应用的精准决策</w:t>
      </w:r>
    </w:p>
    <w:p w14:paraId="551834D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破伤风疫苗的接种策略</w:t>
      </w:r>
    </w:p>
    <w:p w14:paraId="52C527F5">
      <w:pPr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常规免疫程序（WHO标准）：  </w:t>
      </w:r>
    </w:p>
    <w:p w14:paraId="35455C7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婴儿期：百白破疫苗（DTaP）3剂（2/4/6月龄）  </w:t>
      </w:r>
    </w:p>
    <w:p w14:paraId="2175F60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加强免疫：18月龄、6岁、12岁各1剂，成人每10年1剂加强针。  </w:t>
      </w:r>
    </w:p>
    <w:p w14:paraId="4469566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伤口暴露后接种：  </w:t>
      </w:r>
    </w:p>
    <w:p w14:paraId="2A94B56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已全程接种者：若末次加强＞5年，需补1剂疫苗。  </w:t>
      </w:r>
    </w:p>
    <w:p w14:paraId="5186C17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未全程接种者：需重新完成3剂系列接种（0/1/7月）。  </w:t>
      </w:r>
    </w:p>
    <w:p w14:paraId="600BBF7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2. 破伤风免疫球蛋白的紧急使用  </w:t>
      </w:r>
    </w:p>
    <w:p w14:paraId="0470FCA2">
      <w:pPr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适用条件（符合任一项）：  </w:t>
      </w:r>
    </w:p>
    <w:p w14:paraId="35300BA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伤口被土壤/粪便污染（如铁钉刺伤、动物咬伤）。  </w:t>
      </w:r>
    </w:p>
    <w:p w14:paraId="6E005B0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未完成基础免疫或免疫史不明。  </w:t>
      </w:r>
    </w:p>
    <w:p w14:paraId="2582854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距末次疫苗＞10年且伤口严重。  </w:t>
      </w:r>
    </w:p>
    <w:p w14:paraId="1317F064">
      <w:pPr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给药方案：  </w:t>
      </w:r>
    </w:p>
    <w:p w14:paraId="14D97E8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单次肌注250~500 IU（深部肌肉）。  </w:t>
      </w:r>
    </w:p>
    <w:p w14:paraId="1F94B1B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关键原则：必须与疫苗同时在不同部位注射（避免抗体中和疫苗抗原）。  </w:t>
      </w:r>
    </w:p>
    <w:p w14:paraId="03062EA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典型案例：  </w:t>
      </w:r>
    </w:p>
    <w:p w14:paraId="5BA6CCB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建筑工人脚部被生锈铁钉刺伤，末次破伤风疫苗在12年前。  </w:t>
      </w:r>
    </w:p>
    <w:p w14:paraId="5682D6C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处理：  </w:t>
      </w:r>
    </w:p>
    <w:p w14:paraId="2F34EC0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1. 彻底清创 + 抗生素预防。  </w:t>
      </w:r>
    </w:p>
    <w:p w14:paraId="089C1ED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2. 立即注射TIG 500 IU（右臀肌）。  </w:t>
      </w:r>
    </w:p>
    <w:p w14:paraId="2987C20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3. 同步注射破伤风疫苗（左臂三角肌）。  </w:t>
      </w:r>
    </w:p>
    <w:p w14:paraId="2FD031A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四、特殊人群的精细化处理</w:t>
      </w:r>
    </w:p>
    <w:p w14:paraId="6B2E3A4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1. 孕妇：  </w:t>
      </w:r>
    </w:p>
    <w:p w14:paraId="10F78B8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疫苗安全（类毒素无活性），推荐孕期接种以保护新生儿。  </w:t>
      </w:r>
    </w:p>
    <w:p w14:paraId="621AAF6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TIG仅在严重暴露时使用（胎盘不传递IgG，不影响胎儿）。  </w:t>
      </w:r>
    </w:p>
    <w:p w14:paraId="042E10A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2. HIV感染者：  </w:t>
      </w:r>
    </w:p>
    <w:p w14:paraId="5C5F1E1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疫苗效果可能减弱，需监测抗体滴度。  </w:t>
      </w:r>
    </w:p>
    <w:p w14:paraId="59380A6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TIG使用标准与常人无异。  </w:t>
      </w:r>
    </w:p>
    <w:p w14:paraId="4817EDA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3. 烧伤患者：  </w:t>
      </w:r>
    </w:p>
    <w:p w14:paraId="1B01BCC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大面积烧伤属高风险暴露，未免疫者需联用疫苗+TIG。  </w:t>
      </w:r>
    </w:p>
    <w:p w14:paraId="0D96FF0D">
      <w:pPr>
        <w:numPr>
          <w:ilvl w:val="0"/>
          <w:numId w:val="2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不良反应与风险管控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456"/>
        <w:gridCol w:w="3225"/>
        <w:gridCol w:w="2841"/>
      </w:tblGrid>
      <w:tr w14:paraId="3D229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56" w:type="dxa"/>
          </w:tcPr>
          <w:p w14:paraId="723078B6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制剂</w:t>
            </w:r>
          </w:p>
        </w:tc>
        <w:tc>
          <w:tcPr>
            <w:tcW w:w="3225" w:type="dxa"/>
          </w:tcPr>
          <w:p w14:paraId="44A43059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常见不良反应</w:t>
            </w:r>
          </w:p>
        </w:tc>
        <w:tc>
          <w:tcPr>
            <w:tcW w:w="2841" w:type="dxa"/>
          </w:tcPr>
          <w:p w14:paraId="2C761850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罕见严重风险</w:t>
            </w:r>
          </w:p>
        </w:tc>
      </w:tr>
      <w:tr w14:paraId="1C2CF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56" w:type="dxa"/>
          </w:tcPr>
          <w:p w14:paraId="075968D1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破伤风疫苗</w:t>
            </w:r>
          </w:p>
        </w:tc>
        <w:tc>
          <w:tcPr>
            <w:tcW w:w="3225" w:type="dxa"/>
          </w:tcPr>
          <w:p w14:paraId="2F154165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局部红肿/低热（＜38.5℃）</w:t>
            </w:r>
          </w:p>
        </w:tc>
        <w:tc>
          <w:tcPr>
            <w:tcW w:w="2841" w:type="dxa"/>
          </w:tcPr>
          <w:p w14:paraId="1A2676E7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过敏反应（1/100万） </w:t>
            </w:r>
          </w:p>
        </w:tc>
      </w:tr>
      <w:tr w14:paraId="5ABDA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56" w:type="dxa"/>
          </w:tcPr>
          <w:p w14:paraId="4BB767F8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破伤风免疫球蛋白</w:t>
            </w:r>
          </w:p>
        </w:tc>
        <w:tc>
          <w:tcPr>
            <w:tcW w:w="3225" w:type="dxa"/>
          </w:tcPr>
          <w:p w14:paraId="79E58A01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注射部位疼痛/荨麻疹</w:t>
            </w:r>
          </w:p>
        </w:tc>
        <w:tc>
          <w:tcPr>
            <w:tcW w:w="2841" w:type="dxa"/>
          </w:tcPr>
          <w:p w14:paraId="56131A5C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注射部位疼痛/荨麻疹麻疹（严格筛查后风险极低）</w:t>
            </w:r>
          </w:p>
        </w:tc>
      </w:tr>
    </w:tbl>
    <w:p w14:paraId="163E5C3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过敏处理：  </w:t>
      </w:r>
    </w:p>
    <w:p w14:paraId="23883ED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疫苗过敏：换用无佐剂疫苗（如Tdap）或脱敏治疗。  </w:t>
      </w:r>
    </w:p>
    <w:p w14:paraId="3BD6B52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TIG过敏：改用马源破伤风抗毒素（TAT，需皮试）。  </w:t>
      </w:r>
    </w:p>
    <w:p w14:paraId="7021139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六、常见认知误区澄清</w:t>
      </w:r>
    </w:p>
    <w:p w14:paraId="1103EE3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误区1：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</w:rPr>
        <w:t>受伤后只需打TIG就足够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 xml:space="preserve">  </w:t>
      </w:r>
    </w:p>
    <w:p w14:paraId="4306719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正解：TIG仅提供短期保护，必须联用疫苗建立长期免疫。  </w:t>
      </w:r>
    </w:p>
    <w:p w14:paraId="47274D8F">
      <w:pPr>
        <w:rPr>
          <w:rFonts w:hint="eastAsia"/>
          <w:sz w:val="28"/>
          <w:szCs w:val="28"/>
        </w:rPr>
      </w:pPr>
    </w:p>
    <w:p w14:paraId="1F87C85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误区2：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</w:rPr>
        <w:t>疫苗加强针可无限期推迟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 xml:space="preserve"> </w:t>
      </w:r>
    </w:p>
    <w:p w14:paraId="492E83E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正解：抗体随时间衰减，深部伤口暴露时抗体水平需＞0.1 IU/mL。  </w:t>
      </w:r>
    </w:p>
    <w:p w14:paraId="22874BC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误区3：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</w:rPr>
        <w:t>TIG与疫苗同时注射会失效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 xml:space="preserve"> </w:t>
      </w:r>
    </w:p>
    <w:p w14:paraId="7A93D6F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正解：分不同部位注射可规避干扰（WHO明确推荐联用）。  </w:t>
      </w:r>
    </w:p>
    <w:p w14:paraId="1F166B7D">
      <w:pPr>
        <w:numPr>
          <w:ilvl w:val="0"/>
          <w:numId w:val="2"/>
        </w:numPr>
        <w:ind w:left="0" w:leftChars="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全球指南核心共识（WHO/CDC）</w:t>
      </w:r>
    </w:p>
    <w:p w14:paraId="756750CC">
      <w:pPr>
        <w:numPr>
          <w:ilvl w:val="0"/>
          <w:numId w:val="3"/>
        </w:numPr>
        <w:ind w:left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伤口分类与处理标准：  </w:t>
      </w:r>
    </w:p>
    <w:tbl>
      <w:tblPr>
        <w:tblStyle w:val="3"/>
        <w:tblW w:w="90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026"/>
        <w:gridCol w:w="3460"/>
        <w:gridCol w:w="2520"/>
      </w:tblGrid>
      <w:tr w14:paraId="703EB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026" w:type="dxa"/>
          </w:tcPr>
          <w:p w14:paraId="6D75395F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 伤口类型</w:t>
            </w:r>
          </w:p>
        </w:tc>
        <w:tc>
          <w:tcPr>
            <w:tcW w:w="3460" w:type="dxa"/>
          </w:tcPr>
          <w:p w14:paraId="122E5C0A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疫苗状态</w:t>
            </w:r>
          </w:p>
        </w:tc>
        <w:tc>
          <w:tcPr>
            <w:tcW w:w="2520" w:type="dxa"/>
          </w:tcPr>
          <w:p w14:paraId="3B598C28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处理方案 </w:t>
            </w:r>
          </w:p>
        </w:tc>
      </w:tr>
      <w:tr w14:paraId="5B5D1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026" w:type="dxa"/>
          </w:tcPr>
          <w:p w14:paraId="6AA69691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清洁小伤口</w:t>
            </w:r>
          </w:p>
        </w:tc>
        <w:tc>
          <w:tcPr>
            <w:tcW w:w="3460" w:type="dxa"/>
          </w:tcPr>
          <w:p w14:paraId="10C7F33B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全程免疫且末次＜10年</w:t>
            </w:r>
          </w:p>
        </w:tc>
        <w:tc>
          <w:tcPr>
            <w:tcW w:w="2520" w:type="dxa"/>
          </w:tcPr>
          <w:p w14:paraId="1731B16A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无需干预 </w:t>
            </w:r>
          </w:p>
        </w:tc>
      </w:tr>
      <w:tr w14:paraId="22770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54" w:hRule="atLeast"/>
        </w:trPr>
        <w:tc>
          <w:tcPr>
            <w:tcW w:w="3026" w:type="dxa"/>
          </w:tcPr>
          <w:p w14:paraId="7FAA32AA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污染/深部伤口</w:t>
            </w:r>
          </w:p>
        </w:tc>
        <w:tc>
          <w:tcPr>
            <w:tcW w:w="3460" w:type="dxa"/>
          </w:tcPr>
          <w:p w14:paraId="65EBFF04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 xml:space="preserve">末次疫苗＞5年 </w:t>
            </w:r>
          </w:p>
        </w:tc>
        <w:tc>
          <w:tcPr>
            <w:tcW w:w="2520" w:type="dxa"/>
          </w:tcPr>
          <w:p w14:paraId="25095533">
            <w:pPr>
              <w:numPr>
                <w:numId w:val="0"/>
              </w:num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疫苗1剂</w:t>
            </w:r>
          </w:p>
        </w:tc>
      </w:tr>
      <w:tr w14:paraId="1F6CC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8" w:hRule="atLeast"/>
        </w:trPr>
        <w:tc>
          <w:tcPr>
            <w:tcW w:w="3026" w:type="dxa"/>
          </w:tcPr>
          <w:p w14:paraId="124E7A95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高危伤口+免疫缺失</w:t>
            </w:r>
          </w:p>
        </w:tc>
        <w:tc>
          <w:tcPr>
            <w:tcW w:w="3460" w:type="dxa"/>
          </w:tcPr>
          <w:p w14:paraId="7814F6DC">
            <w:pPr>
              <w:numPr>
                <w:numId w:val="0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未免疫/不全免疫</w:t>
            </w:r>
          </w:p>
        </w:tc>
        <w:tc>
          <w:tcPr>
            <w:tcW w:w="2520" w:type="dxa"/>
          </w:tcPr>
          <w:p w14:paraId="4DA95060">
            <w:pPr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</w:rPr>
              <w:t>疫苗+TIG双保险</w:t>
            </w:r>
          </w:p>
        </w:tc>
      </w:tr>
    </w:tbl>
    <w:p w14:paraId="46F99AC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2. 成本效益分析：  </w:t>
      </w:r>
    </w:p>
    <w:p w14:paraId="11C379C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疫苗：低成本高效益（人均免疫投入＜$1/年）。  </w:t>
      </w:r>
    </w:p>
    <w:p w14:paraId="1972EAC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TIG：单剂约$500，但可避免破伤风治疗费用（＞$100万/例）。  </w:t>
      </w:r>
    </w:p>
    <w:p w14:paraId="6EFA7C8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八、未来研究方向</w:t>
      </w:r>
    </w:p>
    <w:p w14:paraId="3CDBC4AA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新型疫苗开发：长效佐剂（如纳米颗粒）延长保护期至20年。  </w:t>
      </w:r>
    </w:p>
    <w:p w14:paraId="0A7D619F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TIG替代品：重组单克隆抗体（避免血源污染风险）。  </w:t>
      </w:r>
    </w:p>
    <w:p w14:paraId="5D174A44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快速检测技术：便携式抗体滴度仪（5分钟评估免疫状态）。  </w:t>
      </w:r>
    </w:p>
    <w:p w14:paraId="0899CEF5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结语</w:t>
      </w:r>
      <w:r>
        <w:rPr>
          <w:rFonts w:hint="eastAsia"/>
          <w:sz w:val="28"/>
          <w:szCs w:val="28"/>
          <w:lang w:eastAsia="zh-CN"/>
        </w:rPr>
        <w:t>：</w:t>
      </w:r>
    </w:p>
    <w:p w14:paraId="4FAA5A4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破伤风疫苗与免疫球蛋白是互补的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</w:rPr>
        <w:t>防御双盾</w:t>
      </w:r>
      <w:r>
        <w:rPr>
          <w:rFonts w:hint="eastAsia"/>
          <w:sz w:val="28"/>
          <w:szCs w:val="28"/>
          <w:lang w:eastAsia="zh-CN"/>
        </w:rPr>
        <w:t>”：</w:t>
      </w:r>
      <w:r>
        <w:rPr>
          <w:rFonts w:hint="eastAsia"/>
          <w:sz w:val="28"/>
          <w:szCs w:val="28"/>
        </w:rPr>
        <w:t>疫苗</w:t>
      </w:r>
      <w:r>
        <w:rPr>
          <w:rFonts w:hint="eastAsia"/>
          <w:sz w:val="28"/>
          <w:szCs w:val="28"/>
          <w:lang w:val="en-US" w:eastAsia="zh-CN"/>
        </w:rPr>
        <w:t>是</w:t>
      </w:r>
      <w:r>
        <w:rPr>
          <w:rFonts w:hint="eastAsia"/>
          <w:sz w:val="28"/>
          <w:szCs w:val="28"/>
        </w:rPr>
        <w:t>构建终身免疫</w:t>
      </w:r>
      <w:r>
        <w:rPr>
          <w:rFonts w:hint="eastAsia"/>
          <w:sz w:val="28"/>
          <w:szCs w:val="28"/>
          <w:lang w:val="en-US" w:eastAsia="zh-CN"/>
        </w:rPr>
        <w:t>的</w:t>
      </w:r>
      <w:r>
        <w:rPr>
          <w:rFonts w:hint="eastAsia"/>
          <w:sz w:val="28"/>
          <w:szCs w:val="28"/>
        </w:rPr>
        <w:t>长城，是公共卫生的基石；TIG作为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</w:rPr>
        <w:t>急救先锋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，为高风险暴露提供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</w:rPr>
        <w:t>黄金时间窗保护</w:t>
      </w:r>
      <w:r>
        <w:rPr>
          <w:rFonts w:hint="eastAsia"/>
          <w:sz w:val="28"/>
          <w:szCs w:val="28"/>
          <w:lang w:eastAsia="zh-CN"/>
        </w:rPr>
        <w:t>”，</w:t>
      </w:r>
      <w:r>
        <w:rPr>
          <w:rFonts w:hint="eastAsia"/>
          <w:sz w:val="28"/>
          <w:szCs w:val="28"/>
        </w:rPr>
        <w:t>临床决策需基于伤口性质、免疫史及时效性三重维度，遵循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eastAsia"/>
          <w:sz w:val="28"/>
          <w:szCs w:val="28"/>
        </w:rPr>
        <w:t>主动免疫为主，被动免疫为辅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的核心原则，方能实现破伤风零死亡的目标。</w:t>
      </w:r>
    </w:p>
    <w:p w14:paraId="5AA0FA9D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参考文献</w:t>
      </w:r>
      <w:r>
        <w:rPr>
          <w:rFonts w:hint="eastAsia"/>
          <w:sz w:val="28"/>
          <w:szCs w:val="28"/>
          <w:lang w:eastAsia="zh-CN"/>
        </w:rPr>
        <w:t>：</w:t>
      </w:r>
    </w:p>
    <w:p w14:paraId="67625D8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1. WHO Position Paper on Tetanus Vaccine (2023)  </w:t>
      </w:r>
    </w:p>
    <w:p w14:paraId="58091E1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2. CDC Pink Book: Tetanus Chapter (2024)  </w:t>
      </w:r>
    </w:p>
    <w:p w14:paraId="67BCF68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 《创伤后破伤风预防规范》（中华医学会，2022）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625CA3"/>
    <w:multiLevelType w:val="singleLevel"/>
    <w:tmpl w:val="B5625CA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B1AC7BF"/>
    <w:multiLevelType w:val="singleLevel"/>
    <w:tmpl w:val="1B1AC7BF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4844F1D"/>
    <w:multiLevelType w:val="singleLevel"/>
    <w:tmpl w:val="64844F1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0B4D08"/>
    <w:rsid w:val="34A41053"/>
    <w:rsid w:val="705B2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2025-07-23T11:24:43Z</dcterms:created>
  <dc:creator>Administrator</dc:creator>
  <cp:lastModifiedBy>王喜娜</cp:lastModifiedBy>
  <dcterms:modified xsi:type="dcterms:W3CDTF">2025-07-23T12:17:13Z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eyJoZGlkIjoiMjY1ZmUzZjgzNGRiN2M0YzMwOTdjNzIyNzI0YmFkNjIiLCJ1c2VySWQiOiI3MzgxNzkwNzgifQ==</vt:lpwstr>
  </property>
  <property fmtid="{D5CDD505-2E9C-101B-9397-08002B2CF9AE}" pid="4" name="ICV">
    <vt:lpwstr>E56B28CBFA884C2B825FF7E8EAA44907_12</vt:lpwstr>
  </property>
</Properties>
</file>