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C3897" w14:textId="77777777" w:rsidR="00575FEE" w:rsidRPr="00575FEE" w:rsidRDefault="00575FEE" w:rsidP="00575FEE">
      <w:pPr>
        <w:widowControl/>
        <w:spacing w:line="450" w:lineRule="atLeast"/>
        <w:outlineLvl w:val="0"/>
        <w:rPr>
          <w:rFonts w:ascii="微软雅黑" w:eastAsia="微软雅黑" w:hAnsi="微软雅黑" w:cs="宋体"/>
          <w:b/>
          <w:bCs/>
          <w:kern w:val="36"/>
          <w:sz w:val="36"/>
          <w:szCs w:val="36"/>
        </w:rPr>
      </w:pPr>
      <w:r w:rsidRPr="00575FEE">
        <w:rPr>
          <w:rFonts w:ascii="微软雅黑" w:eastAsia="微软雅黑" w:hAnsi="微软雅黑" w:cs="宋体"/>
          <w:b/>
          <w:bCs/>
          <w:kern w:val="36"/>
          <w:sz w:val="36"/>
          <w:szCs w:val="36"/>
        </w:rPr>
        <w:t>口服选择性雌激素受体降解剂G1T48和CDK4/6抑制剂</w:t>
      </w:r>
      <w:proofErr w:type="spellStart"/>
      <w:r w:rsidRPr="00575FEE">
        <w:rPr>
          <w:rFonts w:ascii="微软雅黑" w:eastAsia="微软雅黑" w:hAnsi="微软雅黑" w:cs="宋体"/>
          <w:b/>
          <w:bCs/>
          <w:kern w:val="36"/>
          <w:sz w:val="36"/>
          <w:szCs w:val="36"/>
        </w:rPr>
        <w:t>lerociclib</w:t>
      </w:r>
      <w:proofErr w:type="spellEnd"/>
      <w:r w:rsidRPr="00575FEE">
        <w:rPr>
          <w:rFonts w:ascii="微软雅黑" w:eastAsia="微软雅黑" w:hAnsi="微软雅黑" w:cs="宋体"/>
          <w:b/>
          <w:bCs/>
          <w:kern w:val="36"/>
          <w:sz w:val="36"/>
          <w:szCs w:val="36"/>
        </w:rPr>
        <w:t>可抑制内分泌耐药性乳腺癌动物模型中的肿瘤生长。</w:t>
      </w:r>
    </w:p>
    <w:p w14:paraId="48E87F0D" w14:textId="535C284C" w:rsidR="00575FEE" w:rsidRPr="00575FEE" w:rsidRDefault="00575FEE" w:rsidP="00575FEE">
      <w:pPr>
        <w:widowControl/>
        <w:pBdr>
          <w:bottom w:val="single" w:sz="6" w:space="0" w:color="97B1C8"/>
        </w:pBdr>
        <w:spacing w:line="450" w:lineRule="atLeast"/>
        <w:outlineLvl w:val="1"/>
        <w:rPr>
          <w:rFonts w:ascii="微软雅黑" w:eastAsia="微软雅黑" w:hAnsi="微软雅黑" w:cs="宋体"/>
          <w:kern w:val="0"/>
          <w:sz w:val="34"/>
          <w:szCs w:val="34"/>
        </w:rPr>
      </w:pPr>
      <w:r w:rsidRPr="00575FEE">
        <w:rPr>
          <w:rFonts w:ascii="微软雅黑" w:eastAsia="微软雅黑" w:hAnsi="微软雅黑" w:cs="宋体" w:hint="eastAsia"/>
          <w:kern w:val="0"/>
          <w:sz w:val="34"/>
          <w:szCs w:val="34"/>
        </w:rPr>
        <w:t>摘要</w:t>
      </w:r>
    </w:p>
    <w:p w14:paraId="1A5EE766"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目的</w:t>
      </w:r>
    </w:p>
    <w:p w14:paraId="45DFE715"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帕博西尼联合</w:t>
      </w:r>
      <w:proofErr w:type="gramStart"/>
      <w:r w:rsidRPr="00575FEE">
        <w:rPr>
          <w:rFonts w:ascii="微软雅黑" w:eastAsia="微软雅黑" w:hAnsi="微软雅黑" w:cs="宋体"/>
          <w:kern w:val="0"/>
          <w:sz w:val="24"/>
          <w:szCs w:val="24"/>
        </w:rPr>
        <w:t>氟维司群靶向</w:t>
      </w:r>
      <w:proofErr w:type="gramEnd"/>
      <w:r w:rsidRPr="00575FEE">
        <w:rPr>
          <w:rFonts w:ascii="微软雅黑" w:eastAsia="微软雅黑" w:hAnsi="微软雅黑" w:cs="宋体"/>
          <w:kern w:val="0"/>
          <w:sz w:val="24"/>
          <w:szCs w:val="24"/>
        </w:rPr>
        <w:t>CDK4/6和雌激素受体（ER）信号通路，是治疗ER阳性乳腺癌的有效策略。然而，</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的理化性质较差，需要每月肌注给药，这限制了其药代动力学和药效学活性。因此，开发一种口服生物利用度高、能更快达到稳态的药物，有望改善患者的临床疗效。本文报道了一种新型口服生物利用度高的非</w:t>
      </w:r>
      <w:proofErr w:type="gramStart"/>
      <w:r w:rsidRPr="00575FEE">
        <w:rPr>
          <w:rFonts w:ascii="微软雅黑" w:eastAsia="微软雅黑" w:hAnsi="微软雅黑" w:cs="宋体"/>
          <w:kern w:val="0"/>
          <w:sz w:val="24"/>
          <w:szCs w:val="24"/>
        </w:rPr>
        <w:t>甾</w:t>
      </w:r>
      <w:proofErr w:type="gramEnd"/>
      <w:r w:rsidRPr="00575FEE">
        <w:rPr>
          <w:rFonts w:ascii="微软雅黑" w:eastAsia="微软雅黑" w:hAnsi="微软雅黑" w:cs="宋体"/>
          <w:kern w:val="0"/>
          <w:sz w:val="24"/>
          <w:szCs w:val="24"/>
        </w:rPr>
        <w:t>体类小分子ER拮抗剂G1T48的发现。</w:t>
      </w:r>
    </w:p>
    <w:p w14:paraId="39B0DEDB"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方法</w:t>
      </w:r>
    </w:p>
    <w:p w14:paraId="5162434F"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采用人乳腺癌细胞（体外）和异种移植疗效模型（体内）评估了 G1T48 对肿瘤的药理作用和抗肿瘤作用机制。</w:t>
      </w:r>
    </w:p>
    <w:p w14:paraId="41BD200A"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结果</w:t>
      </w:r>
    </w:p>
    <w:p w14:paraId="0F830085"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G1T48 是一种强效的雌激素</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导的转录和增殖抑制剂，在雌激素受体阳性乳腺癌细胞中发挥作用，其作用机制与</w:t>
      </w:r>
      <w:proofErr w:type="gramStart"/>
      <w:r w:rsidRPr="00575FEE">
        <w:rPr>
          <w:rFonts w:ascii="微软雅黑" w:eastAsia="微软雅黑" w:hAnsi="微软雅黑" w:cs="宋体"/>
          <w:kern w:val="0"/>
          <w:sz w:val="24"/>
          <w:szCs w:val="24"/>
        </w:rPr>
        <w:t>纯抗雌激素氟维司群</w:t>
      </w:r>
      <w:proofErr w:type="gramEnd"/>
      <w:r w:rsidRPr="00575FEE">
        <w:rPr>
          <w:rFonts w:ascii="微软雅黑" w:eastAsia="微软雅黑" w:hAnsi="微软雅黑" w:cs="宋体"/>
          <w:kern w:val="0"/>
          <w:sz w:val="24"/>
          <w:szCs w:val="24"/>
        </w:rPr>
        <w:t>类似。此外，G1T48 能有效抑制多种内分泌治疗耐药模型中的雌激素受体活性，包括携带雌激素受体突变和生长因子激活的模型。体内实验表明，G1T48 在雌激素依赖性乳腺癌模型（MCF7）中具有显著的抗肿瘤活性，并能显著抑制他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耐药（</w:t>
      </w: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w:t>
      </w:r>
      <w:r w:rsidRPr="00575FEE">
        <w:rPr>
          <w:rFonts w:ascii="微软雅黑" w:eastAsia="微软雅黑" w:hAnsi="微软雅黑" w:cs="宋体"/>
          <w:kern w:val="0"/>
          <w:sz w:val="24"/>
          <w:szCs w:val="24"/>
        </w:rPr>
        <w:lastRenderedPageBreak/>
        <w:t xml:space="preserve">长期雌激素剥夺（LTED）以及患者来源的异种移植瘤的生长。G1T48 与 CDK4/6 抑制剂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联合用药时，疗效更佳。</w:t>
      </w:r>
    </w:p>
    <w:p w14:paraId="2FB79C79"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结论</w:t>
      </w:r>
    </w:p>
    <w:p w14:paraId="31FAA39A"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这些数据表明，G1T48 有潜力成为 ER 阳性乳腺癌的有效口服抗肿瘤药物。</w:t>
      </w:r>
    </w:p>
    <w:p w14:paraId="77631605"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电子补充材料</w:t>
      </w:r>
    </w:p>
    <w:p w14:paraId="2F50BE2B"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本文的在线版本（10.1007/s10549-020-05575-9）包含补充材料，授权用户可以访问。</w:t>
      </w:r>
    </w:p>
    <w:p w14:paraId="479C574E"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b/>
          <w:bCs/>
          <w:kern w:val="0"/>
          <w:sz w:val="24"/>
          <w:szCs w:val="24"/>
        </w:rPr>
        <w:t>关键词：</w:t>
      </w:r>
      <w:r w:rsidRPr="00575FEE">
        <w:rPr>
          <w:rFonts w:ascii="微软雅黑" w:eastAsia="微软雅黑" w:hAnsi="微软雅黑" w:cs="宋体"/>
          <w:kern w:val="0"/>
          <w:sz w:val="24"/>
          <w:szCs w:val="24"/>
        </w:rPr>
        <w:t> G1T48、选择性雌激素受体降解剂、内分泌耐药性乳腺癌、CDK4/6抑制剂、联合疗法</w:t>
      </w:r>
    </w:p>
    <w:p w14:paraId="53CE2373" w14:textId="77777777" w:rsidR="00575FEE" w:rsidRPr="00575FEE" w:rsidRDefault="00575FEE" w:rsidP="00575FEE">
      <w:pPr>
        <w:widowControl/>
        <w:pBdr>
          <w:bottom w:val="single" w:sz="6" w:space="0" w:color="97B1C8"/>
        </w:pBdr>
        <w:spacing w:line="450" w:lineRule="atLeast"/>
        <w:outlineLvl w:val="1"/>
        <w:rPr>
          <w:rFonts w:ascii="微软雅黑" w:eastAsia="微软雅黑" w:hAnsi="微软雅黑" w:cs="宋体"/>
          <w:kern w:val="0"/>
          <w:sz w:val="34"/>
          <w:szCs w:val="34"/>
        </w:rPr>
      </w:pPr>
      <w:r w:rsidRPr="00575FEE">
        <w:rPr>
          <w:rFonts w:ascii="微软雅黑" w:eastAsia="微软雅黑" w:hAnsi="微软雅黑" w:cs="宋体"/>
          <w:kern w:val="0"/>
          <w:sz w:val="34"/>
          <w:szCs w:val="34"/>
        </w:rPr>
        <w:t>介绍</w:t>
      </w:r>
    </w:p>
    <w:p w14:paraId="2632E3FF"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雌激素受体（ER/ </w:t>
      </w:r>
      <w:r w:rsidRPr="00575FEE">
        <w:rPr>
          <w:rFonts w:ascii="微软雅黑" w:eastAsia="微软雅黑" w:hAnsi="微软雅黑" w:cs="宋体"/>
          <w:i/>
          <w:iCs/>
          <w:kern w:val="0"/>
          <w:sz w:val="24"/>
          <w:szCs w:val="24"/>
        </w:rPr>
        <w:t>ESR1</w:t>
      </w:r>
      <w:r w:rsidRPr="00575FEE">
        <w:rPr>
          <w:rFonts w:ascii="微软雅黑" w:eastAsia="微软雅黑" w:hAnsi="微软雅黑" w:cs="宋体"/>
          <w:kern w:val="0"/>
          <w:sz w:val="24"/>
          <w:szCs w:val="24"/>
        </w:rPr>
        <w:t>）在大多数乳腺癌中表达，抑制ER信号通路的药物是ER阳性/HER2阴性乳腺癌药物治疗的基石[ </w:t>
      </w:r>
      <w:hyperlink r:id="rId5" w:anchor="CR1" w:history="1">
        <w:r w:rsidRPr="00575FEE">
          <w:rPr>
            <w:rFonts w:ascii="微软雅黑" w:eastAsia="微软雅黑" w:hAnsi="微软雅黑" w:cs="宋体"/>
            <w:kern w:val="0"/>
            <w:sz w:val="24"/>
            <w:szCs w:val="24"/>
            <w:u w:val="single"/>
          </w:rPr>
          <w:t>1</w:t>
        </w:r>
      </w:hyperlink>
      <w:r w:rsidRPr="00575FEE">
        <w:rPr>
          <w:rFonts w:ascii="微软雅黑" w:eastAsia="微软雅黑" w:hAnsi="微软雅黑" w:cs="宋体"/>
          <w:kern w:val="0"/>
          <w:sz w:val="24"/>
          <w:szCs w:val="24"/>
        </w:rPr>
        <w:t> ]。这些靶</w:t>
      </w:r>
      <w:proofErr w:type="gramStart"/>
      <w:r w:rsidRPr="00575FEE">
        <w:rPr>
          <w:rFonts w:ascii="微软雅黑" w:eastAsia="微软雅黑" w:hAnsi="微软雅黑" w:cs="宋体"/>
          <w:kern w:val="0"/>
          <w:sz w:val="24"/>
          <w:szCs w:val="24"/>
        </w:rPr>
        <w:t>向治疗</w:t>
      </w:r>
      <w:proofErr w:type="gramEnd"/>
      <w:r w:rsidRPr="00575FEE">
        <w:rPr>
          <w:rFonts w:ascii="微软雅黑" w:eastAsia="微软雅黑" w:hAnsi="微软雅黑" w:cs="宋体"/>
          <w:kern w:val="0"/>
          <w:sz w:val="24"/>
          <w:szCs w:val="24"/>
        </w:rPr>
        <w:t>方法包括选择性雌激素受体调节剂（SERM）他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，它在乳腺中作为ER的竞争性拮抗</w:t>
      </w:r>
      <w:proofErr w:type="gramStart"/>
      <w:r w:rsidRPr="00575FEE">
        <w:rPr>
          <w:rFonts w:ascii="微软雅黑" w:eastAsia="微软雅黑" w:hAnsi="微软雅黑" w:cs="宋体"/>
          <w:kern w:val="0"/>
          <w:sz w:val="24"/>
          <w:szCs w:val="24"/>
        </w:rPr>
        <w:t>剂发挥</w:t>
      </w:r>
      <w:proofErr w:type="gramEnd"/>
      <w:r w:rsidRPr="00575FEE">
        <w:rPr>
          <w:rFonts w:ascii="微软雅黑" w:eastAsia="微软雅黑" w:hAnsi="微软雅黑" w:cs="宋体"/>
          <w:kern w:val="0"/>
          <w:sz w:val="24"/>
          <w:szCs w:val="24"/>
        </w:rPr>
        <w:t>作用；以及芳香化酶抑制剂（AI），它抑制芳香化酶，即负责雌激素生成的酶[ </w:t>
      </w:r>
      <w:hyperlink r:id="rId6" w:anchor="CR2" w:history="1">
        <w:r w:rsidRPr="00575FEE">
          <w:rPr>
            <w:rFonts w:ascii="微软雅黑" w:eastAsia="微软雅黑" w:hAnsi="微软雅黑" w:cs="宋体"/>
            <w:kern w:val="0"/>
            <w:sz w:val="24"/>
            <w:szCs w:val="24"/>
            <w:u w:val="single"/>
          </w:rPr>
          <w:t>2</w:t>
        </w:r>
      </w:hyperlink>
      <w:r w:rsidRPr="00575FEE">
        <w:rPr>
          <w:rFonts w:ascii="微软雅黑" w:eastAsia="微软雅黑" w:hAnsi="微软雅黑" w:cs="宋体"/>
          <w:kern w:val="0"/>
          <w:sz w:val="24"/>
          <w:szCs w:val="24"/>
        </w:rPr>
        <w:t> , </w:t>
      </w:r>
      <w:hyperlink r:id="rId7" w:anchor="CR3" w:history="1">
        <w:r w:rsidRPr="00575FEE">
          <w:rPr>
            <w:rFonts w:ascii="微软雅黑" w:eastAsia="微软雅黑" w:hAnsi="微软雅黑" w:cs="宋体"/>
            <w:kern w:val="0"/>
            <w:sz w:val="24"/>
            <w:szCs w:val="24"/>
            <w:u w:val="single"/>
          </w:rPr>
          <w:t>3</w:t>
        </w:r>
      </w:hyperlink>
      <w:r w:rsidRPr="00575FEE">
        <w:rPr>
          <w:rFonts w:ascii="微软雅黑" w:eastAsia="微软雅黑" w:hAnsi="微软雅黑" w:cs="宋体"/>
          <w:kern w:val="0"/>
          <w:sz w:val="24"/>
          <w:szCs w:val="24"/>
        </w:rPr>
        <w:t> ]。然而，耐药性的产生限制了有效治疗反应的持续时间。对这些内分泌疗法的耐药机制包括细胞周期失调和替代生长因子信号通路的激活[ </w:t>
      </w:r>
      <w:hyperlink r:id="rId8" w:anchor="CR1" w:history="1">
        <w:r w:rsidRPr="00575FEE">
          <w:rPr>
            <w:rFonts w:ascii="微软雅黑" w:eastAsia="微软雅黑" w:hAnsi="微软雅黑" w:cs="宋体"/>
            <w:kern w:val="0"/>
            <w:sz w:val="24"/>
            <w:szCs w:val="24"/>
            <w:u w:val="single"/>
          </w:rPr>
          <w:t>1 ]。例如，MAPK、PI3K和GSK </w:t>
        </w:r>
      </w:hyperlink>
      <w:hyperlink r:id="rId9" w:anchor="CR7"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 3的激活可导致ER或其相关共调节蛋白的磷酸化增加，从而导致配体非依赖性ER活性和耐药性[ </w:t>
      </w:r>
      <w:hyperlink r:id="rId10" w:anchor="CR4" w:history="1">
        <w:r w:rsidRPr="00575FEE">
          <w:rPr>
            <w:rFonts w:ascii="微软雅黑" w:eastAsia="微软雅黑" w:hAnsi="微软雅黑" w:cs="宋体"/>
            <w:kern w:val="0"/>
            <w:sz w:val="24"/>
            <w:szCs w:val="24"/>
            <w:u w:val="single"/>
          </w:rPr>
          <w:t>4-7</w:t>
        </w:r>
      </w:hyperlink>
      <w:r w:rsidRPr="00575FEE">
        <w:rPr>
          <w:rFonts w:ascii="微软雅黑" w:eastAsia="微软雅黑" w:hAnsi="微软雅黑" w:cs="宋体"/>
          <w:kern w:val="0"/>
          <w:sz w:val="24"/>
          <w:szCs w:val="24"/>
        </w:rPr>
        <w:t> ]。最近，随着 AI 疗法的出现，ER 基因本身的基因组改变，包括扩增、易位和配体结合域突变（最常见的是 ER-D538G 和 ER-Y537S）[ </w:t>
      </w:r>
      <w:hyperlink r:id="rId11" w:anchor="CR1" w:history="1">
        <w:r w:rsidRPr="00575FEE">
          <w:rPr>
            <w:rFonts w:ascii="微软雅黑" w:eastAsia="微软雅黑" w:hAnsi="微软雅黑" w:cs="宋体"/>
            <w:kern w:val="0"/>
            <w:sz w:val="24"/>
            <w:szCs w:val="24"/>
            <w:u w:val="single"/>
          </w:rPr>
          <w:t>1</w:t>
        </w:r>
      </w:hyperlink>
      <w:r w:rsidRPr="00575FEE">
        <w:rPr>
          <w:rFonts w:ascii="微软雅黑" w:eastAsia="微软雅黑" w:hAnsi="微软雅黑" w:cs="宋体"/>
          <w:kern w:val="0"/>
          <w:sz w:val="24"/>
          <w:szCs w:val="24"/>
        </w:rPr>
        <w:t> , </w:t>
      </w:r>
      <w:hyperlink r:id="rId12" w:anchor="CR8" w:history="1">
        <w:r w:rsidRPr="00575FEE">
          <w:rPr>
            <w:rFonts w:ascii="微软雅黑" w:eastAsia="微软雅黑" w:hAnsi="微软雅黑" w:cs="宋体"/>
            <w:kern w:val="0"/>
            <w:sz w:val="24"/>
            <w:szCs w:val="24"/>
            <w:u w:val="single"/>
          </w:rPr>
          <w:t>8</w:t>
        </w:r>
      </w:hyperlink>
      <w:r w:rsidRPr="00575FEE">
        <w:rPr>
          <w:rFonts w:ascii="微软雅黑" w:eastAsia="微软雅黑" w:hAnsi="微软雅黑" w:cs="宋体"/>
          <w:kern w:val="0"/>
          <w:sz w:val="24"/>
          <w:szCs w:val="24"/>
        </w:rPr>
        <w:t> – </w:t>
      </w:r>
      <w:hyperlink r:id="rId13" w:anchor="CR10" w:history="1">
        <w:r w:rsidRPr="00575FEE">
          <w:rPr>
            <w:rFonts w:ascii="微软雅黑" w:eastAsia="微软雅黑" w:hAnsi="微软雅黑" w:cs="宋体"/>
            <w:kern w:val="0"/>
            <w:sz w:val="24"/>
            <w:szCs w:val="24"/>
            <w:u w:val="single"/>
          </w:rPr>
          <w:t>10</w:t>
        </w:r>
      </w:hyperlink>
      <w:r w:rsidRPr="00575FEE">
        <w:rPr>
          <w:rFonts w:ascii="微软雅黑" w:eastAsia="微软雅黑" w:hAnsi="微软雅黑" w:cs="宋体"/>
          <w:kern w:val="0"/>
          <w:sz w:val="24"/>
          <w:szCs w:val="24"/>
        </w:rPr>
        <w:t> ]。</w:t>
      </w:r>
    </w:p>
    <w:p w14:paraId="096172B9"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lastRenderedPageBreak/>
        <w:t>在接受他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和芳香化酶抑制剂（AI）治疗后病情进展时，通常会采用其他内分泌治疗，包括选择性雌激素受体下调剂（SERD）</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w:t>
      </w:r>
      <w:proofErr w:type="spellStart"/>
      <w:r w:rsidRPr="00575FEE">
        <w:rPr>
          <w:rFonts w:ascii="微软雅黑" w:eastAsia="微软雅黑" w:hAnsi="微软雅黑" w:cs="宋体"/>
          <w:kern w:val="0"/>
          <w:sz w:val="24"/>
          <w:szCs w:val="24"/>
        </w:rPr>
        <w:t>Faslodex</w:t>
      </w:r>
      <w:proofErr w:type="spellEnd"/>
      <w:r w:rsidRPr="00575FEE">
        <w:rPr>
          <w:rFonts w:ascii="微软雅黑" w:eastAsia="微软雅黑" w:hAnsi="微软雅黑" w:cs="宋体"/>
          <w:kern w:val="0"/>
          <w:sz w:val="24"/>
          <w:szCs w:val="24"/>
        </w:rPr>
        <w:t>®）[ </w:t>
      </w:r>
      <w:r w:rsidRPr="00575FEE">
        <w:rPr>
          <w:rFonts w:ascii="微软雅黑" w:eastAsia="微软雅黑" w:hAnsi="微软雅黑" w:cs="宋体"/>
          <w:kern w:val="0"/>
          <w:sz w:val="24"/>
          <w:szCs w:val="24"/>
          <w:vertAlign w:val="superscript"/>
        </w:rPr>
        <w:t>11 </w:t>
      </w:r>
      <w:hyperlink r:id="rId14" w:anchor="CR11"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。SERD 是一类雌激素受体（ER）拮抗剂，除了竞争性地置换雌激素外，还能诱导 ER 下调[ </w:t>
      </w:r>
      <w:hyperlink r:id="rId15" w:anchor="CR12" w:history="1">
        <w:r w:rsidRPr="00575FEE">
          <w:rPr>
            <w:rFonts w:ascii="微软雅黑" w:eastAsia="微软雅黑" w:hAnsi="微软雅黑" w:cs="宋体"/>
            <w:kern w:val="0"/>
            <w:sz w:val="24"/>
            <w:szCs w:val="24"/>
            <w:u w:val="single"/>
          </w:rPr>
          <w:t>12</w:t>
        </w:r>
      </w:hyperlink>
      <w:r w:rsidRPr="00575FEE">
        <w:rPr>
          <w:rFonts w:ascii="微软雅黑" w:eastAsia="微软雅黑" w:hAnsi="微软雅黑" w:cs="宋体"/>
          <w:kern w:val="0"/>
          <w:sz w:val="24"/>
          <w:szCs w:val="24"/>
        </w:rPr>
        <w:t> ]。尽管初期疗效显著，但单药治疗时耐药性的出现限制了其持久疗效。因此，为了提高转移性</w:t>
      </w:r>
      <w:r w:rsidRPr="00575FEE">
        <w:rPr>
          <w:rFonts w:ascii="MS Gothic" w:eastAsia="MS Gothic" w:hAnsi="MS Gothic" w:cs="MS Gothic" w:hint="eastAsia"/>
          <w:kern w:val="0"/>
          <w:sz w:val="24"/>
          <w:szCs w:val="24"/>
        </w:rPr>
        <w:t>​​</w:t>
      </w:r>
      <w:r w:rsidRPr="00575FEE">
        <w:rPr>
          <w:rFonts w:ascii="微软雅黑" w:eastAsia="微软雅黑" w:hAnsi="微软雅黑" w:cs="宋体"/>
          <w:kern w:val="0"/>
          <w:sz w:val="24"/>
          <w:szCs w:val="24"/>
        </w:rPr>
        <w:t>乳腺癌内分泌治疗的疗效，联合治疗方案得到了广泛的研究。AI 或</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联合泛 PI3K 或 mTOR 抑制剂的临床试验结果令人鼓舞，但尚无定论，且毒性反应常常是剂量递增的障碍[ 13-16 </w:t>
      </w:r>
      <w:hyperlink r:id="rId16" w:anchor="CR17" w:history="1">
        <w:r w:rsidRPr="00575FEE">
          <w:rPr>
            <w:rFonts w:ascii="微软雅黑" w:eastAsia="微软雅黑" w:hAnsi="微软雅黑" w:cs="宋体"/>
            <w:kern w:val="0"/>
            <w:sz w:val="24"/>
            <w:szCs w:val="24"/>
            <w:u w:val="single"/>
          </w:rPr>
          <w:t>] </w:t>
        </w:r>
      </w:hyperlink>
      <w:hyperlink r:id="rId17" w:anchor="CR13" w:history="1">
        <w:r w:rsidRPr="00575FEE">
          <w:rPr>
            <w:rFonts w:ascii="微软雅黑" w:eastAsia="微软雅黑" w:hAnsi="微软雅黑" w:cs="宋体"/>
            <w:kern w:val="0"/>
            <w:sz w:val="24"/>
            <w:szCs w:val="24"/>
            <w:u w:val="single"/>
          </w:rPr>
          <w:t>。因此，在考虑联合内分泌治疗时</w:t>
        </w:r>
      </w:hyperlink>
      <w:hyperlink r:id="rId18" w:anchor="CR16" w:history="1">
        <w:r w:rsidRPr="00575FEE">
          <w:rPr>
            <w:rFonts w:ascii="微软雅黑" w:eastAsia="微软雅黑" w:hAnsi="微软雅黑" w:cs="宋体"/>
            <w:kern w:val="0"/>
            <w:sz w:val="24"/>
            <w:szCs w:val="24"/>
            <w:u w:val="single"/>
          </w:rPr>
          <w:t>， CDK4 </w:t>
        </w:r>
      </w:hyperlink>
      <w:hyperlink r:id="rId19" w:anchor="CR20"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 6 抑制剂已成为一种更受欢迎的选择[ 17-20 ]。然而，</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生物利用度低，且需肌注给药，达到稳态血药浓度所需时间长，限制了其临床应用[ </w:t>
      </w:r>
      <w:hyperlink r:id="rId20" w:anchor="CR21" w:history="1">
        <w:r w:rsidRPr="00575FEE">
          <w:rPr>
            <w:rFonts w:ascii="微软雅黑" w:eastAsia="微软雅黑" w:hAnsi="微软雅黑" w:cs="宋体"/>
            <w:kern w:val="0"/>
            <w:sz w:val="24"/>
            <w:szCs w:val="24"/>
            <w:u w:val="single"/>
          </w:rPr>
          <w:t>21</w:t>
        </w:r>
      </w:hyperlink>
      <w:r w:rsidRPr="00575FEE">
        <w:rPr>
          <w:rFonts w:ascii="微软雅黑" w:eastAsia="微软雅黑" w:hAnsi="微软雅黑" w:cs="宋体"/>
          <w:kern w:val="0"/>
          <w:sz w:val="24"/>
          <w:szCs w:val="24"/>
        </w:rPr>
        <w:t> , </w:t>
      </w:r>
      <w:hyperlink r:id="rId21" w:anchor="CR22" w:history="1">
        <w:r w:rsidRPr="00575FEE">
          <w:rPr>
            <w:rFonts w:ascii="微软雅黑" w:eastAsia="微软雅黑" w:hAnsi="微软雅黑" w:cs="宋体"/>
            <w:kern w:val="0"/>
            <w:sz w:val="24"/>
            <w:szCs w:val="24"/>
            <w:u w:val="single"/>
          </w:rPr>
          <w:t>22</w:t>
        </w:r>
      </w:hyperlink>
      <w:r w:rsidRPr="00575FEE">
        <w:rPr>
          <w:rFonts w:ascii="微软雅黑" w:eastAsia="微软雅黑" w:hAnsi="微软雅黑" w:cs="宋体"/>
          <w:kern w:val="0"/>
          <w:sz w:val="24"/>
          <w:szCs w:val="24"/>
        </w:rPr>
        <w:t> ]。事实上，即使在较高的临床剂量（500 mg）下，药效学成像也提示受体饱和度不完全[ </w:t>
      </w:r>
      <w:hyperlink r:id="rId22" w:anchor="CR23" w:history="1">
        <w:r w:rsidRPr="00575FEE">
          <w:rPr>
            <w:rFonts w:ascii="微软雅黑" w:eastAsia="微软雅黑" w:hAnsi="微软雅黑" w:cs="宋体"/>
            <w:kern w:val="0"/>
            <w:sz w:val="24"/>
            <w:szCs w:val="24"/>
            <w:u w:val="single"/>
          </w:rPr>
          <w:t>23</w:t>
        </w:r>
      </w:hyperlink>
      <w:r w:rsidRPr="00575FEE">
        <w:rPr>
          <w:rFonts w:ascii="微软雅黑" w:eastAsia="微软雅黑" w:hAnsi="微软雅黑" w:cs="宋体"/>
          <w:kern w:val="0"/>
          <w:sz w:val="24"/>
          <w:szCs w:val="24"/>
        </w:rPr>
        <w:t> ]。</w:t>
      </w:r>
    </w:p>
    <w:p w14:paraId="7A7AE8D0"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这些数据共同表明，目前迫切需要一种安全、口服生物利用度高且具有合适药理特性的选择性雌激素受体拮抗剂（SERD）。本文描述了G1T48（</w:t>
      </w:r>
      <w:proofErr w:type="spellStart"/>
      <w:r w:rsidRPr="00575FEE">
        <w:rPr>
          <w:rFonts w:ascii="微软雅黑" w:eastAsia="微软雅黑" w:hAnsi="微软雅黑" w:cs="宋体"/>
          <w:kern w:val="0"/>
          <w:sz w:val="24"/>
          <w:szCs w:val="24"/>
        </w:rPr>
        <w:t>rintodestrant</w:t>
      </w:r>
      <w:proofErr w:type="spellEnd"/>
      <w:r w:rsidRPr="00575FEE">
        <w:rPr>
          <w:rFonts w:ascii="微软雅黑" w:eastAsia="微软雅黑" w:hAnsi="微软雅黑" w:cs="宋体"/>
          <w:kern w:val="0"/>
          <w:sz w:val="24"/>
          <w:szCs w:val="24"/>
        </w:rPr>
        <w:t>）的临床前开发，G1T48是一种口服生物利用度高、高效且选择性的非</w:t>
      </w:r>
      <w:proofErr w:type="gramStart"/>
      <w:r w:rsidRPr="00575FEE">
        <w:rPr>
          <w:rFonts w:ascii="微软雅黑" w:eastAsia="微软雅黑" w:hAnsi="微软雅黑" w:cs="宋体"/>
          <w:kern w:val="0"/>
          <w:sz w:val="24"/>
          <w:szCs w:val="24"/>
        </w:rPr>
        <w:t>甾</w:t>
      </w:r>
      <w:proofErr w:type="gramEnd"/>
      <w:r w:rsidRPr="00575FEE">
        <w:rPr>
          <w:rFonts w:ascii="微软雅黑" w:eastAsia="微软雅黑" w:hAnsi="微软雅黑" w:cs="宋体"/>
          <w:kern w:val="0"/>
          <w:sz w:val="24"/>
          <w:szCs w:val="24"/>
        </w:rPr>
        <w:t>体类雌激素受体拮抗剂和下调剂[ </w:t>
      </w:r>
      <w:hyperlink r:id="rId23" w:anchor="CR24" w:history="1">
        <w:r w:rsidRPr="00575FEE">
          <w:rPr>
            <w:rFonts w:ascii="微软雅黑" w:eastAsia="微软雅黑" w:hAnsi="微软雅黑" w:cs="宋体"/>
            <w:kern w:val="0"/>
            <w:sz w:val="24"/>
            <w:szCs w:val="24"/>
            <w:u w:val="single"/>
          </w:rPr>
          <w:t>24</w:t>
        </w:r>
      </w:hyperlink>
      <w:r w:rsidRPr="00575FEE">
        <w:rPr>
          <w:rFonts w:ascii="微软雅黑" w:eastAsia="微软雅黑" w:hAnsi="微软雅黑" w:cs="宋体"/>
          <w:kern w:val="0"/>
          <w:sz w:val="24"/>
          <w:szCs w:val="24"/>
        </w:rPr>
        <w:t> ]。研究发现，G1T48在多种内分泌治疗耐药的体外模型中均能有效抑制雌激素受体活性，包括携带雌激素受体突变或生长因子激活的模型。重要的是，G1T48在早期雌激素依赖性乳腺癌动物模型中表现出显著的抗肿瘤活性，并能抑制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和雌激素剥夺耐药的异种移植瘤的生长，且G1T48与新开发的CDK4/6抑制剂</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联合使用时疗效更佳[ </w:t>
      </w:r>
      <w:hyperlink r:id="rId24" w:anchor="CR25" w:history="1">
        <w:r w:rsidRPr="00575FEE">
          <w:rPr>
            <w:rFonts w:ascii="微软雅黑" w:eastAsia="微软雅黑" w:hAnsi="微软雅黑" w:cs="宋体"/>
            <w:kern w:val="0"/>
            <w:sz w:val="24"/>
            <w:szCs w:val="24"/>
            <w:u w:val="single"/>
          </w:rPr>
          <w:t>25</w:t>
        </w:r>
      </w:hyperlink>
      <w:r w:rsidRPr="00575FEE">
        <w:rPr>
          <w:rFonts w:ascii="微软雅黑" w:eastAsia="微软雅黑" w:hAnsi="微软雅黑" w:cs="宋体"/>
          <w:kern w:val="0"/>
          <w:sz w:val="24"/>
          <w:szCs w:val="24"/>
        </w:rPr>
        <w:t> , </w:t>
      </w:r>
      <w:hyperlink r:id="rId25" w:anchor="CR26" w:history="1">
        <w:r w:rsidRPr="00575FEE">
          <w:rPr>
            <w:rFonts w:ascii="微软雅黑" w:eastAsia="微软雅黑" w:hAnsi="微软雅黑" w:cs="宋体"/>
            <w:kern w:val="0"/>
            <w:sz w:val="24"/>
            <w:szCs w:val="24"/>
            <w:u w:val="single"/>
          </w:rPr>
          <w:t>26</w:t>
        </w:r>
      </w:hyperlink>
      <w:r w:rsidRPr="00575FEE">
        <w:rPr>
          <w:rFonts w:ascii="微软雅黑" w:eastAsia="微软雅黑" w:hAnsi="微软雅黑" w:cs="宋体"/>
          <w:kern w:val="0"/>
          <w:sz w:val="24"/>
          <w:szCs w:val="24"/>
        </w:rPr>
        <w:t> ]。</w:t>
      </w:r>
    </w:p>
    <w:p w14:paraId="584269F3" w14:textId="77777777" w:rsidR="00575FEE" w:rsidRPr="00575FEE" w:rsidRDefault="00575FEE" w:rsidP="00575FEE">
      <w:pPr>
        <w:widowControl/>
        <w:pBdr>
          <w:bottom w:val="single" w:sz="6" w:space="0" w:color="97B1C8"/>
        </w:pBdr>
        <w:spacing w:line="450" w:lineRule="atLeast"/>
        <w:outlineLvl w:val="1"/>
        <w:rPr>
          <w:rFonts w:ascii="微软雅黑" w:eastAsia="微软雅黑" w:hAnsi="微软雅黑" w:cs="宋体"/>
          <w:kern w:val="0"/>
          <w:sz w:val="34"/>
          <w:szCs w:val="34"/>
        </w:rPr>
      </w:pPr>
      <w:r w:rsidRPr="00575FEE">
        <w:rPr>
          <w:rFonts w:ascii="微软雅黑" w:eastAsia="微软雅黑" w:hAnsi="微软雅黑" w:cs="宋体"/>
          <w:kern w:val="0"/>
          <w:sz w:val="34"/>
          <w:szCs w:val="34"/>
        </w:rPr>
        <w:t>方法</w:t>
      </w:r>
    </w:p>
    <w:p w14:paraId="06E768D2"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试剂</w:t>
      </w:r>
    </w:p>
    <w:p w14:paraId="76ACF616" w14:textId="77777777" w:rsidR="00575FEE" w:rsidRPr="00575FEE" w:rsidRDefault="00575FEE" w:rsidP="00575FEE">
      <w:pPr>
        <w:widowControl/>
        <w:spacing w:before="450"/>
        <w:rPr>
          <w:rFonts w:ascii="微软雅黑" w:eastAsia="微软雅黑" w:hAnsi="微软雅黑" w:cs="宋体"/>
          <w:kern w:val="0"/>
          <w:sz w:val="24"/>
          <w:szCs w:val="24"/>
        </w:rPr>
      </w:pPr>
      <w:proofErr w:type="gramStart"/>
      <w:r w:rsidRPr="00575FEE">
        <w:rPr>
          <w:rFonts w:ascii="微软雅黑" w:eastAsia="微软雅黑" w:hAnsi="微软雅黑" w:cs="宋体"/>
          <w:kern w:val="0"/>
          <w:sz w:val="24"/>
          <w:szCs w:val="24"/>
        </w:rPr>
        <w:lastRenderedPageBreak/>
        <w:t>氟维司群</w:t>
      </w:r>
      <w:proofErr w:type="gramEnd"/>
      <w:r w:rsidRPr="00575FEE">
        <w:rPr>
          <w:rFonts w:ascii="微软雅黑" w:eastAsia="微软雅黑" w:hAnsi="微软雅黑" w:cs="宋体"/>
          <w:kern w:val="0"/>
          <w:sz w:val="24"/>
          <w:szCs w:val="24"/>
        </w:rPr>
        <w:t>（CAS号：129453-61-8，纯度&gt;99%）购自</w:t>
      </w:r>
      <w:proofErr w:type="spellStart"/>
      <w:r w:rsidRPr="00575FEE">
        <w:rPr>
          <w:rFonts w:ascii="微软雅黑" w:eastAsia="微软雅黑" w:hAnsi="微软雅黑" w:cs="宋体"/>
          <w:kern w:val="0"/>
          <w:sz w:val="24"/>
          <w:szCs w:val="24"/>
        </w:rPr>
        <w:t>MedChem</w:t>
      </w:r>
      <w:proofErr w:type="spellEnd"/>
      <w:r w:rsidRPr="00575FEE">
        <w:rPr>
          <w:rFonts w:ascii="微软雅黑" w:eastAsia="微软雅黑" w:hAnsi="微软雅黑" w:cs="宋体"/>
          <w:kern w:val="0"/>
          <w:sz w:val="24"/>
          <w:szCs w:val="24"/>
        </w:rPr>
        <w:t xml:space="preserve"> Express公司。雌二醇（E2）（E8875）、拉索昔芬（SML1026）、4-羟基他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（H7904）和他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（T5648）购自Sigma公司。雷洛昔芬（2280）购自</w:t>
      </w:r>
      <w:proofErr w:type="spellStart"/>
      <w:r w:rsidRPr="00575FEE">
        <w:rPr>
          <w:rFonts w:ascii="微软雅黑" w:eastAsia="微软雅黑" w:hAnsi="微软雅黑" w:cs="宋体"/>
          <w:kern w:val="0"/>
          <w:sz w:val="24"/>
          <w:szCs w:val="24"/>
        </w:rPr>
        <w:t>Tocris</w:t>
      </w:r>
      <w:proofErr w:type="spellEnd"/>
      <w:r w:rsidRPr="00575FEE">
        <w:rPr>
          <w:rFonts w:ascii="微软雅黑" w:eastAsia="微软雅黑" w:hAnsi="微软雅黑" w:cs="宋体"/>
          <w:kern w:val="0"/>
          <w:sz w:val="24"/>
          <w:szCs w:val="24"/>
        </w:rPr>
        <w:t>公司。GDC-0810（S7855）、巴泽昔芬（S2128）和AZD9496（S8372）购自</w:t>
      </w:r>
      <w:proofErr w:type="spellStart"/>
      <w:r w:rsidRPr="00575FEE">
        <w:rPr>
          <w:rFonts w:ascii="微软雅黑" w:eastAsia="微软雅黑" w:hAnsi="微软雅黑" w:cs="宋体"/>
          <w:kern w:val="0"/>
          <w:sz w:val="24"/>
          <w:szCs w:val="24"/>
        </w:rPr>
        <w:t>Selleckchem</w:t>
      </w:r>
      <w:proofErr w:type="spellEnd"/>
      <w:r w:rsidRPr="00575FEE">
        <w:rPr>
          <w:rFonts w:ascii="微软雅黑" w:eastAsia="微软雅黑" w:hAnsi="微软雅黑" w:cs="宋体"/>
          <w:kern w:val="0"/>
          <w:sz w:val="24"/>
          <w:szCs w:val="24"/>
        </w:rPr>
        <w:t>公司。GW5638（5638）、GW7604（7604）和RU 58,668（RU）由唐纳德·麦克唐纳（杜克大学）提供。G1T48由G1 Therapeutics公司提供，为分析纯化合物。</w:t>
      </w:r>
    </w:p>
    <w:p w14:paraId="646993DD"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RNA分析</w:t>
      </w:r>
    </w:p>
    <w:p w14:paraId="415A7873"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MCF7细胞经短串联重复序列分析鉴定，并检测了</w:t>
      </w:r>
      <w:r w:rsidRPr="00575FEE">
        <w:rPr>
          <w:rFonts w:ascii="微软雅黑" w:eastAsia="微软雅黑" w:hAnsi="微软雅黑" w:cs="宋体"/>
          <w:i/>
          <w:iCs/>
          <w:kern w:val="0"/>
          <w:sz w:val="24"/>
          <w:szCs w:val="24"/>
        </w:rPr>
        <w:t>支原体</w:t>
      </w:r>
      <w:r w:rsidRPr="00575FEE">
        <w:rPr>
          <w:rFonts w:ascii="微软雅黑" w:eastAsia="微软雅黑" w:hAnsi="微软雅黑" w:cs="宋体"/>
          <w:kern w:val="0"/>
          <w:sz w:val="24"/>
          <w:szCs w:val="24"/>
        </w:rPr>
        <w:t>，且每次培养时间不超过三个月[ </w:t>
      </w:r>
      <w:hyperlink r:id="rId26" w:anchor="CR27" w:history="1">
        <w:r w:rsidRPr="00575FEE">
          <w:rPr>
            <w:rFonts w:ascii="微软雅黑" w:eastAsia="微软雅黑" w:hAnsi="微软雅黑" w:cs="宋体"/>
            <w:kern w:val="0"/>
            <w:sz w:val="24"/>
            <w:szCs w:val="24"/>
            <w:u w:val="single"/>
          </w:rPr>
          <w:t>27</w:t>
        </w:r>
      </w:hyperlink>
      <w:r w:rsidRPr="00575FEE">
        <w:rPr>
          <w:rFonts w:ascii="微软雅黑" w:eastAsia="微软雅黑" w:hAnsi="微软雅黑" w:cs="宋体"/>
          <w:kern w:val="0"/>
          <w:sz w:val="24"/>
          <w:szCs w:val="24"/>
        </w:rPr>
        <w:t> ]。MCF7细胞接种于添加8%活性炭葡聚糖处理胎牛血清的DMEM/F12培养基中培养48小时。之后，细胞用配体处理24小时，并使用Aurum™总RNA提取试剂盒（Bio-Rad，Hercules，CA）提取RNA。cDNA合成（</w:t>
      </w:r>
      <w:proofErr w:type="spellStart"/>
      <w:r w:rsidRPr="00575FEE">
        <w:rPr>
          <w:rFonts w:ascii="微软雅黑" w:eastAsia="微软雅黑" w:hAnsi="微软雅黑" w:cs="宋体"/>
          <w:kern w:val="0"/>
          <w:sz w:val="24"/>
          <w:szCs w:val="24"/>
        </w:rPr>
        <w:t>iScript</w:t>
      </w:r>
      <w:proofErr w:type="spellEnd"/>
      <w:r w:rsidRPr="00575FEE">
        <w:rPr>
          <w:rFonts w:ascii="微软雅黑" w:eastAsia="微软雅黑" w:hAnsi="微软雅黑" w:cs="宋体"/>
          <w:kern w:val="0"/>
          <w:sz w:val="24"/>
          <w:szCs w:val="24"/>
        </w:rPr>
        <w:t>试剂盒，Bio-Rad）后，使用Bio-Rad CFX384实时荧光定量PCR系统进行实时荧光定量PCR。所有实时荧光定量PCR数据均以GAPDH mRNA表达量为内参，采用2-ΔΔC&lt;sub&gt; </w:t>
      </w:r>
      <w:r w:rsidRPr="00575FEE">
        <w:rPr>
          <w:rFonts w:ascii="微软雅黑" w:eastAsia="微软雅黑" w:hAnsi="微软雅黑" w:cs="宋体"/>
          <w:kern w:val="0"/>
          <w:sz w:val="24"/>
          <w:szCs w:val="24"/>
          <w:vertAlign w:val="subscript"/>
        </w:rPr>
        <w:t>T</w:t>
      </w:r>
      <w:r w:rsidRPr="00575FEE">
        <w:rPr>
          <w:rFonts w:ascii="微软雅黑" w:eastAsia="微软雅黑" w:hAnsi="微软雅黑" w:cs="宋体"/>
          <w:kern w:val="0"/>
          <w:sz w:val="24"/>
          <w:szCs w:val="24"/>
        </w:rPr>
        <w:t> &lt;/sub&gt;法进行标准化[ </w:t>
      </w:r>
      <w:hyperlink r:id="rId27" w:anchor="CR28" w:history="1">
        <w:r w:rsidRPr="00575FEE">
          <w:rPr>
            <w:rFonts w:ascii="微软雅黑" w:eastAsia="微软雅黑" w:hAnsi="微软雅黑" w:cs="宋体"/>
            <w:kern w:val="0"/>
            <w:sz w:val="24"/>
            <w:szCs w:val="24"/>
            <w:u w:val="single"/>
          </w:rPr>
          <w:t>28</w:t>
        </w:r>
      </w:hyperlink>
      <w:r w:rsidRPr="00575FEE">
        <w:rPr>
          <w:rFonts w:ascii="微软雅黑" w:eastAsia="微软雅黑" w:hAnsi="微软雅黑" w:cs="宋体"/>
          <w:kern w:val="0"/>
          <w:sz w:val="24"/>
          <w:szCs w:val="24"/>
        </w:rPr>
        <w:t> ]。有关该方法的更详细描述，请参见在线资源1。</w:t>
      </w:r>
    </w:p>
    <w:p w14:paraId="46CBB496"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增殖</w:t>
      </w:r>
    </w:p>
    <w:p w14:paraId="0FDBAC0C"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 xml:space="preserve">将MCF7细胞接种于含8%活性炭葡聚糖处理胎牛血清的DMEM/F12培养基中，置于96孔板（每孔5000个细胞），培养48小时。随后，用雌二醇（0.1 </w:t>
      </w:r>
      <w:proofErr w:type="spellStart"/>
      <w:r w:rsidRPr="00575FEE">
        <w:rPr>
          <w:rFonts w:ascii="微软雅黑" w:eastAsia="微软雅黑" w:hAnsi="微软雅黑" w:cs="宋体"/>
          <w:kern w:val="0"/>
          <w:sz w:val="24"/>
          <w:szCs w:val="24"/>
        </w:rPr>
        <w:t>nM</w:t>
      </w:r>
      <w:proofErr w:type="spellEnd"/>
      <w:r w:rsidRPr="00575FEE">
        <w:rPr>
          <w:rFonts w:ascii="微软雅黑" w:eastAsia="微软雅黑" w:hAnsi="微软雅黑" w:cs="宋体"/>
          <w:kern w:val="0"/>
          <w:sz w:val="24"/>
          <w:szCs w:val="24"/>
        </w:rPr>
        <w:t xml:space="preserve">）或胰岛素（20 </w:t>
      </w:r>
      <w:proofErr w:type="spellStart"/>
      <w:r w:rsidRPr="00575FEE">
        <w:rPr>
          <w:rFonts w:ascii="微软雅黑" w:eastAsia="微软雅黑" w:hAnsi="微软雅黑" w:cs="宋体"/>
          <w:kern w:val="0"/>
          <w:sz w:val="24"/>
          <w:szCs w:val="24"/>
        </w:rPr>
        <w:t>μM</w:t>
      </w:r>
      <w:proofErr w:type="spellEnd"/>
      <w:r w:rsidRPr="00575FEE">
        <w:rPr>
          <w:rFonts w:ascii="微软雅黑" w:eastAsia="微软雅黑" w:hAnsi="微软雅黑" w:cs="宋体"/>
          <w:kern w:val="0"/>
          <w:sz w:val="24"/>
          <w:szCs w:val="24"/>
        </w:rPr>
        <w:t>）处理细胞，并加入或不加入待测化合物（剂量范围：</w:t>
      </w:r>
      <w:r w:rsidRPr="00575FEE">
        <w:rPr>
          <w:rFonts w:ascii="微软雅黑" w:eastAsia="微软雅黑" w:hAnsi="微软雅黑" w:cs="宋体"/>
          <w:kern w:val="0"/>
          <w:sz w:val="24"/>
          <w:szCs w:val="24"/>
        </w:rPr>
        <w:lastRenderedPageBreak/>
        <w:t>1.0–11</w:t>
      </w:r>
      <w:r w:rsidRPr="00575FEE">
        <w:rPr>
          <w:rFonts w:ascii="微软雅黑" w:eastAsia="微软雅黑" w:hAnsi="微软雅黑" w:cs="宋体"/>
          <w:kern w:val="0"/>
          <w:sz w:val="24"/>
          <w:szCs w:val="24"/>
          <w:vertAlign w:val="superscript"/>
        </w:rPr>
        <w:t>至</w:t>
      </w:r>
      <w:r w:rsidRPr="00575FEE">
        <w:rPr>
          <w:rFonts w:ascii="微软雅黑" w:eastAsia="微软雅黑" w:hAnsi="微软雅黑" w:cs="宋体"/>
          <w:kern w:val="0"/>
          <w:sz w:val="24"/>
          <w:szCs w:val="24"/>
        </w:rPr>
        <w:t>1.0–05 </w:t>
      </w:r>
      <w:r w:rsidRPr="00575FEE">
        <w:rPr>
          <w:rFonts w:ascii="微软雅黑" w:eastAsia="微软雅黑" w:hAnsi="微软雅黑" w:cs="宋体"/>
          <w:kern w:val="0"/>
          <w:sz w:val="24"/>
          <w:szCs w:val="24"/>
          <w:vertAlign w:val="superscript"/>
        </w:rPr>
        <w:t>M </w:t>
      </w:r>
      <w:r w:rsidRPr="00575FEE">
        <w:rPr>
          <w:rFonts w:ascii="微软雅黑" w:eastAsia="微软雅黑" w:hAnsi="微软雅黑" w:cs="宋体"/>
          <w:kern w:val="0"/>
          <w:sz w:val="24"/>
          <w:szCs w:val="24"/>
        </w:rPr>
        <w:t>），处理6天。处理结束后，弃去培养物，将细胞置于–80°C冷冻过夜，然后使用Hoechst 33258荧光法定量DNA。</w:t>
      </w:r>
    </w:p>
    <w:p w14:paraId="7963FBC2"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补充材料</w:t>
      </w:r>
    </w:p>
    <w:p w14:paraId="0BBE328C"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详细方法可在在线资源 1 中找到，适用于以下方案：细胞内蛋白质印迹、放射性结合试验、染色质免疫沉淀、转录报告试验。</w:t>
      </w:r>
    </w:p>
    <w:p w14:paraId="1AA5DC16"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小鼠研究</w:t>
      </w:r>
    </w:p>
    <w:p w14:paraId="67F8E672"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所有实验程序均已获得杜克大学或南德克萨斯加速研究治疗中心（START，位于德克萨斯州圣安东尼奥）的机构动物护理和使用委员会（IACUC）的批准。详情请参见在线资源1。</w:t>
      </w:r>
    </w:p>
    <w:p w14:paraId="52AD94EE" w14:textId="77777777" w:rsidR="00575FEE" w:rsidRPr="00575FEE" w:rsidRDefault="00575FEE" w:rsidP="00575FEE">
      <w:pPr>
        <w:widowControl/>
        <w:pBdr>
          <w:bottom w:val="single" w:sz="6" w:space="0" w:color="97B1C8"/>
        </w:pBdr>
        <w:spacing w:line="450" w:lineRule="atLeast"/>
        <w:outlineLvl w:val="1"/>
        <w:rPr>
          <w:rFonts w:ascii="微软雅黑" w:eastAsia="微软雅黑" w:hAnsi="微软雅黑" w:cs="宋体"/>
          <w:kern w:val="0"/>
          <w:sz w:val="34"/>
          <w:szCs w:val="34"/>
        </w:rPr>
      </w:pPr>
      <w:r w:rsidRPr="00575FEE">
        <w:rPr>
          <w:rFonts w:ascii="微软雅黑" w:eastAsia="微软雅黑" w:hAnsi="微软雅黑" w:cs="宋体"/>
          <w:kern w:val="0"/>
          <w:sz w:val="34"/>
          <w:szCs w:val="34"/>
        </w:rPr>
        <w:t>结果</w:t>
      </w:r>
    </w:p>
    <w:p w14:paraId="68374F6B"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G1T48 与</w:t>
      </w:r>
      <w:proofErr w:type="gramStart"/>
      <w:r w:rsidRPr="00575FEE">
        <w:rPr>
          <w:rFonts w:ascii="微软雅黑" w:eastAsia="微软雅黑" w:hAnsi="微软雅黑" w:cs="宋体"/>
          <w:kern w:val="0"/>
          <w:sz w:val="32"/>
          <w:szCs w:val="32"/>
        </w:rPr>
        <w:t>氟维司群</w:t>
      </w:r>
      <w:proofErr w:type="gramEnd"/>
      <w:r w:rsidRPr="00575FEE">
        <w:rPr>
          <w:rFonts w:ascii="微软雅黑" w:eastAsia="微软雅黑" w:hAnsi="微软雅黑" w:cs="宋体"/>
          <w:kern w:val="0"/>
          <w:sz w:val="32"/>
          <w:szCs w:val="32"/>
        </w:rPr>
        <w:t>类似，都能下调雌激素受体并抑制乳腺癌细胞中的雌激素信号传导。</w:t>
      </w:r>
    </w:p>
    <w:p w14:paraId="2CEE975C"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近期报道了一些具有选择性雌激素受体降解酶（SERD）活性的新型雌激素受体（ER）拮抗剂，但由于未预料到的副作用或未公开的原因，这些化合物的临床开发迄今为止仍受到限制[ 29-36 </w:t>
      </w:r>
      <w:hyperlink r:id="rId28" w:anchor="CR36" w:history="1">
        <w:r w:rsidRPr="00575FEE">
          <w:rPr>
            <w:rFonts w:ascii="微软雅黑" w:eastAsia="微软雅黑" w:hAnsi="微软雅黑" w:cs="宋体"/>
            <w:kern w:val="0"/>
            <w:sz w:val="24"/>
            <w:szCs w:val="24"/>
            <w:u w:val="single"/>
          </w:rPr>
          <w:t>] </w:t>
        </w:r>
      </w:hyperlink>
      <w:hyperlink r:id="rId29" w:anchor="CR29"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我们以</w:t>
      </w:r>
      <w:proofErr w:type="gramStart"/>
      <w:r w:rsidRPr="00575FEE">
        <w:rPr>
          <w:rFonts w:ascii="微软雅黑" w:eastAsia="微软雅黑" w:hAnsi="微软雅黑" w:cs="宋体"/>
          <w:kern w:val="0"/>
          <w:sz w:val="24"/>
          <w:szCs w:val="24"/>
        </w:rPr>
        <w:t>雷洛昔芬的</w:t>
      </w:r>
      <w:proofErr w:type="gramEnd"/>
      <w:r w:rsidRPr="00575FEE">
        <w:rPr>
          <w:rFonts w:ascii="微软雅黑" w:eastAsia="微软雅黑" w:hAnsi="微软雅黑" w:cs="宋体"/>
          <w:kern w:val="0"/>
          <w:sz w:val="24"/>
          <w:szCs w:val="24"/>
        </w:rPr>
        <w:t>化学骨架为起点，试图寻找一种口服生物利用度高的SERD，因为这种选择性雌激素受体调节剂（SERM）在乳腺癌预防和骨质疏松症治疗的临床应用中已展现出良好的安全性[ </w:t>
      </w:r>
      <w:hyperlink r:id="rId30" w:anchor="CR37" w:history="1">
        <w:r w:rsidRPr="00575FEE">
          <w:rPr>
            <w:rFonts w:ascii="微软雅黑" w:eastAsia="微软雅黑" w:hAnsi="微软雅黑" w:cs="宋体"/>
            <w:kern w:val="0"/>
            <w:sz w:val="24"/>
            <w:szCs w:val="24"/>
            <w:u w:val="single"/>
          </w:rPr>
          <w:t>37</w:t>
        </w:r>
      </w:hyperlink>
      <w:r w:rsidRPr="00575FEE">
        <w:rPr>
          <w:rFonts w:ascii="微软雅黑" w:eastAsia="微软雅黑" w:hAnsi="微软雅黑" w:cs="宋体"/>
          <w:kern w:val="0"/>
          <w:sz w:val="24"/>
          <w:szCs w:val="24"/>
        </w:rPr>
        <w:t> , </w:t>
      </w:r>
      <w:hyperlink r:id="rId31" w:anchor="CR38" w:history="1">
        <w:r w:rsidRPr="00575FEE">
          <w:rPr>
            <w:rFonts w:ascii="微软雅黑" w:eastAsia="微软雅黑" w:hAnsi="微软雅黑" w:cs="宋体"/>
            <w:kern w:val="0"/>
            <w:sz w:val="24"/>
            <w:szCs w:val="24"/>
            <w:u w:val="single"/>
          </w:rPr>
          <w:t>38</w:t>
        </w:r>
      </w:hyperlink>
      <w:r w:rsidRPr="00575FEE">
        <w:rPr>
          <w:rFonts w:ascii="微软雅黑" w:eastAsia="微软雅黑" w:hAnsi="微软雅黑" w:cs="宋体"/>
          <w:kern w:val="0"/>
          <w:sz w:val="24"/>
          <w:szCs w:val="24"/>
        </w:rPr>
        <w:t> ]。G1T48 包含一个丙烯酸侧链（图 </w:t>
      </w:r>
      <w:hyperlink r:id="rId32" w:anchor="Fig1" w:history="1">
        <w:r w:rsidRPr="00575FEE">
          <w:rPr>
            <w:rFonts w:ascii="微软雅黑" w:eastAsia="微软雅黑" w:hAnsi="微软雅黑" w:cs="宋体"/>
            <w:kern w:val="0"/>
            <w:sz w:val="24"/>
            <w:szCs w:val="24"/>
            <w:u w:val="single"/>
          </w:rPr>
          <w:t>1a</w:t>
        </w:r>
      </w:hyperlink>
      <w:r w:rsidRPr="00575FEE">
        <w:rPr>
          <w:rFonts w:ascii="微软雅黑" w:eastAsia="微软雅黑" w:hAnsi="微软雅黑" w:cs="宋体"/>
          <w:kern w:val="0"/>
          <w:sz w:val="24"/>
          <w:szCs w:val="24"/>
        </w:rPr>
        <w:t>）[ </w:t>
      </w:r>
      <w:hyperlink r:id="rId33" w:anchor="CR29" w:history="1">
        <w:r w:rsidRPr="00575FEE">
          <w:rPr>
            <w:rFonts w:ascii="微软雅黑" w:eastAsia="微软雅黑" w:hAnsi="微软雅黑" w:cs="宋体"/>
            <w:kern w:val="0"/>
            <w:sz w:val="24"/>
            <w:szCs w:val="24"/>
            <w:u w:val="single"/>
          </w:rPr>
          <w:t>29</w:t>
        </w:r>
      </w:hyperlink>
      <w:r w:rsidRPr="00575FEE">
        <w:rPr>
          <w:rFonts w:ascii="微软雅黑" w:eastAsia="微软雅黑" w:hAnsi="微软雅黑" w:cs="宋体"/>
          <w:kern w:val="0"/>
          <w:sz w:val="24"/>
          <w:szCs w:val="24"/>
        </w:rPr>
        <w:t> , </w:t>
      </w:r>
      <w:hyperlink r:id="rId34" w:anchor="CR31" w:history="1">
        <w:r w:rsidRPr="00575FEE">
          <w:rPr>
            <w:rFonts w:ascii="微软雅黑" w:eastAsia="微软雅黑" w:hAnsi="微软雅黑" w:cs="宋体"/>
            <w:kern w:val="0"/>
            <w:sz w:val="24"/>
            <w:szCs w:val="24"/>
            <w:u w:val="single"/>
          </w:rPr>
          <w:t>31</w:t>
        </w:r>
      </w:hyperlink>
      <w:r w:rsidRPr="00575FEE">
        <w:rPr>
          <w:rFonts w:ascii="微软雅黑" w:eastAsia="微软雅黑" w:hAnsi="微软雅黑" w:cs="宋体"/>
          <w:kern w:val="0"/>
          <w:sz w:val="24"/>
          <w:szCs w:val="24"/>
        </w:rPr>
        <w:t> , </w:t>
      </w:r>
      <w:hyperlink r:id="rId35" w:anchor="CR32" w:history="1">
        <w:r w:rsidRPr="00575FEE">
          <w:rPr>
            <w:rFonts w:ascii="微软雅黑" w:eastAsia="微软雅黑" w:hAnsi="微软雅黑" w:cs="宋体"/>
            <w:kern w:val="0"/>
            <w:sz w:val="24"/>
            <w:szCs w:val="24"/>
            <w:u w:val="single"/>
          </w:rPr>
          <w:t>32</w:t>
        </w:r>
      </w:hyperlink>
      <w:r w:rsidRPr="00575FEE">
        <w:rPr>
          <w:rFonts w:ascii="微软雅黑" w:eastAsia="微软雅黑" w:hAnsi="微软雅黑" w:cs="宋体"/>
          <w:kern w:val="0"/>
          <w:sz w:val="24"/>
          <w:szCs w:val="24"/>
        </w:rPr>
        <w:t> , </w:t>
      </w:r>
      <w:hyperlink r:id="rId36" w:anchor="CR34" w:history="1">
        <w:r w:rsidRPr="00575FEE">
          <w:rPr>
            <w:rFonts w:ascii="微软雅黑" w:eastAsia="微软雅黑" w:hAnsi="微软雅黑" w:cs="宋体"/>
            <w:kern w:val="0"/>
            <w:sz w:val="24"/>
            <w:szCs w:val="24"/>
            <w:u w:val="single"/>
          </w:rPr>
          <w:t>34</w:t>
        </w:r>
      </w:hyperlink>
      <w:r w:rsidRPr="00575FEE">
        <w:rPr>
          <w:rFonts w:ascii="微软雅黑" w:eastAsia="微软雅黑" w:hAnsi="微软雅黑" w:cs="宋体"/>
          <w:kern w:val="0"/>
          <w:sz w:val="24"/>
          <w:szCs w:val="24"/>
        </w:rPr>
        <w:t> , </w:t>
      </w:r>
      <w:hyperlink r:id="rId37" w:anchor="CR39" w:history="1">
        <w:r w:rsidRPr="00575FEE">
          <w:rPr>
            <w:rFonts w:ascii="微软雅黑" w:eastAsia="微软雅黑" w:hAnsi="微软雅黑" w:cs="宋体"/>
            <w:kern w:val="0"/>
            <w:sz w:val="24"/>
            <w:szCs w:val="24"/>
            <w:u w:val="single"/>
          </w:rPr>
          <w:t>39</w:t>
        </w:r>
      </w:hyperlink>
      <w:r w:rsidRPr="00575FEE">
        <w:rPr>
          <w:rFonts w:ascii="微软雅黑" w:eastAsia="微软雅黑" w:hAnsi="微软雅黑" w:cs="宋体"/>
          <w:kern w:val="0"/>
          <w:sz w:val="24"/>
          <w:szCs w:val="24"/>
        </w:rPr>
        <w:t> , </w:t>
      </w:r>
      <w:hyperlink r:id="rId38" w:anchor="CR40" w:history="1">
        <w:r w:rsidRPr="00575FEE">
          <w:rPr>
            <w:rFonts w:ascii="微软雅黑" w:eastAsia="微软雅黑" w:hAnsi="微软雅黑" w:cs="宋体"/>
            <w:kern w:val="0"/>
            <w:sz w:val="24"/>
            <w:szCs w:val="24"/>
            <w:u w:val="single"/>
          </w:rPr>
          <w:t>40</w:t>
        </w:r>
      </w:hyperlink>
      <w:r w:rsidRPr="00575FEE">
        <w:rPr>
          <w:rFonts w:ascii="微软雅黑" w:eastAsia="微软雅黑" w:hAnsi="微软雅黑" w:cs="宋体"/>
          <w:kern w:val="0"/>
          <w:sz w:val="24"/>
          <w:szCs w:val="24"/>
        </w:rPr>
        <w:t> ]，它是基于乳腺癌细胞系活性而开展的结构导向研究的产物[ </w:t>
      </w:r>
      <w:hyperlink r:id="rId39" w:anchor="CR24" w:history="1">
        <w:r w:rsidRPr="00575FEE">
          <w:rPr>
            <w:rFonts w:ascii="微软雅黑" w:eastAsia="微软雅黑" w:hAnsi="微软雅黑" w:cs="宋体"/>
            <w:kern w:val="0"/>
            <w:sz w:val="24"/>
            <w:szCs w:val="24"/>
            <w:u w:val="single"/>
          </w:rPr>
          <w:t>24</w:t>
        </w:r>
      </w:hyperlink>
      <w:r w:rsidRPr="00575FEE">
        <w:rPr>
          <w:rFonts w:ascii="微软雅黑" w:eastAsia="微软雅黑" w:hAnsi="微软雅黑" w:cs="宋体"/>
          <w:kern w:val="0"/>
          <w:sz w:val="24"/>
          <w:szCs w:val="24"/>
        </w:rPr>
        <w:t> ]。首先评估了G1T48下调ER的能力，并将其与包括</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在内的几种基准SERM和SERD进行了比较</w:t>
      </w:r>
      <w:r w:rsidRPr="00575FEE">
        <w:rPr>
          <w:rFonts w:ascii="微软雅黑" w:eastAsia="微软雅黑" w:hAnsi="微软雅黑" w:cs="宋体"/>
          <w:kern w:val="0"/>
          <w:sz w:val="24"/>
          <w:szCs w:val="24"/>
        </w:rPr>
        <w:lastRenderedPageBreak/>
        <w:t>[ </w:t>
      </w:r>
      <w:hyperlink r:id="rId40" w:anchor="CR12" w:history="1">
        <w:r w:rsidRPr="00575FEE">
          <w:rPr>
            <w:rFonts w:ascii="微软雅黑" w:eastAsia="微软雅黑" w:hAnsi="微软雅黑" w:cs="宋体"/>
            <w:kern w:val="0"/>
            <w:sz w:val="24"/>
            <w:szCs w:val="24"/>
            <w:u w:val="single"/>
          </w:rPr>
          <w:t>12</w:t>
        </w:r>
      </w:hyperlink>
      <w:r w:rsidRPr="00575FEE">
        <w:rPr>
          <w:rFonts w:ascii="微软雅黑" w:eastAsia="微软雅黑" w:hAnsi="微软雅黑" w:cs="宋体"/>
          <w:kern w:val="0"/>
          <w:sz w:val="24"/>
          <w:szCs w:val="24"/>
        </w:rPr>
        <w:t> , </w:t>
      </w:r>
      <w:hyperlink r:id="rId41" w:anchor="CR41" w:history="1">
        <w:r w:rsidRPr="00575FEE">
          <w:rPr>
            <w:rFonts w:ascii="微软雅黑" w:eastAsia="微软雅黑" w:hAnsi="微软雅黑" w:cs="宋体"/>
            <w:kern w:val="0"/>
            <w:sz w:val="24"/>
            <w:szCs w:val="24"/>
            <w:u w:val="single"/>
          </w:rPr>
          <w:t>41</w:t>
        </w:r>
      </w:hyperlink>
      <w:r w:rsidRPr="00575FEE">
        <w:rPr>
          <w:rFonts w:ascii="微软雅黑" w:eastAsia="微软雅黑" w:hAnsi="微软雅黑" w:cs="宋体"/>
          <w:kern w:val="0"/>
          <w:sz w:val="24"/>
          <w:szCs w:val="24"/>
        </w:rPr>
        <w:t> ]。利用细胞内蛋白质印迹法，发现G1T48能下调雌激素受体（ER），其效力略高于</w:t>
      </w:r>
      <w:proofErr w:type="gramStart"/>
      <w:r w:rsidRPr="00575FEE">
        <w:rPr>
          <w:rFonts w:ascii="微软雅黑" w:eastAsia="微软雅黑" w:hAnsi="微软雅黑" w:cs="宋体"/>
          <w:kern w:val="0"/>
          <w:sz w:val="24"/>
          <w:szCs w:val="24"/>
        </w:rPr>
        <w:t>甾</w:t>
      </w:r>
      <w:proofErr w:type="gramEnd"/>
      <w:r w:rsidRPr="00575FEE">
        <w:rPr>
          <w:rFonts w:ascii="微软雅黑" w:eastAsia="微软雅黑" w:hAnsi="微软雅黑" w:cs="宋体"/>
          <w:kern w:val="0"/>
          <w:sz w:val="24"/>
          <w:szCs w:val="24"/>
        </w:rPr>
        <w:t>体类药物和其他选择性雌激素受体降解剂（SERD）（例如，</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、AZD9496；治疗后ER残留量约为10%）（图 </w:t>
      </w:r>
      <w:hyperlink r:id="rId42" w:anchor="Fig1" w:history="1">
        <w:r w:rsidRPr="00575FEE">
          <w:rPr>
            <w:rFonts w:ascii="微软雅黑" w:eastAsia="微软雅黑" w:hAnsi="微软雅黑" w:cs="宋体"/>
            <w:kern w:val="0"/>
            <w:sz w:val="24"/>
            <w:szCs w:val="24"/>
            <w:u w:val="single"/>
          </w:rPr>
          <w:t>1b</w:t>
        </w:r>
      </w:hyperlink>
      <w:r w:rsidRPr="00575FEE">
        <w:rPr>
          <w:rFonts w:ascii="微软雅黑" w:eastAsia="微软雅黑" w:hAnsi="微软雅黑" w:cs="宋体"/>
          <w:kern w:val="0"/>
          <w:sz w:val="24"/>
          <w:szCs w:val="24"/>
        </w:rPr>
        <w:t>，在线资源2）。巴泽</w:t>
      </w:r>
      <w:proofErr w:type="gramStart"/>
      <w:r w:rsidRPr="00575FEE">
        <w:rPr>
          <w:rFonts w:ascii="微软雅黑" w:eastAsia="微软雅黑" w:hAnsi="微软雅黑" w:cs="宋体"/>
          <w:kern w:val="0"/>
          <w:sz w:val="24"/>
          <w:szCs w:val="24"/>
        </w:rPr>
        <w:t>多昔芬</w:t>
      </w:r>
      <w:proofErr w:type="gramEnd"/>
      <w:r w:rsidRPr="00575FEE">
        <w:rPr>
          <w:rFonts w:ascii="微软雅黑" w:eastAsia="微软雅黑" w:hAnsi="微软雅黑" w:cs="宋体"/>
          <w:kern w:val="0"/>
          <w:sz w:val="24"/>
          <w:szCs w:val="24"/>
        </w:rPr>
        <w:t>（BZA）、雷洛昔芬（RAL）、他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、4-羟基他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（4OHT）和拉索昔芬（</w:t>
      </w:r>
      <w:proofErr w:type="spellStart"/>
      <w:r w:rsidRPr="00575FEE">
        <w:rPr>
          <w:rFonts w:ascii="微软雅黑" w:eastAsia="微软雅黑" w:hAnsi="微软雅黑" w:cs="宋体"/>
          <w:kern w:val="0"/>
          <w:sz w:val="24"/>
          <w:szCs w:val="24"/>
        </w:rPr>
        <w:t>laso</w:t>
      </w:r>
      <w:proofErr w:type="spellEnd"/>
      <w:r w:rsidRPr="00575FEE">
        <w:rPr>
          <w:rFonts w:ascii="微软雅黑" w:eastAsia="微软雅黑" w:hAnsi="微软雅黑" w:cs="宋体"/>
          <w:kern w:val="0"/>
          <w:sz w:val="24"/>
          <w:szCs w:val="24"/>
        </w:rPr>
        <w:t>）也被发现能部分下调ER。这些数据表明，体外实验表明，G1T48是一种纯粹的抗雌激素和选择性雌激素受体降解剂（PA-SERD）。</w:t>
      </w:r>
    </w:p>
    <w:p w14:paraId="583175F1"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图1。</w:t>
      </w:r>
    </w:p>
    <w:p w14:paraId="7C86905D" w14:textId="032A97BD"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drawing>
          <wp:inline distT="0" distB="0" distL="0" distR="0" wp14:anchorId="60AB633D" wp14:editId="710FB89F">
            <wp:extent cx="5274310" cy="4675505"/>
            <wp:effectExtent l="0" t="0" r="2540" b="0"/>
            <wp:docPr id="7" name="图片 7" descr="图 1">
              <a:hlinkClick xmlns:a="http://schemas.openxmlformats.org/drawingml/2006/main" r:id="rId4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1" descr="图 1">
                      <a:hlinkClick r:id="rId43" tgtFrame="&quot;_blank&quot;"/>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74310" cy="4675505"/>
                    </a:xfrm>
                    <a:prstGeom prst="rect">
                      <a:avLst/>
                    </a:prstGeom>
                    <a:noFill/>
                    <a:ln>
                      <a:noFill/>
                    </a:ln>
                  </pic:spPr>
                </pic:pic>
              </a:graphicData>
            </a:graphic>
          </wp:inline>
        </w:drawing>
      </w:r>
    </w:p>
    <w:p w14:paraId="00EB448E"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t>G1T48 是一种强效的选择性雌激素受体下调剂 (SERD)。a G1T48 和基准 SERM 及 SERD 的化学结构。b </w:t>
      </w:r>
      <w:r w:rsidRPr="00575FEE">
        <w:rPr>
          <w:rFonts w:ascii="微软雅黑" w:eastAsia="微软雅黑" w:hAnsi="微软雅黑" w:cs="宋体"/>
          <w:b/>
          <w:bCs/>
          <w:kern w:val="0"/>
          <w:sz w:val="24"/>
          <w:szCs w:val="24"/>
        </w:rPr>
        <w:t>G1T48可</w:t>
      </w:r>
      <w:r w:rsidRPr="00575FEE">
        <w:rPr>
          <w:rFonts w:ascii="微软雅黑" w:eastAsia="微软雅黑" w:hAnsi="微软雅黑" w:cs="宋体"/>
          <w:kern w:val="0"/>
          <w:sz w:val="24"/>
          <w:szCs w:val="24"/>
        </w:rPr>
        <w:t>下调乳腺癌细胞中的雌激素受体。</w:t>
      </w:r>
      <w:r w:rsidRPr="00575FEE">
        <w:rPr>
          <w:rFonts w:ascii="微软雅黑" w:eastAsia="微软雅黑" w:hAnsi="微软雅黑" w:cs="宋体"/>
          <w:kern w:val="0"/>
          <w:sz w:val="24"/>
          <w:szCs w:val="24"/>
        </w:rPr>
        <w:lastRenderedPageBreak/>
        <w:t>MCF7 细胞在固定前用 ER 配体（10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¹² </w:t>
      </w:r>
      <w:r w:rsidRPr="00575FEE">
        <w:rPr>
          <w:rFonts w:ascii="微软雅黑" w:eastAsia="微软雅黑" w:hAnsi="微软雅黑" w:cs="宋体"/>
          <w:kern w:val="0"/>
          <w:sz w:val="24"/>
          <w:szCs w:val="24"/>
          <w:vertAlign w:val="superscript"/>
        </w:rPr>
        <w:t>、</w:t>
      </w:r>
      <w:r w:rsidRPr="00575FEE">
        <w:rPr>
          <w:rFonts w:ascii="微软雅黑" w:eastAsia="微软雅黑" w:hAnsi="微软雅黑" w:cs="宋体"/>
          <w:kern w:val="0"/>
          <w:sz w:val="24"/>
          <w:szCs w:val="24"/>
        </w:rPr>
        <w:t> 10</w:t>
      </w:r>
      <w:r w:rsidRPr="00575FEE">
        <w:rPr>
          <w:rFonts w:ascii="MS Gothic" w:eastAsia="MS Gothic" w:hAnsi="MS Gothic" w:cs="MS Gothic" w:hint="eastAsia"/>
          <w:kern w:val="0"/>
          <w:sz w:val="24"/>
          <w:szCs w:val="24"/>
        </w:rPr>
        <w:t>⁻⁶</w:t>
      </w:r>
      <w:r w:rsidRPr="00575FEE">
        <w:rPr>
          <w:rFonts w:ascii="微软雅黑" w:eastAsia="微软雅黑" w:hAnsi="微软雅黑" w:cs="宋体"/>
          <w:kern w:val="0"/>
          <w:sz w:val="24"/>
          <w:szCs w:val="24"/>
        </w:rPr>
        <w:t xml:space="preserve"> M）处理 18 小时</w:t>
      </w:r>
      <w:r w:rsidRPr="00575FEE">
        <w:rPr>
          <w:rFonts w:ascii="微软雅黑" w:eastAsia="微软雅黑" w:hAnsi="微软雅黑" w:cs="宋体"/>
          <w:kern w:val="0"/>
          <w:sz w:val="24"/>
          <w:szCs w:val="24"/>
          <w:vertAlign w:val="superscript"/>
        </w:rPr>
        <w:t>，</w:t>
      </w:r>
      <w:r w:rsidRPr="00575FEE">
        <w:rPr>
          <w:rFonts w:ascii="微软雅黑" w:eastAsia="微软雅黑" w:hAnsi="微软雅黑" w:cs="宋体"/>
          <w:kern w:val="0"/>
          <w:sz w:val="24"/>
          <w:szCs w:val="24"/>
        </w:rPr>
        <w:t> 然后通过细胞内 Western 印迹法检测 ER 水平。*他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和 GW5638 的剂量反应范围为 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¹¹</w:t>
      </w:r>
      <w:r w:rsidRPr="00575FEE">
        <w:rPr>
          <w:rFonts w:ascii="微软雅黑" w:eastAsia="微软雅黑" w:hAnsi="微软雅黑" w:cs="宋体"/>
          <w:kern w:val="0"/>
          <w:sz w:val="24"/>
          <w:szCs w:val="24"/>
        </w:rPr>
        <w:t>、</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微软雅黑" w:hint="eastAsia"/>
          <w:kern w:val="0"/>
          <w:sz w:val="24"/>
          <w:szCs w:val="24"/>
          <w:vertAlign w:val="superscript"/>
        </w:rPr>
        <w:t>⁵</w:t>
      </w:r>
      <w:r w:rsidRPr="00575FEE">
        <w:rPr>
          <w:rFonts w:ascii="微软雅黑" w:eastAsia="微软雅黑" w:hAnsi="微软雅黑" w:cs="宋体" w:hint="eastAsia"/>
          <w:kern w:val="0"/>
          <w:sz w:val="24"/>
          <w:szCs w:val="24"/>
          <w:vertAlign w:val="superscript"/>
        </w:rPr>
        <w:t> </w:t>
      </w:r>
      <w:r w:rsidRPr="00575FEE">
        <w:rPr>
          <w:rFonts w:ascii="微软雅黑" w:eastAsia="微软雅黑" w:hAnsi="微软雅黑" w:cs="宋体"/>
          <w:kern w:val="0"/>
          <w:sz w:val="24"/>
          <w:szCs w:val="24"/>
          <w:vertAlign w:val="superscript"/>
        </w:rPr>
        <w:t>M。</w:t>
      </w:r>
      <w:r w:rsidRPr="00575FEE">
        <w:rPr>
          <w:rFonts w:ascii="微软雅黑" w:eastAsia="微软雅黑" w:hAnsi="微软雅黑" w:cs="宋体"/>
          <w:kern w:val="0"/>
          <w:sz w:val="24"/>
          <w:szCs w:val="24"/>
        </w:rPr>
        <w:t>误差 线表示三份重复样本的标准差。</w:t>
      </w:r>
    </w:p>
    <w:p w14:paraId="5CB1B62E"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接下来，我们评估了G1T48抑制MCF7细胞中内源性ER靶基因转录的能力。如图 </w:t>
      </w:r>
      <w:hyperlink r:id="rId45" w:anchor="Fig2" w:history="1">
        <w:r w:rsidRPr="00575FEE">
          <w:rPr>
            <w:rFonts w:ascii="微软雅黑" w:eastAsia="微软雅黑" w:hAnsi="微软雅黑" w:cs="宋体"/>
            <w:kern w:val="0"/>
            <w:sz w:val="24"/>
            <w:szCs w:val="24"/>
            <w:u w:val="single"/>
          </w:rPr>
          <w:t>2a</w:t>
        </w:r>
      </w:hyperlink>
      <w:r w:rsidRPr="00575FEE">
        <w:rPr>
          <w:rFonts w:ascii="微软雅黑" w:eastAsia="微软雅黑" w:hAnsi="微软雅黑" w:cs="宋体"/>
          <w:kern w:val="0"/>
          <w:sz w:val="24"/>
          <w:szCs w:val="24"/>
        </w:rPr>
        <w:t>所示，</w:t>
      </w:r>
      <w:r w:rsidRPr="00575FEE">
        <w:rPr>
          <w:rFonts w:ascii="微软雅黑" w:eastAsia="微软雅黑" w:hAnsi="微软雅黑" w:cs="宋体"/>
          <w:kern w:val="0"/>
          <w:sz w:val="24"/>
          <w:szCs w:val="24"/>
        </w:rPr>
        <w:fldChar w:fldCharType="begin"/>
      </w:r>
      <w:r w:rsidRPr="00575FEE">
        <w:rPr>
          <w:rFonts w:ascii="微软雅黑" w:eastAsia="微软雅黑" w:hAnsi="微软雅黑" w:cs="宋体"/>
          <w:kern w:val="0"/>
          <w:sz w:val="24"/>
          <w:szCs w:val="24"/>
        </w:rPr>
        <w:instrText xml:space="preserve"> HYPERLINK "https://pmc.ncbi.nlm.nih.gov/articles/PMC7103015/" \l "Fig1" </w:instrText>
      </w:r>
      <w:r w:rsidRPr="00575FEE">
        <w:rPr>
          <w:rFonts w:ascii="微软雅黑" w:eastAsia="微软雅黑" w:hAnsi="微软雅黑" w:cs="宋体"/>
          <w:kern w:val="0"/>
          <w:sz w:val="24"/>
          <w:szCs w:val="24"/>
        </w:rPr>
        <w:fldChar w:fldCharType="separate"/>
      </w:r>
      <w:r w:rsidRPr="00575FEE">
        <w:rPr>
          <w:rFonts w:ascii="微软雅黑" w:eastAsia="微软雅黑" w:hAnsi="微软雅黑" w:cs="宋体"/>
          <w:kern w:val="0"/>
          <w:sz w:val="24"/>
          <w:szCs w:val="24"/>
          <w:u w:val="single"/>
        </w:rPr>
        <w:t>G1T48</w:t>
      </w:r>
      <w:r w:rsidRPr="00575FEE">
        <w:rPr>
          <w:rFonts w:ascii="微软雅黑" w:eastAsia="微软雅黑" w:hAnsi="微软雅黑" w:cs="宋体"/>
          <w:kern w:val="0"/>
          <w:sz w:val="24"/>
          <w:szCs w:val="24"/>
        </w:rPr>
        <w:fldChar w:fldCharType="end"/>
      </w:r>
      <w:r w:rsidRPr="00575FEE">
        <w:rPr>
          <w:rFonts w:ascii="微软雅黑" w:eastAsia="微软雅黑" w:hAnsi="微软雅黑" w:cs="宋体"/>
          <w:kern w:val="0"/>
          <w:sz w:val="24"/>
          <w:szCs w:val="24"/>
        </w:rPr>
        <w:t>抑制雌激素</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导的三叶因子-1 ( </w:t>
      </w:r>
      <w:r w:rsidRPr="00575FEE">
        <w:rPr>
          <w:rFonts w:ascii="微软雅黑" w:eastAsia="微软雅黑" w:hAnsi="微软雅黑" w:cs="宋体"/>
          <w:i/>
          <w:iCs/>
          <w:kern w:val="0"/>
          <w:sz w:val="24"/>
          <w:szCs w:val="24"/>
        </w:rPr>
        <w:t>TFF1</w:t>
      </w:r>
      <w:r w:rsidRPr="00575FEE">
        <w:rPr>
          <w:rFonts w:ascii="微软雅黑" w:eastAsia="微软雅黑" w:hAnsi="微软雅黑" w:cs="宋体"/>
          <w:kern w:val="0"/>
          <w:sz w:val="24"/>
          <w:szCs w:val="24"/>
        </w:rPr>
        <w:t> ) mRNA活化的能力与</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和其他抗雌激素（4OHT、GDC-0810、AZD9496、RAL）相似。我们使用&lt;sup&gt; </w:t>
      </w:r>
      <w:r w:rsidRPr="00575FEE">
        <w:rPr>
          <w:rFonts w:ascii="微软雅黑" w:eastAsia="微软雅黑" w:hAnsi="微软雅黑" w:cs="宋体"/>
          <w:kern w:val="0"/>
          <w:sz w:val="24"/>
          <w:szCs w:val="24"/>
          <w:vertAlign w:val="superscript"/>
        </w:rPr>
        <w:t>3</w:t>
      </w:r>
      <w:r w:rsidRPr="00575FEE">
        <w:rPr>
          <w:rFonts w:ascii="微软雅黑" w:eastAsia="微软雅黑" w:hAnsi="微软雅黑" w:cs="宋体"/>
          <w:kern w:val="0"/>
          <w:sz w:val="24"/>
          <w:szCs w:val="24"/>
        </w:rPr>
        <w:t> &lt;/sup&gt;H-雌二醇全细胞竞争实验进一步评估了G1T48</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导的ER拮抗作用的生化基础。结果表明，G1T48取代放射性标记激动</w:t>
      </w:r>
      <w:proofErr w:type="gramStart"/>
      <w:r w:rsidRPr="00575FEE">
        <w:rPr>
          <w:rFonts w:ascii="微软雅黑" w:eastAsia="微软雅黑" w:hAnsi="微软雅黑" w:cs="宋体"/>
          <w:kern w:val="0"/>
          <w:sz w:val="24"/>
          <w:szCs w:val="24"/>
        </w:rPr>
        <w:t>剂结合</w:t>
      </w:r>
      <w:proofErr w:type="gramEnd"/>
      <w:r w:rsidRPr="00575FEE">
        <w:rPr>
          <w:rFonts w:ascii="微软雅黑" w:eastAsia="微软雅黑" w:hAnsi="微软雅黑" w:cs="宋体"/>
          <w:kern w:val="0"/>
          <w:sz w:val="24"/>
          <w:szCs w:val="24"/>
        </w:rPr>
        <w:t>的能力强于</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，与BZA相似（图 </w:t>
      </w:r>
      <w:hyperlink r:id="rId46" w:anchor="Fig2" w:history="1">
        <w:r w:rsidRPr="00575FEE">
          <w:rPr>
            <w:rFonts w:ascii="微软雅黑" w:eastAsia="微软雅黑" w:hAnsi="微软雅黑" w:cs="宋体"/>
            <w:kern w:val="0"/>
            <w:sz w:val="24"/>
            <w:szCs w:val="24"/>
            <w:u w:val="single"/>
          </w:rPr>
          <w:t>2b</w:t>
        </w:r>
      </w:hyperlink>
      <w:r w:rsidRPr="00575FEE">
        <w:rPr>
          <w:rFonts w:ascii="微软雅黑" w:eastAsia="微软雅黑" w:hAnsi="微软雅黑" w:cs="宋体"/>
          <w:kern w:val="0"/>
          <w:sz w:val="24"/>
          <w:szCs w:val="24"/>
        </w:rPr>
        <w:t>）。放射性配体结合实验(RBA) IC&lt;sub&gt; </w:t>
      </w:r>
      <w:r w:rsidRPr="00575FEE">
        <w:rPr>
          <w:rFonts w:ascii="微软雅黑" w:eastAsia="微软雅黑" w:hAnsi="微软雅黑" w:cs="宋体"/>
          <w:kern w:val="0"/>
          <w:sz w:val="24"/>
          <w:szCs w:val="24"/>
          <w:vertAlign w:val="subscript"/>
        </w:rPr>
        <w:t>50&lt;/sub&gt;</w:t>
      </w:r>
      <w:r w:rsidRPr="00575FEE">
        <w:rPr>
          <w:rFonts w:ascii="微软雅黑" w:eastAsia="微软雅黑" w:hAnsi="微软雅黑" w:cs="宋体"/>
          <w:kern w:val="0"/>
          <w:sz w:val="24"/>
          <w:szCs w:val="24"/>
        </w:rPr>
        <w:t>结果表明，G1T48是一种竞争性ER拮抗剂（在线资源3）。</w:t>
      </w:r>
    </w:p>
    <w:p w14:paraId="28A6DE34"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图2。</w:t>
      </w:r>
    </w:p>
    <w:p w14:paraId="24A72784" w14:textId="647F3662"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lastRenderedPageBreak/>
        <w:drawing>
          <wp:inline distT="0" distB="0" distL="0" distR="0" wp14:anchorId="2A0B15AB" wp14:editId="77FA9DA8">
            <wp:extent cx="5274310" cy="4467860"/>
            <wp:effectExtent l="0" t="0" r="2540" b="8890"/>
            <wp:docPr id="6" name="图片 6" descr="图 2">
              <a:hlinkClick xmlns:a="http://schemas.openxmlformats.org/drawingml/2006/main" r:id="rId4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2" descr="图 2">
                      <a:hlinkClick r:id="rId47" tgtFrame="&quot;_blank&quo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74310" cy="4467860"/>
                    </a:xfrm>
                    <a:prstGeom prst="rect">
                      <a:avLst/>
                    </a:prstGeom>
                    <a:noFill/>
                    <a:ln>
                      <a:noFill/>
                    </a:ln>
                  </pic:spPr>
                </pic:pic>
              </a:graphicData>
            </a:graphic>
          </wp:inline>
        </w:drawing>
      </w:r>
    </w:p>
    <w:p w14:paraId="1298E017"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t>G1T48 是一种完全的雌激素受体拮抗剂。</w:t>
      </w:r>
      <w:proofErr w:type="gramStart"/>
      <w:r w:rsidRPr="00575FEE">
        <w:rPr>
          <w:rFonts w:ascii="微软雅黑" w:eastAsia="微软雅黑" w:hAnsi="微软雅黑" w:cs="宋体"/>
          <w:kern w:val="0"/>
          <w:sz w:val="24"/>
          <w:szCs w:val="24"/>
        </w:rPr>
        <w:t>a </w:t>
      </w:r>
      <w:r w:rsidRPr="00575FEE">
        <w:rPr>
          <w:rFonts w:ascii="微软雅黑" w:eastAsia="微软雅黑" w:hAnsi="微软雅黑" w:cs="宋体"/>
          <w:b/>
          <w:bCs/>
          <w:kern w:val="0"/>
          <w:sz w:val="24"/>
          <w:szCs w:val="24"/>
        </w:rPr>
        <w:t>.</w:t>
      </w:r>
      <w:proofErr w:type="gramEnd"/>
      <w:r w:rsidRPr="00575FEE">
        <w:rPr>
          <w:rFonts w:ascii="微软雅黑" w:eastAsia="微软雅黑" w:hAnsi="微软雅黑" w:cs="宋体"/>
          <w:kern w:val="0"/>
          <w:sz w:val="24"/>
          <w:szCs w:val="24"/>
        </w:rPr>
        <w:t> G1T48 抑制乳腺癌细胞中 ER 靶基因的表达。MCF7 细胞用 ER 拮抗剂（10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w:t>
      </w:r>
      <w:r w:rsidRPr="00575FEE">
        <w:rPr>
          <w:rFonts w:ascii="MS Gothic" w:eastAsia="MS Gothic" w:hAnsi="MS Gothic" w:cs="MS Gothic" w:hint="eastAsia"/>
          <w:kern w:val="0"/>
          <w:sz w:val="24"/>
          <w:szCs w:val="24"/>
        </w:rPr>
        <w:t>⁰</w:t>
      </w:r>
      <w:r w:rsidRPr="00575FEE">
        <w:rPr>
          <w:rFonts w:ascii="微软雅黑" w:eastAsia="微软雅黑" w:hAnsi="微软雅黑" w:cs="宋体"/>
          <w:kern w:val="0"/>
          <w:sz w:val="24"/>
          <w:szCs w:val="24"/>
        </w:rPr>
        <w:t xml:space="preserve"> M）和雌二醇 (E2; 10</w:t>
      </w:r>
      <w:r w:rsidRPr="00575FEE">
        <w:rPr>
          <w:rFonts w:ascii="MS Gothic" w:eastAsia="MS Gothic" w:hAnsi="MS Gothic" w:cs="MS Gothic" w:hint="eastAsia"/>
          <w:kern w:val="0"/>
          <w:sz w:val="24"/>
          <w:szCs w:val="24"/>
        </w:rPr>
        <w:t>⁻⁹</w:t>
      </w:r>
      <w:r w:rsidRPr="00575FEE">
        <w:rPr>
          <w:rFonts w:ascii="微软雅黑" w:eastAsia="微软雅黑" w:hAnsi="微软雅黑" w:cs="宋体"/>
          <w:kern w:val="0"/>
          <w:sz w:val="24"/>
          <w:szCs w:val="24"/>
        </w:rPr>
        <w:t xml:space="preserve"> M) 处理</w:t>
      </w:r>
      <w:r w:rsidRPr="00575FEE">
        <w:rPr>
          <w:rFonts w:ascii="微软雅黑" w:eastAsia="微软雅黑" w:hAnsi="微软雅黑" w:cs="宋体"/>
          <w:kern w:val="0"/>
          <w:sz w:val="24"/>
          <w:szCs w:val="24"/>
          <w:vertAlign w:val="superscript"/>
        </w:rPr>
        <w:t>18小时</w:t>
      </w:r>
      <w:r w:rsidRPr="00575FEE">
        <w:rPr>
          <w:rFonts w:ascii="微软雅黑" w:eastAsia="微软雅黑" w:hAnsi="微软雅黑" w:cs="宋体"/>
          <w:kern w:val="0"/>
          <w:sz w:val="24"/>
          <w:szCs w:val="24"/>
        </w:rPr>
        <w:t> 。</w:t>
      </w:r>
      <w:r w:rsidRPr="00575FEE">
        <w:rPr>
          <w:rFonts w:ascii="微软雅黑" w:eastAsia="微软雅黑" w:hAnsi="微软雅黑" w:cs="宋体"/>
          <w:kern w:val="0"/>
          <w:sz w:val="24"/>
          <w:szCs w:val="24"/>
          <w:vertAlign w:val="superscript"/>
        </w:rPr>
        <w:t>采用</w:t>
      </w:r>
      <w:r w:rsidRPr="00575FEE">
        <w:rPr>
          <w:rFonts w:ascii="微软雅黑" w:eastAsia="微软雅黑" w:hAnsi="微软雅黑" w:cs="宋体"/>
          <w:kern w:val="0"/>
          <w:sz w:val="24"/>
          <w:szCs w:val="24"/>
        </w:rPr>
        <w:t> 实时PCR 分析</w:t>
      </w:r>
      <w:r w:rsidRPr="00575FEE">
        <w:rPr>
          <w:rFonts w:ascii="微软雅黑" w:eastAsia="微软雅黑" w:hAnsi="微软雅黑" w:cs="宋体"/>
          <w:i/>
          <w:iCs/>
          <w:kern w:val="0"/>
          <w:sz w:val="24"/>
          <w:szCs w:val="24"/>
        </w:rPr>
        <w:t>TFF1</w:t>
      </w:r>
      <w:r w:rsidRPr="00575FEE">
        <w:rPr>
          <w:rFonts w:ascii="微软雅黑" w:eastAsia="微软雅黑" w:hAnsi="微软雅黑" w:cs="宋体"/>
          <w:kern w:val="0"/>
          <w:sz w:val="24"/>
          <w:szCs w:val="24"/>
        </w:rPr>
        <w:t> mRNA 的表达。GAPDH 用于实时 PCR 数据的标准化。</w:t>
      </w:r>
      <w:proofErr w:type="gramStart"/>
      <w:r w:rsidRPr="00575FEE">
        <w:rPr>
          <w:rFonts w:ascii="微软雅黑" w:eastAsia="微软雅黑" w:hAnsi="微软雅黑" w:cs="宋体"/>
          <w:kern w:val="0"/>
          <w:sz w:val="24"/>
          <w:szCs w:val="24"/>
        </w:rPr>
        <w:t>b </w:t>
      </w:r>
      <w:r w:rsidRPr="00575FEE">
        <w:rPr>
          <w:rFonts w:ascii="微软雅黑" w:eastAsia="微软雅黑" w:hAnsi="微软雅黑" w:cs="宋体"/>
          <w:b/>
          <w:bCs/>
          <w:kern w:val="0"/>
          <w:sz w:val="24"/>
          <w:szCs w:val="24"/>
        </w:rPr>
        <w:t>.</w:t>
      </w:r>
      <w:proofErr w:type="gramEnd"/>
      <w:r w:rsidRPr="00575FEE">
        <w:rPr>
          <w:rFonts w:ascii="微软雅黑" w:eastAsia="微软雅黑" w:hAnsi="微软雅黑" w:cs="宋体"/>
          <w:kern w:val="0"/>
          <w:sz w:val="24"/>
          <w:szCs w:val="24"/>
        </w:rPr>
        <w:t> G1T48 竞争性抑制雌激素与 ER 的结合。MCF7 细胞用 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w:t>
      </w:r>
      <w:r w:rsidRPr="00575FEE">
        <w:rPr>
          <w:rFonts w:ascii="MS Gothic" w:eastAsia="MS Gothic" w:hAnsi="MS Gothic" w:cs="MS Gothic" w:hint="eastAsia"/>
          <w:kern w:val="0"/>
          <w:sz w:val="24"/>
          <w:szCs w:val="24"/>
        </w:rPr>
        <w:t>⁰</w:t>
      </w:r>
      <w:r w:rsidRPr="00575FEE">
        <w:rPr>
          <w:rFonts w:ascii="微软雅黑" w:eastAsia="微软雅黑" w:hAnsi="微软雅黑" w:cs="宋体"/>
          <w:kern w:val="0"/>
          <w:sz w:val="24"/>
          <w:szCs w:val="24"/>
        </w:rPr>
        <w:t xml:space="preserve"> M </w:t>
      </w:r>
      <w:r w:rsidRPr="00575FEE">
        <w:rPr>
          <w:rFonts w:ascii="微软雅黑" w:eastAsia="微软雅黑" w:hAnsi="微软雅黑" w:cs="宋体" w:hint="eastAsia"/>
          <w:kern w:val="0"/>
          <w:sz w:val="24"/>
          <w:szCs w:val="24"/>
        </w:rPr>
        <w:t>³</w:t>
      </w:r>
      <w:r w:rsidRPr="00575FEE">
        <w:rPr>
          <w:rFonts w:ascii="微软雅黑" w:eastAsia="微软雅黑" w:hAnsi="微软雅黑" w:cs="宋体"/>
          <w:kern w:val="0"/>
          <w:sz w:val="24"/>
          <w:szCs w:val="24"/>
        </w:rPr>
        <w:t>H-17</w:t>
      </w:r>
      <w:r w:rsidRPr="00575FEE">
        <w:rPr>
          <w:rFonts w:ascii="微软雅黑" w:eastAsia="微软雅黑" w:hAnsi="微软雅黑" w:cs="宋体" w:hint="eastAsia"/>
          <w:kern w:val="0"/>
          <w:sz w:val="24"/>
          <w:szCs w:val="24"/>
        </w:rPr>
        <w:t>β</w:t>
      </w:r>
      <w:r w:rsidRPr="00575FEE">
        <w:rPr>
          <w:rFonts w:ascii="微软雅黑" w:eastAsia="微软雅黑" w:hAnsi="微软雅黑" w:cs="宋体"/>
          <w:kern w:val="0"/>
          <w:sz w:val="24"/>
          <w:szCs w:val="24"/>
        </w:rPr>
        <w:t>-E2 和竞争性配体（10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¹²</w:t>
      </w:r>
      <w:r w:rsidRPr="00575FEE">
        <w:rPr>
          <w:rFonts w:ascii="微软雅黑" w:eastAsia="微软雅黑" w:hAnsi="微软雅黑" w:cs="宋体"/>
          <w:kern w:val="0"/>
          <w:sz w:val="24"/>
          <w:szCs w:val="24"/>
        </w:rPr>
        <w:t xml:space="preserve"> M）处理2</w:t>
      </w:r>
      <w:r w:rsidRPr="00575FEE">
        <w:rPr>
          <w:rFonts w:ascii="微软雅黑" w:eastAsia="微软雅黑" w:hAnsi="微软雅黑" w:cs="宋体"/>
          <w:kern w:val="0"/>
          <w:sz w:val="24"/>
          <w:szCs w:val="24"/>
          <w:vertAlign w:val="superscript"/>
        </w:rPr>
        <w:t>小时</w:t>
      </w:r>
      <w:r w:rsidRPr="00575FEE">
        <w:rPr>
          <w:rFonts w:ascii="微软雅黑" w:eastAsia="微软雅黑" w:hAnsi="微软雅黑" w:cs="宋体"/>
          <w:kern w:val="0"/>
          <w:sz w:val="24"/>
          <w:szCs w:val="24"/>
        </w:rPr>
        <w:t> 。</w:t>
      </w:r>
      <w:r w:rsidRPr="00575FEE">
        <w:rPr>
          <w:rFonts w:ascii="微软雅黑" w:eastAsia="微软雅黑" w:hAnsi="微软雅黑" w:cs="宋体"/>
          <w:kern w:val="0"/>
          <w:sz w:val="24"/>
          <w:szCs w:val="24"/>
          <w:vertAlign w:val="superscript"/>
        </w:rPr>
        <w:t>收集</w:t>
      </w:r>
      <w:r w:rsidRPr="00575FEE">
        <w:rPr>
          <w:rFonts w:ascii="微软雅黑" w:eastAsia="微软雅黑" w:hAnsi="微软雅黑" w:cs="宋体"/>
          <w:kern w:val="0"/>
          <w:sz w:val="24"/>
          <w:szCs w:val="24"/>
        </w:rPr>
        <w:t>细胞</w:t>
      </w:r>
      <w:r w:rsidRPr="00575FEE">
        <w:rPr>
          <w:rFonts w:ascii="微软雅黑" w:eastAsia="微软雅黑" w:hAnsi="微软雅黑" w:cs="宋体"/>
          <w:kern w:val="0"/>
          <w:sz w:val="24"/>
          <w:szCs w:val="24"/>
          <w:vertAlign w:val="superscript"/>
        </w:rPr>
        <w:t>，并</w:t>
      </w:r>
      <w:r w:rsidRPr="00575FEE">
        <w:rPr>
          <w:rFonts w:ascii="微软雅黑" w:eastAsia="微软雅黑" w:hAnsi="微软雅黑" w:cs="宋体"/>
          <w:kern w:val="0"/>
          <w:sz w:val="24"/>
          <w:szCs w:val="24"/>
        </w:rPr>
        <w:t> 在 Beckman LS 6000SC 闪烁计数器上监测放射性计数。误差线表示重复样本的标准差。</w:t>
      </w:r>
      <w:proofErr w:type="gramStart"/>
      <w:r w:rsidRPr="00575FEE">
        <w:rPr>
          <w:rFonts w:ascii="微软雅黑" w:eastAsia="微软雅黑" w:hAnsi="微软雅黑" w:cs="宋体"/>
          <w:kern w:val="0"/>
          <w:sz w:val="24"/>
          <w:szCs w:val="24"/>
        </w:rPr>
        <w:t>c .</w:t>
      </w:r>
      <w:proofErr w:type="gramEnd"/>
      <w:r w:rsidRPr="00575FEE">
        <w:rPr>
          <w:rFonts w:ascii="微软雅黑" w:eastAsia="微软雅黑" w:hAnsi="微软雅黑" w:cs="宋体"/>
          <w:kern w:val="0"/>
          <w:sz w:val="24"/>
          <w:szCs w:val="24"/>
        </w:rPr>
        <w:t> </w:t>
      </w:r>
      <w:r w:rsidRPr="00575FEE">
        <w:rPr>
          <w:rFonts w:ascii="微软雅黑" w:eastAsia="微软雅黑" w:hAnsi="微软雅黑" w:cs="宋体"/>
          <w:b/>
          <w:bCs/>
          <w:kern w:val="0"/>
          <w:sz w:val="24"/>
          <w:szCs w:val="24"/>
        </w:rPr>
        <w:t>G1T48</w:t>
      </w:r>
      <w:r w:rsidRPr="00575FEE">
        <w:rPr>
          <w:rFonts w:ascii="微软雅黑" w:eastAsia="微软雅黑" w:hAnsi="微软雅黑" w:cs="宋体"/>
          <w:kern w:val="0"/>
          <w:sz w:val="24"/>
          <w:szCs w:val="24"/>
        </w:rPr>
        <w:t>对 ER 靶基因的药理学调控与其他 SERD 类似。将MCF7乳腺癌细胞用ER配体（E2、</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 xml:space="preserve">、RU、RAL，浓度均为100 </w:t>
      </w:r>
      <w:proofErr w:type="spellStart"/>
      <w:r w:rsidRPr="00575FEE">
        <w:rPr>
          <w:rFonts w:ascii="微软雅黑" w:eastAsia="微软雅黑" w:hAnsi="微软雅黑" w:cs="宋体"/>
          <w:kern w:val="0"/>
          <w:sz w:val="24"/>
          <w:szCs w:val="24"/>
        </w:rPr>
        <w:t>nM</w:t>
      </w:r>
      <w:proofErr w:type="spellEnd"/>
      <w:r w:rsidRPr="00575FEE">
        <w:rPr>
          <w:rFonts w:ascii="微软雅黑" w:eastAsia="微软雅黑" w:hAnsi="微软雅黑" w:cs="宋体"/>
          <w:kern w:val="0"/>
          <w:sz w:val="24"/>
          <w:szCs w:val="24"/>
        </w:rPr>
        <w:t>；G1T48、810、9496、</w:t>
      </w:r>
      <w:proofErr w:type="spellStart"/>
      <w:r w:rsidRPr="00575FEE">
        <w:rPr>
          <w:rFonts w:ascii="微软雅黑" w:eastAsia="微软雅黑" w:hAnsi="微软雅黑" w:cs="宋体"/>
          <w:kern w:val="0"/>
          <w:sz w:val="24"/>
          <w:szCs w:val="24"/>
        </w:rPr>
        <w:t>Laso</w:t>
      </w:r>
      <w:proofErr w:type="spellEnd"/>
      <w:r w:rsidRPr="00575FEE">
        <w:rPr>
          <w:rFonts w:ascii="微软雅黑" w:eastAsia="微软雅黑" w:hAnsi="微软雅黑" w:cs="宋体"/>
          <w:kern w:val="0"/>
          <w:sz w:val="24"/>
          <w:szCs w:val="24"/>
        </w:rPr>
        <w:t xml:space="preserve">、4OHT、7604、BZA，浓度均为1.0 </w:t>
      </w:r>
      <w:proofErr w:type="spellStart"/>
      <w:r w:rsidRPr="00575FEE">
        <w:rPr>
          <w:rFonts w:ascii="微软雅黑" w:eastAsia="微软雅黑" w:hAnsi="微软雅黑" w:cs="宋体"/>
          <w:kern w:val="0"/>
          <w:sz w:val="24"/>
          <w:szCs w:val="24"/>
        </w:rPr>
        <w:t>μM</w:t>
      </w:r>
      <w:proofErr w:type="spellEnd"/>
      <w:r w:rsidRPr="00575FEE">
        <w:rPr>
          <w:rFonts w:ascii="微软雅黑" w:eastAsia="微软雅黑" w:hAnsi="微软雅黑" w:cs="宋体"/>
          <w:kern w:val="0"/>
          <w:sz w:val="24"/>
          <w:szCs w:val="24"/>
        </w:rPr>
        <w:t xml:space="preserve">；5638、Tam，浓度均为10 </w:t>
      </w:r>
      <w:proofErr w:type="spellStart"/>
      <w:r w:rsidRPr="00575FEE">
        <w:rPr>
          <w:rFonts w:ascii="微软雅黑" w:eastAsia="微软雅黑" w:hAnsi="微软雅黑" w:cs="宋体"/>
          <w:kern w:val="0"/>
          <w:sz w:val="24"/>
          <w:szCs w:val="24"/>
        </w:rPr>
        <w:t>μM</w:t>
      </w:r>
      <w:proofErr w:type="spellEnd"/>
      <w:r w:rsidRPr="00575FEE">
        <w:rPr>
          <w:rFonts w:ascii="微软雅黑" w:eastAsia="微软雅黑" w:hAnsi="微软雅黑" w:cs="宋体"/>
          <w:kern w:val="0"/>
          <w:sz w:val="24"/>
          <w:szCs w:val="24"/>
        </w:rPr>
        <w:t>）处理24小时。采用实时定量PCR分析mRNA表达。GAPDH用于实时定量PCR数据的标准化。使用JMP Pro软件（SAS）和Ward层次聚</w:t>
      </w:r>
      <w:r w:rsidRPr="00575FEE">
        <w:rPr>
          <w:rFonts w:ascii="微软雅黑" w:eastAsia="微软雅黑" w:hAnsi="微软雅黑" w:cs="宋体"/>
          <w:kern w:val="0"/>
          <w:sz w:val="24"/>
          <w:szCs w:val="24"/>
        </w:rPr>
        <w:lastRenderedPageBreak/>
        <w:t>类算法分析实时定量PCR数据，并生成热图。d </w:t>
      </w:r>
      <w:r w:rsidRPr="00575FEE">
        <w:rPr>
          <w:rFonts w:ascii="微软雅黑" w:eastAsia="微软雅黑" w:hAnsi="微软雅黑" w:cs="宋体"/>
          <w:b/>
          <w:bCs/>
          <w:kern w:val="0"/>
          <w:sz w:val="24"/>
          <w:szCs w:val="24"/>
        </w:rPr>
        <w:t>G1T48</w:t>
      </w:r>
      <w:r w:rsidRPr="00575FEE">
        <w:rPr>
          <w:rFonts w:ascii="微软雅黑" w:eastAsia="微软雅黑" w:hAnsi="微软雅黑" w:cs="宋体"/>
          <w:kern w:val="0"/>
          <w:sz w:val="24"/>
          <w:szCs w:val="24"/>
        </w:rPr>
        <w:t>阻断雌激素依赖的ER募集至</w:t>
      </w:r>
      <w:r w:rsidRPr="00575FEE">
        <w:rPr>
          <w:rFonts w:ascii="微软雅黑" w:eastAsia="微软雅黑" w:hAnsi="微软雅黑" w:cs="宋体"/>
          <w:i/>
          <w:iCs/>
          <w:kern w:val="0"/>
          <w:sz w:val="24"/>
          <w:szCs w:val="24"/>
        </w:rPr>
        <w:t>TFF1</w:t>
      </w:r>
      <w:r w:rsidRPr="00575FEE">
        <w:rPr>
          <w:rFonts w:ascii="微软雅黑" w:eastAsia="微软雅黑" w:hAnsi="微软雅黑" w:cs="宋体"/>
          <w:kern w:val="0"/>
          <w:sz w:val="24"/>
          <w:szCs w:val="24"/>
        </w:rPr>
        <w:t>启动子</w:t>
      </w:r>
      <w:r w:rsidRPr="00575FEE">
        <w:rPr>
          <w:rFonts w:ascii="微软雅黑" w:eastAsia="微软雅黑" w:hAnsi="微软雅黑" w:cs="宋体"/>
          <w:b/>
          <w:bCs/>
          <w:kern w:val="0"/>
          <w:sz w:val="24"/>
          <w:szCs w:val="24"/>
        </w:rPr>
        <w:t>。</w:t>
      </w:r>
      <w:r w:rsidRPr="00575FEE">
        <w:rPr>
          <w:rFonts w:ascii="微软雅黑" w:eastAsia="微软雅黑" w:hAnsi="微软雅黑" w:cs="宋体"/>
          <w:kern w:val="0"/>
          <w:sz w:val="24"/>
          <w:szCs w:val="24"/>
        </w:rPr>
        <w:t>将MCF7细胞用指定浓度的配体（E2：5 × 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w:t>
      </w:r>
      <w:r w:rsidRPr="00575FEE">
        <w:rPr>
          <w:rFonts w:ascii="MS Gothic" w:eastAsia="MS Gothic" w:hAnsi="MS Gothic" w:cs="MS Gothic" w:hint="eastAsia"/>
          <w:kern w:val="0"/>
          <w:sz w:val="24"/>
          <w:szCs w:val="24"/>
        </w:rPr>
        <w:t>⁰</w:t>
      </w:r>
      <w:r w:rsidRPr="00575FEE">
        <w:rPr>
          <w:rFonts w:ascii="微软雅黑" w:eastAsia="微软雅黑" w:hAnsi="微软雅黑" w:cs="宋体" w:hint="eastAsia"/>
          <w:kern w:val="0"/>
          <w:sz w:val="24"/>
          <w:szCs w:val="24"/>
        </w:rPr>
        <w:t> </w:t>
      </w:r>
      <w:r w:rsidRPr="00575FEE">
        <w:rPr>
          <w:rFonts w:ascii="微软雅黑" w:eastAsia="微软雅黑" w:hAnsi="微软雅黑" w:cs="宋体"/>
          <w:kern w:val="0"/>
          <w:sz w:val="24"/>
          <w:szCs w:val="24"/>
          <w:vertAlign w:val="superscript"/>
        </w:rPr>
        <w:t>M</w:t>
      </w:r>
      <w:r w:rsidRPr="00575FEE">
        <w:rPr>
          <w:rFonts w:ascii="微软雅黑" w:eastAsia="微软雅黑" w:hAnsi="微软雅黑" w:cs="宋体"/>
          <w:kern w:val="0"/>
          <w:sz w:val="24"/>
          <w:szCs w:val="24"/>
        </w:rPr>
        <w:t>  ；ER拮抗剂：10</w:t>
      </w:r>
      <w:r w:rsidRPr="00575FEE">
        <w:rPr>
          <w:rFonts w:ascii="MS Gothic" w:eastAsia="MS Gothic" w:hAnsi="MS Gothic" w:cs="MS Gothic" w:hint="eastAsia"/>
          <w:kern w:val="0"/>
          <w:sz w:val="24"/>
          <w:szCs w:val="24"/>
        </w:rPr>
        <w:t>⁻⁶</w:t>
      </w:r>
      <w:r w:rsidRPr="00575FEE">
        <w:rPr>
          <w:rFonts w:ascii="微软雅黑" w:eastAsia="微软雅黑" w:hAnsi="微软雅黑" w:cs="宋体" w:hint="eastAsia"/>
          <w:kern w:val="0"/>
          <w:sz w:val="24"/>
          <w:szCs w:val="24"/>
        </w:rPr>
        <w:t> </w:t>
      </w:r>
      <w:r w:rsidRPr="00575FEE">
        <w:rPr>
          <w:rFonts w:ascii="微软雅黑" w:eastAsia="微软雅黑" w:hAnsi="微软雅黑" w:cs="宋体"/>
          <w:kern w:val="0"/>
          <w:sz w:val="24"/>
          <w:szCs w:val="24"/>
          <w:vertAlign w:val="superscript"/>
        </w:rPr>
        <w:t>M</w:t>
      </w:r>
      <w:r w:rsidRPr="00575FEE">
        <w:rPr>
          <w:rFonts w:ascii="微软雅黑" w:eastAsia="微软雅黑" w:hAnsi="微软雅黑" w:cs="宋体"/>
          <w:kern w:val="0"/>
          <w:sz w:val="24"/>
          <w:szCs w:val="24"/>
        </w:rPr>
        <w:t>  ）处理45分钟。细胞用甲醛固定，染色质用抗ER抗体进行免疫沉淀。采用实时PCR检测与</w:t>
      </w:r>
      <w:r w:rsidRPr="00575FEE">
        <w:rPr>
          <w:rFonts w:ascii="微软雅黑" w:eastAsia="微软雅黑" w:hAnsi="微软雅黑" w:cs="宋体"/>
          <w:i/>
          <w:iCs/>
          <w:kern w:val="0"/>
          <w:sz w:val="24"/>
          <w:szCs w:val="24"/>
        </w:rPr>
        <w:t>TFF1</w:t>
      </w:r>
      <w:r w:rsidRPr="00575FEE">
        <w:rPr>
          <w:rFonts w:ascii="微软雅黑" w:eastAsia="微软雅黑" w:hAnsi="微软雅黑" w:cs="宋体"/>
          <w:kern w:val="0"/>
          <w:sz w:val="24"/>
          <w:szCs w:val="24"/>
        </w:rPr>
        <w:t>基因启动子结合的ER的相对量。误差线表示三次重复实验的标准差。</w:t>
      </w:r>
    </w:p>
    <w:p w14:paraId="0DD989F5"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某些雌激素受体拮抗剂，尤其是选择性雌激素受体调节剂（SERM），无法完全拮抗雌二醇的作用，这被认为是其在治疗晚期耐药性乳腺癌时的一个劣势。虽然图 </w:t>
      </w:r>
      <w:hyperlink r:id="rId49" w:anchor="Fig1" w:history="1">
        <w:r w:rsidRPr="00575FEE">
          <w:rPr>
            <w:rFonts w:ascii="微软雅黑" w:eastAsia="微软雅黑" w:hAnsi="微软雅黑" w:cs="宋体"/>
            <w:kern w:val="0"/>
            <w:sz w:val="24"/>
            <w:szCs w:val="24"/>
            <w:u w:val="single"/>
          </w:rPr>
          <w:t>1b</w:t>
        </w:r>
      </w:hyperlink>
      <w:r w:rsidRPr="00575FEE">
        <w:rPr>
          <w:rFonts w:ascii="微软雅黑" w:eastAsia="微软雅黑" w:hAnsi="微软雅黑" w:cs="宋体"/>
          <w:kern w:val="0"/>
          <w:sz w:val="24"/>
          <w:szCs w:val="24"/>
        </w:rPr>
        <w:t>的数据证实G1T48是一种选择性雌激素受体降解剂（SERD），但由于G1T48是基于同时具有SERM和SERD活性的化合物开发的，因此它仍然具有SERM活性。接下来，我们研究了G1T48治疗对受SERM和SERD差异性调控的雌激素受体靶基因的影响[ </w:t>
      </w:r>
      <w:hyperlink r:id="rId50" w:anchor="CR42" w:history="1">
        <w:r w:rsidRPr="00575FEE">
          <w:rPr>
            <w:rFonts w:ascii="微软雅黑" w:eastAsia="微软雅黑" w:hAnsi="微软雅黑" w:cs="宋体"/>
            <w:kern w:val="0"/>
            <w:sz w:val="24"/>
            <w:szCs w:val="24"/>
            <w:u w:val="single"/>
          </w:rPr>
          <w:t>42</w:t>
        </w:r>
      </w:hyperlink>
      <w:r w:rsidRPr="00575FEE">
        <w:rPr>
          <w:rFonts w:ascii="微软雅黑" w:eastAsia="微软雅黑" w:hAnsi="微软雅黑" w:cs="宋体"/>
          <w:kern w:val="0"/>
          <w:sz w:val="24"/>
          <w:szCs w:val="24"/>
        </w:rPr>
        <w:t> ]。如图 </w:t>
      </w:r>
      <w:hyperlink r:id="rId51" w:anchor="Fig2" w:history="1">
        <w:r w:rsidRPr="00575FEE">
          <w:rPr>
            <w:rFonts w:ascii="微软雅黑" w:eastAsia="微软雅黑" w:hAnsi="微软雅黑" w:cs="宋体"/>
            <w:kern w:val="0"/>
            <w:sz w:val="24"/>
            <w:szCs w:val="24"/>
            <w:u w:val="single"/>
          </w:rPr>
          <w:t>2c</w:t>
        </w:r>
      </w:hyperlink>
      <w:r w:rsidRPr="00575FEE">
        <w:rPr>
          <w:rFonts w:ascii="微软雅黑" w:eastAsia="微软雅黑" w:hAnsi="微软雅黑" w:cs="宋体"/>
          <w:kern w:val="0"/>
          <w:sz w:val="24"/>
          <w:szCs w:val="24"/>
        </w:rPr>
        <w:t>所示，具有SERM活性的化合物以类似于激动剂雌二醇的方式调控这些基因，这反映了它们内在的激动剂潜力（红色、绿色和蓝色簇）。相比之下，G1T48 调节这些基因的模式与先前显示可下调 ER 的化合物一致（例如，GW7604、</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、GW5638、RU 565899、GDC-0810 和 AZD9496；橙色、青色和紫色簇）。</w:t>
      </w:r>
    </w:p>
    <w:p w14:paraId="6D8E26EF"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雌激素受体（ER）与雌激素结合后，会被募集到靶基因启动子，通过募集修饰染色质结构的共调节因子（共激活因子或共抑制因子）蛋白来激活或抑制靶基因转录[ </w:t>
      </w:r>
      <w:hyperlink r:id="rId52" w:anchor="CR43" w:history="1">
        <w:r w:rsidRPr="00575FEE">
          <w:rPr>
            <w:rFonts w:ascii="微软雅黑" w:eastAsia="微软雅黑" w:hAnsi="微软雅黑" w:cs="宋体"/>
            <w:kern w:val="0"/>
            <w:sz w:val="24"/>
            <w:szCs w:val="24"/>
            <w:u w:val="single"/>
          </w:rPr>
          <w:t>43 ]。我们利用染色质免疫沉淀（ChIP）实验评估了G1T48和基准选择性雌激素受体调节剂（SERM）或选择性雌激素受体阻滞剂（SERD）抑制雌激素</w:t>
        </w:r>
        <w:proofErr w:type="gramStart"/>
        <w:r w:rsidRPr="00575FEE">
          <w:rPr>
            <w:rFonts w:ascii="微软雅黑" w:eastAsia="微软雅黑" w:hAnsi="微软雅黑" w:cs="宋体"/>
            <w:kern w:val="0"/>
            <w:sz w:val="24"/>
            <w:szCs w:val="24"/>
            <w:u w:val="single"/>
          </w:rPr>
          <w:t>介</w:t>
        </w:r>
        <w:proofErr w:type="gramEnd"/>
        <w:r w:rsidRPr="00575FEE">
          <w:rPr>
            <w:rFonts w:ascii="微软雅黑" w:eastAsia="微软雅黑" w:hAnsi="微软雅黑" w:cs="宋体"/>
            <w:kern w:val="0"/>
            <w:sz w:val="24"/>
            <w:szCs w:val="24"/>
            <w:u w:val="single"/>
          </w:rPr>
          <w:t>导的ER募集到</w:t>
        </w:r>
      </w:hyperlink>
      <w:r w:rsidRPr="00575FEE">
        <w:rPr>
          <w:rFonts w:ascii="微软雅黑" w:eastAsia="微软雅黑" w:hAnsi="微软雅黑" w:cs="宋体"/>
          <w:i/>
          <w:iCs/>
          <w:kern w:val="0"/>
          <w:sz w:val="24"/>
          <w:szCs w:val="24"/>
        </w:rPr>
        <w:t>TFF1</w:t>
      </w:r>
      <w:r w:rsidRPr="00575FEE">
        <w:rPr>
          <w:rFonts w:ascii="微软雅黑" w:eastAsia="微软雅黑" w:hAnsi="微软雅黑" w:cs="宋体"/>
          <w:kern w:val="0"/>
          <w:sz w:val="24"/>
          <w:szCs w:val="24"/>
        </w:rPr>
        <w:t>启动子的能力。虽然雌激素和4-羟基睾酮（4OHT）处理显著增加了ER与</w:t>
      </w:r>
      <w:r w:rsidRPr="00575FEE">
        <w:rPr>
          <w:rFonts w:ascii="微软雅黑" w:eastAsia="微软雅黑" w:hAnsi="微软雅黑" w:cs="宋体"/>
          <w:i/>
          <w:iCs/>
          <w:kern w:val="0"/>
          <w:sz w:val="24"/>
          <w:szCs w:val="24"/>
        </w:rPr>
        <w:t>TFF1</w:t>
      </w:r>
      <w:r w:rsidRPr="00575FEE">
        <w:rPr>
          <w:rFonts w:ascii="微软雅黑" w:eastAsia="微软雅黑" w:hAnsi="微软雅黑" w:cs="宋体"/>
          <w:kern w:val="0"/>
          <w:sz w:val="24"/>
          <w:szCs w:val="24"/>
        </w:rPr>
        <w:t>启动子的结合（图 </w:t>
      </w:r>
      <w:hyperlink r:id="rId53" w:anchor="Fig2" w:history="1">
        <w:r w:rsidRPr="00575FEE">
          <w:rPr>
            <w:rFonts w:ascii="微软雅黑" w:eastAsia="微软雅黑" w:hAnsi="微软雅黑" w:cs="宋体"/>
            <w:kern w:val="0"/>
            <w:sz w:val="24"/>
            <w:szCs w:val="24"/>
            <w:u w:val="single"/>
          </w:rPr>
          <w:t>2d</w:t>
        </w:r>
      </w:hyperlink>
      <w:r w:rsidRPr="00575FEE">
        <w:rPr>
          <w:rFonts w:ascii="微软雅黑" w:eastAsia="微软雅黑" w:hAnsi="微软雅黑" w:cs="宋体"/>
          <w:kern w:val="0"/>
          <w:sz w:val="24"/>
          <w:szCs w:val="24"/>
        </w:rPr>
        <w:t>），但G1T48无论是否存在雌激素，</w:t>
      </w:r>
      <w:r w:rsidRPr="00575FEE">
        <w:rPr>
          <w:rFonts w:ascii="微软雅黑" w:eastAsia="微软雅黑" w:hAnsi="微软雅黑" w:cs="宋体"/>
          <w:kern w:val="0"/>
          <w:sz w:val="24"/>
          <w:szCs w:val="24"/>
        </w:rPr>
        <w:lastRenderedPageBreak/>
        <w:t>均能抑制ER与该启动子的结合，其效力与</w:t>
      </w:r>
      <w:proofErr w:type="gramStart"/>
      <w:r w:rsidRPr="00575FEE">
        <w:rPr>
          <w:rFonts w:ascii="微软雅黑" w:eastAsia="微软雅黑" w:hAnsi="微软雅黑" w:cs="宋体"/>
          <w:kern w:val="0"/>
          <w:sz w:val="24"/>
          <w:szCs w:val="24"/>
        </w:rPr>
        <w:t>氟维司</w:t>
      </w:r>
      <w:proofErr w:type="gramEnd"/>
      <w:r w:rsidRPr="00575FEE">
        <w:rPr>
          <w:rFonts w:ascii="微软雅黑" w:eastAsia="微软雅黑" w:hAnsi="微软雅黑" w:cs="宋体"/>
          <w:kern w:val="0"/>
          <w:sz w:val="24"/>
          <w:szCs w:val="24"/>
        </w:rPr>
        <w:t>群相似，这支持了G1T48是一种有效的体外ER拮抗剂的观点。</w:t>
      </w:r>
    </w:p>
    <w:p w14:paraId="0178A21A"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接下来，我们通过基于细胞的报告基因检测，评估了G1T48对雌激素受体（ER）的选择性，方法是检测其抑制相关类固醇激素受体（雄激素受体（AR）、孕激素受体（PR）、糖皮质激素受体（GR）和盐皮质激素受体（MR））转录活性的能力。当G1T48的给药剂量高达10 µM时，它不影响AR、GR、MR或PR的转录活性（在线资源4），表明G1T48是ER的高选择性拮抗剂。</w:t>
      </w:r>
    </w:p>
    <w:p w14:paraId="0BEF7BEA"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G1T48抑制ER阳性乳腺癌细胞的生长</w:t>
      </w:r>
    </w:p>
    <w:p w14:paraId="7D7189E3"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为了研究G1T48的治疗潜力，我们使用多种ER阳性乳腺癌细胞系进行了细胞增殖实验（图 </w:t>
      </w:r>
      <w:hyperlink r:id="rId54" w:anchor="Fig3" w:history="1">
        <w:r w:rsidRPr="00575FEE">
          <w:rPr>
            <w:rFonts w:ascii="微软雅黑" w:eastAsia="微软雅黑" w:hAnsi="微软雅黑" w:cs="宋体"/>
            <w:kern w:val="0"/>
            <w:sz w:val="24"/>
            <w:szCs w:val="24"/>
            <w:u w:val="single"/>
          </w:rPr>
          <w:t>3</w:t>
        </w:r>
      </w:hyperlink>
      <w:r w:rsidRPr="00575FEE">
        <w:rPr>
          <w:rFonts w:ascii="微软雅黑" w:eastAsia="微软雅黑" w:hAnsi="微软雅黑" w:cs="宋体"/>
          <w:kern w:val="0"/>
          <w:sz w:val="24"/>
          <w:szCs w:val="24"/>
        </w:rPr>
        <w:t>）。G1T48显著抑制了雌激素</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导的MCF7细胞生长，其</w:t>
      </w:r>
      <w:proofErr w:type="gramStart"/>
      <w:r w:rsidRPr="00575FEE">
        <w:rPr>
          <w:rFonts w:ascii="微软雅黑" w:eastAsia="微软雅黑" w:hAnsi="微软雅黑" w:cs="宋体"/>
          <w:kern w:val="0"/>
          <w:sz w:val="24"/>
          <w:szCs w:val="24"/>
        </w:rPr>
        <w:t>效力约为氟维司群</w:t>
      </w:r>
      <w:proofErr w:type="gramEnd"/>
      <w:r w:rsidRPr="00575FEE">
        <w:rPr>
          <w:rFonts w:ascii="微软雅黑" w:eastAsia="微软雅黑" w:hAnsi="微软雅黑" w:cs="宋体"/>
          <w:kern w:val="0"/>
          <w:sz w:val="24"/>
          <w:szCs w:val="24"/>
        </w:rPr>
        <w:t>的三倍（图 </w:t>
      </w:r>
      <w:hyperlink r:id="rId55" w:anchor="Fig3" w:history="1">
        <w:r w:rsidRPr="00575FEE">
          <w:rPr>
            <w:rFonts w:ascii="微软雅黑" w:eastAsia="微软雅黑" w:hAnsi="微软雅黑" w:cs="宋体"/>
            <w:kern w:val="0"/>
            <w:sz w:val="24"/>
            <w:szCs w:val="24"/>
            <w:u w:val="single"/>
          </w:rPr>
          <w:t>3a</w:t>
        </w:r>
      </w:hyperlink>
      <w:r w:rsidRPr="00575FEE">
        <w:rPr>
          <w:rFonts w:ascii="微软雅黑" w:eastAsia="微软雅黑" w:hAnsi="微软雅黑" w:cs="宋体"/>
          <w:kern w:val="0"/>
          <w:sz w:val="24"/>
          <w:szCs w:val="24"/>
        </w:rPr>
        <w:t>，在线资源5）。此外，G1T48和基准抗雌激素也抑制了ER阳性BT474和ZR-75-1乳腺癌细胞的雌激素</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导的生长，而对ER阴性MDA-MB-436乳腺癌细胞则未观察到生长抑制（图 </w:t>
      </w:r>
      <w:hyperlink r:id="rId56" w:anchor="Fig3" w:history="1">
        <w:r w:rsidRPr="00575FEE">
          <w:rPr>
            <w:rFonts w:ascii="微软雅黑" w:eastAsia="微软雅黑" w:hAnsi="微软雅黑" w:cs="宋体"/>
            <w:kern w:val="0"/>
            <w:sz w:val="24"/>
            <w:szCs w:val="24"/>
            <w:u w:val="single"/>
          </w:rPr>
          <w:t>3</w:t>
        </w:r>
      </w:hyperlink>
      <w:r w:rsidRPr="00575FEE">
        <w:rPr>
          <w:rFonts w:ascii="微软雅黑" w:eastAsia="微软雅黑" w:hAnsi="微软雅黑" w:cs="宋体"/>
          <w:kern w:val="0"/>
          <w:sz w:val="24"/>
          <w:szCs w:val="24"/>
        </w:rPr>
        <w:t>，在线资源5）。此外，G1T48不影响MCF7乳腺癌细胞的凋亡（在线资源6）。因此，G1T48选择性地抑制ER阳性乳腺癌细胞的生长，而不抑制ER阴性乳腺癌细胞的生长。</w:t>
      </w:r>
    </w:p>
    <w:p w14:paraId="07C3B28E"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 3。</w:t>
      </w:r>
    </w:p>
    <w:p w14:paraId="79A5AECD" w14:textId="1E112795"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lastRenderedPageBreak/>
        <w:drawing>
          <wp:inline distT="0" distB="0" distL="0" distR="0" wp14:anchorId="064B1A4A" wp14:editId="05836D9F">
            <wp:extent cx="5274310" cy="3365500"/>
            <wp:effectExtent l="0" t="0" r="2540" b="6350"/>
            <wp:docPr id="5" name="图片 5" descr="图 3">
              <a:hlinkClick xmlns:a="http://schemas.openxmlformats.org/drawingml/2006/main" r:id="rId5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3" descr="图 3">
                      <a:hlinkClick r:id="rId57" tgtFrame="&quot;_blank&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74310" cy="3365500"/>
                    </a:xfrm>
                    <a:prstGeom prst="rect">
                      <a:avLst/>
                    </a:prstGeom>
                    <a:noFill/>
                    <a:ln>
                      <a:noFill/>
                    </a:ln>
                  </pic:spPr>
                </pic:pic>
              </a:graphicData>
            </a:graphic>
          </wp:inline>
        </w:drawing>
      </w:r>
    </w:p>
    <w:p w14:paraId="1A71BC3A"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t>G1T48抑制ER阳性乳腺癌细胞的生长。a 、 </w:t>
      </w:r>
      <w:r w:rsidRPr="00575FEE">
        <w:rPr>
          <w:rFonts w:ascii="微软雅黑" w:eastAsia="微软雅黑" w:hAnsi="微软雅黑" w:cs="宋体"/>
          <w:b/>
          <w:bCs/>
          <w:kern w:val="0"/>
          <w:sz w:val="24"/>
          <w:szCs w:val="24"/>
        </w:rPr>
        <w:t>b、c分别用</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宋体" w:hint="eastAsia"/>
          <w:kern w:val="0"/>
          <w:sz w:val="24"/>
          <w:szCs w:val="24"/>
          <w:vertAlign w:val="superscript"/>
        </w:rPr>
        <w:t>¹</w:t>
      </w:r>
      <w:r w:rsidRPr="00575FEE">
        <w:rPr>
          <w:rFonts w:ascii="MS Gothic" w:eastAsia="MS Gothic" w:hAnsi="MS Gothic" w:cs="MS Gothic" w:hint="eastAsia"/>
          <w:kern w:val="0"/>
          <w:sz w:val="24"/>
          <w:szCs w:val="24"/>
          <w:vertAlign w:val="superscript"/>
        </w:rPr>
        <w:t>⁰</w:t>
      </w:r>
      <w:r w:rsidRPr="00575FEE">
        <w:rPr>
          <w:rFonts w:ascii="微软雅黑" w:eastAsia="微软雅黑" w:hAnsi="微软雅黑" w:cs="宋体"/>
          <w:kern w:val="0"/>
          <w:sz w:val="24"/>
          <w:szCs w:val="24"/>
          <w:vertAlign w:val="superscript"/>
        </w:rPr>
        <w:t xml:space="preserve"> M E2和ER拮抗剂（ 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宋体" w:hint="eastAsia"/>
          <w:kern w:val="0"/>
          <w:sz w:val="24"/>
          <w:szCs w:val="24"/>
          <w:vertAlign w:val="superscript"/>
        </w:rPr>
        <w:t>¹¹ </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微软雅黑" w:hint="eastAsia"/>
          <w:kern w:val="0"/>
          <w:sz w:val="24"/>
          <w:szCs w:val="24"/>
          <w:vertAlign w:val="superscript"/>
        </w:rPr>
        <w:t>⁵</w:t>
      </w:r>
      <w:r w:rsidRPr="00575FEE">
        <w:rPr>
          <w:rFonts w:ascii="微软雅黑" w:eastAsia="微软雅黑" w:hAnsi="微软雅黑" w:cs="宋体"/>
          <w:kern w:val="0"/>
          <w:sz w:val="24"/>
          <w:szCs w:val="24"/>
        </w:rPr>
        <w:t> M  ）处理ER阳性MCF7、ER阳性BT474和ER阳性ZR-75-1细胞7天</w:t>
      </w:r>
      <w:r w:rsidRPr="00575FEE">
        <w:rPr>
          <w:rFonts w:ascii="微软雅黑" w:eastAsia="微软雅黑" w:hAnsi="微软雅黑" w:cs="宋体"/>
          <w:b/>
          <w:bCs/>
          <w:kern w:val="0"/>
          <w:sz w:val="24"/>
          <w:szCs w:val="24"/>
        </w:rPr>
        <w:t>。d</w:t>
      </w:r>
      <w:r w:rsidRPr="00575FEE">
        <w:rPr>
          <w:rFonts w:ascii="微软雅黑" w:eastAsia="微软雅黑" w:hAnsi="微软雅黑" w:cs="宋体"/>
          <w:kern w:val="0"/>
          <w:sz w:val="24"/>
          <w:szCs w:val="24"/>
        </w:rPr>
        <w:t>用</w:t>
      </w:r>
      <w:r w:rsidRPr="00575FEE">
        <w:rPr>
          <w:rFonts w:ascii="微软雅黑" w:eastAsia="微软雅黑" w:hAnsi="微软雅黑" w:cs="宋体"/>
          <w:b/>
          <w:bCs/>
          <w:kern w:val="0"/>
          <w:sz w:val="24"/>
          <w:szCs w:val="24"/>
        </w:rPr>
        <w:t>ER</w:t>
      </w:r>
      <w:r w:rsidRPr="00575FEE">
        <w:rPr>
          <w:rFonts w:ascii="微软雅黑" w:eastAsia="微软雅黑" w:hAnsi="微软雅黑" w:cs="宋体"/>
          <w:kern w:val="0"/>
          <w:sz w:val="24"/>
          <w:szCs w:val="24"/>
        </w:rPr>
        <w:t>拮抗剂 （</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宋体" w:hint="eastAsia"/>
          <w:kern w:val="0"/>
          <w:sz w:val="24"/>
          <w:szCs w:val="24"/>
          <w:vertAlign w:val="superscript"/>
        </w:rPr>
        <w:t>¹¹</w:t>
      </w:r>
      <w:r w:rsidRPr="00575FEE">
        <w:rPr>
          <w:rFonts w:ascii="微软雅黑" w:eastAsia="微软雅黑" w:hAnsi="微软雅黑" w:cs="宋体"/>
          <w:kern w:val="0"/>
          <w:sz w:val="24"/>
          <w:szCs w:val="24"/>
        </w:rPr>
        <w:t>、10</w:t>
      </w:r>
      <w:r w:rsidRPr="00575FEE">
        <w:rPr>
          <w:rFonts w:ascii="MS Gothic" w:eastAsia="MS Gothic" w:hAnsi="MS Gothic" w:cs="MS Gothic" w:hint="eastAsia"/>
          <w:kern w:val="0"/>
          <w:sz w:val="24"/>
          <w:szCs w:val="24"/>
        </w:rPr>
        <w:t>⁻</w:t>
      </w:r>
      <w:r w:rsidRPr="00575FEE">
        <w:rPr>
          <w:rFonts w:ascii="微软雅黑" w:eastAsia="微软雅黑" w:hAnsi="微软雅黑" w:cs="微软雅黑" w:hint="eastAsia"/>
          <w:kern w:val="0"/>
          <w:sz w:val="24"/>
          <w:szCs w:val="24"/>
        </w:rPr>
        <w:t>⁵</w:t>
      </w:r>
      <w:r w:rsidRPr="00575FEE">
        <w:rPr>
          <w:rFonts w:ascii="微软雅黑" w:eastAsia="微软雅黑" w:hAnsi="微软雅黑" w:cs="宋体" w:hint="eastAsia"/>
          <w:kern w:val="0"/>
          <w:sz w:val="24"/>
          <w:szCs w:val="24"/>
        </w:rPr>
        <w:t> </w:t>
      </w:r>
      <w:r w:rsidRPr="00575FEE">
        <w:rPr>
          <w:rFonts w:ascii="微软雅黑" w:eastAsia="微软雅黑" w:hAnsi="微软雅黑" w:cs="宋体"/>
          <w:kern w:val="0"/>
          <w:sz w:val="24"/>
          <w:szCs w:val="24"/>
          <w:vertAlign w:val="superscript"/>
        </w:rPr>
        <w:t>M</w:t>
      </w:r>
      <w:r w:rsidRPr="00575FEE">
        <w:rPr>
          <w:rFonts w:ascii="微软雅黑" w:eastAsia="微软雅黑" w:hAnsi="微软雅黑" w:cs="宋体"/>
          <w:kern w:val="0"/>
          <w:sz w:val="24"/>
          <w:szCs w:val="24"/>
        </w:rPr>
        <w:t> ）处理ER阴性MDA-MB-231细胞7天</w:t>
      </w:r>
      <w:r w:rsidRPr="00575FEE">
        <w:rPr>
          <w:rFonts w:ascii="微软雅黑" w:eastAsia="微软雅黑" w:hAnsi="微软雅黑" w:cs="宋体"/>
          <w:b/>
          <w:bCs/>
          <w:kern w:val="0"/>
          <w:sz w:val="24"/>
          <w:szCs w:val="24"/>
        </w:rPr>
        <w:t>。</w:t>
      </w:r>
      <w:r w:rsidRPr="00575FEE">
        <w:rPr>
          <w:rFonts w:ascii="微软雅黑" w:eastAsia="微软雅黑" w:hAnsi="微软雅黑" w:cs="宋体"/>
          <w:kern w:val="0"/>
          <w:sz w:val="24"/>
          <w:szCs w:val="24"/>
        </w:rPr>
        <w:t> 通过测量DNA含量（Hoechst染色）评估细胞增殖，结果以相对于载体对照组的倍数变化表示。误差线表示三重复样本的标准差。</w:t>
      </w:r>
    </w:p>
    <w:p w14:paraId="184EAF46"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G1T48抑制内分泌耐药性乳腺癌模型中的雌激素信号传导</w:t>
      </w:r>
    </w:p>
    <w:p w14:paraId="1DA6DEBB"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除了生长因子信号传导的上调外，芳香化酶抑制剂耐药的第二个关键机制是新近发现的ER配体结合域突变[ </w:t>
      </w:r>
      <w:hyperlink r:id="rId59" w:anchor="CR8" w:history="1">
        <w:r w:rsidRPr="00575FEE">
          <w:rPr>
            <w:rFonts w:ascii="微软雅黑" w:eastAsia="微软雅黑" w:hAnsi="微软雅黑" w:cs="宋体"/>
            <w:kern w:val="0"/>
            <w:sz w:val="24"/>
            <w:szCs w:val="24"/>
            <w:u w:val="single"/>
          </w:rPr>
          <w:t>8</w:t>
        </w:r>
      </w:hyperlink>
      <w:r w:rsidRPr="00575FEE">
        <w:rPr>
          <w:rFonts w:ascii="微软雅黑" w:eastAsia="微软雅黑" w:hAnsi="微软雅黑" w:cs="宋体"/>
          <w:kern w:val="0"/>
          <w:sz w:val="24"/>
          <w:szCs w:val="24"/>
        </w:rPr>
        <w:t> , </w:t>
      </w:r>
      <w:hyperlink r:id="rId60" w:anchor="CR9" w:history="1">
        <w:r w:rsidRPr="00575FEE">
          <w:rPr>
            <w:rFonts w:ascii="微软雅黑" w:eastAsia="微软雅黑" w:hAnsi="微软雅黑" w:cs="宋体"/>
            <w:kern w:val="0"/>
            <w:sz w:val="24"/>
            <w:szCs w:val="24"/>
            <w:u w:val="single"/>
          </w:rPr>
          <w:t>9 ]，这些突变导致4OHT和</w:t>
        </w:r>
        <w:proofErr w:type="gramStart"/>
        <w:r w:rsidRPr="00575FEE">
          <w:rPr>
            <w:rFonts w:ascii="微软雅黑" w:eastAsia="微软雅黑" w:hAnsi="微软雅黑" w:cs="宋体"/>
            <w:kern w:val="0"/>
            <w:sz w:val="24"/>
            <w:szCs w:val="24"/>
            <w:u w:val="single"/>
          </w:rPr>
          <w:t>氟维司群</w:t>
        </w:r>
        <w:proofErr w:type="gramEnd"/>
        <w:r w:rsidRPr="00575FEE">
          <w:rPr>
            <w:rFonts w:ascii="微软雅黑" w:eastAsia="微软雅黑" w:hAnsi="微软雅黑" w:cs="宋体"/>
            <w:kern w:val="0"/>
            <w:sz w:val="24"/>
            <w:szCs w:val="24"/>
            <w:u w:val="single"/>
          </w:rPr>
          <w:t>的</w:t>
        </w:r>
      </w:hyperlink>
      <w:hyperlink r:id="rId61" w:anchor="CR50" w:history="1">
        <w:r w:rsidRPr="00575FEE">
          <w:rPr>
            <w:rFonts w:ascii="微软雅黑" w:eastAsia="微软雅黑" w:hAnsi="微软雅黑" w:cs="宋体"/>
            <w:kern w:val="0"/>
            <w:sz w:val="24"/>
            <w:szCs w:val="24"/>
            <w:u w:val="single"/>
          </w:rPr>
          <w:t>效力</w:t>
        </w:r>
      </w:hyperlink>
      <w:r w:rsidRPr="00575FEE">
        <w:rPr>
          <w:rFonts w:ascii="微软雅黑" w:eastAsia="微软雅黑" w:hAnsi="微软雅黑" w:cs="宋体"/>
          <w:kern w:val="0"/>
          <w:sz w:val="24"/>
          <w:szCs w:val="24"/>
        </w:rPr>
        <w:t>低于野生型(</w:t>
      </w:r>
      <w:proofErr w:type="spellStart"/>
      <w:r w:rsidRPr="00575FEE">
        <w:rPr>
          <w:rFonts w:ascii="微软雅黑" w:eastAsia="微软雅黑" w:hAnsi="微软雅黑" w:cs="宋体"/>
          <w:kern w:val="0"/>
          <w:sz w:val="24"/>
          <w:szCs w:val="24"/>
        </w:rPr>
        <w:t>wt</w:t>
      </w:r>
      <w:proofErr w:type="spellEnd"/>
      <w:r w:rsidRPr="00575FEE">
        <w:rPr>
          <w:rFonts w:ascii="微软雅黑" w:eastAsia="微软雅黑" w:hAnsi="微软雅黑" w:cs="宋体"/>
          <w:kern w:val="0"/>
          <w:sz w:val="24"/>
          <w:szCs w:val="24"/>
        </w:rPr>
        <w:t>)受体[ </w:t>
      </w:r>
      <w:hyperlink r:id="rId62" w:anchor="CR44" w:history="1">
        <w:r w:rsidRPr="00575FEE">
          <w:rPr>
            <w:rFonts w:ascii="微软雅黑" w:eastAsia="微软雅黑" w:hAnsi="微软雅黑" w:cs="宋体"/>
            <w:kern w:val="0"/>
            <w:sz w:val="24"/>
            <w:szCs w:val="24"/>
            <w:u w:val="single"/>
          </w:rPr>
          <w:t>44-50</w:t>
        </w:r>
      </w:hyperlink>
      <w:r w:rsidRPr="00575FEE">
        <w:rPr>
          <w:rFonts w:ascii="微软雅黑" w:eastAsia="微软雅黑" w:hAnsi="微软雅黑" w:cs="宋体"/>
          <w:kern w:val="0"/>
          <w:sz w:val="24"/>
          <w:szCs w:val="24"/>
        </w:rPr>
        <w:t> ]。为了评估G1T48对内分泌难治性ER突变体的活性，我们利用ER阴性SKBR3乳腺癌细胞的报告基因检测方法，将ER表达载体（</w:t>
      </w:r>
      <w:proofErr w:type="spellStart"/>
      <w:r w:rsidRPr="00575FEE">
        <w:rPr>
          <w:rFonts w:ascii="微软雅黑" w:eastAsia="微软雅黑" w:hAnsi="微软雅黑" w:cs="宋体"/>
          <w:kern w:val="0"/>
          <w:sz w:val="24"/>
          <w:szCs w:val="24"/>
        </w:rPr>
        <w:t>wtER</w:t>
      </w:r>
      <w:proofErr w:type="spellEnd"/>
      <w:r w:rsidRPr="00575FEE">
        <w:rPr>
          <w:rFonts w:ascii="微软雅黑" w:eastAsia="微软雅黑" w:hAnsi="微软雅黑" w:cs="宋体"/>
          <w:kern w:val="0"/>
          <w:sz w:val="24"/>
          <w:szCs w:val="24"/>
        </w:rPr>
        <w:t>或两种最常见的ER突变体ER-Y537S或ER-D538G）转染至细胞中（图 </w:t>
      </w:r>
      <w:hyperlink r:id="rId63" w:anchor="Fig4" w:history="1">
        <w:r w:rsidRPr="00575FEE">
          <w:rPr>
            <w:rFonts w:ascii="微软雅黑" w:eastAsia="微软雅黑" w:hAnsi="微软雅黑" w:cs="宋体"/>
            <w:kern w:val="0"/>
            <w:sz w:val="24"/>
            <w:szCs w:val="24"/>
            <w:u w:val="single"/>
          </w:rPr>
          <w:t>4a</w:t>
        </w:r>
      </w:hyperlink>
      <w:r w:rsidRPr="00575FEE">
        <w:rPr>
          <w:rFonts w:ascii="微软雅黑" w:eastAsia="微软雅黑" w:hAnsi="微软雅黑" w:cs="宋体"/>
          <w:kern w:val="0"/>
          <w:sz w:val="24"/>
          <w:szCs w:val="24"/>
        </w:rPr>
        <w:t>）。结果表明，G1T48是</w:t>
      </w:r>
      <w:proofErr w:type="spellStart"/>
      <w:r w:rsidRPr="00575FEE">
        <w:rPr>
          <w:rFonts w:ascii="微软雅黑" w:eastAsia="微软雅黑" w:hAnsi="微软雅黑" w:cs="宋体"/>
          <w:kern w:val="0"/>
          <w:sz w:val="24"/>
          <w:szCs w:val="24"/>
        </w:rPr>
        <w:t>wtER</w:t>
      </w:r>
      <w:proofErr w:type="spellEnd"/>
      <w:r w:rsidRPr="00575FEE">
        <w:rPr>
          <w:rFonts w:ascii="微软雅黑" w:eastAsia="微软雅黑" w:hAnsi="微软雅黑" w:cs="宋体"/>
          <w:kern w:val="0"/>
          <w:sz w:val="24"/>
          <w:szCs w:val="24"/>
        </w:rPr>
        <w:t>和ER-D538G转录的强效抑制剂。如先</w:t>
      </w:r>
      <w:r w:rsidRPr="00575FEE">
        <w:rPr>
          <w:rFonts w:ascii="微软雅黑" w:eastAsia="微软雅黑" w:hAnsi="微软雅黑" w:cs="宋体"/>
          <w:kern w:val="0"/>
          <w:sz w:val="24"/>
          <w:szCs w:val="24"/>
        </w:rPr>
        <w:lastRenderedPageBreak/>
        <w:t>前报道[ </w:t>
      </w:r>
      <w:hyperlink r:id="rId64" w:anchor="CR49" w:history="1">
        <w:r w:rsidRPr="00575FEE">
          <w:rPr>
            <w:rFonts w:ascii="微软雅黑" w:eastAsia="微软雅黑" w:hAnsi="微软雅黑" w:cs="宋体"/>
            <w:kern w:val="0"/>
            <w:sz w:val="24"/>
            <w:szCs w:val="24"/>
            <w:u w:val="single"/>
          </w:rPr>
          <w:t>49</w:t>
        </w:r>
      </w:hyperlink>
      <w:r w:rsidRPr="00575FEE">
        <w:rPr>
          <w:rFonts w:ascii="微软雅黑" w:eastAsia="微软雅黑" w:hAnsi="微软雅黑" w:cs="宋体"/>
          <w:kern w:val="0"/>
          <w:sz w:val="24"/>
          <w:szCs w:val="24"/>
        </w:rPr>
        <w:t> ]，所有测试的抗雌激素，包括G1T48，与野生型ER相比，对ER突变体转录活性的抑制效力均降低（在线资源7）。为了进一步了解这些结果的意义，我们构建了表达强力霉素诱导型野生型ER、ER-D538G或ER-Y537S的MCF7细胞，并评估了G1T48抑制这些细胞ER依赖性生长的能力。与先前报道的4OHT和</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类似（本文也证实了这一点），与野生型ER相比，G1T48在表达ER-Y537S和ER-D538G突变的细胞中表现出更高的GI&lt;sub&gt; </w:t>
      </w:r>
      <w:r w:rsidRPr="00575FEE">
        <w:rPr>
          <w:rFonts w:ascii="微软雅黑" w:eastAsia="微软雅黑" w:hAnsi="微软雅黑" w:cs="宋体"/>
          <w:kern w:val="0"/>
          <w:sz w:val="24"/>
          <w:szCs w:val="24"/>
          <w:vertAlign w:val="subscript"/>
        </w:rPr>
        <w:t>50 </w:t>
      </w:r>
      <w:hyperlink r:id="rId65" w:anchor="CR51" w:history="1">
        <w:r w:rsidRPr="00575FEE">
          <w:rPr>
            <w:rFonts w:ascii="微软雅黑" w:eastAsia="微软雅黑" w:hAnsi="微软雅黑" w:cs="宋体"/>
            <w:kern w:val="0"/>
            <w:sz w:val="24"/>
            <w:szCs w:val="24"/>
            <w:u w:val="single"/>
          </w:rPr>
          <w:t>&lt;/sub&gt;</w:t>
        </w:r>
      </w:hyperlink>
      <w:r w:rsidRPr="00575FEE">
        <w:rPr>
          <w:rFonts w:ascii="微软雅黑" w:eastAsia="微软雅黑" w:hAnsi="微软雅黑" w:cs="宋体"/>
          <w:kern w:val="0"/>
          <w:sz w:val="24"/>
          <w:szCs w:val="24"/>
        </w:rPr>
        <w:t>值（图 </w:t>
      </w:r>
      <w:hyperlink r:id="rId66" w:anchor="Fig4" w:history="1">
        <w:r w:rsidRPr="00575FEE">
          <w:rPr>
            <w:rFonts w:ascii="微软雅黑" w:eastAsia="微软雅黑" w:hAnsi="微软雅黑" w:cs="宋体"/>
            <w:kern w:val="0"/>
            <w:sz w:val="24"/>
            <w:szCs w:val="24"/>
            <w:u w:val="single"/>
          </w:rPr>
          <w:t>4b</w:t>
        </w:r>
      </w:hyperlink>
      <w:r w:rsidRPr="00575FEE">
        <w:rPr>
          <w:rFonts w:ascii="微软雅黑" w:eastAsia="微软雅黑" w:hAnsi="微软雅黑" w:cs="宋体"/>
          <w:kern w:val="0"/>
          <w:sz w:val="24"/>
          <w:szCs w:val="24"/>
        </w:rPr>
        <w:t>，在线资源7）[ 44 </w:t>
      </w:r>
      <w:hyperlink r:id="rId67" w:anchor="CR44"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 45 </w:t>
      </w:r>
      <w:hyperlink r:id="rId68" w:anchor="CR45"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 47-51 </w:t>
      </w:r>
      <w:hyperlink r:id="rId69" w:anchor="CR47"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。总的来说，这些数据表明，G1T48 与其他 SERD 一样，可能有助于靶向某些突变受体，这种潜力可以在临床上进一步评估。</w:t>
      </w:r>
    </w:p>
    <w:p w14:paraId="25BB7EA8"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 4。</w:t>
      </w:r>
    </w:p>
    <w:p w14:paraId="24F6BAE4" w14:textId="009D8E0A"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drawing>
          <wp:inline distT="0" distB="0" distL="0" distR="0" wp14:anchorId="0A3C4235" wp14:editId="41BCBCA3">
            <wp:extent cx="5274310" cy="2138680"/>
            <wp:effectExtent l="0" t="0" r="2540" b="0"/>
            <wp:docPr id="4" name="图片 4" descr="图 4">
              <a:hlinkClick xmlns:a="http://schemas.openxmlformats.org/drawingml/2006/main" r:id="rId7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4" descr="图 4">
                      <a:hlinkClick r:id="rId70" tgtFrame="&quot;_blank&quot;"/>
                    </pic:cNvP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74310" cy="2138680"/>
                    </a:xfrm>
                    <a:prstGeom prst="rect">
                      <a:avLst/>
                    </a:prstGeom>
                    <a:noFill/>
                    <a:ln>
                      <a:noFill/>
                    </a:ln>
                  </pic:spPr>
                </pic:pic>
              </a:graphicData>
            </a:graphic>
          </wp:inline>
        </w:drawing>
      </w:r>
    </w:p>
    <w:p w14:paraId="6439C534"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t>G1T48 在体外内分泌治疗耐药模型中抑制 ER 信号传导。a.将</w:t>
      </w:r>
      <w:r w:rsidRPr="00575FEE">
        <w:rPr>
          <w:rFonts w:ascii="微软雅黑" w:eastAsia="微软雅黑" w:hAnsi="微软雅黑" w:cs="宋体"/>
          <w:b/>
          <w:bCs/>
          <w:kern w:val="0"/>
          <w:sz w:val="24"/>
          <w:szCs w:val="24"/>
        </w:rPr>
        <w:t>SKBR3</w:t>
      </w:r>
      <w:r w:rsidRPr="00575FEE">
        <w:rPr>
          <w:rFonts w:ascii="微软雅黑" w:eastAsia="微软雅黑" w:hAnsi="微软雅黑" w:cs="宋体"/>
          <w:kern w:val="0"/>
          <w:sz w:val="24"/>
          <w:szCs w:val="24"/>
        </w:rPr>
        <w:t>乳腺癌细胞转染雌激素反应性报告基因以及 ER（</w:t>
      </w:r>
      <w:proofErr w:type="spellStart"/>
      <w:r w:rsidRPr="00575FEE">
        <w:rPr>
          <w:rFonts w:ascii="微软雅黑" w:eastAsia="微软雅黑" w:hAnsi="微软雅黑" w:cs="宋体"/>
          <w:kern w:val="0"/>
          <w:sz w:val="24"/>
          <w:szCs w:val="24"/>
        </w:rPr>
        <w:t>wtER</w:t>
      </w:r>
      <w:proofErr w:type="spellEnd"/>
      <w:r w:rsidRPr="00575FEE">
        <w:rPr>
          <w:rFonts w:ascii="微软雅黑" w:eastAsia="微软雅黑" w:hAnsi="微软雅黑" w:cs="宋体"/>
          <w:kern w:val="0"/>
          <w:sz w:val="24"/>
          <w:szCs w:val="24"/>
        </w:rPr>
        <w:t xml:space="preserve">、ER-Y537S 或 ER-D538G）表达质粒，然后用 17β-雌二醇 (1.0 </w:t>
      </w:r>
      <w:proofErr w:type="spellStart"/>
      <w:r w:rsidRPr="00575FEE">
        <w:rPr>
          <w:rFonts w:ascii="微软雅黑" w:eastAsia="微软雅黑" w:hAnsi="微软雅黑" w:cs="宋体"/>
          <w:kern w:val="0"/>
          <w:sz w:val="24"/>
          <w:szCs w:val="24"/>
        </w:rPr>
        <w:t>nM</w:t>
      </w:r>
      <w:proofErr w:type="spellEnd"/>
      <w:r w:rsidRPr="00575FEE">
        <w:rPr>
          <w:rFonts w:ascii="微软雅黑" w:eastAsia="微软雅黑" w:hAnsi="微软雅黑" w:cs="宋体"/>
          <w:kern w:val="0"/>
          <w:sz w:val="24"/>
          <w:szCs w:val="24"/>
        </w:rPr>
        <w:t>) 和 ER 拮抗剂 (10</w:t>
      </w:r>
      <w:r w:rsidRPr="00575FEE">
        <w:rPr>
          <w:rFonts w:ascii="MS Gothic" w:eastAsia="MS Gothic" w:hAnsi="MS Gothic" w:cs="MS Gothic" w:hint="eastAsia"/>
          <w:kern w:val="0"/>
          <w:sz w:val="24"/>
          <w:szCs w:val="24"/>
        </w:rPr>
        <w:t>⁻</w:t>
      </w:r>
      <w:r w:rsidRPr="00575FEE">
        <w:rPr>
          <w:rFonts w:ascii="微软雅黑" w:eastAsia="微软雅黑" w:hAnsi="微软雅黑" w:cs="宋体" w:hint="eastAsia"/>
          <w:kern w:val="0"/>
          <w:sz w:val="24"/>
          <w:szCs w:val="24"/>
        </w:rPr>
        <w:t>¹¹</w:t>
      </w:r>
      <w:r w:rsidRPr="00575FEE">
        <w:rPr>
          <w:rFonts w:ascii="微软雅黑" w:eastAsia="微软雅黑" w:hAnsi="微软雅黑" w:cs="宋体"/>
          <w:kern w:val="0"/>
          <w:sz w:val="24"/>
          <w:szCs w:val="24"/>
        </w:rPr>
        <w:t>、</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微软雅黑" w:hint="eastAsia"/>
          <w:kern w:val="0"/>
          <w:sz w:val="24"/>
          <w:szCs w:val="24"/>
          <w:vertAlign w:val="superscript"/>
        </w:rPr>
        <w:t>⁵</w:t>
      </w:r>
      <w:r w:rsidRPr="00575FEE">
        <w:rPr>
          <w:rFonts w:ascii="微软雅黑" w:eastAsia="微软雅黑" w:hAnsi="微软雅黑" w:cs="宋体" w:hint="eastAsia"/>
          <w:kern w:val="0"/>
          <w:sz w:val="24"/>
          <w:szCs w:val="24"/>
          <w:vertAlign w:val="superscript"/>
        </w:rPr>
        <w:t> </w:t>
      </w:r>
      <w:r w:rsidRPr="00575FEE">
        <w:rPr>
          <w:rFonts w:ascii="微软雅黑" w:eastAsia="微软雅黑" w:hAnsi="微软雅黑" w:cs="宋体"/>
          <w:kern w:val="0"/>
          <w:sz w:val="24"/>
          <w:szCs w:val="24"/>
          <w:vertAlign w:val="superscript"/>
        </w:rPr>
        <w:t>M</w:t>
      </w:r>
      <w:r w:rsidRPr="00575FEE">
        <w:rPr>
          <w:rFonts w:ascii="微软雅黑" w:eastAsia="微软雅黑" w:hAnsi="微软雅黑" w:cs="宋体"/>
          <w:kern w:val="0"/>
          <w:sz w:val="24"/>
          <w:szCs w:val="24"/>
        </w:rPr>
        <w:t> )处理 18 小时 。随后使用双荧光素酶试剂检测萤火虫荧光素酶和海肾荧光素酶活性。误差线表示三重复样本的标准差。</w:t>
      </w:r>
      <w:proofErr w:type="gramStart"/>
      <w:r w:rsidRPr="00575FEE">
        <w:rPr>
          <w:rFonts w:ascii="微软雅黑" w:eastAsia="微软雅黑" w:hAnsi="微软雅黑" w:cs="宋体"/>
          <w:kern w:val="0"/>
          <w:sz w:val="24"/>
          <w:szCs w:val="24"/>
        </w:rPr>
        <w:t>b </w:t>
      </w:r>
      <w:r w:rsidRPr="00575FEE">
        <w:rPr>
          <w:rFonts w:ascii="微软雅黑" w:eastAsia="微软雅黑" w:hAnsi="微软雅黑" w:cs="宋体"/>
          <w:b/>
          <w:bCs/>
          <w:kern w:val="0"/>
          <w:sz w:val="24"/>
          <w:szCs w:val="24"/>
        </w:rPr>
        <w:t>.</w:t>
      </w:r>
      <w:proofErr w:type="gramEnd"/>
      <w:r w:rsidRPr="00575FEE">
        <w:rPr>
          <w:rFonts w:ascii="微软雅黑" w:eastAsia="微软雅黑" w:hAnsi="微软雅黑" w:cs="宋体"/>
          <w:b/>
          <w:bCs/>
          <w:kern w:val="0"/>
          <w:sz w:val="24"/>
          <w:szCs w:val="24"/>
        </w:rPr>
        <w:t xml:space="preserve"> G1T48 抑制内分泌难治性 ER 突变体</w:t>
      </w:r>
      <w:proofErr w:type="gramStart"/>
      <w:r w:rsidRPr="00575FEE">
        <w:rPr>
          <w:rFonts w:ascii="微软雅黑" w:eastAsia="微软雅黑" w:hAnsi="微软雅黑" w:cs="宋体"/>
          <w:b/>
          <w:bCs/>
          <w:kern w:val="0"/>
          <w:sz w:val="24"/>
          <w:szCs w:val="24"/>
        </w:rPr>
        <w:t>介</w:t>
      </w:r>
      <w:proofErr w:type="gramEnd"/>
      <w:r w:rsidRPr="00575FEE">
        <w:rPr>
          <w:rFonts w:ascii="微软雅黑" w:eastAsia="微软雅黑" w:hAnsi="微软雅黑" w:cs="宋体"/>
          <w:b/>
          <w:bCs/>
          <w:kern w:val="0"/>
          <w:sz w:val="24"/>
          <w:szCs w:val="24"/>
        </w:rPr>
        <w:t>导的细胞生长。用强力霉素和递增剂量的抗雌激素 ( </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宋体" w:hint="eastAsia"/>
          <w:kern w:val="0"/>
          <w:sz w:val="24"/>
          <w:szCs w:val="24"/>
          <w:vertAlign w:val="superscript"/>
        </w:rPr>
        <w:t>¹²</w:t>
      </w:r>
      <w:r w:rsidRPr="00575FEE">
        <w:rPr>
          <w:rFonts w:ascii="微软雅黑" w:eastAsia="微软雅黑" w:hAnsi="微软雅黑" w:cs="宋体"/>
          <w:kern w:val="0"/>
          <w:sz w:val="24"/>
          <w:szCs w:val="24"/>
        </w:rPr>
        <w:t>、10</w:t>
      </w:r>
      <w:r w:rsidRPr="00575FEE">
        <w:rPr>
          <w:rFonts w:ascii="MS Gothic" w:eastAsia="MS Gothic" w:hAnsi="MS Gothic" w:cs="MS Gothic" w:hint="eastAsia"/>
          <w:kern w:val="0"/>
          <w:sz w:val="24"/>
          <w:szCs w:val="24"/>
        </w:rPr>
        <w:t>⁻</w:t>
      </w:r>
      <w:r w:rsidRPr="00575FEE">
        <w:rPr>
          <w:rFonts w:ascii="微软雅黑" w:eastAsia="微软雅黑" w:hAnsi="微软雅黑" w:cs="微软雅黑" w:hint="eastAsia"/>
          <w:kern w:val="0"/>
          <w:sz w:val="24"/>
          <w:szCs w:val="24"/>
        </w:rPr>
        <w:t>⁵</w:t>
      </w:r>
      <w:r w:rsidRPr="00575FEE">
        <w:rPr>
          <w:rFonts w:ascii="微软雅黑" w:eastAsia="微软雅黑" w:hAnsi="微软雅黑" w:cs="宋体"/>
          <w:kern w:val="0"/>
          <w:sz w:val="24"/>
          <w:szCs w:val="24"/>
        </w:rPr>
        <w:t xml:space="preserve"> M) 处理表达 ER </w:t>
      </w:r>
      <w:r w:rsidRPr="00575FEE">
        <w:rPr>
          <w:rFonts w:ascii="微软雅黑" w:eastAsia="微软雅黑" w:hAnsi="微软雅黑" w:cs="宋体"/>
          <w:kern w:val="0"/>
          <w:sz w:val="24"/>
          <w:szCs w:val="24"/>
        </w:rPr>
        <w:lastRenderedPageBreak/>
        <w:t>变体 ER-D538G 和 ER-Y537S</w:t>
      </w:r>
      <w:r w:rsidRPr="00575FEE">
        <w:rPr>
          <w:rFonts w:ascii="微软雅黑" w:eastAsia="微软雅黑" w:hAnsi="微软雅黑" w:cs="宋体"/>
          <w:kern w:val="0"/>
          <w:sz w:val="24"/>
          <w:szCs w:val="24"/>
          <w:vertAlign w:val="superscript"/>
        </w:rPr>
        <w:t>的</w:t>
      </w:r>
      <w:r w:rsidRPr="00575FEE">
        <w:rPr>
          <w:rFonts w:ascii="微软雅黑" w:eastAsia="微软雅黑" w:hAnsi="微软雅黑" w:cs="宋体"/>
          <w:kern w:val="0"/>
          <w:sz w:val="24"/>
          <w:szCs w:val="24"/>
        </w:rPr>
        <w:t>MCF7 细胞 7 天 。通过测量DNA含量（Hoechst染色）评估细胞增殖，结果以相对荧光单位表示。误差线表示三次重复实验的标准差。c </w:t>
      </w:r>
      <w:r w:rsidRPr="00575FEE">
        <w:rPr>
          <w:rFonts w:ascii="微软雅黑" w:eastAsia="微软雅黑" w:hAnsi="微软雅黑" w:cs="宋体"/>
          <w:b/>
          <w:bCs/>
          <w:kern w:val="0"/>
          <w:sz w:val="24"/>
          <w:szCs w:val="24"/>
        </w:rPr>
        <w:t>G1T48抑制生长因子</w:t>
      </w:r>
      <w:proofErr w:type="gramStart"/>
      <w:r w:rsidRPr="00575FEE">
        <w:rPr>
          <w:rFonts w:ascii="微软雅黑" w:eastAsia="微软雅黑" w:hAnsi="微软雅黑" w:cs="宋体"/>
          <w:b/>
          <w:bCs/>
          <w:kern w:val="0"/>
          <w:sz w:val="24"/>
          <w:szCs w:val="24"/>
        </w:rPr>
        <w:t>介</w:t>
      </w:r>
      <w:proofErr w:type="gramEnd"/>
      <w:r w:rsidRPr="00575FEE">
        <w:rPr>
          <w:rFonts w:ascii="微软雅黑" w:eastAsia="微软雅黑" w:hAnsi="微软雅黑" w:cs="宋体"/>
          <w:b/>
          <w:bCs/>
          <w:kern w:val="0"/>
          <w:sz w:val="24"/>
          <w:szCs w:val="24"/>
        </w:rPr>
        <w:t xml:space="preserve">导的乳腺癌细胞生长。MCF7细胞用胰岛素（20 </w:t>
      </w:r>
      <w:proofErr w:type="spellStart"/>
      <w:r w:rsidRPr="00575FEE">
        <w:rPr>
          <w:rFonts w:ascii="微软雅黑" w:eastAsia="微软雅黑" w:hAnsi="微软雅黑" w:cs="宋体"/>
          <w:b/>
          <w:bCs/>
          <w:kern w:val="0"/>
          <w:sz w:val="24"/>
          <w:szCs w:val="24"/>
        </w:rPr>
        <w:t>nM</w:t>
      </w:r>
      <w:proofErr w:type="spellEnd"/>
      <w:r w:rsidRPr="00575FEE">
        <w:rPr>
          <w:rFonts w:ascii="微软雅黑" w:eastAsia="微软雅黑" w:hAnsi="微软雅黑" w:cs="宋体"/>
          <w:b/>
          <w:bCs/>
          <w:kern w:val="0"/>
          <w:sz w:val="24"/>
          <w:szCs w:val="24"/>
        </w:rPr>
        <w:t>）和递增剂量的抗雌激素（ </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宋体" w:hint="eastAsia"/>
          <w:kern w:val="0"/>
          <w:sz w:val="24"/>
          <w:szCs w:val="24"/>
          <w:vertAlign w:val="superscript"/>
        </w:rPr>
        <w:t>¹²</w:t>
      </w:r>
      <w:r w:rsidRPr="00575FEE">
        <w:rPr>
          <w:rFonts w:ascii="微软雅黑" w:eastAsia="微软雅黑" w:hAnsi="微软雅黑" w:cs="宋体"/>
          <w:kern w:val="0"/>
          <w:sz w:val="24"/>
          <w:szCs w:val="24"/>
          <w:vertAlign w:val="superscript"/>
        </w:rPr>
        <w:t xml:space="preserve"> M</w:t>
      </w:r>
      <w:r w:rsidRPr="00575FEE">
        <w:rPr>
          <w:rFonts w:ascii="微软雅黑" w:eastAsia="微软雅黑" w:hAnsi="微软雅黑" w:cs="宋体" w:hint="eastAsia"/>
          <w:kern w:val="0"/>
          <w:sz w:val="24"/>
          <w:szCs w:val="24"/>
          <w:vertAlign w:val="superscript"/>
        </w:rPr>
        <w:t> </w:t>
      </w:r>
      <w:r w:rsidRPr="00575FEE">
        <w:rPr>
          <w:rFonts w:ascii="微软雅黑" w:eastAsia="微软雅黑" w:hAnsi="微软雅黑" w:cs="宋体"/>
          <w:kern w:val="0"/>
          <w:sz w:val="24"/>
          <w:szCs w:val="24"/>
          <w:vertAlign w:val="superscript"/>
        </w:rPr>
        <w:t>、10</w:t>
      </w:r>
      <w:r w:rsidRPr="00575FEE">
        <w:rPr>
          <w:rFonts w:ascii="MS Gothic" w:eastAsia="MS Gothic" w:hAnsi="MS Gothic" w:cs="MS Gothic" w:hint="eastAsia"/>
          <w:kern w:val="0"/>
          <w:sz w:val="24"/>
          <w:szCs w:val="24"/>
          <w:vertAlign w:val="superscript"/>
        </w:rPr>
        <w:t>⁻</w:t>
      </w:r>
      <w:r w:rsidRPr="00575FEE">
        <w:rPr>
          <w:rFonts w:ascii="微软雅黑" w:eastAsia="微软雅黑" w:hAnsi="微软雅黑" w:cs="微软雅黑" w:hint="eastAsia"/>
          <w:kern w:val="0"/>
          <w:sz w:val="24"/>
          <w:szCs w:val="24"/>
          <w:vertAlign w:val="superscript"/>
        </w:rPr>
        <w:t>⁷</w:t>
      </w:r>
      <w:r w:rsidRPr="00575FEE">
        <w:rPr>
          <w:rFonts w:ascii="微软雅黑" w:eastAsia="微软雅黑" w:hAnsi="微软雅黑" w:cs="宋体"/>
          <w:kern w:val="0"/>
          <w:sz w:val="24"/>
          <w:szCs w:val="24"/>
        </w:rPr>
        <w:t> M ）处理7天 。通过测量DNA含量（Hoechst染色）评估细胞增殖，结果以相对荧光单位表示。误差线表示三次重复实验的标准差。</w:t>
      </w:r>
    </w:p>
    <w:p w14:paraId="174F434B"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生长因子信号传导失调已成为他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和芳香化酶抑制剂（AI）治疗耐药的主要机制[ </w:t>
      </w:r>
      <w:hyperlink r:id="rId72" w:anchor="CR10" w:history="1">
        <w:r w:rsidRPr="00575FEE">
          <w:rPr>
            <w:rFonts w:ascii="微软雅黑" w:eastAsia="微软雅黑" w:hAnsi="微软雅黑" w:cs="宋体"/>
            <w:kern w:val="0"/>
            <w:sz w:val="24"/>
            <w:szCs w:val="24"/>
            <w:u w:val="single"/>
          </w:rPr>
          <w:t>10</w:t>
        </w:r>
      </w:hyperlink>
      <w:r w:rsidRPr="00575FEE">
        <w:rPr>
          <w:rFonts w:ascii="微软雅黑" w:eastAsia="微软雅黑" w:hAnsi="微软雅黑" w:cs="宋体"/>
          <w:kern w:val="0"/>
          <w:sz w:val="24"/>
          <w:szCs w:val="24"/>
        </w:rPr>
        <w:t> ]。这些信号通路的激活可改变他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等化合物的药理学特性，通过雌激素受体（ER）或其相关共调节蛋白的磷酸化，使其从拮抗剂转化为激动剂[4-7 </w:t>
      </w:r>
      <w:hyperlink r:id="rId73" w:anchor="CR7"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。本研究</w:t>
      </w:r>
      <w:r w:rsidRPr="00575FEE">
        <w:rPr>
          <w:rFonts w:ascii="微软雅黑" w:eastAsia="微软雅黑" w:hAnsi="微软雅黑" w:cs="宋体"/>
          <w:kern w:val="0"/>
          <w:sz w:val="24"/>
          <w:szCs w:val="24"/>
        </w:rPr>
        <w:fldChar w:fldCharType="begin"/>
      </w:r>
      <w:r w:rsidRPr="00575FEE">
        <w:rPr>
          <w:rFonts w:ascii="微软雅黑" w:eastAsia="微软雅黑" w:hAnsi="微软雅黑" w:cs="宋体"/>
          <w:kern w:val="0"/>
          <w:sz w:val="24"/>
          <w:szCs w:val="24"/>
        </w:rPr>
        <w:instrText xml:space="preserve"> HYPERLINK "https://pmc.ncbi.nlm.nih.gov/articles/PMC7103015/" \l "CR4" </w:instrText>
      </w:r>
      <w:r w:rsidRPr="00575FEE">
        <w:rPr>
          <w:rFonts w:ascii="微软雅黑" w:eastAsia="微软雅黑" w:hAnsi="微软雅黑" w:cs="宋体"/>
          <w:kern w:val="0"/>
          <w:sz w:val="24"/>
          <w:szCs w:val="24"/>
        </w:rPr>
        <w:fldChar w:fldCharType="separate"/>
      </w:r>
      <w:r w:rsidRPr="00575FEE">
        <w:rPr>
          <w:rFonts w:ascii="微软雅黑" w:eastAsia="微软雅黑" w:hAnsi="微软雅黑" w:cs="宋体"/>
          <w:kern w:val="0"/>
          <w:sz w:val="24"/>
          <w:szCs w:val="24"/>
          <w:u w:val="single"/>
        </w:rPr>
        <w:t>评估</w:t>
      </w:r>
      <w:r w:rsidRPr="00575FEE">
        <w:rPr>
          <w:rFonts w:ascii="微软雅黑" w:eastAsia="微软雅黑" w:hAnsi="微软雅黑" w:cs="宋体"/>
          <w:kern w:val="0"/>
          <w:sz w:val="24"/>
          <w:szCs w:val="24"/>
        </w:rPr>
        <w:fldChar w:fldCharType="end"/>
      </w:r>
      <w:r w:rsidRPr="00575FEE">
        <w:rPr>
          <w:rFonts w:ascii="微软雅黑" w:eastAsia="微软雅黑" w:hAnsi="微软雅黑" w:cs="宋体"/>
          <w:kern w:val="0"/>
          <w:sz w:val="24"/>
          <w:szCs w:val="24"/>
        </w:rPr>
        <w:t>了G1T48以及其他选择性雌激素受体调节剂（SERM）和选择性雌激素受体降解剂（SERD）抑制胰岛素</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导的MCF7细胞增殖的能力，MCF7细胞是内分泌治疗耐药的模型。具有SERD活性的化合物（包括G1T48）能有效阻断生长因子</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导的细胞生长，而具有SERM活性的化合物（例如4-羟基睾酮，4OHT）效果较差（图 </w:t>
      </w:r>
      <w:hyperlink r:id="rId74" w:anchor="Fig4" w:history="1">
        <w:r w:rsidRPr="00575FEE">
          <w:rPr>
            <w:rFonts w:ascii="微软雅黑" w:eastAsia="微软雅黑" w:hAnsi="微软雅黑" w:cs="宋体"/>
            <w:kern w:val="0"/>
            <w:sz w:val="24"/>
            <w:szCs w:val="24"/>
            <w:u w:val="single"/>
          </w:rPr>
          <w:t>4c</w:t>
        </w:r>
      </w:hyperlink>
      <w:r w:rsidRPr="00575FEE">
        <w:rPr>
          <w:rFonts w:ascii="微软雅黑" w:eastAsia="微软雅黑" w:hAnsi="微软雅黑" w:cs="宋体"/>
          <w:kern w:val="0"/>
          <w:sz w:val="24"/>
          <w:szCs w:val="24"/>
        </w:rPr>
        <w:t>）。这些数据共同支持G1T48在治疗具有生长因子通路激活的AI或他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耐药乳腺癌方面的潜在疗效</w:t>
      </w:r>
      <w:r w:rsidRPr="00575FEE">
        <w:rPr>
          <w:rFonts w:ascii="微软雅黑" w:eastAsia="微软雅黑" w:hAnsi="微软雅黑" w:cs="宋体"/>
          <w:i/>
          <w:iCs/>
          <w:kern w:val="0"/>
          <w:sz w:val="24"/>
          <w:szCs w:val="24"/>
        </w:rPr>
        <w:t>。</w:t>
      </w:r>
    </w:p>
    <w:p w14:paraId="56D56132"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利用雌激素依赖性和他</w:t>
      </w:r>
      <w:proofErr w:type="gramStart"/>
      <w:r w:rsidRPr="00575FEE">
        <w:rPr>
          <w:rFonts w:ascii="微软雅黑" w:eastAsia="微软雅黑" w:hAnsi="微软雅黑" w:cs="宋体"/>
          <w:kern w:val="0"/>
          <w:sz w:val="32"/>
          <w:szCs w:val="32"/>
        </w:rPr>
        <w:t>莫昔芬</w:t>
      </w:r>
      <w:proofErr w:type="gramEnd"/>
      <w:r w:rsidRPr="00575FEE">
        <w:rPr>
          <w:rFonts w:ascii="微软雅黑" w:eastAsia="微软雅黑" w:hAnsi="微软雅黑" w:cs="宋体"/>
          <w:kern w:val="0"/>
          <w:sz w:val="32"/>
          <w:szCs w:val="32"/>
        </w:rPr>
        <w:t>耐药（</w:t>
      </w:r>
      <w:proofErr w:type="spellStart"/>
      <w:r w:rsidRPr="00575FEE">
        <w:rPr>
          <w:rFonts w:ascii="微软雅黑" w:eastAsia="微软雅黑" w:hAnsi="微软雅黑" w:cs="宋体"/>
          <w:kern w:val="0"/>
          <w:sz w:val="32"/>
          <w:szCs w:val="32"/>
        </w:rPr>
        <w:t>TamR</w:t>
      </w:r>
      <w:proofErr w:type="spellEnd"/>
      <w:r w:rsidRPr="00575FEE">
        <w:rPr>
          <w:rFonts w:ascii="微软雅黑" w:eastAsia="微软雅黑" w:hAnsi="微软雅黑" w:cs="宋体"/>
          <w:kern w:val="0"/>
          <w:sz w:val="32"/>
          <w:szCs w:val="32"/>
        </w:rPr>
        <w:t>）乳腺癌异种移植模型评估SERD G1T48和CDK4/6抑制剂</w:t>
      </w:r>
      <w:proofErr w:type="spellStart"/>
      <w:r w:rsidRPr="00575FEE">
        <w:rPr>
          <w:rFonts w:ascii="微软雅黑" w:eastAsia="微软雅黑" w:hAnsi="微软雅黑" w:cs="宋体"/>
          <w:kern w:val="0"/>
          <w:sz w:val="32"/>
          <w:szCs w:val="32"/>
        </w:rPr>
        <w:t>lerociclib</w:t>
      </w:r>
      <w:proofErr w:type="spellEnd"/>
      <w:r w:rsidRPr="00575FEE">
        <w:rPr>
          <w:rFonts w:ascii="微软雅黑" w:eastAsia="微软雅黑" w:hAnsi="微软雅黑" w:cs="宋体"/>
          <w:kern w:val="0"/>
          <w:sz w:val="32"/>
          <w:szCs w:val="32"/>
        </w:rPr>
        <w:t>的体内治疗效果</w:t>
      </w:r>
    </w:p>
    <w:p w14:paraId="52FEA9E8"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接下来，我们评估了G1T48在ER阳性原发性和内分泌难治性乳腺癌模型中的体内治疗潜力。首先，我们评估了G1T48作为单药治疗或与CDK4/6抑制剂</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联合治疗对未接受过治疗的MCF7异种移植瘤生长的影响（图 </w:t>
      </w:r>
      <w:hyperlink r:id="rId75" w:anchor="Fig5" w:history="1">
        <w:r w:rsidRPr="00575FEE">
          <w:rPr>
            <w:rFonts w:ascii="微软雅黑" w:eastAsia="微软雅黑" w:hAnsi="微软雅黑" w:cs="宋体"/>
            <w:kern w:val="0"/>
            <w:sz w:val="24"/>
            <w:szCs w:val="24"/>
            <w:u w:val="single"/>
          </w:rPr>
          <w:t>5a</w:t>
        </w:r>
      </w:hyperlink>
      <w:r w:rsidRPr="00575FEE">
        <w:rPr>
          <w:rFonts w:ascii="微软雅黑" w:eastAsia="微软雅黑" w:hAnsi="微软雅黑" w:cs="宋体"/>
          <w:kern w:val="0"/>
          <w:sz w:val="24"/>
          <w:szCs w:val="24"/>
        </w:rPr>
        <w:t>）。</w:t>
      </w:r>
      <w:r w:rsidRPr="00575FEE">
        <w:rPr>
          <w:rFonts w:ascii="微软雅黑" w:eastAsia="微软雅黑" w:hAnsi="微软雅黑" w:cs="宋体"/>
          <w:kern w:val="0"/>
          <w:sz w:val="24"/>
          <w:szCs w:val="24"/>
        </w:rPr>
        <w:lastRenderedPageBreak/>
        <w:t>将卵巢切除并经雌激素处理的携带MCF7异种移植瘤的雌性nu/nu小鼠随机分为三组，分别接受载体、</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（50 mg/kg）和/或G1T48（30或100 mg/kg）治疗。G1T48治疗显示出剂量依赖性的肿瘤生长抑制作用。</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和G1T48联合治疗比任何一种单药治疗都更有效，表明联合用药具有额外的益处。研究结束时的肿瘤体积见在线资源8。</w:t>
      </w:r>
    </w:p>
    <w:p w14:paraId="0EC914F5"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 5。</w:t>
      </w:r>
    </w:p>
    <w:p w14:paraId="5335AF27" w14:textId="2CD1BEA6"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drawing>
          <wp:inline distT="0" distB="0" distL="0" distR="0" wp14:anchorId="44C49D02" wp14:editId="4C77D922">
            <wp:extent cx="5274310" cy="2767330"/>
            <wp:effectExtent l="0" t="0" r="2540" b="0"/>
            <wp:docPr id="3" name="图片 3" descr="图 5">
              <a:hlinkClick xmlns:a="http://schemas.openxmlformats.org/drawingml/2006/main" r:id="rId7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5" descr="图 5">
                      <a:hlinkClick r:id="rId76" tgtFrame="&quot;_blank&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4310" cy="2767330"/>
                    </a:xfrm>
                    <a:prstGeom prst="rect">
                      <a:avLst/>
                    </a:prstGeom>
                    <a:noFill/>
                    <a:ln>
                      <a:noFill/>
                    </a:ln>
                  </pic:spPr>
                </pic:pic>
              </a:graphicData>
            </a:graphic>
          </wp:inline>
        </w:drawing>
      </w:r>
    </w:p>
    <w:p w14:paraId="420A1377"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t xml:space="preserve">G1T48 与 CDK4/6 抑制剂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的联合策略可抑制体内雌激素依赖性和他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耐药 (</w:t>
      </w: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 乳腺癌异种移植模型。将卵巢切除并</w:t>
      </w:r>
      <w:r w:rsidRPr="00575FEE">
        <w:rPr>
          <w:rFonts w:ascii="微软雅黑" w:eastAsia="微软雅黑" w:hAnsi="微软雅黑" w:cs="宋体"/>
          <w:b/>
          <w:bCs/>
          <w:kern w:val="0"/>
          <w:sz w:val="24"/>
          <w:szCs w:val="24"/>
        </w:rPr>
        <w:t>经</w:t>
      </w:r>
      <w:r w:rsidRPr="00575FEE">
        <w:rPr>
          <w:rFonts w:ascii="微软雅黑" w:eastAsia="微软雅黑" w:hAnsi="微软雅黑" w:cs="宋体"/>
          <w:kern w:val="0"/>
          <w:sz w:val="24"/>
          <w:szCs w:val="24"/>
        </w:rPr>
        <w:t>雌激素处理的携带 MCF7 异种移植瘤的雌性 nu/nu 小鼠随机分为三组，分别接受赋形剂、</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(50 mg/kg) 或 G1T48 (30 或 100 mg/kg) 治疗，单药或联合治疗，每日口服一次，持续 28 天。对整个治疗期间的平均肿瘤体积进行</w:t>
      </w:r>
      <w:proofErr w:type="gramStart"/>
      <w:r w:rsidRPr="00575FEE">
        <w:rPr>
          <w:rFonts w:ascii="微软雅黑" w:eastAsia="微软雅黑" w:hAnsi="微软雅黑" w:cs="宋体"/>
          <w:kern w:val="0"/>
          <w:sz w:val="24"/>
          <w:szCs w:val="24"/>
        </w:rPr>
        <w:t>双因素</w:t>
      </w:r>
      <w:proofErr w:type="gramEnd"/>
      <w:r w:rsidRPr="00575FEE">
        <w:rPr>
          <w:rFonts w:ascii="微软雅黑" w:eastAsia="微软雅黑" w:hAnsi="微软雅黑" w:cs="宋体"/>
          <w:kern w:val="0"/>
          <w:sz w:val="24"/>
          <w:szCs w:val="24"/>
        </w:rPr>
        <w:t xml:space="preserve">方差分析 (ANOVA)，并进行 Bonferroni 多重比较检验，结果表明所有治疗均能显著抑制肿瘤生长，且 G1T48 (30 mg/kg) 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(50 mg/kg) 联合治疗的疗效更佳。误差线代表标准误 (SEM)。</w:t>
      </w:r>
      <w:r w:rsidRPr="00575FEE">
        <w:rPr>
          <w:rFonts w:ascii="微软雅黑" w:eastAsia="微软雅黑" w:hAnsi="微软雅黑" w:cs="宋体"/>
          <w:b/>
          <w:bCs/>
          <w:kern w:val="0"/>
          <w:sz w:val="24"/>
          <w:szCs w:val="24"/>
        </w:rPr>
        <w:t>b–d</w:t>
      </w:r>
      <w:r w:rsidRPr="00575FEE">
        <w:rPr>
          <w:rFonts w:ascii="微软雅黑" w:eastAsia="微软雅黑" w:hAnsi="微软雅黑" w:cs="宋体"/>
          <w:kern w:val="0"/>
          <w:sz w:val="24"/>
          <w:szCs w:val="24"/>
        </w:rPr>
        <w:t>卵巢切除后，用他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治疗的携</w:t>
      </w:r>
      <w:r w:rsidRPr="00575FEE">
        <w:rPr>
          <w:rFonts w:ascii="微软雅黑" w:eastAsia="微软雅黑" w:hAnsi="微软雅黑" w:cs="宋体"/>
          <w:kern w:val="0"/>
          <w:sz w:val="24"/>
          <w:szCs w:val="24"/>
        </w:rPr>
        <w:lastRenderedPageBreak/>
        <w:t xml:space="preserve">带 </w:t>
      </w: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 xml:space="preserve"> 异种移植瘤的雌性 nu/nu 小鼠被随机分为四组，分别接受赋形剂、帕博西尼（100 mg/kg）、勒罗西尼（50 或 100 mg/kg）（</w:t>
      </w:r>
      <w:r w:rsidRPr="00575FEE">
        <w:rPr>
          <w:rFonts w:ascii="微软雅黑" w:eastAsia="微软雅黑" w:hAnsi="微软雅黑" w:cs="宋体"/>
          <w:b/>
          <w:bCs/>
          <w:kern w:val="0"/>
          <w:sz w:val="24"/>
          <w:szCs w:val="24"/>
        </w:rPr>
        <w:t>b</w:t>
      </w:r>
      <w:r w:rsidRPr="00575FEE">
        <w:rPr>
          <w:rFonts w:ascii="微软雅黑" w:eastAsia="微软雅黑" w:hAnsi="微软雅黑" w:cs="宋体"/>
          <w:kern w:val="0"/>
          <w:sz w:val="24"/>
          <w:szCs w:val="24"/>
        </w:rPr>
        <w:t>）、</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（200 mg/kg）或 G1T48（30 或 100 mg/kg）（</w:t>
      </w:r>
      <w:r w:rsidRPr="00575FEE">
        <w:rPr>
          <w:rFonts w:ascii="微软雅黑" w:eastAsia="微软雅黑" w:hAnsi="微软雅黑" w:cs="宋体"/>
          <w:b/>
          <w:bCs/>
          <w:kern w:val="0"/>
          <w:sz w:val="24"/>
          <w:szCs w:val="24"/>
        </w:rPr>
        <w:t>c</w:t>
      </w:r>
      <w:r w:rsidRPr="00575FEE">
        <w:rPr>
          <w:rFonts w:ascii="微软雅黑" w:eastAsia="微软雅黑" w:hAnsi="微软雅黑" w:cs="宋体"/>
          <w:kern w:val="0"/>
          <w:sz w:val="24"/>
          <w:szCs w:val="24"/>
        </w:rPr>
        <w:t>）治疗，其中勒罗西尼和 G1T48 单独使用以及联合使用（</w:t>
      </w:r>
      <w:r w:rsidRPr="00575FEE">
        <w:rPr>
          <w:rFonts w:ascii="微软雅黑" w:eastAsia="微软雅黑" w:hAnsi="微软雅黑" w:cs="宋体"/>
          <w:b/>
          <w:bCs/>
          <w:kern w:val="0"/>
          <w:sz w:val="24"/>
          <w:szCs w:val="24"/>
        </w:rPr>
        <w:t>d</w:t>
      </w:r>
      <w:r w:rsidRPr="00575FEE">
        <w:rPr>
          <w:rFonts w:ascii="微软雅黑" w:eastAsia="微软雅黑" w:hAnsi="微软雅黑" w:cs="宋体"/>
          <w:kern w:val="0"/>
          <w:sz w:val="24"/>
          <w:szCs w:val="24"/>
        </w:rPr>
        <w:t>）进行测试，每日口服给药，持续 28 天。对整个治疗期间的平均肿瘤体积进行</w:t>
      </w:r>
      <w:proofErr w:type="gramStart"/>
      <w:r w:rsidRPr="00575FEE">
        <w:rPr>
          <w:rFonts w:ascii="微软雅黑" w:eastAsia="微软雅黑" w:hAnsi="微软雅黑" w:cs="宋体"/>
          <w:kern w:val="0"/>
          <w:sz w:val="24"/>
          <w:szCs w:val="24"/>
        </w:rPr>
        <w:t>双因素</w:t>
      </w:r>
      <w:proofErr w:type="gramEnd"/>
      <w:r w:rsidRPr="00575FEE">
        <w:rPr>
          <w:rFonts w:ascii="微软雅黑" w:eastAsia="微软雅黑" w:hAnsi="微软雅黑" w:cs="宋体"/>
          <w:kern w:val="0"/>
          <w:sz w:val="24"/>
          <w:szCs w:val="24"/>
        </w:rPr>
        <w:t>方差分析，然后进行 Bonferroni 多重比较检验，结果表明所有治疗均能显著抑制肿瘤生长，并且 G1T48（30 mg/kg）与勒罗西尼联合用药的疗效更佳。误差线代表标准误 (SEM)。</w:t>
      </w:r>
    </w:p>
    <w:p w14:paraId="17998DD5" w14:textId="77777777" w:rsidR="00575FEE" w:rsidRPr="00575FEE" w:rsidRDefault="00575FEE" w:rsidP="00575FEE">
      <w:pPr>
        <w:widowControl/>
        <w:spacing w:before="450"/>
        <w:rPr>
          <w:rFonts w:ascii="微软雅黑" w:eastAsia="微软雅黑" w:hAnsi="微软雅黑" w:cs="宋体"/>
          <w:kern w:val="0"/>
          <w:sz w:val="24"/>
          <w:szCs w:val="24"/>
        </w:rPr>
      </w:pP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异种移植模型表现出他</w:t>
      </w:r>
      <w:proofErr w:type="gramStart"/>
      <w:r w:rsidRPr="00575FEE">
        <w:rPr>
          <w:rFonts w:ascii="微软雅黑" w:eastAsia="微软雅黑" w:hAnsi="微软雅黑" w:cs="宋体"/>
          <w:kern w:val="0"/>
          <w:sz w:val="24"/>
          <w:szCs w:val="24"/>
        </w:rPr>
        <w:t>莫昔芬刺激</w:t>
      </w:r>
      <w:proofErr w:type="gramEnd"/>
      <w:r w:rsidRPr="00575FEE">
        <w:rPr>
          <w:rFonts w:ascii="微软雅黑" w:eastAsia="微软雅黑" w:hAnsi="微软雅黑" w:cs="宋体"/>
          <w:kern w:val="0"/>
          <w:sz w:val="24"/>
          <w:szCs w:val="24"/>
        </w:rPr>
        <w:t>的生长，这种生长可被具有SERD活性的化合物抑制，且与CDK4/6抑制剂联合使用时效果更佳[ </w:t>
      </w:r>
      <w:hyperlink r:id="rId78" w:anchor="CR52" w:history="1">
        <w:r w:rsidRPr="00575FEE">
          <w:rPr>
            <w:rFonts w:ascii="微软雅黑" w:eastAsia="微软雅黑" w:hAnsi="微软雅黑" w:cs="宋体"/>
            <w:kern w:val="0"/>
            <w:sz w:val="24"/>
            <w:szCs w:val="24"/>
            <w:u w:val="single"/>
          </w:rPr>
          <w:t>52</w:t>
        </w:r>
      </w:hyperlink>
      <w:r w:rsidRPr="00575FEE">
        <w:rPr>
          <w:rFonts w:ascii="微软雅黑" w:eastAsia="微软雅黑" w:hAnsi="微软雅黑" w:cs="宋体"/>
          <w:kern w:val="0"/>
          <w:sz w:val="24"/>
          <w:szCs w:val="24"/>
        </w:rPr>
        <w:t> ]。因此，将卵巢切除并经他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治疗的携带</w:t>
      </w: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异种移植瘤的小鼠随机分为三组，分别接受</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（50 mg/kg或100 mg/kg）、G1T48（30 mg/kg或100 mg/kg）、</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（200 mg/kg）或CDK4/6抑制剂</w:t>
      </w:r>
      <w:proofErr w:type="spellStart"/>
      <w:r w:rsidRPr="00575FEE">
        <w:rPr>
          <w:rFonts w:ascii="微软雅黑" w:eastAsia="微软雅黑" w:hAnsi="微软雅黑" w:cs="宋体"/>
          <w:kern w:val="0"/>
          <w:sz w:val="24"/>
          <w:szCs w:val="24"/>
        </w:rPr>
        <w:t>palbociclib</w:t>
      </w:r>
      <w:proofErr w:type="spellEnd"/>
      <w:r w:rsidRPr="00575FEE">
        <w:rPr>
          <w:rFonts w:ascii="微软雅黑" w:eastAsia="微软雅黑" w:hAnsi="微软雅黑" w:cs="宋体"/>
          <w:kern w:val="0"/>
          <w:sz w:val="24"/>
          <w:szCs w:val="24"/>
        </w:rPr>
        <w:t>（100 mg/kg）单药治疗，或</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（50 mg/kg）联合G1T48（30或100 mg/kg）治疗。在该模型系统中，</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的疗效与机制相同的临床对照药物</w:t>
      </w:r>
      <w:proofErr w:type="spellStart"/>
      <w:r w:rsidRPr="00575FEE">
        <w:rPr>
          <w:rFonts w:ascii="微软雅黑" w:eastAsia="微软雅黑" w:hAnsi="微软雅黑" w:cs="宋体"/>
          <w:kern w:val="0"/>
          <w:sz w:val="24"/>
          <w:szCs w:val="24"/>
        </w:rPr>
        <w:t>palbociclib</w:t>
      </w:r>
      <w:proofErr w:type="spellEnd"/>
      <w:r w:rsidRPr="00575FEE">
        <w:rPr>
          <w:rFonts w:ascii="微软雅黑" w:eastAsia="微软雅黑" w:hAnsi="微软雅黑" w:cs="宋体"/>
          <w:kern w:val="0"/>
          <w:sz w:val="24"/>
          <w:szCs w:val="24"/>
        </w:rPr>
        <w:t>相当（图 </w:t>
      </w:r>
      <w:hyperlink r:id="rId79" w:anchor="Fig5" w:history="1">
        <w:r w:rsidRPr="00575FEE">
          <w:rPr>
            <w:rFonts w:ascii="微软雅黑" w:eastAsia="微软雅黑" w:hAnsi="微软雅黑" w:cs="宋体"/>
            <w:kern w:val="0"/>
            <w:sz w:val="24"/>
            <w:szCs w:val="24"/>
            <w:u w:val="single"/>
          </w:rPr>
          <w:t>5b</w:t>
        </w:r>
      </w:hyperlink>
      <w:r w:rsidRPr="00575FEE">
        <w:rPr>
          <w:rFonts w:ascii="微软雅黑" w:eastAsia="微软雅黑" w:hAnsi="微软雅黑" w:cs="宋体"/>
          <w:kern w:val="0"/>
          <w:sz w:val="24"/>
          <w:szCs w:val="24"/>
        </w:rPr>
        <w:t xml:space="preserve">）。研究发现，G1T48 能以剂量依赖的方式抑制 </w:t>
      </w: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 xml:space="preserve"> 肿瘤的生长（图 </w:t>
      </w:r>
      <w:hyperlink r:id="rId80" w:anchor="Fig5" w:history="1">
        <w:r w:rsidRPr="00575FEE">
          <w:rPr>
            <w:rFonts w:ascii="微软雅黑" w:eastAsia="微软雅黑" w:hAnsi="微软雅黑" w:cs="宋体"/>
            <w:kern w:val="0"/>
            <w:sz w:val="24"/>
            <w:szCs w:val="24"/>
            <w:u w:val="single"/>
          </w:rPr>
          <w:t>5c</w:t>
        </w:r>
      </w:hyperlink>
      <w:r w:rsidRPr="00575FEE">
        <w:rPr>
          <w:rFonts w:ascii="微软雅黑" w:eastAsia="微软雅黑" w:hAnsi="微软雅黑" w:cs="宋体"/>
          <w:kern w:val="0"/>
          <w:sz w:val="24"/>
          <w:szCs w:val="24"/>
        </w:rPr>
        <w:t>），但其疗效低于</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。有趣的是，尽管 G1T48 对肿瘤生长的抑制作用不如</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 xml:space="preserve">，但其治疗却能更有效地下调肿瘤内 ER 水平（在线资源 8）。最后，将 G1T48 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联合使用（使用</w:t>
      </w:r>
      <w:proofErr w:type="gramStart"/>
      <w:r w:rsidRPr="00575FEE">
        <w:rPr>
          <w:rFonts w:ascii="微软雅黑" w:eastAsia="微软雅黑" w:hAnsi="微软雅黑" w:cs="宋体"/>
          <w:kern w:val="0"/>
          <w:sz w:val="24"/>
          <w:szCs w:val="24"/>
        </w:rPr>
        <w:t>亚最佳</w:t>
      </w:r>
      <w:proofErr w:type="gramEnd"/>
      <w:r w:rsidRPr="00575FEE">
        <w:rPr>
          <w:rFonts w:ascii="微软雅黑" w:eastAsia="微软雅黑" w:hAnsi="微软雅黑" w:cs="宋体"/>
          <w:kern w:val="0"/>
          <w:sz w:val="24"/>
          <w:szCs w:val="24"/>
        </w:rPr>
        <w:t>剂量），其肿瘤生长抑制效果显著优于任何一种化合物单独使用时的抑制效果（图 </w:t>
      </w:r>
      <w:hyperlink r:id="rId81" w:anchor="Fig5" w:history="1">
        <w:r w:rsidRPr="00575FEE">
          <w:rPr>
            <w:rFonts w:ascii="微软雅黑" w:eastAsia="微软雅黑" w:hAnsi="微软雅黑" w:cs="宋体"/>
            <w:kern w:val="0"/>
            <w:sz w:val="24"/>
            <w:szCs w:val="24"/>
            <w:u w:val="single"/>
          </w:rPr>
          <w:t>5d</w:t>
        </w:r>
      </w:hyperlink>
      <w:r w:rsidRPr="00575FEE">
        <w:rPr>
          <w:rFonts w:ascii="微软雅黑" w:eastAsia="微软雅黑" w:hAnsi="微软雅黑" w:cs="宋体"/>
          <w:kern w:val="0"/>
          <w:sz w:val="24"/>
          <w:szCs w:val="24"/>
        </w:rPr>
        <w:t>）。研究结束时的肿瘤体积见在线资源 10。如在线资源 11 所示，本研究中的治疗方案对小鼠体重的影响不大。</w:t>
      </w:r>
    </w:p>
    <w:p w14:paraId="78E2D06F"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lastRenderedPageBreak/>
        <w:t>在体内雌激素剥夺耐药异种移植瘤模型中评估</w:t>
      </w:r>
      <w:proofErr w:type="spellStart"/>
      <w:r w:rsidRPr="00575FEE">
        <w:rPr>
          <w:rFonts w:ascii="微软雅黑" w:eastAsia="微软雅黑" w:hAnsi="微软雅黑" w:cs="宋体"/>
          <w:kern w:val="0"/>
          <w:sz w:val="32"/>
          <w:szCs w:val="32"/>
        </w:rPr>
        <w:t>lerociclib</w:t>
      </w:r>
      <w:proofErr w:type="spellEnd"/>
      <w:r w:rsidRPr="00575FEE">
        <w:rPr>
          <w:rFonts w:ascii="微软雅黑" w:eastAsia="微软雅黑" w:hAnsi="微软雅黑" w:cs="宋体"/>
          <w:kern w:val="0"/>
          <w:sz w:val="32"/>
          <w:szCs w:val="32"/>
        </w:rPr>
        <w:t>和G1T48联合用药的疗效</w:t>
      </w:r>
    </w:p>
    <w:p w14:paraId="30632B09"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尽管芳香化酶抑制剂（AIs）在辅助治疗领域得到了迅速应用</w:t>
      </w:r>
      <w:r w:rsidRPr="00575FEE">
        <w:rPr>
          <w:rFonts w:ascii="微软雅黑" w:eastAsia="微软雅黑" w:hAnsi="微软雅黑" w:cs="宋体"/>
          <w:i/>
          <w:iCs/>
          <w:kern w:val="0"/>
          <w:sz w:val="24"/>
          <w:szCs w:val="24"/>
        </w:rPr>
        <w:t>，但</w:t>
      </w:r>
      <w:r w:rsidRPr="00575FEE">
        <w:rPr>
          <w:rFonts w:ascii="微软雅黑" w:eastAsia="微软雅黑" w:hAnsi="微软雅黑" w:cs="宋体"/>
          <w:kern w:val="0"/>
          <w:sz w:val="24"/>
          <w:szCs w:val="24"/>
        </w:rPr>
        <w:t>原发性和获得性耐药仍然是维持临床疗效的一大障碍。我们开发了一种雌激素受体阳性（ER阳性）的芳香化酶耐药模型，称为长期雌激素剥夺（LTED）模型，用于模拟这种临床情况[ </w:t>
      </w:r>
      <w:hyperlink r:id="rId82" w:anchor="CR53" w:history="1">
        <w:r w:rsidRPr="00575FEE">
          <w:rPr>
            <w:rFonts w:ascii="微软雅黑" w:eastAsia="微软雅黑" w:hAnsi="微软雅黑" w:cs="宋体"/>
            <w:kern w:val="0"/>
            <w:sz w:val="24"/>
            <w:szCs w:val="24"/>
            <w:u w:val="single"/>
          </w:rPr>
          <w:t>53</w:t>
        </w:r>
      </w:hyperlink>
      <w:r w:rsidRPr="00575FEE">
        <w:rPr>
          <w:rFonts w:ascii="微软雅黑" w:eastAsia="微软雅黑" w:hAnsi="微软雅黑" w:cs="宋体"/>
          <w:kern w:val="0"/>
          <w:sz w:val="24"/>
          <w:szCs w:val="24"/>
        </w:rPr>
        <w:t> ]。为了评估</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和G1T48在该模型系统中的联合疗效，我们在卵巢切除的雌性裸鼠（nu/nu）体内原位建立了LTED异种移植瘤。当肿瘤体积达到0.1–0.15 cm³时</w:t>
      </w:r>
      <w:r w:rsidRPr="00575FEE">
        <w:rPr>
          <w:rFonts w:ascii="微软雅黑" w:eastAsia="微软雅黑" w:hAnsi="微软雅黑" w:cs="宋体"/>
          <w:kern w:val="0"/>
          <w:sz w:val="24"/>
          <w:szCs w:val="24"/>
          <w:vertAlign w:val="superscript"/>
        </w:rPr>
        <w:t>，</w:t>
      </w:r>
      <w:r w:rsidRPr="00575FEE">
        <w:rPr>
          <w:rFonts w:ascii="微软雅黑" w:eastAsia="微软雅黑" w:hAnsi="微软雅黑" w:cs="宋体"/>
          <w:kern w:val="0"/>
          <w:sz w:val="24"/>
          <w:szCs w:val="24"/>
        </w:rPr>
        <w:t>分别单独或联合使用G1T48（5 mg/kg或100 mg/kg）和</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（50 mg/kg或100 mg/kg），并以</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（25 mg/kg）和帕博西尼（100 mg/kg）作为对照。与之前在MCF7亲代细胞和</w:t>
      </w:r>
      <w:proofErr w:type="spellStart"/>
      <w:r w:rsidRPr="00575FEE">
        <w:rPr>
          <w:rFonts w:ascii="微软雅黑" w:eastAsia="微软雅黑" w:hAnsi="微软雅黑" w:cs="宋体"/>
          <w:kern w:val="0"/>
          <w:sz w:val="24"/>
          <w:szCs w:val="24"/>
        </w:rPr>
        <w:t>TamR</w:t>
      </w:r>
      <w:proofErr w:type="spellEnd"/>
      <w:r w:rsidRPr="00575FEE">
        <w:rPr>
          <w:rFonts w:ascii="微软雅黑" w:eastAsia="微软雅黑" w:hAnsi="微软雅黑" w:cs="宋体"/>
          <w:kern w:val="0"/>
          <w:sz w:val="24"/>
          <w:szCs w:val="24"/>
        </w:rPr>
        <w:t>模型中观察到的结果一致，G1T48表现出剂量依赖性的肿瘤生长抑制作用（图 </w:t>
      </w:r>
      <w:hyperlink r:id="rId83" w:anchor="Fig6" w:history="1">
        <w:r w:rsidRPr="00575FEE">
          <w:rPr>
            <w:rFonts w:ascii="微软雅黑" w:eastAsia="微软雅黑" w:hAnsi="微软雅黑" w:cs="宋体"/>
            <w:kern w:val="0"/>
            <w:sz w:val="24"/>
            <w:szCs w:val="24"/>
            <w:u w:val="single"/>
          </w:rPr>
          <w:t>6a</w:t>
        </w:r>
      </w:hyperlink>
      <w:r w:rsidRPr="00575FEE">
        <w:rPr>
          <w:rFonts w:ascii="微软雅黑" w:eastAsia="微软雅黑" w:hAnsi="微软雅黑" w:cs="宋体"/>
          <w:kern w:val="0"/>
          <w:sz w:val="24"/>
          <w:szCs w:val="24"/>
        </w:rPr>
        <w:t>）。此外，G1T48联合</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治疗后的肿瘤生长抑制效果与相应的临床对照药物（分别为</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和帕博西尼）相当（图 </w:t>
      </w:r>
      <w:hyperlink r:id="rId84" w:anchor="Fig6" w:history="1">
        <w:r w:rsidRPr="00575FEE">
          <w:rPr>
            <w:rFonts w:ascii="微软雅黑" w:eastAsia="微软雅黑" w:hAnsi="微软雅黑" w:cs="宋体"/>
            <w:kern w:val="0"/>
            <w:sz w:val="24"/>
            <w:szCs w:val="24"/>
            <w:u w:val="single"/>
          </w:rPr>
          <w:t>6b</w:t>
        </w:r>
      </w:hyperlink>
      <w:r w:rsidRPr="00575FEE">
        <w:rPr>
          <w:rFonts w:ascii="微软雅黑" w:eastAsia="微软雅黑" w:hAnsi="微软雅黑" w:cs="宋体"/>
          <w:kern w:val="0"/>
          <w:sz w:val="24"/>
          <w:szCs w:val="24"/>
        </w:rPr>
        <w:t>）。与单药治疗相比，G1T48联合</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显著抑制了肿瘤生长（图 </w:t>
      </w:r>
      <w:hyperlink r:id="rId85" w:anchor="Fig6" w:history="1">
        <w:r w:rsidRPr="00575FEE">
          <w:rPr>
            <w:rFonts w:ascii="微软雅黑" w:eastAsia="微软雅黑" w:hAnsi="微软雅黑" w:cs="宋体"/>
            <w:kern w:val="0"/>
            <w:sz w:val="24"/>
            <w:szCs w:val="24"/>
            <w:u w:val="single"/>
          </w:rPr>
          <w:t>6c</w:t>
        </w:r>
      </w:hyperlink>
      <w:r w:rsidRPr="00575FEE">
        <w:rPr>
          <w:rFonts w:ascii="微软雅黑" w:eastAsia="微软雅黑" w:hAnsi="微软雅黑" w:cs="宋体"/>
          <w:kern w:val="0"/>
          <w:sz w:val="24"/>
          <w:szCs w:val="24"/>
        </w:rPr>
        <w:t>），并且大多数接受联合治疗的肿瘤出现消退。研究结束时的肿瘤体积见在线资源12。</w:t>
      </w:r>
    </w:p>
    <w:p w14:paraId="6776C3B8"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 6。</w:t>
      </w:r>
    </w:p>
    <w:p w14:paraId="523F66AC" w14:textId="578B9401"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drawing>
          <wp:inline distT="0" distB="0" distL="0" distR="0" wp14:anchorId="45C82094" wp14:editId="46A58928">
            <wp:extent cx="5274310" cy="1572260"/>
            <wp:effectExtent l="0" t="0" r="2540" b="8890"/>
            <wp:docPr id="2" name="图片 2" descr="图 6">
              <a:hlinkClick xmlns:a="http://schemas.openxmlformats.org/drawingml/2006/main" r:id="rId8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6" descr="图 6">
                      <a:hlinkClick r:id="rId86" tgtFrame="&quot;_blank&quot;"/>
                    </pic:cNvP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274310" cy="1572260"/>
                    </a:xfrm>
                    <a:prstGeom prst="rect">
                      <a:avLst/>
                    </a:prstGeom>
                    <a:noFill/>
                    <a:ln>
                      <a:noFill/>
                    </a:ln>
                  </pic:spPr>
                </pic:pic>
              </a:graphicData>
            </a:graphic>
          </wp:inline>
        </w:drawing>
      </w:r>
    </w:p>
    <w:p w14:paraId="337D0F38"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lastRenderedPageBreak/>
        <w:t xml:space="preserve">在雌激素剥夺的异种移植瘤模型中，G1T48 与 CDK4/6 抑制剂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联合治疗的体内策略。将卵巢切除后携带 LTED 异种移植瘤的雌性 nu/nu 小鼠随机分为三组，分别接受载体、</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（50 或 100 mg/kg）或 </w:t>
      </w:r>
      <w:proofErr w:type="spellStart"/>
      <w:r w:rsidRPr="00575FEE">
        <w:rPr>
          <w:rFonts w:ascii="微软雅黑" w:eastAsia="微软雅黑" w:hAnsi="微软雅黑" w:cs="宋体"/>
          <w:kern w:val="0"/>
          <w:sz w:val="24"/>
          <w:szCs w:val="24"/>
        </w:rPr>
        <w:t>palbociclib</w:t>
      </w:r>
      <w:proofErr w:type="spellEnd"/>
      <w:r w:rsidRPr="00575FEE">
        <w:rPr>
          <w:rFonts w:ascii="微软雅黑" w:eastAsia="微软雅黑" w:hAnsi="微软雅黑" w:cs="宋体"/>
          <w:kern w:val="0"/>
          <w:sz w:val="24"/>
          <w:szCs w:val="24"/>
        </w:rPr>
        <w:t>（100 mg/kg）（</w:t>
      </w:r>
      <w:r w:rsidRPr="00575FEE">
        <w:rPr>
          <w:rFonts w:ascii="微软雅黑" w:eastAsia="微软雅黑" w:hAnsi="微软雅黑" w:cs="宋体"/>
          <w:b/>
          <w:bCs/>
          <w:kern w:val="0"/>
          <w:sz w:val="24"/>
          <w:szCs w:val="24"/>
        </w:rPr>
        <w:t>a</w:t>
      </w:r>
      <w:r w:rsidRPr="00575FEE">
        <w:rPr>
          <w:rFonts w:ascii="微软雅黑" w:eastAsia="微软雅黑" w:hAnsi="微软雅黑" w:cs="宋体"/>
          <w:kern w:val="0"/>
          <w:sz w:val="24"/>
          <w:szCs w:val="24"/>
        </w:rPr>
        <w:t xml:space="preserve">）、G1T48（5 或 100 mg/kg）或 </w:t>
      </w:r>
      <w:proofErr w:type="spellStart"/>
      <w:r w:rsidRPr="00575FEE">
        <w:rPr>
          <w:rFonts w:ascii="微软雅黑" w:eastAsia="微软雅黑" w:hAnsi="微软雅黑" w:cs="宋体"/>
          <w:kern w:val="0"/>
          <w:sz w:val="24"/>
          <w:szCs w:val="24"/>
        </w:rPr>
        <w:t>fulvestrant</w:t>
      </w:r>
      <w:proofErr w:type="spellEnd"/>
      <w:r w:rsidRPr="00575FEE">
        <w:rPr>
          <w:rFonts w:ascii="微软雅黑" w:eastAsia="微软雅黑" w:hAnsi="微软雅黑" w:cs="宋体"/>
          <w:kern w:val="0"/>
          <w:sz w:val="24"/>
          <w:szCs w:val="24"/>
        </w:rPr>
        <w:t>（25 mg/kg）（</w:t>
      </w:r>
      <w:r w:rsidRPr="00575FEE">
        <w:rPr>
          <w:rFonts w:ascii="微软雅黑" w:eastAsia="微软雅黑" w:hAnsi="微软雅黑" w:cs="宋体"/>
          <w:b/>
          <w:bCs/>
          <w:kern w:val="0"/>
          <w:sz w:val="24"/>
          <w:szCs w:val="24"/>
        </w:rPr>
        <w:t>b</w:t>
      </w:r>
      <w:r w:rsidRPr="00575FEE">
        <w:rPr>
          <w:rFonts w:ascii="微软雅黑" w:eastAsia="微软雅黑" w:hAnsi="微软雅黑" w:cs="宋体"/>
          <w:kern w:val="0"/>
          <w:sz w:val="24"/>
          <w:szCs w:val="24"/>
        </w:rPr>
        <w:t>）单药或联合治疗（</w:t>
      </w:r>
      <w:r w:rsidRPr="00575FEE">
        <w:rPr>
          <w:rFonts w:ascii="微软雅黑" w:eastAsia="微软雅黑" w:hAnsi="微软雅黑" w:cs="宋体"/>
          <w:b/>
          <w:bCs/>
          <w:kern w:val="0"/>
          <w:sz w:val="24"/>
          <w:szCs w:val="24"/>
        </w:rPr>
        <w:t>c</w:t>
      </w:r>
      <w:r w:rsidRPr="00575FEE">
        <w:rPr>
          <w:rFonts w:ascii="微软雅黑" w:eastAsia="微软雅黑" w:hAnsi="微软雅黑" w:cs="宋体"/>
          <w:kern w:val="0"/>
          <w:sz w:val="24"/>
          <w:szCs w:val="24"/>
        </w:rPr>
        <w:t>），每日口服给药，持续 28 天。对整个治疗期间的平均肿瘤体积进行</w:t>
      </w:r>
      <w:proofErr w:type="gramStart"/>
      <w:r w:rsidRPr="00575FEE">
        <w:rPr>
          <w:rFonts w:ascii="微软雅黑" w:eastAsia="微软雅黑" w:hAnsi="微软雅黑" w:cs="宋体"/>
          <w:kern w:val="0"/>
          <w:sz w:val="24"/>
          <w:szCs w:val="24"/>
        </w:rPr>
        <w:t>双因素</w:t>
      </w:r>
      <w:proofErr w:type="gramEnd"/>
      <w:r w:rsidRPr="00575FEE">
        <w:rPr>
          <w:rFonts w:ascii="微软雅黑" w:eastAsia="微软雅黑" w:hAnsi="微软雅黑" w:cs="宋体"/>
          <w:kern w:val="0"/>
          <w:sz w:val="24"/>
          <w:szCs w:val="24"/>
        </w:rPr>
        <w:t xml:space="preserve">方差分析，并进行 Bonferroni 多重比较检验，结果表明所有治疗均能显著抑制肿瘤生长，且 G1T48（30 mg/kg）与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联合用药的疗效更佳。误差线代表标准误 (SEM)。</w:t>
      </w:r>
    </w:p>
    <w:p w14:paraId="5FBD94B5" w14:textId="77777777" w:rsidR="00575FEE" w:rsidRPr="00575FEE" w:rsidRDefault="00575FEE" w:rsidP="00575FEE">
      <w:pPr>
        <w:widowControl/>
        <w:spacing w:line="450" w:lineRule="atLeast"/>
        <w:outlineLvl w:val="2"/>
        <w:rPr>
          <w:rFonts w:ascii="微软雅黑" w:eastAsia="微软雅黑" w:hAnsi="微软雅黑" w:cs="宋体"/>
          <w:kern w:val="0"/>
          <w:sz w:val="32"/>
          <w:szCs w:val="32"/>
        </w:rPr>
      </w:pPr>
      <w:r w:rsidRPr="00575FEE">
        <w:rPr>
          <w:rFonts w:ascii="微软雅黑" w:eastAsia="微软雅黑" w:hAnsi="微软雅黑" w:cs="宋体"/>
          <w:kern w:val="0"/>
          <w:sz w:val="32"/>
          <w:szCs w:val="32"/>
        </w:rPr>
        <w:t xml:space="preserve">在携带 ER-Y537S 突变的患者来源异种移植模型中评估 </w:t>
      </w:r>
      <w:proofErr w:type="spellStart"/>
      <w:r w:rsidRPr="00575FEE">
        <w:rPr>
          <w:rFonts w:ascii="微软雅黑" w:eastAsia="微软雅黑" w:hAnsi="微软雅黑" w:cs="宋体"/>
          <w:kern w:val="0"/>
          <w:sz w:val="32"/>
          <w:szCs w:val="32"/>
        </w:rPr>
        <w:t>lerociclib</w:t>
      </w:r>
      <w:proofErr w:type="spellEnd"/>
      <w:r w:rsidRPr="00575FEE">
        <w:rPr>
          <w:rFonts w:ascii="微软雅黑" w:eastAsia="微软雅黑" w:hAnsi="微软雅黑" w:cs="宋体"/>
          <w:kern w:val="0"/>
          <w:sz w:val="32"/>
          <w:szCs w:val="32"/>
        </w:rPr>
        <w:t xml:space="preserve"> 和 G1T48 的联合疗效</w:t>
      </w:r>
    </w:p>
    <w:p w14:paraId="06FEDAE5"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如上所述，</w:t>
      </w:r>
      <w:r w:rsidRPr="00575FEE">
        <w:rPr>
          <w:rFonts w:ascii="微软雅黑" w:eastAsia="微软雅黑" w:hAnsi="微软雅黑" w:cs="宋体"/>
          <w:i/>
          <w:iCs/>
          <w:kern w:val="0"/>
          <w:sz w:val="24"/>
          <w:szCs w:val="24"/>
        </w:rPr>
        <w:t>ESR1</w:t>
      </w:r>
      <w:r w:rsidRPr="00575FEE">
        <w:rPr>
          <w:rFonts w:ascii="微软雅黑" w:eastAsia="微软雅黑" w:hAnsi="微软雅黑" w:cs="宋体"/>
          <w:kern w:val="0"/>
          <w:sz w:val="24"/>
          <w:szCs w:val="24"/>
        </w:rPr>
        <w:t xml:space="preserve"> LBD 的突变是芳香化酶抑制剂耐药性的新兴机制。我们使用携带 ER-Y537S 突变的患者来源异种移植瘤 (PDX) 模型评估了 G1T48 单药治疗以及与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联合治疗的疗效（图 </w:t>
      </w:r>
      <w:hyperlink r:id="rId88" w:anchor="Fig7" w:history="1">
        <w:r w:rsidRPr="00575FEE">
          <w:rPr>
            <w:rFonts w:ascii="微软雅黑" w:eastAsia="微软雅黑" w:hAnsi="微软雅黑" w:cs="宋体"/>
            <w:kern w:val="0"/>
            <w:sz w:val="24"/>
            <w:szCs w:val="24"/>
            <w:u w:val="single"/>
          </w:rPr>
          <w:t>7a ）。将 ST2177 LUMB PDX 肿瘤 [ </w:t>
        </w:r>
      </w:hyperlink>
      <w:hyperlink r:id="rId89" w:anchor="CR33" w:history="1">
        <w:r w:rsidRPr="00575FEE">
          <w:rPr>
            <w:rFonts w:ascii="微软雅黑" w:eastAsia="微软雅黑" w:hAnsi="微软雅黑" w:cs="宋体"/>
            <w:kern w:val="0"/>
            <w:sz w:val="24"/>
            <w:szCs w:val="24"/>
            <w:u w:val="single"/>
          </w:rPr>
          <w:t>33</w:t>
        </w:r>
      </w:hyperlink>
      <w:r w:rsidRPr="00575FEE">
        <w:rPr>
          <w:rFonts w:ascii="微软雅黑" w:eastAsia="微软雅黑" w:hAnsi="微软雅黑" w:cs="宋体"/>
          <w:kern w:val="0"/>
          <w:sz w:val="24"/>
          <w:szCs w:val="24"/>
        </w:rPr>
        <w:t xml:space="preserve"> ]植入雌性无胸腺裸鼠 (nu/nu) 体内，G1T48 治疗后观察到肿瘤生长呈剂量依赖性下降。值得注意的是，G1T48 单药（30 和 100 mg/kg）或与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联合用药均比</w:t>
      </w:r>
      <w:proofErr w:type="gramStart"/>
      <w:r w:rsidRPr="00575FEE">
        <w:rPr>
          <w:rFonts w:ascii="微软雅黑" w:eastAsia="微软雅黑" w:hAnsi="微软雅黑" w:cs="宋体"/>
          <w:kern w:val="0"/>
          <w:sz w:val="24"/>
          <w:szCs w:val="24"/>
        </w:rPr>
        <w:t>氟维司群更</w:t>
      </w:r>
      <w:proofErr w:type="gramEnd"/>
      <w:r w:rsidRPr="00575FEE">
        <w:rPr>
          <w:rFonts w:ascii="微软雅黑" w:eastAsia="微软雅黑" w:hAnsi="微软雅黑" w:cs="宋体"/>
          <w:kern w:val="0"/>
          <w:sz w:val="24"/>
          <w:szCs w:val="24"/>
        </w:rPr>
        <w:t>有效（图 </w:t>
      </w:r>
      <w:hyperlink r:id="rId90" w:anchor="Fig7" w:history="1">
        <w:r w:rsidRPr="00575FEE">
          <w:rPr>
            <w:rFonts w:ascii="微软雅黑" w:eastAsia="微软雅黑" w:hAnsi="微软雅黑" w:cs="宋体"/>
            <w:kern w:val="0"/>
            <w:sz w:val="24"/>
            <w:szCs w:val="24"/>
            <w:u w:val="single"/>
          </w:rPr>
          <w:t>7a</w:t>
        </w:r>
      </w:hyperlink>
      <w:r w:rsidRPr="00575FEE">
        <w:rPr>
          <w:rFonts w:ascii="微软雅黑" w:eastAsia="微软雅黑" w:hAnsi="微软雅黑" w:cs="宋体"/>
          <w:kern w:val="0"/>
          <w:sz w:val="24"/>
          <w:szCs w:val="24"/>
        </w:rPr>
        <w:t xml:space="preserve">）。生存曲线分析表明，30 mg/kg G1T48 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联合用药比单独使用任</w:t>
      </w:r>
      <w:proofErr w:type="gramStart"/>
      <w:r w:rsidRPr="00575FEE">
        <w:rPr>
          <w:rFonts w:ascii="微软雅黑" w:eastAsia="微软雅黑" w:hAnsi="微软雅黑" w:cs="宋体"/>
          <w:kern w:val="0"/>
          <w:sz w:val="24"/>
          <w:szCs w:val="24"/>
        </w:rPr>
        <w:t>一</w:t>
      </w:r>
      <w:proofErr w:type="gramEnd"/>
      <w:r w:rsidRPr="00575FEE">
        <w:rPr>
          <w:rFonts w:ascii="微软雅黑" w:eastAsia="微软雅黑" w:hAnsi="微软雅黑" w:cs="宋体"/>
          <w:kern w:val="0"/>
          <w:sz w:val="24"/>
          <w:szCs w:val="24"/>
        </w:rPr>
        <w:t>药物更有效（图 </w:t>
      </w:r>
      <w:hyperlink r:id="rId91" w:anchor="Fig7" w:history="1">
        <w:r w:rsidRPr="00575FEE">
          <w:rPr>
            <w:rFonts w:ascii="微软雅黑" w:eastAsia="微软雅黑" w:hAnsi="微软雅黑" w:cs="宋体"/>
            <w:kern w:val="0"/>
            <w:sz w:val="24"/>
            <w:szCs w:val="24"/>
            <w:u w:val="single"/>
          </w:rPr>
          <w:t>7b</w:t>
        </w:r>
      </w:hyperlink>
      <w:r w:rsidRPr="00575FEE">
        <w:rPr>
          <w:rFonts w:ascii="微软雅黑" w:eastAsia="微软雅黑" w:hAnsi="微软雅黑" w:cs="宋体"/>
          <w:kern w:val="0"/>
          <w:sz w:val="24"/>
          <w:szCs w:val="24"/>
        </w:rPr>
        <w:t>、c）。综合这些数据表明，在几种内分泌治疗耐药模型中，G1T48 与</w:t>
      </w:r>
      <w:proofErr w:type="gramStart"/>
      <w:r w:rsidRPr="00575FEE">
        <w:rPr>
          <w:rFonts w:ascii="微软雅黑" w:eastAsia="微软雅黑" w:hAnsi="微软雅黑" w:cs="宋体"/>
          <w:kern w:val="0"/>
          <w:sz w:val="24"/>
          <w:szCs w:val="24"/>
        </w:rPr>
        <w:t>氟维司</w:t>
      </w:r>
      <w:proofErr w:type="gramEnd"/>
      <w:r w:rsidRPr="00575FEE">
        <w:rPr>
          <w:rFonts w:ascii="微软雅黑" w:eastAsia="微软雅黑" w:hAnsi="微软雅黑" w:cs="宋体"/>
          <w:kern w:val="0"/>
          <w:sz w:val="24"/>
          <w:szCs w:val="24"/>
        </w:rPr>
        <w:t>群相当或更优，证明了其作为治疗药物的潜力。</w:t>
      </w:r>
    </w:p>
    <w:p w14:paraId="7A202F52" w14:textId="77777777" w:rsidR="00575FEE" w:rsidRPr="00575FEE" w:rsidRDefault="00575FEE" w:rsidP="00575FEE">
      <w:pPr>
        <w:widowControl/>
        <w:spacing w:line="450" w:lineRule="atLeast"/>
        <w:outlineLvl w:val="3"/>
        <w:rPr>
          <w:rFonts w:ascii="微软雅黑" w:eastAsia="微软雅黑" w:hAnsi="微软雅黑" w:cs="宋体"/>
          <w:kern w:val="0"/>
          <w:sz w:val="30"/>
          <w:szCs w:val="30"/>
        </w:rPr>
      </w:pPr>
      <w:r w:rsidRPr="00575FEE">
        <w:rPr>
          <w:rFonts w:ascii="微软雅黑" w:eastAsia="微软雅黑" w:hAnsi="微软雅黑" w:cs="宋体"/>
          <w:kern w:val="0"/>
          <w:sz w:val="30"/>
          <w:szCs w:val="30"/>
        </w:rPr>
        <w:t>图 7。</w:t>
      </w:r>
    </w:p>
    <w:p w14:paraId="3FC45C78" w14:textId="4F8021FC"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noProof/>
          <w:kern w:val="0"/>
          <w:sz w:val="24"/>
          <w:szCs w:val="24"/>
        </w:rPr>
        <w:lastRenderedPageBreak/>
        <w:drawing>
          <wp:inline distT="0" distB="0" distL="0" distR="0" wp14:anchorId="2996B937" wp14:editId="6AC981A9">
            <wp:extent cx="5180965" cy="8863330"/>
            <wp:effectExtent l="0" t="0" r="635" b="0"/>
            <wp:docPr id="1" name="图片 1" descr="图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7" descr="图 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180965" cy="8863330"/>
                    </a:xfrm>
                    <a:prstGeom prst="rect">
                      <a:avLst/>
                    </a:prstGeom>
                    <a:noFill/>
                    <a:ln>
                      <a:noFill/>
                    </a:ln>
                  </pic:spPr>
                </pic:pic>
              </a:graphicData>
            </a:graphic>
          </wp:inline>
        </w:drawing>
      </w:r>
    </w:p>
    <w:p w14:paraId="333E3112" w14:textId="77777777" w:rsidR="00575FEE" w:rsidRPr="00575FEE" w:rsidRDefault="00575FEE" w:rsidP="00575FEE">
      <w:pPr>
        <w:widowControl/>
        <w:rPr>
          <w:rFonts w:ascii="微软雅黑" w:eastAsia="微软雅黑" w:hAnsi="微软雅黑" w:cs="宋体"/>
          <w:kern w:val="0"/>
          <w:sz w:val="24"/>
          <w:szCs w:val="24"/>
        </w:rPr>
      </w:pPr>
      <w:r w:rsidRPr="00575FEE">
        <w:rPr>
          <w:rFonts w:ascii="微软雅黑" w:eastAsia="微软雅黑" w:hAnsi="微软雅黑" w:cs="宋体"/>
          <w:kern w:val="0"/>
          <w:sz w:val="24"/>
          <w:szCs w:val="24"/>
        </w:rPr>
        <w:lastRenderedPageBreak/>
        <w:t xml:space="preserve">在携带 ER-Y537S 突变的患者来源异种移植模型中评估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和 G1T48 的联合疗效。a将携带 ER-Y537S 突变的 START 患者来源异种移植模型 (START-PDX) ST2177 移植到雌性裸鼠 (nu/nu)</w:t>
      </w:r>
      <w:r w:rsidRPr="00575FEE">
        <w:rPr>
          <w:rFonts w:ascii="微软雅黑" w:eastAsia="微软雅黑" w:hAnsi="微软雅黑" w:cs="宋体"/>
          <w:b/>
          <w:bCs/>
          <w:kern w:val="0"/>
          <w:sz w:val="24"/>
          <w:szCs w:val="24"/>
        </w:rPr>
        <w:t>体内</w:t>
      </w:r>
      <w:r w:rsidRPr="00575FEE">
        <w:rPr>
          <w:rFonts w:ascii="微软雅黑" w:eastAsia="微软雅黑" w:hAnsi="微软雅黑" w:cs="宋体"/>
          <w:kern w:val="0"/>
          <w:sz w:val="24"/>
          <w:szCs w:val="24"/>
        </w:rPr>
        <w:t>。小鼠随机分为四组：载体组、</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组（5 mg/只）、G1T48 组（30 或 100 mg/kg）、</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组（50 mg/kg）以及 G1T48 联合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组，并接受为期 60 天的治疗。b </w:t>
      </w:r>
      <w:r w:rsidRPr="00575FEE">
        <w:rPr>
          <w:rFonts w:ascii="微软雅黑" w:eastAsia="微软雅黑" w:hAnsi="微软雅黑" w:cs="宋体"/>
          <w:b/>
          <w:bCs/>
          <w:kern w:val="0"/>
          <w:sz w:val="24"/>
          <w:szCs w:val="24"/>
        </w:rPr>
        <w:t>、c</w:t>
      </w:r>
      <w:r w:rsidRPr="00575FEE">
        <w:rPr>
          <w:rFonts w:ascii="微软雅黑" w:eastAsia="微软雅黑" w:hAnsi="微软雅黑" w:cs="宋体"/>
          <w:kern w:val="0"/>
          <w:sz w:val="24"/>
          <w:szCs w:val="24"/>
        </w:rPr>
        <w:t xml:space="preserve"> Kaplan-Meier 分析结果以肿瘤达到终点（原始肿瘤体积的 2.5 </w:t>
      </w:r>
      <w:proofErr w:type="gramStart"/>
      <w:r w:rsidRPr="00575FEE">
        <w:rPr>
          <w:rFonts w:ascii="微软雅黑" w:eastAsia="微软雅黑" w:hAnsi="微软雅黑" w:cs="宋体"/>
          <w:kern w:val="0"/>
          <w:sz w:val="24"/>
          <w:szCs w:val="24"/>
        </w:rPr>
        <w:t>倍</w:t>
      </w:r>
      <w:proofErr w:type="gramEnd"/>
      <w:r w:rsidRPr="00575FEE">
        <w:rPr>
          <w:rFonts w:ascii="微软雅黑" w:eastAsia="微软雅黑" w:hAnsi="微软雅黑" w:cs="宋体"/>
          <w:kern w:val="0"/>
          <w:sz w:val="24"/>
          <w:szCs w:val="24"/>
        </w:rPr>
        <w:t>）所需时间为指标。*Kaplan-Meier 分析后进行 Mantel-Cox 检验，结果表明，在校正 Bonferroni 阈值</w:t>
      </w:r>
      <w:r w:rsidRPr="00575FEE">
        <w:rPr>
          <w:rFonts w:ascii="微软雅黑" w:eastAsia="微软雅黑" w:hAnsi="微软雅黑" w:cs="宋体"/>
          <w:i/>
          <w:iCs/>
          <w:kern w:val="0"/>
          <w:sz w:val="24"/>
          <w:szCs w:val="24"/>
        </w:rPr>
        <w:t>p</w:t>
      </w:r>
      <w:r w:rsidRPr="00575FEE">
        <w:rPr>
          <w:rFonts w:ascii="微软雅黑" w:eastAsia="微软雅黑" w:hAnsi="微软雅黑" w:cs="宋体"/>
          <w:kern w:val="0"/>
          <w:sz w:val="24"/>
          <w:szCs w:val="24"/>
        </w:rPr>
        <w:t> </w:t>
      </w:r>
      <w:r w:rsidRPr="00575FEE">
        <w:rPr>
          <w:rFonts w:ascii="MS Gothic" w:eastAsia="MS Gothic" w:hAnsi="MS Gothic" w:cs="MS Gothic" w:hint="eastAsia"/>
          <w:kern w:val="0"/>
          <w:sz w:val="24"/>
          <w:szCs w:val="24"/>
        </w:rPr>
        <w:t> </w:t>
      </w:r>
      <w:r w:rsidRPr="00575FEE">
        <w:rPr>
          <w:rFonts w:ascii="微软雅黑" w:eastAsia="微软雅黑" w:hAnsi="微软雅黑" w:cs="宋体"/>
          <w:kern w:val="0"/>
          <w:sz w:val="24"/>
          <w:szCs w:val="24"/>
        </w:rPr>
        <w:t>&lt; 0.012的情况下，这些比较组的肿瘤生长延迟显著更长。误差线代表标准误差（SEM）。</w:t>
      </w:r>
    </w:p>
    <w:p w14:paraId="73ED4B4A" w14:textId="77777777" w:rsidR="00575FEE" w:rsidRPr="00575FEE" w:rsidRDefault="00575FEE" w:rsidP="00575FEE">
      <w:pPr>
        <w:widowControl/>
        <w:pBdr>
          <w:bottom w:val="single" w:sz="6" w:space="0" w:color="97B1C8"/>
        </w:pBdr>
        <w:spacing w:line="450" w:lineRule="atLeast"/>
        <w:outlineLvl w:val="1"/>
        <w:rPr>
          <w:rFonts w:ascii="微软雅黑" w:eastAsia="微软雅黑" w:hAnsi="微软雅黑" w:cs="宋体"/>
          <w:kern w:val="0"/>
          <w:sz w:val="34"/>
          <w:szCs w:val="34"/>
        </w:rPr>
      </w:pPr>
      <w:r w:rsidRPr="00575FEE">
        <w:rPr>
          <w:rFonts w:ascii="微软雅黑" w:eastAsia="微软雅黑" w:hAnsi="微软雅黑" w:cs="宋体"/>
          <w:kern w:val="0"/>
          <w:sz w:val="34"/>
          <w:szCs w:val="34"/>
        </w:rPr>
        <w:t>讨论</w:t>
      </w:r>
    </w:p>
    <w:p w14:paraId="716E4839"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靶向雌激素受体（ER）活性，采用直接拮抗雌激素促有丝分裂作用或阻断雌激素合成的疗法，是治疗和预防乳腺癌的有效策略。在局部晚期或转移性疾病中，这些疗法的耐药性通常在两年内出现，此时治疗选择将非常有限。</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是一种强效的ER拮抗剂和下调剂，最初获</w:t>
      </w:r>
      <w:proofErr w:type="gramStart"/>
      <w:r w:rsidRPr="00575FEE">
        <w:rPr>
          <w:rFonts w:ascii="微软雅黑" w:eastAsia="微软雅黑" w:hAnsi="微软雅黑" w:cs="宋体"/>
          <w:kern w:val="0"/>
          <w:sz w:val="24"/>
          <w:szCs w:val="24"/>
        </w:rPr>
        <w:t>批用于</w:t>
      </w:r>
      <w:proofErr w:type="gramEnd"/>
      <w:r w:rsidRPr="00575FEE">
        <w:rPr>
          <w:rFonts w:ascii="微软雅黑" w:eastAsia="微软雅黑" w:hAnsi="微软雅黑" w:cs="宋体"/>
          <w:kern w:val="0"/>
          <w:sz w:val="24"/>
          <w:szCs w:val="24"/>
        </w:rPr>
        <w:t>治疗内分泌治疗耐药的乳腺癌，最近又被批准作为</w:t>
      </w:r>
      <w:proofErr w:type="gramStart"/>
      <w:r w:rsidRPr="00575FEE">
        <w:rPr>
          <w:rFonts w:ascii="微软雅黑" w:eastAsia="微软雅黑" w:hAnsi="微软雅黑" w:cs="宋体"/>
          <w:kern w:val="0"/>
          <w:sz w:val="24"/>
          <w:szCs w:val="24"/>
        </w:rPr>
        <w:t>既往未</w:t>
      </w:r>
      <w:proofErr w:type="gramEnd"/>
      <w:r w:rsidRPr="00575FEE">
        <w:rPr>
          <w:rFonts w:ascii="微软雅黑" w:eastAsia="微软雅黑" w:hAnsi="微软雅黑" w:cs="宋体"/>
          <w:kern w:val="0"/>
          <w:sz w:val="24"/>
          <w:szCs w:val="24"/>
        </w:rPr>
        <w:t>接受过内分泌治疗的ER阳性、HER2阴性晚期乳腺癌的一线治疗药物。然而，尽管</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的临床前活性令人鼓舞，但其药代动力学控制不佳仍然是延长临床疗效的一大障碍。比较高剂量（500 mg）和低剂量（250 mg）</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的临床试验表明，在一线和二线治疗中，500 mg剂量均</w:t>
      </w:r>
      <w:proofErr w:type="gramStart"/>
      <w:r w:rsidRPr="00575FEE">
        <w:rPr>
          <w:rFonts w:ascii="微软雅黑" w:eastAsia="微软雅黑" w:hAnsi="微软雅黑" w:cs="宋体"/>
          <w:kern w:val="0"/>
          <w:sz w:val="24"/>
          <w:szCs w:val="24"/>
        </w:rPr>
        <w:t>优于低</w:t>
      </w:r>
      <w:proofErr w:type="gramEnd"/>
      <w:r w:rsidRPr="00575FEE">
        <w:rPr>
          <w:rFonts w:ascii="微软雅黑" w:eastAsia="微软雅黑" w:hAnsi="微软雅黑" w:cs="宋体"/>
          <w:kern w:val="0"/>
          <w:sz w:val="24"/>
          <w:szCs w:val="24"/>
        </w:rPr>
        <w:t>剂量，提示提高靶点结合率可以改善雌激素受体降解疗法的疗效[ </w:t>
      </w:r>
      <w:hyperlink r:id="rId93" w:anchor="CR54" w:history="1">
        <w:r w:rsidRPr="00575FEE">
          <w:rPr>
            <w:rFonts w:ascii="微软雅黑" w:eastAsia="微软雅黑" w:hAnsi="微软雅黑" w:cs="宋体"/>
            <w:kern w:val="0"/>
            <w:sz w:val="24"/>
            <w:szCs w:val="24"/>
            <w:u w:val="single"/>
          </w:rPr>
          <w:t>54</w:t>
        </w:r>
      </w:hyperlink>
      <w:r w:rsidRPr="00575FEE">
        <w:rPr>
          <w:rFonts w:ascii="微软雅黑" w:eastAsia="微软雅黑" w:hAnsi="微软雅黑" w:cs="宋体"/>
          <w:kern w:val="0"/>
          <w:sz w:val="24"/>
          <w:szCs w:val="24"/>
        </w:rPr>
        <w:t> , </w:t>
      </w:r>
      <w:hyperlink r:id="rId94" w:anchor="CR55" w:history="1">
        <w:r w:rsidRPr="00575FEE">
          <w:rPr>
            <w:rFonts w:ascii="微软雅黑" w:eastAsia="微软雅黑" w:hAnsi="微软雅黑" w:cs="宋体"/>
            <w:kern w:val="0"/>
            <w:sz w:val="24"/>
            <w:szCs w:val="24"/>
            <w:u w:val="single"/>
          </w:rPr>
          <w:t>55</w:t>
        </w:r>
      </w:hyperlink>
      <w:r w:rsidRPr="00575FEE">
        <w:rPr>
          <w:rFonts w:ascii="微软雅黑" w:eastAsia="微软雅黑" w:hAnsi="微软雅黑" w:cs="宋体"/>
          <w:kern w:val="0"/>
          <w:sz w:val="24"/>
          <w:szCs w:val="24"/>
        </w:rPr>
        <w:t> ]。然而，鉴于</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的给药途径为肌注，通过进一步增加剂量来持续改善其临床疗效的可能性不大。因此，该领域的研究重点在于寻找口服生物利用度高的选择性</w:t>
      </w:r>
      <w:r w:rsidRPr="00575FEE">
        <w:rPr>
          <w:rFonts w:ascii="微软雅黑" w:eastAsia="微软雅黑" w:hAnsi="微软雅黑" w:cs="宋体"/>
          <w:kern w:val="0"/>
          <w:sz w:val="24"/>
          <w:szCs w:val="24"/>
        </w:rPr>
        <w:lastRenderedPageBreak/>
        <w:t xml:space="preserve">雌激素受体降解剂（SERD）。活性最高的SERD具有共同的化学特征：(a) </w:t>
      </w:r>
      <w:proofErr w:type="gramStart"/>
      <w:r w:rsidRPr="00575FEE">
        <w:rPr>
          <w:rFonts w:ascii="微软雅黑" w:eastAsia="微软雅黑" w:hAnsi="微软雅黑" w:cs="宋体"/>
          <w:kern w:val="0"/>
          <w:sz w:val="24"/>
          <w:szCs w:val="24"/>
        </w:rPr>
        <w:t>甾</w:t>
      </w:r>
      <w:proofErr w:type="gramEnd"/>
      <w:r w:rsidRPr="00575FEE">
        <w:rPr>
          <w:rFonts w:ascii="微软雅黑" w:eastAsia="微软雅黑" w:hAnsi="微软雅黑" w:cs="宋体"/>
          <w:kern w:val="0"/>
          <w:sz w:val="24"/>
          <w:szCs w:val="24"/>
        </w:rPr>
        <w:t>体骨架（例如，</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、RU58,668）或 (b) 丙烯酸侧链（GW7604、GDC-0810、AZD9496）[ </w:t>
      </w:r>
      <w:hyperlink r:id="rId95" w:anchor="CR29" w:history="1">
        <w:r w:rsidRPr="00575FEE">
          <w:rPr>
            <w:rFonts w:ascii="微软雅黑" w:eastAsia="微软雅黑" w:hAnsi="微软雅黑" w:cs="宋体"/>
            <w:kern w:val="0"/>
            <w:sz w:val="24"/>
            <w:szCs w:val="24"/>
            <w:u w:val="single"/>
          </w:rPr>
          <w:t>29</w:t>
        </w:r>
      </w:hyperlink>
      <w:r w:rsidRPr="00575FEE">
        <w:rPr>
          <w:rFonts w:ascii="微软雅黑" w:eastAsia="微软雅黑" w:hAnsi="微软雅黑" w:cs="宋体"/>
          <w:kern w:val="0"/>
          <w:sz w:val="24"/>
          <w:szCs w:val="24"/>
        </w:rPr>
        <w:t> , </w:t>
      </w:r>
      <w:hyperlink r:id="rId96" w:anchor="CR31" w:history="1">
        <w:r w:rsidRPr="00575FEE">
          <w:rPr>
            <w:rFonts w:ascii="微软雅黑" w:eastAsia="微软雅黑" w:hAnsi="微软雅黑" w:cs="宋体"/>
            <w:kern w:val="0"/>
            <w:sz w:val="24"/>
            <w:szCs w:val="24"/>
            <w:u w:val="single"/>
          </w:rPr>
          <w:t>31</w:t>
        </w:r>
      </w:hyperlink>
      <w:r w:rsidRPr="00575FEE">
        <w:rPr>
          <w:rFonts w:ascii="微软雅黑" w:eastAsia="微软雅黑" w:hAnsi="微软雅黑" w:cs="宋体"/>
          <w:kern w:val="0"/>
          <w:sz w:val="24"/>
          <w:szCs w:val="24"/>
        </w:rPr>
        <w:t> , </w:t>
      </w:r>
      <w:hyperlink r:id="rId97" w:anchor="CR32" w:history="1">
        <w:r w:rsidRPr="00575FEE">
          <w:rPr>
            <w:rFonts w:ascii="微软雅黑" w:eastAsia="微软雅黑" w:hAnsi="微软雅黑" w:cs="宋体"/>
            <w:kern w:val="0"/>
            <w:sz w:val="24"/>
            <w:szCs w:val="24"/>
            <w:u w:val="single"/>
          </w:rPr>
          <w:t>32</w:t>
        </w:r>
      </w:hyperlink>
      <w:r w:rsidRPr="00575FEE">
        <w:rPr>
          <w:rFonts w:ascii="微软雅黑" w:eastAsia="微软雅黑" w:hAnsi="微软雅黑" w:cs="宋体"/>
          <w:kern w:val="0"/>
          <w:sz w:val="24"/>
          <w:szCs w:val="24"/>
        </w:rPr>
        <w:t> , </w:t>
      </w:r>
      <w:hyperlink r:id="rId98" w:anchor="CR40" w:history="1">
        <w:r w:rsidRPr="00575FEE">
          <w:rPr>
            <w:rFonts w:ascii="微软雅黑" w:eastAsia="微软雅黑" w:hAnsi="微软雅黑" w:cs="宋体"/>
            <w:kern w:val="0"/>
            <w:sz w:val="24"/>
            <w:szCs w:val="24"/>
            <w:u w:val="single"/>
          </w:rPr>
          <w:t>40</w:t>
        </w:r>
      </w:hyperlink>
      <w:r w:rsidRPr="00575FEE">
        <w:rPr>
          <w:rFonts w:ascii="微软雅黑" w:eastAsia="微软雅黑" w:hAnsi="微软雅黑" w:cs="宋体"/>
          <w:kern w:val="0"/>
          <w:sz w:val="24"/>
          <w:szCs w:val="24"/>
        </w:rPr>
        <w:t> , </w:t>
      </w:r>
      <w:hyperlink r:id="rId99" w:anchor="CR56" w:history="1">
        <w:r w:rsidRPr="00575FEE">
          <w:rPr>
            <w:rFonts w:ascii="微软雅黑" w:eastAsia="微软雅黑" w:hAnsi="微软雅黑" w:cs="宋体"/>
            <w:kern w:val="0"/>
            <w:sz w:val="24"/>
            <w:szCs w:val="24"/>
            <w:u w:val="single"/>
          </w:rPr>
          <w:t>56</w:t>
        </w:r>
      </w:hyperlink>
      <w:r w:rsidRPr="00575FEE">
        <w:rPr>
          <w:rFonts w:ascii="微软雅黑" w:eastAsia="微软雅黑" w:hAnsi="微软雅黑" w:cs="宋体"/>
          <w:kern w:val="0"/>
          <w:sz w:val="24"/>
          <w:szCs w:val="24"/>
        </w:rPr>
        <w:t> , </w:t>
      </w:r>
      <w:hyperlink r:id="rId100" w:anchor="CR57" w:history="1">
        <w:r w:rsidRPr="00575FEE">
          <w:rPr>
            <w:rFonts w:ascii="微软雅黑" w:eastAsia="微软雅黑" w:hAnsi="微软雅黑" w:cs="宋体"/>
            <w:kern w:val="0"/>
            <w:sz w:val="24"/>
            <w:szCs w:val="24"/>
            <w:u w:val="single"/>
          </w:rPr>
          <w:t>57</w:t>
        </w:r>
      </w:hyperlink>
      <w:r w:rsidRPr="00575FEE">
        <w:rPr>
          <w:rFonts w:ascii="微软雅黑" w:eastAsia="微软雅黑" w:hAnsi="微软雅黑" w:cs="宋体"/>
          <w:kern w:val="0"/>
          <w:sz w:val="24"/>
          <w:szCs w:val="24"/>
        </w:rPr>
        <w:t> ]。据报道，一些具有新型化学结构的雌激素受体拮抗剂也表现出选择性雌激素受体阻滞剂（SERD）的特性[ 35 </w:t>
      </w:r>
      <w:hyperlink r:id="rId101" w:anchor="CR40" w:history="1">
        <w:r w:rsidRPr="00575FEE">
          <w:rPr>
            <w:rFonts w:ascii="微软雅黑" w:eastAsia="微软雅黑" w:hAnsi="微软雅黑" w:cs="宋体"/>
            <w:kern w:val="0"/>
            <w:sz w:val="24"/>
            <w:szCs w:val="24"/>
            <w:u w:val="single"/>
          </w:rPr>
          <w:t>, 36, 58]，但目前尚无任何一种获得FDA批准，部分药物因不良反应或不明原因已停止研发[29-36, 40 </w:t>
        </w:r>
      </w:hyperlink>
      <w:hyperlink r:id="rId102" w:anchor="CR35"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 56 </w:t>
      </w:r>
      <w:hyperlink r:id="rId103" w:anchor="CR36"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w:t>
      </w:r>
      <w:r w:rsidRPr="00575FEE">
        <w:rPr>
          <w:rFonts w:ascii="微软雅黑" w:eastAsia="微软雅黑" w:hAnsi="微软雅黑" w:cs="宋体"/>
          <w:kern w:val="0"/>
          <w:sz w:val="24"/>
          <w:szCs w:val="24"/>
        </w:rPr>
        <w:fldChar w:fldCharType="begin"/>
      </w:r>
      <w:r w:rsidRPr="00575FEE">
        <w:rPr>
          <w:rFonts w:ascii="微软雅黑" w:eastAsia="微软雅黑" w:hAnsi="微软雅黑" w:cs="宋体"/>
          <w:kern w:val="0"/>
          <w:sz w:val="24"/>
          <w:szCs w:val="24"/>
        </w:rPr>
        <w:instrText xml:space="preserve"> HYPERLINK "https://pmc.ncbi.nlm.nih.gov/articles/PMC7103015/" \l "CR58" </w:instrText>
      </w:r>
      <w:r w:rsidRPr="00575FEE">
        <w:rPr>
          <w:rFonts w:ascii="微软雅黑" w:eastAsia="微软雅黑" w:hAnsi="微软雅黑" w:cs="宋体"/>
          <w:kern w:val="0"/>
          <w:sz w:val="24"/>
          <w:szCs w:val="24"/>
        </w:rPr>
        <w:fldChar w:fldCharType="separate"/>
      </w:r>
      <w:r w:rsidRPr="00575FEE">
        <w:rPr>
          <w:rFonts w:ascii="微软雅黑" w:eastAsia="微软雅黑" w:hAnsi="微软雅黑" w:cs="宋体"/>
          <w:kern w:val="0"/>
          <w:sz w:val="24"/>
          <w:szCs w:val="24"/>
          <w:u w:val="single"/>
        </w:rPr>
        <w:t>我们</w:t>
      </w:r>
      <w:r w:rsidRPr="00575FEE">
        <w:rPr>
          <w:rFonts w:ascii="微软雅黑" w:eastAsia="微软雅黑" w:hAnsi="微软雅黑" w:cs="宋体"/>
          <w:kern w:val="0"/>
          <w:sz w:val="24"/>
          <w:szCs w:val="24"/>
        </w:rPr>
        <w:fldChar w:fldCharType="end"/>
      </w:r>
      <w:r w:rsidRPr="00575FEE">
        <w:rPr>
          <w:rFonts w:ascii="微软雅黑" w:eastAsia="微软雅黑" w:hAnsi="微软雅黑" w:cs="宋体"/>
          <w:kern w:val="0"/>
          <w:sz w:val="24"/>
          <w:szCs w:val="24"/>
        </w:rPr>
        <w:t>发现</w:t>
      </w:r>
      <w:hyperlink r:id="rId104" w:anchor="CR29" w:history="1">
        <w:r w:rsidRPr="00575FEE">
          <w:rPr>
            <w:rFonts w:ascii="微软雅黑" w:eastAsia="微软雅黑" w:hAnsi="微软雅黑" w:cs="宋体"/>
            <w:kern w:val="0"/>
            <w:sz w:val="24"/>
            <w:szCs w:val="24"/>
            <w:u w:val="single"/>
          </w:rPr>
          <w:t>了</w:t>
        </w:r>
      </w:hyperlink>
      <w:r w:rsidRPr="00575FEE">
        <w:rPr>
          <w:rFonts w:ascii="微软雅黑" w:eastAsia="微软雅黑" w:hAnsi="微软雅黑" w:cs="宋体"/>
          <w:kern w:val="0"/>
          <w:sz w:val="24"/>
          <w:szCs w:val="24"/>
        </w:rPr>
        <w:t>一种</w:t>
      </w:r>
      <w:hyperlink r:id="rId105" w:anchor="CR36" w:history="1">
        <w:r w:rsidRPr="00575FEE">
          <w:rPr>
            <w:rFonts w:ascii="微软雅黑" w:eastAsia="微软雅黑" w:hAnsi="微软雅黑" w:cs="宋体"/>
            <w:kern w:val="0"/>
            <w:sz w:val="24"/>
            <w:szCs w:val="24"/>
            <w:u w:val="single"/>
          </w:rPr>
          <w:t>新型</w:t>
        </w:r>
      </w:hyperlink>
      <w:r w:rsidRPr="00575FEE">
        <w:rPr>
          <w:rFonts w:ascii="微软雅黑" w:eastAsia="微软雅黑" w:hAnsi="微软雅黑" w:cs="宋体"/>
          <w:kern w:val="0"/>
          <w:sz w:val="24"/>
          <w:szCs w:val="24"/>
        </w:rPr>
        <w:t>的</w:t>
      </w:r>
      <w:hyperlink r:id="rId106" w:anchor="CR56"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口服生物利用度高的SERD——G1T48，它同时具有</w:t>
      </w:r>
      <w:proofErr w:type="gramStart"/>
      <w:r w:rsidRPr="00575FEE">
        <w:rPr>
          <w:rFonts w:ascii="微软雅黑" w:eastAsia="微软雅黑" w:hAnsi="微软雅黑" w:cs="宋体"/>
          <w:kern w:val="0"/>
          <w:sz w:val="24"/>
          <w:szCs w:val="24"/>
        </w:rPr>
        <w:t>甾</w:t>
      </w:r>
      <w:proofErr w:type="gramEnd"/>
      <w:r w:rsidRPr="00575FEE">
        <w:rPr>
          <w:rFonts w:ascii="微软雅黑" w:eastAsia="微软雅黑" w:hAnsi="微软雅黑" w:cs="宋体"/>
          <w:kern w:val="0"/>
          <w:sz w:val="24"/>
          <w:szCs w:val="24"/>
        </w:rPr>
        <w:t>体骨架和丙烯酸酯侧链。G1T48以低纳</w:t>
      </w:r>
      <w:proofErr w:type="gramStart"/>
      <w:r w:rsidRPr="00575FEE">
        <w:rPr>
          <w:rFonts w:ascii="微软雅黑" w:eastAsia="微软雅黑" w:hAnsi="微软雅黑" w:cs="宋体"/>
          <w:kern w:val="0"/>
          <w:sz w:val="24"/>
          <w:szCs w:val="24"/>
        </w:rPr>
        <w:t>摩尔级</w:t>
      </w:r>
      <w:proofErr w:type="gramEnd"/>
      <w:r w:rsidRPr="00575FEE">
        <w:rPr>
          <w:rFonts w:ascii="微软雅黑" w:eastAsia="微软雅黑" w:hAnsi="微软雅黑" w:cs="宋体"/>
          <w:kern w:val="0"/>
          <w:sz w:val="24"/>
          <w:szCs w:val="24"/>
        </w:rPr>
        <w:t>的亲和力与雌激素受体结合，抑制雌激素</w:t>
      </w:r>
      <w:proofErr w:type="gramStart"/>
      <w:r w:rsidRPr="00575FEE">
        <w:rPr>
          <w:rFonts w:ascii="微软雅黑" w:eastAsia="微软雅黑" w:hAnsi="微软雅黑" w:cs="宋体"/>
          <w:kern w:val="0"/>
          <w:sz w:val="24"/>
          <w:szCs w:val="24"/>
        </w:rPr>
        <w:t>介</w:t>
      </w:r>
      <w:proofErr w:type="gramEnd"/>
      <w:r w:rsidRPr="00575FEE">
        <w:rPr>
          <w:rFonts w:ascii="微软雅黑" w:eastAsia="微软雅黑" w:hAnsi="微软雅黑" w:cs="宋体"/>
          <w:kern w:val="0"/>
          <w:sz w:val="24"/>
          <w:szCs w:val="24"/>
        </w:rPr>
        <w:t>导的靶基因表达和乳腺癌细胞生长，更重要的是，它能阻断雌激素受体在未经治疗和内分泌治疗耐药的乳腺癌动物模型中的促肿瘤作用。与 AZD9496 和 GDC-0810 类似，G1T48 具有良好的药代动力学特性，并且与 AZD9496 相比，其副作用特征更为有利 [ </w:t>
      </w:r>
      <w:hyperlink r:id="rId107" w:anchor="CR56" w:history="1">
        <w:r w:rsidRPr="00575FEE">
          <w:rPr>
            <w:rFonts w:ascii="微软雅黑" w:eastAsia="微软雅黑" w:hAnsi="微软雅黑" w:cs="宋体"/>
            <w:kern w:val="0"/>
            <w:sz w:val="24"/>
            <w:szCs w:val="24"/>
            <w:u w:val="single"/>
          </w:rPr>
          <w:t>56</w:t>
        </w:r>
      </w:hyperlink>
      <w:r w:rsidRPr="00575FEE">
        <w:rPr>
          <w:rFonts w:ascii="微软雅黑" w:eastAsia="微软雅黑" w:hAnsi="微软雅黑" w:cs="宋体"/>
          <w:kern w:val="0"/>
          <w:sz w:val="24"/>
          <w:szCs w:val="24"/>
        </w:rPr>
        <w:t> , </w:t>
      </w:r>
      <w:hyperlink r:id="rId108" w:anchor="CR59" w:history="1">
        <w:r w:rsidRPr="00575FEE">
          <w:rPr>
            <w:rFonts w:ascii="微软雅黑" w:eastAsia="微软雅黑" w:hAnsi="微软雅黑" w:cs="宋体"/>
            <w:kern w:val="0"/>
            <w:sz w:val="24"/>
            <w:szCs w:val="24"/>
            <w:u w:val="single"/>
          </w:rPr>
          <w:t>59</w:t>
        </w:r>
      </w:hyperlink>
      <w:r w:rsidRPr="00575FEE">
        <w:rPr>
          <w:rFonts w:ascii="微软雅黑" w:eastAsia="微软雅黑" w:hAnsi="微软雅黑" w:cs="宋体"/>
          <w:kern w:val="0"/>
          <w:sz w:val="24"/>
          <w:szCs w:val="24"/>
        </w:rPr>
        <w:t> , </w:t>
      </w:r>
      <w:hyperlink r:id="rId109" w:anchor="CR60" w:history="1">
        <w:r w:rsidRPr="00575FEE">
          <w:rPr>
            <w:rFonts w:ascii="微软雅黑" w:eastAsia="微软雅黑" w:hAnsi="微软雅黑" w:cs="宋体"/>
            <w:kern w:val="0"/>
            <w:sz w:val="24"/>
            <w:szCs w:val="24"/>
            <w:u w:val="single"/>
          </w:rPr>
          <w:t>60</w:t>
        </w:r>
      </w:hyperlink>
      <w:r w:rsidRPr="00575FEE">
        <w:rPr>
          <w:rFonts w:ascii="微软雅黑" w:eastAsia="微软雅黑" w:hAnsi="微软雅黑" w:cs="宋体"/>
          <w:kern w:val="0"/>
          <w:sz w:val="24"/>
          <w:szCs w:val="24"/>
        </w:rPr>
        <w:t> ]。</w:t>
      </w:r>
    </w:p>
    <w:p w14:paraId="2ED593BE" w14:textId="77777777" w:rsidR="00575FEE" w:rsidRPr="00575FEE" w:rsidRDefault="00575FEE" w:rsidP="00575FEE">
      <w:pPr>
        <w:widowControl/>
        <w:spacing w:before="450"/>
        <w:rPr>
          <w:rFonts w:ascii="微软雅黑" w:eastAsia="微软雅黑" w:hAnsi="微软雅黑" w:cs="宋体"/>
          <w:kern w:val="0"/>
          <w:sz w:val="24"/>
          <w:szCs w:val="24"/>
        </w:rPr>
      </w:pP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的一个显著特征使其区别于他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等化合物，即</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是一种真正的拮抗剂，无论组织环境如何，均不具有激动剂活性。相比之下，他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是一种选择性雌激素受体调节剂（SERM），在乳腺中表现出强大的拮抗剂活性，但在骨骼、子宫内膜和血脂谱中则模拟雌激素的激动</w:t>
      </w:r>
      <w:proofErr w:type="gramStart"/>
      <w:r w:rsidRPr="00575FEE">
        <w:rPr>
          <w:rFonts w:ascii="微软雅黑" w:eastAsia="微软雅黑" w:hAnsi="微软雅黑" w:cs="宋体"/>
          <w:kern w:val="0"/>
          <w:sz w:val="24"/>
          <w:szCs w:val="24"/>
        </w:rPr>
        <w:t>剂作用</w:t>
      </w:r>
      <w:proofErr w:type="gramEnd"/>
      <w:r w:rsidRPr="00575FEE">
        <w:rPr>
          <w:rFonts w:ascii="微软雅黑" w:eastAsia="微软雅黑" w:hAnsi="微软雅黑" w:cs="宋体"/>
          <w:kern w:val="0"/>
          <w:sz w:val="24"/>
          <w:szCs w:val="24"/>
        </w:rPr>
        <w:t>[ </w:t>
      </w:r>
      <w:hyperlink r:id="rId110" w:anchor="CR61" w:history="1">
        <w:r w:rsidRPr="00575FEE">
          <w:rPr>
            <w:rFonts w:ascii="微软雅黑" w:eastAsia="微软雅黑" w:hAnsi="微软雅黑" w:cs="宋体"/>
            <w:kern w:val="0"/>
            <w:sz w:val="24"/>
            <w:szCs w:val="24"/>
            <w:u w:val="single"/>
          </w:rPr>
          <w:t>61</w:t>
        </w:r>
      </w:hyperlink>
      <w:r w:rsidRPr="00575FEE">
        <w:rPr>
          <w:rFonts w:ascii="微软雅黑" w:eastAsia="微软雅黑" w:hAnsi="微软雅黑" w:cs="宋体"/>
          <w:kern w:val="0"/>
          <w:sz w:val="24"/>
          <w:szCs w:val="24"/>
        </w:rPr>
        <w:t> , </w:t>
      </w:r>
      <w:hyperlink r:id="rId111" w:anchor="CR62" w:history="1">
        <w:r w:rsidRPr="00575FEE">
          <w:rPr>
            <w:rFonts w:ascii="微软雅黑" w:eastAsia="微软雅黑" w:hAnsi="微软雅黑" w:cs="宋体"/>
            <w:kern w:val="0"/>
            <w:sz w:val="24"/>
            <w:szCs w:val="24"/>
            <w:u w:val="single"/>
          </w:rPr>
          <w:t>62</w:t>
        </w:r>
      </w:hyperlink>
      <w:r w:rsidRPr="00575FEE">
        <w:rPr>
          <w:rFonts w:ascii="微软雅黑" w:eastAsia="微软雅黑" w:hAnsi="微软雅黑" w:cs="宋体"/>
          <w:kern w:val="0"/>
          <w:sz w:val="24"/>
          <w:szCs w:val="24"/>
        </w:rPr>
        <w:t> ]。他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和</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之间的这种机制差异也可在乳腺癌细胞中观察到，转录谱分析研究表明，他</w:t>
      </w:r>
      <w:proofErr w:type="gramStart"/>
      <w:r w:rsidRPr="00575FEE">
        <w:rPr>
          <w:rFonts w:ascii="微软雅黑" w:eastAsia="微软雅黑" w:hAnsi="微软雅黑" w:cs="宋体"/>
          <w:kern w:val="0"/>
          <w:sz w:val="24"/>
          <w:szCs w:val="24"/>
        </w:rPr>
        <w:t>莫昔芬可以</w:t>
      </w:r>
      <w:proofErr w:type="gramEnd"/>
      <w:r w:rsidRPr="00575FEE">
        <w:rPr>
          <w:rFonts w:ascii="微软雅黑" w:eastAsia="微软雅黑" w:hAnsi="微软雅黑" w:cs="宋体"/>
          <w:kern w:val="0"/>
          <w:sz w:val="24"/>
          <w:szCs w:val="24"/>
        </w:rPr>
        <w:t>以类似于雌二醇的方式调节部分基因。我们的雌激素受体靶基因调控研究证实了他</w:t>
      </w:r>
      <w:proofErr w:type="gramStart"/>
      <w:r w:rsidRPr="00575FEE">
        <w:rPr>
          <w:rFonts w:ascii="微软雅黑" w:eastAsia="微软雅黑" w:hAnsi="微软雅黑" w:cs="宋体"/>
          <w:kern w:val="0"/>
          <w:sz w:val="24"/>
          <w:szCs w:val="24"/>
        </w:rPr>
        <w:t>莫昔芬</w:t>
      </w:r>
      <w:proofErr w:type="gramEnd"/>
      <w:r w:rsidRPr="00575FEE">
        <w:rPr>
          <w:rFonts w:ascii="微软雅黑" w:eastAsia="微软雅黑" w:hAnsi="微软雅黑" w:cs="宋体"/>
          <w:kern w:val="0"/>
          <w:sz w:val="24"/>
          <w:szCs w:val="24"/>
        </w:rPr>
        <w:t>的激动剂活性，其对</w:t>
      </w:r>
      <w:r w:rsidRPr="00575FEE">
        <w:rPr>
          <w:rFonts w:ascii="微软雅黑" w:eastAsia="微软雅黑" w:hAnsi="微软雅黑" w:cs="宋体"/>
          <w:i/>
          <w:iCs/>
          <w:kern w:val="0"/>
          <w:sz w:val="24"/>
          <w:szCs w:val="24"/>
        </w:rPr>
        <w:t>SDK2</w:t>
      </w:r>
      <w:r w:rsidRPr="00575FEE">
        <w:rPr>
          <w:rFonts w:ascii="微软雅黑" w:eastAsia="微软雅黑" w:hAnsi="微软雅黑" w:cs="宋体"/>
          <w:kern w:val="0"/>
          <w:sz w:val="24"/>
          <w:szCs w:val="24"/>
        </w:rPr>
        <w:t>、</w:t>
      </w:r>
      <w:r w:rsidRPr="00575FEE">
        <w:rPr>
          <w:rFonts w:ascii="微软雅黑" w:eastAsia="微软雅黑" w:hAnsi="微软雅黑" w:cs="宋体"/>
          <w:i/>
          <w:iCs/>
          <w:kern w:val="0"/>
          <w:sz w:val="24"/>
          <w:szCs w:val="24"/>
        </w:rPr>
        <w:t>AGR2</w:t>
      </w:r>
      <w:r w:rsidRPr="00575FEE">
        <w:rPr>
          <w:rFonts w:ascii="微软雅黑" w:eastAsia="微软雅黑" w:hAnsi="微软雅黑" w:cs="宋体"/>
          <w:kern w:val="0"/>
          <w:sz w:val="24"/>
          <w:szCs w:val="24"/>
        </w:rPr>
        <w:t>和</w:t>
      </w:r>
      <w:r w:rsidRPr="00575FEE">
        <w:rPr>
          <w:rFonts w:ascii="微软雅黑" w:eastAsia="微软雅黑" w:hAnsi="微软雅黑" w:cs="宋体"/>
          <w:i/>
          <w:iCs/>
          <w:kern w:val="0"/>
          <w:sz w:val="24"/>
          <w:szCs w:val="24"/>
        </w:rPr>
        <w:t>RAPGEL1</w:t>
      </w:r>
      <w:r w:rsidRPr="00575FEE">
        <w:rPr>
          <w:rFonts w:ascii="微软雅黑" w:eastAsia="微软雅黑" w:hAnsi="微软雅黑" w:cs="宋体"/>
          <w:kern w:val="0"/>
          <w:sz w:val="24"/>
          <w:szCs w:val="24"/>
        </w:rPr>
        <w:t>表达的刺激作用与雌激素治疗的效果相似[ </w:t>
      </w:r>
      <w:hyperlink r:id="rId112" w:anchor="CR42" w:history="1">
        <w:r w:rsidRPr="00575FEE">
          <w:rPr>
            <w:rFonts w:ascii="微软雅黑" w:eastAsia="微软雅黑" w:hAnsi="微软雅黑" w:cs="宋体"/>
            <w:kern w:val="0"/>
            <w:sz w:val="24"/>
            <w:szCs w:val="24"/>
            <w:u w:val="single"/>
          </w:rPr>
          <w:t>42</w:t>
        </w:r>
      </w:hyperlink>
      <w:r w:rsidRPr="00575FEE">
        <w:rPr>
          <w:rFonts w:ascii="微软雅黑" w:eastAsia="微软雅黑" w:hAnsi="微软雅黑" w:cs="宋体"/>
          <w:kern w:val="0"/>
          <w:sz w:val="24"/>
          <w:szCs w:val="24"/>
        </w:rPr>
        <w:t> ]。具有SERD活性的化合物，例如</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和AZD9496，并未增加这些转录本的表达，这与它们缺乏激动剂活性（即纯拮抗作用）相符。G1T48在乳腺癌细胞中的转录</w:t>
      </w:r>
      <w:proofErr w:type="gramStart"/>
      <w:r w:rsidRPr="00575FEE">
        <w:rPr>
          <w:rFonts w:ascii="微软雅黑" w:eastAsia="微软雅黑" w:hAnsi="微软雅黑" w:cs="宋体"/>
          <w:kern w:val="0"/>
          <w:sz w:val="24"/>
          <w:szCs w:val="24"/>
        </w:rPr>
        <w:t>谱与氟维司群</w:t>
      </w:r>
      <w:proofErr w:type="gramEnd"/>
      <w:r w:rsidRPr="00575FEE">
        <w:rPr>
          <w:rFonts w:ascii="微软雅黑" w:eastAsia="微软雅黑" w:hAnsi="微软雅黑" w:cs="宋体"/>
          <w:kern w:val="0"/>
          <w:sz w:val="24"/>
          <w:szCs w:val="24"/>
        </w:rPr>
        <w:t>和其他</w:t>
      </w:r>
      <w:r w:rsidRPr="00575FEE">
        <w:rPr>
          <w:rFonts w:ascii="微软雅黑" w:eastAsia="微软雅黑" w:hAnsi="微软雅黑" w:cs="宋体"/>
          <w:kern w:val="0"/>
          <w:sz w:val="24"/>
          <w:szCs w:val="24"/>
        </w:rPr>
        <w:lastRenderedPageBreak/>
        <w:t>SERD最为相似。有趣的是，我们的研究表明，即使在纯拮抗剂类化合物中，转录谱也存在细微差异，这表明它们可能导致不同的受体构象。这些差异对ER靶基因激活的影响仍有待研究，但可能提示可以避免不同类别SERD之间的交叉耐药性。最近的研究表明，除了受体降解外，ER的流动性也受到SERM和SERD亚类的不同影响，并且抑制流动性的化合物是更有效的拮抗剂[ </w:t>
      </w:r>
      <w:hyperlink r:id="rId113" w:anchor="CR35" w:history="1">
        <w:r w:rsidRPr="00575FEE">
          <w:rPr>
            <w:rFonts w:ascii="微软雅黑" w:eastAsia="微软雅黑" w:hAnsi="微软雅黑" w:cs="宋体"/>
            <w:kern w:val="0"/>
            <w:sz w:val="24"/>
            <w:szCs w:val="24"/>
            <w:u w:val="single"/>
          </w:rPr>
          <w:t>35</w:t>
        </w:r>
      </w:hyperlink>
      <w:r w:rsidRPr="00575FEE">
        <w:rPr>
          <w:rFonts w:ascii="微软雅黑" w:eastAsia="微软雅黑" w:hAnsi="微软雅黑" w:cs="宋体"/>
          <w:kern w:val="0"/>
          <w:sz w:val="24"/>
          <w:szCs w:val="24"/>
        </w:rPr>
        <w:t> ]。目前尚不清楚G1T48对ER流动性的影响；然而，我们的研究表明，G1T48 的内在 ER 激动剂活性非常低。</w:t>
      </w:r>
    </w:p>
    <w:p w14:paraId="52919C31"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获得性内分泌治疗耐药是一个复杂且多因素的过程；然而，</w:t>
      </w:r>
      <w:r w:rsidRPr="00575FEE">
        <w:rPr>
          <w:rFonts w:ascii="微软雅黑" w:eastAsia="微软雅黑" w:hAnsi="微软雅黑" w:cs="宋体"/>
          <w:i/>
          <w:iCs/>
          <w:kern w:val="0"/>
          <w:sz w:val="24"/>
          <w:szCs w:val="24"/>
        </w:rPr>
        <w:t>ESR1</w:t>
      </w:r>
      <w:r w:rsidRPr="00575FEE">
        <w:rPr>
          <w:rFonts w:ascii="微软雅黑" w:eastAsia="微软雅黑" w:hAnsi="微软雅黑" w:cs="宋体"/>
          <w:kern w:val="0"/>
          <w:sz w:val="24"/>
          <w:szCs w:val="24"/>
        </w:rPr>
        <w:t>基因突变导致配体非依赖性受体活性，已成为解释AI治疗后约30-40%耐药疾病的潜在机制[ </w:t>
      </w:r>
      <w:hyperlink r:id="rId114" w:anchor="CR8" w:history="1">
        <w:r w:rsidRPr="00575FEE">
          <w:rPr>
            <w:rFonts w:ascii="微软雅黑" w:eastAsia="微软雅黑" w:hAnsi="微软雅黑" w:cs="宋体"/>
            <w:kern w:val="0"/>
            <w:sz w:val="24"/>
            <w:szCs w:val="24"/>
            <w:u w:val="single"/>
          </w:rPr>
          <w:t>8</w:t>
        </w:r>
      </w:hyperlink>
      <w:r w:rsidRPr="00575FEE">
        <w:rPr>
          <w:rFonts w:ascii="微软雅黑" w:eastAsia="微软雅黑" w:hAnsi="微软雅黑" w:cs="宋体"/>
          <w:kern w:val="0"/>
          <w:sz w:val="24"/>
          <w:szCs w:val="24"/>
        </w:rPr>
        <w:t> , </w:t>
      </w:r>
      <w:hyperlink r:id="rId115" w:anchor="CR44" w:history="1">
        <w:r w:rsidRPr="00575FEE">
          <w:rPr>
            <w:rFonts w:ascii="微软雅黑" w:eastAsia="微软雅黑" w:hAnsi="微软雅黑" w:cs="宋体"/>
            <w:kern w:val="0"/>
            <w:sz w:val="24"/>
            <w:szCs w:val="24"/>
            <w:u w:val="single"/>
          </w:rPr>
          <w:t>44-46</w:t>
        </w:r>
      </w:hyperlink>
      <w:r w:rsidRPr="00575FEE">
        <w:rPr>
          <w:rFonts w:ascii="微软雅黑" w:eastAsia="微软雅黑" w:hAnsi="微软雅黑" w:cs="宋体"/>
          <w:kern w:val="0"/>
          <w:sz w:val="24"/>
          <w:szCs w:val="24"/>
        </w:rPr>
        <w:t> , 48-51 ]。因此， </w:t>
      </w:r>
      <w:hyperlink r:id="rId116" w:anchor="CR48" w:history="1">
        <w:r w:rsidRPr="00575FEE">
          <w:rPr>
            <w:rFonts w:ascii="微软雅黑" w:eastAsia="微软雅黑" w:hAnsi="微软雅黑" w:cs="宋体"/>
            <w:kern w:val="0"/>
            <w:sz w:val="24"/>
            <w:szCs w:val="24"/>
            <w:u w:val="single"/>
          </w:rPr>
          <w:t>G1T48能够抑制两种最常见的内分泌难治性ER突变体ER-Y537S和ER- </w:t>
        </w:r>
      </w:hyperlink>
      <w:hyperlink r:id="rId117" w:anchor="CR46" w:history="1">
        <w:r w:rsidRPr="00575FEE">
          <w:rPr>
            <w:rFonts w:ascii="微软雅黑" w:eastAsia="微软雅黑" w:hAnsi="微软雅黑" w:cs="宋体"/>
            <w:kern w:val="0"/>
            <w:sz w:val="24"/>
            <w:szCs w:val="24"/>
            <w:u w:val="single"/>
          </w:rPr>
          <w:t>D538G</w:t>
        </w:r>
      </w:hyperlink>
      <w:r w:rsidRPr="00575FEE">
        <w:rPr>
          <w:rFonts w:ascii="微软雅黑" w:eastAsia="微软雅黑" w:hAnsi="微软雅黑" w:cs="宋体"/>
          <w:kern w:val="0"/>
          <w:sz w:val="24"/>
          <w:szCs w:val="24"/>
        </w:rPr>
        <w:t>所致的配体非依赖性细胞生长和转录活性，这一点意义重大。有趣的是，与</w:t>
      </w:r>
      <w:r w:rsidRPr="00575FEE">
        <w:rPr>
          <w:rFonts w:ascii="微软雅黑" w:eastAsia="微软雅黑" w:hAnsi="微软雅黑" w:cs="宋体"/>
          <w:kern w:val="0"/>
          <w:sz w:val="24"/>
          <w:szCs w:val="24"/>
        </w:rPr>
        <w:fldChar w:fldCharType="begin"/>
      </w:r>
      <w:r w:rsidRPr="00575FEE">
        <w:rPr>
          <w:rFonts w:ascii="微软雅黑" w:eastAsia="微软雅黑" w:hAnsi="微软雅黑" w:cs="宋体"/>
          <w:kern w:val="0"/>
          <w:sz w:val="24"/>
          <w:szCs w:val="24"/>
        </w:rPr>
        <w:instrText xml:space="preserve"> HYPERLINK "https://pmc.ncbi.nlm.nih.gov/articles/PMC7103015/" \l "CR51" </w:instrText>
      </w:r>
      <w:r w:rsidRPr="00575FEE">
        <w:rPr>
          <w:rFonts w:ascii="微软雅黑" w:eastAsia="微软雅黑" w:hAnsi="微软雅黑" w:cs="宋体"/>
          <w:kern w:val="0"/>
          <w:sz w:val="24"/>
          <w:szCs w:val="24"/>
        </w:rPr>
        <w:fldChar w:fldCharType="separate"/>
      </w:r>
      <w:r w:rsidRPr="00575FEE">
        <w:rPr>
          <w:rFonts w:ascii="微软雅黑" w:eastAsia="微软雅黑" w:hAnsi="微软雅黑" w:cs="宋体"/>
          <w:kern w:val="0"/>
          <w:sz w:val="24"/>
          <w:szCs w:val="24"/>
          <w:u w:val="single"/>
        </w:rPr>
        <w:t>SKBR3</w:t>
      </w:r>
      <w:r w:rsidRPr="00575FEE">
        <w:rPr>
          <w:rFonts w:ascii="微软雅黑" w:eastAsia="微软雅黑" w:hAnsi="微软雅黑" w:cs="宋体"/>
          <w:kern w:val="0"/>
          <w:sz w:val="24"/>
          <w:szCs w:val="24"/>
        </w:rPr>
        <w:fldChar w:fldCharType="end"/>
      </w:r>
      <w:r w:rsidRPr="00575FEE">
        <w:rPr>
          <w:rFonts w:ascii="微软雅黑" w:eastAsia="微软雅黑" w:hAnsi="微软雅黑" w:cs="宋体"/>
          <w:kern w:val="0"/>
          <w:sz w:val="24"/>
          <w:szCs w:val="24"/>
        </w:rPr>
        <w:t xml:space="preserve">细胞中重组转录激活实验的结果相反，G1T48能够有效抑制过表达ER-Y537S变体的MCF7细胞的生长。细胞环境可能是造成这种差异的原因之一；两种细胞系中不同的辅因子表达模式和/或 MCF7 细胞中内源性 </w:t>
      </w:r>
      <w:proofErr w:type="spellStart"/>
      <w:r w:rsidRPr="00575FEE">
        <w:rPr>
          <w:rFonts w:ascii="微软雅黑" w:eastAsia="微软雅黑" w:hAnsi="微软雅黑" w:cs="宋体"/>
          <w:kern w:val="0"/>
          <w:sz w:val="24"/>
          <w:szCs w:val="24"/>
        </w:rPr>
        <w:t>wtER</w:t>
      </w:r>
      <w:proofErr w:type="spellEnd"/>
      <w:r w:rsidRPr="00575FEE">
        <w:rPr>
          <w:rFonts w:ascii="微软雅黑" w:eastAsia="微软雅黑" w:hAnsi="微软雅黑" w:cs="宋体"/>
          <w:kern w:val="0"/>
          <w:sz w:val="24"/>
          <w:szCs w:val="24"/>
        </w:rPr>
        <w:t xml:space="preserve"> 的存在可能会影响 G1T48 的疗效。</w:t>
      </w:r>
    </w:p>
    <w:p w14:paraId="3721D82C"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t>长期雌激素剥夺导致雌激素高敏感性是模拟芳香化酶抑制剂耐药性的另一种方法。我们开发了一种新的雌激素剥夺耐药模型，该模型</w:t>
      </w:r>
      <w:proofErr w:type="gramStart"/>
      <w:r w:rsidRPr="00575FEE">
        <w:rPr>
          <w:rFonts w:ascii="微软雅黑" w:eastAsia="微软雅黑" w:hAnsi="微软雅黑" w:cs="宋体"/>
          <w:kern w:val="0"/>
          <w:sz w:val="24"/>
          <w:szCs w:val="24"/>
        </w:rPr>
        <w:t>不</w:t>
      </w:r>
      <w:proofErr w:type="gramEnd"/>
      <w:r w:rsidRPr="00575FEE">
        <w:rPr>
          <w:rFonts w:ascii="微软雅黑" w:eastAsia="微软雅黑" w:hAnsi="微软雅黑" w:cs="宋体"/>
          <w:kern w:val="0"/>
          <w:sz w:val="24"/>
          <w:szCs w:val="24"/>
        </w:rPr>
        <w:t>伴有ER突变[ </w:t>
      </w:r>
      <w:hyperlink r:id="rId118" w:anchor="CR53" w:history="1">
        <w:r w:rsidRPr="00575FEE">
          <w:rPr>
            <w:rFonts w:ascii="微软雅黑" w:eastAsia="微软雅黑" w:hAnsi="微软雅黑" w:cs="宋体"/>
            <w:kern w:val="0"/>
            <w:sz w:val="24"/>
            <w:szCs w:val="24"/>
            <w:u w:val="single"/>
          </w:rPr>
          <w:t>53</w:t>
        </w:r>
      </w:hyperlink>
      <w:r w:rsidRPr="00575FEE">
        <w:rPr>
          <w:rFonts w:ascii="微软雅黑" w:eastAsia="微软雅黑" w:hAnsi="微软雅黑" w:cs="宋体"/>
          <w:kern w:val="0"/>
          <w:sz w:val="24"/>
          <w:szCs w:val="24"/>
        </w:rPr>
        <w:t> ]。利用该模型系统，低剂量G1T48（5 mg）治疗导致肿瘤生长抑制不完全，而高剂量G1T48（100 mg）单药治疗则使大多数动物的肿瘤消退，与</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类似，这表明SERD疗法在这种耐药性疾病情况下有效。</w:t>
      </w:r>
    </w:p>
    <w:p w14:paraId="286ED7B1" w14:textId="77777777" w:rsidR="00575FEE" w:rsidRPr="00575FEE" w:rsidRDefault="00575FEE" w:rsidP="00575FEE">
      <w:pPr>
        <w:widowControl/>
        <w:spacing w:before="450"/>
        <w:rPr>
          <w:rFonts w:ascii="微软雅黑" w:eastAsia="微软雅黑" w:hAnsi="微软雅黑" w:cs="宋体"/>
          <w:kern w:val="0"/>
          <w:sz w:val="24"/>
          <w:szCs w:val="24"/>
        </w:rPr>
      </w:pPr>
      <w:r w:rsidRPr="00575FEE">
        <w:rPr>
          <w:rFonts w:ascii="微软雅黑" w:eastAsia="微软雅黑" w:hAnsi="微软雅黑" w:cs="宋体"/>
          <w:kern w:val="0"/>
          <w:sz w:val="24"/>
          <w:szCs w:val="24"/>
        </w:rPr>
        <w:lastRenderedPageBreak/>
        <w:t>选择性雌激素受体拮抗剂（SERD）与CDK4/6抑制剂的联合应用已在临床上进行评估，最近的一项研究是PALOMA-3试验，该试验比较了CDK4/6抑制剂帕博西尼（</w:t>
      </w:r>
      <w:proofErr w:type="spellStart"/>
      <w:r w:rsidRPr="00575FEE">
        <w:rPr>
          <w:rFonts w:ascii="微软雅黑" w:eastAsia="微软雅黑" w:hAnsi="微软雅黑" w:cs="宋体"/>
          <w:kern w:val="0"/>
          <w:sz w:val="24"/>
          <w:szCs w:val="24"/>
        </w:rPr>
        <w:t>Ibrance</w:t>
      </w:r>
      <w:proofErr w:type="spellEnd"/>
      <w:r w:rsidRPr="00575FEE">
        <w:rPr>
          <w:rFonts w:ascii="微软雅黑" w:eastAsia="微软雅黑" w:hAnsi="微软雅黑" w:cs="宋体"/>
          <w:kern w:val="0"/>
          <w:sz w:val="24"/>
          <w:szCs w:val="24"/>
        </w:rPr>
        <w:t>®）联合</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与单用</w:t>
      </w:r>
      <w:proofErr w:type="gramStart"/>
      <w:r w:rsidRPr="00575FEE">
        <w:rPr>
          <w:rFonts w:ascii="微软雅黑" w:eastAsia="微软雅黑" w:hAnsi="微软雅黑" w:cs="宋体"/>
          <w:kern w:val="0"/>
          <w:sz w:val="24"/>
          <w:szCs w:val="24"/>
        </w:rPr>
        <w:t>氟维司群</w:t>
      </w:r>
      <w:proofErr w:type="gramEnd"/>
      <w:r w:rsidRPr="00575FEE">
        <w:rPr>
          <w:rFonts w:ascii="微软雅黑" w:eastAsia="微软雅黑" w:hAnsi="微软雅黑" w:cs="宋体"/>
          <w:kern w:val="0"/>
          <w:sz w:val="24"/>
          <w:szCs w:val="24"/>
        </w:rPr>
        <w:t>的疗效</w:t>
      </w:r>
      <w:r w:rsidRPr="00575FEE">
        <w:rPr>
          <w:rFonts w:ascii="微软雅黑" w:eastAsia="微软雅黑" w:hAnsi="微软雅黑" w:cs="宋体"/>
          <w:kern w:val="0"/>
          <w:sz w:val="24"/>
          <w:szCs w:val="24"/>
          <w:vertAlign w:val="superscript"/>
        </w:rPr>
        <w:t>。</w:t>
      </w:r>
      <w:r w:rsidRPr="00575FEE">
        <w:rPr>
          <w:rFonts w:ascii="微软雅黑" w:eastAsia="微软雅黑" w:hAnsi="微软雅黑" w:cs="宋体"/>
          <w:kern w:val="0"/>
          <w:sz w:val="24"/>
          <w:szCs w:val="24"/>
        </w:rPr>
        <w:t>研究结果显示，联合治疗组的总生存期显著延长（中位生存期34.9个月，而单药治疗组为28个月），且无进展生存期也显著延长（9.5个月，而单药治疗组为4.6个月）[ </w:t>
      </w:r>
      <w:hyperlink r:id="rId119" w:anchor="CR17" w:history="1">
        <w:r w:rsidRPr="00575FEE">
          <w:rPr>
            <w:rFonts w:ascii="微软雅黑" w:eastAsia="微软雅黑" w:hAnsi="微软雅黑" w:cs="宋体"/>
            <w:kern w:val="0"/>
            <w:sz w:val="24"/>
            <w:szCs w:val="24"/>
            <w:u w:val="single"/>
          </w:rPr>
          <w:t>17</w:t>
        </w:r>
      </w:hyperlink>
      <w:r w:rsidRPr="00575FEE">
        <w:rPr>
          <w:rFonts w:ascii="微软雅黑" w:eastAsia="微软雅黑" w:hAnsi="微软雅黑" w:cs="宋体"/>
          <w:kern w:val="0"/>
          <w:sz w:val="24"/>
          <w:szCs w:val="24"/>
        </w:rPr>
        <w:t> , </w:t>
      </w:r>
      <w:hyperlink r:id="rId120" w:anchor="CR20" w:history="1">
        <w:r w:rsidRPr="00575FEE">
          <w:rPr>
            <w:rFonts w:ascii="微软雅黑" w:eastAsia="微软雅黑" w:hAnsi="微软雅黑" w:cs="宋体"/>
            <w:kern w:val="0"/>
            <w:sz w:val="24"/>
            <w:szCs w:val="24"/>
            <w:u w:val="single"/>
          </w:rPr>
          <w:t>20</w:t>
        </w:r>
      </w:hyperlink>
      <w:r w:rsidRPr="00575FEE">
        <w:rPr>
          <w:rFonts w:ascii="微软雅黑" w:eastAsia="微软雅黑" w:hAnsi="微软雅黑" w:cs="宋体"/>
          <w:kern w:val="0"/>
          <w:sz w:val="24"/>
          <w:szCs w:val="24"/>
        </w:rPr>
        <w:t> ]。这些显著的疗效改善促成了FDA于2016年批准帕博西尼联合</w:t>
      </w:r>
      <w:proofErr w:type="gramStart"/>
      <w:r w:rsidRPr="00575FEE">
        <w:rPr>
          <w:rFonts w:ascii="微软雅黑" w:eastAsia="微软雅黑" w:hAnsi="微软雅黑" w:cs="宋体"/>
          <w:kern w:val="0"/>
          <w:sz w:val="24"/>
          <w:szCs w:val="24"/>
        </w:rPr>
        <w:t>氟维司群用于</w:t>
      </w:r>
      <w:proofErr w:type="gramEnd"/>
      <w:r w:rsidRPr="00575FEE">
        <w:rPr>
          <w:rFonts w:ascii="微软雅黑" w:eastAsia="微软雅黑" w:hAnsi="微软雅黑" w:cs="宋体"/>
          <w:kern w:val="0"/>
          <w:sz w:val="24"/>
          <w:szCs w:val="24"/>
        </w:rPr>
        <w:t>治疗其他内分泌治疗后进展的ER阳性、HER-2阴性乳腺癌。进一步的临床试验（MONALESSA-3 ( </w:t>
      </w:r>
      <w:hyperlink r:id="rId121" w:tgtFrame="_blank" w:history="1">
        <w:r w:rsidRPr="00575FEE">
          <w:rPr>
            <w:rFonts w:ascii="微软雅黑" w:eastAsia="微软雅黑" w:hAnsi="微软雅黑" w:cs="宋体"/>
            <w:kern w:val="0"/>
            <w:sz w:val="24"/>
            <w:szCs w:val="24"/>
            <w:u w:val="single"/>
          </w:rPr>
          <w:t>NCT02422615</w:t>
        </w:r>
      </w:hyperlink>
      <w:r w:rsidRPr="00575FEE">
        <w:rPr>
          <w:rFonts w:ascii="微软雅黑" w:eastAsia="微软雅黑" w:hAnsi="微软雅黑" w:cs="宋体"/>
          <w:kern w:val="0"/>
          <w:sz w:val="24"/>
          <w:szCs w:val="24"/>
        </w:rPr>
        <w:t> ) 和 MONARCH-2 ( </w:t>
      </w:r>
      <w:hyperlink r:id="rId122" w:anchor="CR20" w:history="1">
        <w:r w:rsidRPr="00575FEE">
          <w:rPr>
            <w:rFonts w:ascii="微软雅黑" w:eastAsia="微软雅黑" w:hAnsi="微软雅黑" w:cs="宋体"/>
            <w:kern w:val="0"/>
            <w:sz w:val="24"/>
            <w:szCs w:val="24"/>
            <w:u w:val="single"/>
          </w:rPr>
          <w:t>NCT02107703)）也证实了将其他 CDK4/6 抑制剂与</w:t>
        </w:r>
        <w:proofErr w:type="gramStart"/>
        <w:r w:rsidRPr="00575FEE">
          <w:rPr>
            <w:rFonts w:ascii="微软雅黑" w:eastAsia="微软雅黑" w:hAnsi="微软雅黑" w:cs="宋体"/>
            <w:kern w:val="0"/>
            <w:sz w:val="24"/>
            <w:szCs w:val="24"/>
            <w:u w:val="single"/>
          </w:rPr>
          <w:t>氟维司群</w:t>
        </w:r>
        <w:proofErr w:type="gramEnd"/>
        <w:r w:rsidRPr="00575FEE">
          <w:rPr>
            <w:rFonts w:ascii="微软雅黑" w:eastAsia="微软雅黑" w:hAnsi="微软雅黑" w:cs="宋体"/>
            <w:kern w:val="0"/>
            <w:sz w:val="24"/>
            <w:szCs w:val="24"/>
            <w:u w:val="single"/>
          </w:rPr>
          <w:t>联合用药可改善患者预后[17-20 </w:t>
        </w:r>
      </w:hyperlink>
      <w:hyperlink r:id="rId123" w:tgtFrame="_blank" w:history="1">
        <w:r w:rsidRPr="00575FEE">
          <w:rPr>
            <w:rFonts w:ascii="微软雅黑" w:eastAsia="微软雅黑" w:hAnsi="微软雅黑" w:cs="宋体"/>
            <w:kern w:val="0"/>
            <w:sz w:val="24"/>
            <w:szCs w:val="24"/>
            <w:u w:val="single"/>
          </w:rPr>
          <w:t>]</w:t>
        </w:r>
      </w:hyperlink>
      <w:r w:rsidRPr="00575FEE">
        <w:rPr>
          <w:rFonts w:ascii="微软雅黑" w:eastAsia="微软雅黑" w:hAnsi="微软雅黑" w:cs="宋体"/>
          <w:kern w:val="0"/>
          <w:sz w:val="24"/>
          <w:szCs w:val="24"/>
        </w:rPr>
        <w:t>。在</w:t>
      </w:r>
      <w:r w:rsidRPr="00575FEE">
        <w:rPr>
          <w:rFonts w:ascii="微软雅黑" w:eastAsia="微软雅黑" w:hAnsi="微软雅黑" w:cs="宋体"/>
          <w:kern w:val="0"/>
          <w:sz w:val="24"/>
          <w:szCs w:val="24"/>
        </w:rPr>
        <w:fldChar w:fldCharType="begin"/>
      </w:r>
      <w:r w:rsidRPr="00575FEE">
        <w:rPr>
          <w:rFonts w:ascii="微软雅黑" w:eastAsia="微软雅黑" w:hAnsi="微软雅黑" w:cs="宋体"/>
          <w:kern w:val="0"/>
          <w:sz w:val="24"/>
          <w:szCs w:val="24"/>
        </w:rPr>
        <w:instrText xml:space="preserve"> HYPERLINK "https://pmc.ncbi.nlm.nih.gov/articles/PMC7103015/" \l "CR17" </w:instrText>
      </w:r>
      <w:r w:rsidRPr="00575FEE">
        <w:rPr>
          <w:rFonts w:ascii="微软雅黑" w:eastAsia="微软雅黑" w:hAnsi="微软雅黑" w:cs="宋体"/>
          <w:kern w:val="0"/>
          <w:sz w:val="24"/>
          <w:szCs w:val="24"/>
        </w:rPr>
        <w:fldChar w:fldCharType="separate"/>
      </w:r>
      <w:r w:rsidRPr="00575FEE">
        <w:rPr>
          <w:rFonts w:ascii="微软雅黑" w:eastAsia="微软雅黑" w:hAnsi="微软雅黑" w:cs="宋体"/>
          <w:kern w:val="0"/>
          <w:sz w:val="24"/>
          <w:szCs w:val="24"/>
          <w:u w:val="single"/>
        </w:rPr>
        <w:t>多种</w:t>
      </w:r>
      <w:r w:rsidRPr="00575FEE">
        <w:rPr>
          <w:rFonts w:ascii="微软雅黑" w:eastAsia="微软雅黑" w:hAnsi="微软雅黑" w:cs="宋体"/>
          <w:kern w:val="0"/>
          <w:sz w:val="24"/>
          <w:szCs w:val="24"/>
        </w:rPr>
        <w:fldChar w:fldCharType="end"/>
      </w:r>
      <w:r w:rsidRPr="00575FEE">
        <w:rPr>
          <w:rFonts w:ascii="微软雅黑" w:eastAsia="微软雅黑" w:hAnsi="微软雅黑" w:cs="宋体"/>
          <w:kern w:val="0"/>
          <w:sz w:val="24"/>
          <w:szCs w:val="24"/>
        </w:rPr>
        <w:t xml:space="preserve">对内分泌治疗敏感或耐药的体内乳腺癌模型中，与单药治疗相比，G1T48 与 </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联合用药均显示出更高的疗效，这支持了该方案在乳腺癌治疗多个阶段的潜在应用价值。此外，</w:t>
      </w:r>
      <w:proofErr w:type="spellStart"/>
      <w:r w:rsidRPr="00575FEE">
        <w:rPr>
          <w:rFonts w:ascii="微软雅黑" w:eastAsia="微软雅黑" w:hAnsi="微软雅黑" w:cs="宋体"/>
          <w:kern w:val="0"/>
          <w:sz w:val="24"/>
          <w:szCs w:val="24"/>
        </w:rPr>
        <w:t>lerociclib</w:t>
      </w:r>
      <w:proofErr w:type="spellEnd"/>
      <w:r w:rsidRPr="00575FEE">
        <w:rPr>
          <w:rFonts w:ascii="微软雅黑" w:eastAsia="微软雅黑" w:hAnsi="微软雅黑" w:cs="宋体"/>
          <w:kern w:val="0"/>
          <w:sz w:val="24"/>
          <w:szCs w:val="24"/>
        </w:rPr>
        <w:t xml:space="preserve"> 的骨髓抑制作用低于 </w:t>
      </w:r>
      <w:proofErr w:type="spellStart"/>
      <w:r w:rsidRPr="00575FEE">
        <w:rPr>
          <w:rFonts w:ascii="微软雅黑" w:eastAsia="微软雅黑" w:hAnsi="微软雅黑" w:cs="宋体"/>
          <w:kern w:val="0"/>
          <w:sz w:val="24"/>
          <w:szCs w:val="24"/>
        </w:rPr>
        <w:t>palbociclib</w:t>
      </w:r>
      <w:proofErr w:type="spellEnd"/>
      <w:r w:rsidRPr="00575FEE">
        <w:rPr>
          <w:rFonts w:ascii="微软雅黑" w:eastAsia="微软雅黑" w:hAnsi="微软雅黑" w:cs="宋体"/>
          <w:kern w:val="0"/>
          <w:sz w:val="24"/>
          <w:szCs w:val="24"/>
        </w:rPr>
        <w:t xml:space="preserve"> [ </w:t>
      </w:r>
      <w:hyperlink r:id="rId124" w:anchor="CR25" w:history="1">
        <w:r w:rsidRPr="00575FEE">
          <w:rPr>
            <w:rFonts w:ascii="微软雅黑" w:eastAsia="微软雅黑" w:hAnsi="微软雅黑" w:cs="宋体"/>
            <w:kern w:val="0"/>
            <w:sz w:val="24"/>
            <w:szCs w:val="24"/>
            <w:u w:val="single"/>
          </w:rPr>
          <w:t>25</w:t>
        </w:r>
      </w:hyperlink>
      <w:r w:rsidRPr="00575FEE">
        <w:rPr>
          <w:rFonts w:ascii="微软雅黑" w:eastAsia="微软雅黑" w:hAnsi="微软雅黑" w:cs="宋体"/>
          <w:kern w:val="0"/>
          <w:sz w:val="24"/>
          <w:szCs w:val="24"/>
        </w:rPr>
        <w:t> , </w:t>
      </w:r>
      <w:hyperlink r:id="rId125" w:anchor="CR26" w:history="1">
        <w:r w:rsidRPr="00575FEE">
          <w:rPr>
            <w:rFonts w:ascii="微软雅黑" w:eastAsia="微软雅黑" w:hAnsi="微软雅黑" w:cs="宋体"/>
            <w:kern w:val="0"/>
            <w:sz w:val="24"/>
            <w:szCs w:val="24"/>
            <w:u w:val="single"/>
          </w:rPr>
          <w:t>26</w:t>
        </w:r>
      </w:hyperlink>
      <w:r w:rsidRPr="00575FEE">
        <w:rPr>
          <w:rFonts w:ascii="微软雅黑" w:eastAsia="微软雅黑" w:hAnsi="微软雅黑" w:cs="宋体"/>
          <w:kern w:val="0"/>
          <w:sz w:val="24"/>
          <w:szCs w:val="24"/>
        </w:rPr>
        <w:t> ]。综上所述，这些数据表明 G1T48 有望成为 ER+ 乳腺癌的一种有效的口服抗肿瘤药物。</w:t>
      </w:r>
    </w:p>
    <w:p w14:paraId="06560048" w14:textId="77777777" w:rsidR="00556617" w:rsidRPr="00575FEE" w:rsidRDefault="00556617" w:rsidP="00575FEE">
      <w:pPr>
        <w:rPr>
          <w:rFonts w:ascii="微软雅黑" w:eastAsia="微软雅黑" w:hAnsi="微软雅黑"/>
        </w:rPr>
      </w:pPr>
    </w:p>
    <w:p w14:paraId="069A4854" w14:textId="77777777" w:rsidR="00575FEE" w:rsidRPr="00575FEE" w:rsidRDefault="00575FEE">
      <w:pPr>
        <w:rPr>
          <w:rFonts w:ascii="微软雅黑" w:eastAsia="微软雅黑" w:hAnsi="微软雅黑"/>
        </w:rPr>
      </w:pPr>
    </w:p>
    <w:sectPr w:rsidR="00575FEE" w:rsidRPr="00575FEE">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5E34FC"/>
    <w:multiLevelType w:val="multilevel"/>
    <w:tmpl w:val="D902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617"/>
    <w:rsid w:val="00556617"/>
    <w:rsid w:val="00575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3A733"/>
  <w15:chartTrackingRefBased/>
  <w15:docId w15:val="{232D19D0-3E70-4580-A1F3-6F989E2DF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575FE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575FEE"/>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575FEE"/>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575FE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75FEE"/>
    <w:rPr>
      <w:rFonts w:ascii="宋体" w:eastAsia="宋体" w:hAnsi="宋体" w:cs="宋体"/>
      <w:b/>
      <w:bCs/>
      <w:kern w:val="36"/>
      <w:sz w:val="48"/>
      <w:szCs w:val="48"/>
    </w:rPr>
  </w:style>
  <w:style w:type="character" w:customStyle="1" w:styleId="20">
    <w:name w:val="标题 2 字符"/>
    <w:basedOn w:val="a0"/>
    <w:link w:val="2"/>
    <w:uiPriority w:val="9"/>
    <w:rsid w:val="00575FEE"/>
    <w:rPr>
      <w:rFonts w:ascii="宋体" w:eastAsia="宋体" w:hAnsi="宋体" w:cs="宋体"/>
      <w:b/>
      <w:bCs/>
      <w:kern w:val="0"/>
      <w:sz w:val="36"/>
      <w:szCs w:val="36"/>
    </w:rPr>
  </w:style>
  <w:style w:type="character" w:customStyle="1" w:styleId="30">
    <w:name w:val="标题 3 字符"/>
    <w:basedOn w:val="a0"/>
    <w:link w:val="3"/>
    <w:uiPriority w:val="9"/>
    <w:rsid w:val="00575FEE"/>
    <w:rPr>
      <w:rFonts w:ascii="宋体" w:eastAsia="宋体" w:hAnsi="宋体" w:cs="宋体"/>
      <w:b/>
      <w:bCs/>
      <w:kern w:val="0"/>
      <w:sz w:val="27"/>
      <w:szCs w:val="27"/>
    </w:rPr>
  </w:style>
  <w:style w:type="character" w:customStyle="1" w:styleId="40">
    <w:name w:val="标题 4 字符"/>
    <w:basedOn w:val="a0"/>
    <w:link w:val="4"/>
    <w:uiPriority w:val="9"/>
    <w:rsid w:val="00575FEE"/>
    <w:rPr>
      <w:rFonts w:ascii="宋体" w:eastAsia="宋体" w:hAnsi="宋体" w:cs="宋体"/>
      <w:b/>
      <w:bCs/>
      <w:kern w:val="0"/>
      <w:sz w:val="24"/>
      <w:szCs w:val="24"/>
    </w:rPr>
  </w:style>
  <w:style w:type="paragraph" w:customStyle="1" w:styleId="msonormal0">
    <w:name w:val="msonormal"/>
    <w:basedOn w:val="a"/>
    <w:rsid w:val="00575FEE"/>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575FEE"/>
    <w:rPr>
      <w:color w:val="0000FF"/>
      <w:u w:val="single"/>
    </w:rPr>
  </w:style>
  <w:style w:type="character" w:styleId="a4">
    <w:name w:val="FollowedHyperlink"/>
    <w:basedOn w:val="a0"/>
    <w:uiPriority w:val="99"/>
    <w:semiHidden/>
    <w:unhideWhenUsed/>
    <w:rsid w:val="00575FEE"/>
    <w:rPr>
      <w:color w:val="800080"/>
      <w:u w:val="single"/>
    </w:rPr>
  </w:style>
  <w:style w:type="character" w:customStyle="1" w:styleId="name">
    <w:name w:val="name"/>
    <w:basedOn w:val="a0"/>
    <w:rsid w:val="00575FEE"/>
  </w:style>
  <w:style w:type="paragraph" w:styleId="a5">
    <w:name w:val="Normal (Web)"/>
    <w:basedOn w:val="a"/>
    <w:uiPriority w:val="99"/>
    <w:semiHidden/>
    <w:unhideWhenUsed/>
    <w:rsid w:val="00575FE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75FEE"/>
    <w:rPr>
      <w:b/>
      <w:bCs/>
    </w:rPr>
  </w:style>
  <w:style w:type="character" w:styleId="a7">
    <w:name w:val="Emphasis"/>
    <w:basedOn w:val="a0"/>
    <w:uiPriority w:val="20"/>
    <w:qFormat/>
    <w:rsid w:val="00575FEE"/>
    <w:rPr>
      <w:i/>
      <w:iCs/>
    </w:rPr>
  </w:style>
  <w:style w:type="paragraph" w:customStyle="1" w:styleId="img-box">
    <w:name w:val="img-box"/>
    <w:basedOn w:val="a"/>
    <w:rsid w:val="00575FE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733452">
      <w:bodyDiv w:val="1"/>
      <w:marLeft w:val="0"/>
      <w:marRight w:val="0"/>
      <w:marTop w:val="0"/>
      <w:marBottom w:val="0"/>
      <w:divBdr>
        <w:top w:val="none" w:sz="0" w:space="0" w:color="auto"/>
        <w:left w:val="none" w:sz="0" w:space="0" w:color="auto"/>
        <w:bottom w:val="none" w:sz="0" w:space="0" w:color="auto"/>
        <w:right w:val="none" w:sz="0" w:space="0" w:color="auto"/>
      </w:divBdr>
      <w:divsChild>
        <w:div w:id="1517840713">
          <w:marLeft w:val="0"/>
          <w:marRight w:val="0"/>
          <w:marTop w:val="0"/>
          <w:marBottom w:val="0"/>
          <w:divBdr>
            <w:top w:val="none" w:sz="0" w:space="0" w:color="auto"/>
            <w:left w:val="none" w:sz="0" w:space="0" w:color="auto"/>
            <w:bottom w:val="none" w:sz="0" w:space="0" w:color="auto"/>
            <w:right w:val="none" w:sz="0" w:space="0" w:color="auto"/>
          </w:divBdr>
          <w:divsChild>
            <w:div w:id="1943565136">
              <w:marLeft w:val="0"/>
              <w:marRight w:val="0"/>
              <w:marTop w:val="225"/>
              <w:marBottom w:val="0"/>
              <w:divBdr>
                <w:top w:val="none" w:sz="0" w:space="0" w:color="auto"/>
                <w:left w:val="none" w:sz="0" w:space="0" w:color="auto"/>
                <w:bottom w:val="none" w:sz="0" w:space="0" w:color="auto"/>
                <w:right w:val="none" w:sz="0" w:space="0" w:color="auto"/>
              </w:divBdr>
            </w:div>
            <w:div w:id="485784840">
              <w:marLeft w:val="0"/>
              <w:marRight w:val="0"/>
              <w:marTop w:val="0"/>
              <w:marBottom w:val="0"/>
              <w:divBdr>
                <w:top w:val="none" w:sz="0" w:space="0" w:color="auto"/>
                <w:left w:val="none" w:sz="0" w:space="0" w:color="auto"/>
                <w:bottom w:val="none" w:sz="0" w:space="0" w:color="auto"/>
                <w:right w:val="none" w:sz="0" w:space="0" w:color="auto"/>
              </w:divBdr>
            </w:div>
          </w:divsChild>
        </w:div>
        <w:div w:id="732001324">
          <w:marLeft w:val="0"/>
          <w:marRight w:val="0"/>
          <w:marTop w:val="450"/>
          <w:marBottom w:val="0"/>
          <w:divBdr>
            <w:top w:val="none" w:sz="0" w:space="0" w:color="auto"/>
            <w:left w:val="none" w:sz="0" w:space="0" w:color="auto"/>
            <w:bottom w:val="none" w:sz="0" w:space="0" w:color="auto"/>
            <w:right w:val="none" w:sz="0" w:space="0" w:color="auto"/>
          </w:divBdr>
        </w:div>
        <w:div w:id="1922639874">
          <w:marLeft w:val="0"/>
          <w:marRight w:val="0"/>
          <w:marTop w:val="450"/>
          <w:marBottom w:val="0"/>
          <w:divBdr>
            <w:top w:val="none" w:sz="0" w:space="0" w:color="auto"/>
            <w:left w:val="none" w:sz="0" w:space="0" w:color="auto"/>
            <w:bottom w:val="none" w:sz="0" w:space="0" w:color="auto"/>
            <w:right w:val="none" w:sz="0" w:space="0" w:color="auto"/>
          </w:divBdr>
        </w:div>
        <w:div w:id="2013027453">
          <w:marLeft w:val="0"/>
          <w:marRight w:val="0"/>
          <w:marTop w:val="450"/>
          <w:marBottom w:val="0"/>
          <w:divBdr>
            <w:top w:val="none" w:sz="0" w:space="0" w:color="auto"/>
            <w:left w:val="none" w:sz="0" w:space="0" w:color="auto"/>
            <w:bottom w:val="none" w:sz="0" w:space="0" w:color="auto"/>
            <w:right w:val="none" w:sz="0" w:space="0" w:color="auto"/>
          </w:divBdr>
        </w:div>
        <w:div w:id="1299872517">
          <w:marLeft w:val="0"/>
          <w:marRight w:val="0"/>
          <w:marTop w:val="450"/>
          <w:marBottom w:val="0"/>
          <w:divBdr>
            <w:top w:val="none" w:sz="0" w:space="0" w:color="auto"/>
            <w:left w:val="none" w:sz="0" w:space="0" w:color="auto"/>
            <w:bottom w:val="none" w:sz="0" w:space="0" w:color="auto"/>
            <w:right w:val="none" w:sz="0" w:space="0" w:color="auto"/>
          </w:divBdr>
        </w:div>
        <w:div w:id="440419477">
          <w:marLeft w:val="0"/>
          <w:marRight w:val="0"/>
          <w:marTop w:val="450"/>
          <w:marBottom w:val="0"/>
          <w:divBdr>
            <w:top w:val="none" w:sz="0" w:space="0" w:color="auto"/>
            <w:left w:val="none" w:sz="0" w:space="0" w:color="auto"/>
            <w:bottom w:val="none" w:sz="0" w:space="0" w:color="auto"/>
            <w:right w:val="none" w:sz="0" w:space="0" w:color="auto"/>
          </w:divBdr>
        </w:div>
        <w:div w:id="324089546">
          <w:marLeft w:val="0"/>
          <w:marRight w:val="0"/>
          <w:marTop w:val="450"/>
          <w:marBottom w:val="0"/>
          <w:divBdr>
            <w:top w:val="none" w:sz="0" w:space="0" w:color="auto"/>
            <w:left w:val="none" w:sz="0" w:space="0" w:color="auto"/>
            <w:bottom w:val="none" w:sz="0" w:space="0" w:color="auto"/>
            <w:right w:val="none" w:sz="0" w:space="0" w:color="auto"/>
          </w:divBdr>
        </w:div>
        <w:div w:id="178391692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mc.ncbi.nlm.nih.gov/articles/PMC7103015/" TargetMode="External"/><Relationship Id="rId117" Type="http://schemas.openxmlformats.org/officeDocument/2006/relationships/hyperlink" Target="https://pmc.ncbi.nlm.nih.gov/articles/PMC7103015/" TargetMode="External"/><Relationship Id="rId21" Type="http://schemas.openxmlformats.org/officeDocument/2006/relationships/hyperlink" Target="https://pmc.ncbi.nlm.nih.gov/articles/PMC7103015/" TargetMode="External"/><Relationship Id="rId42" Type="http://schemas.openxmlformats.org/officeDocument/2006/relationships/hyperlink" Target="https://pmc.ncbi.nlm.nih.gov/articles/PMC7103015/" TargetMode="External"/><Relationship Id="rId47" Type="http://schemas.openxmlformats.org/officeDocument/2006/relationships/hyperlink" Target="https://www.ncbi.nlm.nih.gov/core/lw/2.0/html/tileshop_pmc/tileshop_pmc_inline.html?title=Click%20on%20image%20to%20zoom&amp;p=PMC3&amp;id=7103015_10549_2020_5575_Fig2_HTML.jpg" TargetMode="External"/><Relationship Id="rId63" Type="http://schemas.openxmlformats.org/officeDocument/2006/relationships/hyperlink" Target="https://pmc.ncbi.nlm.nih.gov/articles/PMC7103015/" TargetMode="External"/><Relationship Id="rId68" Type="http://schemas.openxmlformats.org/officeDocument/2006/relationships/hyperlink" Target="https://pmc.ncbi.nlm.nih.gov/articles/PMC7103015/" TargetMode="External"/><Relationship Id="rId84" Type="http://schemas.openxmlformats.org/officeDocument/2006/relationships/hyperlink" Target="https://pmc.ncbi.nlm.nih.gov/articles/PMC7103015/" TargetMode="External"/><Relationship Id="rId89" Type="http://schemas.openxmlformats.org/officeDocument/2006/relationships/hyperlink" Target="https://pmc.ncbi.nlm.nih.gov/articles/PMC7103015/" TargetMode="External"/><Relationship Id="rId112" Type="http://schemas.openxmlformats.org/officeDocument/2006/relationships/hyperlink" Target="https://pmc.ncbi.nlm.nih.gov/articles/PMC7103015/" TargetMode="External"/><Relationship Id="rId16" Type="http://schemas.openxmlformats.org/officeDocument/2006/relationships/hyperlink" Target="https://pmc.ncbi.nlm.nih.gov/articles/PMC7103015/" TargetMode="External"/><Relationship Id="rId107" Type="http://schemas.openxmlformats.org/officeDocument/2006/relationships/hyperlink" Target="https://pmc.ncbi.nlm.nih.gov/articles/PMC7103015/" TargetMode="External"/><Relationship Id="rId11" Type="http://schemas.openxmlformats.org/officeDocument/2006/relationships/hyperlink" Target="https://pmc.ncbi.nlm.nih.gov/articles/PMC7103015/" TargetMode="External"/><Relationship Id="rId32" Type="http://schemas.openxmlformats.org/officeDocument/2006/relationships/hyperlink" Target="https://pmc.ncbi.nlm.nih.gov/articles/PMC7103015/" TargetMode="External"/><Relationship Id="rId37" Type="http://schemas.openxmlformats.org/officeDocument/2006/relationships/hyperlink" Target="https://pmc.ncbi.nlm.nih.gov/articles/PMC7103015/" TargetMode="External"/><Relationship Id="rId53" Type="http://schemas.openxmlformats.org/officeDocument/2006/relationships/hyperlink" Target="https://pmc.ncbi.nlm.nih.gov/articles/PMC7103015/" TargetMode="External"/><Relationship Id="rId58" Type="http://schemas.openxmlformats.org/officeDocument/2006/relationships/image" Target="media/image3.jpeg"/><Relationship Id="rId74" Type="http://schemas.openxmlformats.org/officeDocument/2006/relationships/hyperlink" Target="https://pmc.ncbi.nlm.nih.gov/articles/PMC7103015/" TargetMode="External"/><Relationship Id="rId79" Type="http://schemas.openxmlformats.org/officeDocument/2006/relationships/hyperlink" Target="https://pmc.ncbi.nlm.nih.gov/articles/PMC7103015/" TargetMode="External"/><Relationship Id="rId102" Type="http://schemas.openxmlformats.org/officeDocument/2006/relationships/hyperlink" Target="https://pmc.ncbi.nlm.nih.gov/articles/PMC7103015/" TargetMode="External"/><Relationship Id="rId123" Type="http://schemas.openxmlformats.org/officeDocument/2006/relationships/hyperlink" Target="https://clinicaltrials.gov/ct2/show/NCT02107703" TargetMode="External"/><Relationship Id="rId5" Type="http://schemas.openxmlformats.org/officeDocument/2006/relationships/hyperlink" Target="https://pmc.ncbi.nlm.nih.gov/articles/PMC7103015/" TargetMode="External"/><Relationship Id="rId90" Type="http://schemas.openxmlformats.org/officeDocument/2006/relationships/hyperlink" Target="https://pmc.ncbi.nlm.nih.gov/articles/PMC7103015/" TargetMode="External"/><Relationship Id="rId95" Type="http://schemas.openxmlformats.org/officeDocument/2006/relationships/hyperlink" Target="https://pmc.ncbi.nlm.nih.gov/articles/PMC7103015/" TargetMode="External"/><Relationship Id="rId22" Type="http://schemas.openxmlformats.org/officeDocument/2006/relationships/hyperlink" Target="https://pmc.ncbi.nlm.nih.gov/articles/PMC7103015/" TargetMode="External"/><Relationship Id="rId27" Type="http://schemas.openxmlformats.org/officeDocument/2006/relationships/hyperlink" Target="https://pmc.ncbi.nlm.nih.gov/articles/PMC7103015/" TargetMode="External"/><Relationship Id="rId43" Type="http://schemas.openxmlformats.org/officeDocument/2006/relationships/hyperlink" Target="https://www.ncbi.nlm.nih.gov/core/lw/2.0/html/tileshop_pmc/tileshop_pmc_inline.html?title=Click%20on%20image%20to%20zoom&amp;p=PMC3&amp;id=7103015_10549_2020_5575_Fig1_HTML.jpg" TargetMode="External"/><Relationship Id="rId48" Type="http://schemas.openxmlformats.org/officeDocument/2006/relationships/image" Target="media/image2.jpeg"/><Relationship Id="rId64" Type="http://schemas.openxmlformats.org/officeDocument/2006/relationships/hyperlink" Target="https://pmc.ncbi.nlm.nih.gov/articles/PMC7103015/" TargetMode="External"/><Relationship Id="rId69" Type="http://schemas.openxmlformats.org/officeDocument/2006/relationships/hyperlink" Target="https://pmc.ncbi.nlm.nih.gov/articles/PMC7103015/" TargetMode="External"/><Relationship Id="rId113" Type="http://schemas.openxmlformats.org/officeDocument/2006/relationships/hyperlink" Target="https://pmc.ncbi.nlm.nih.gov/articles/PMC7103015/" TargetMode="External"/><Relationship Id="rId118" Type="http://schemas.openxmlformats.org/officeDocument/2006/relationships/hyperlink" Target="https://pmc.ncbi.nlm.nih.gov/articles/PMC7103015/" TargetMode="External"/><Relationship Id="rId80" Type="http://schemas.openxmlformats.org/officeDocument/2006/relationships/hyperlink" Target="https://pmc.ncbi.nlm.nih.gov/articles/PMC7103015/" TargetMode="External"/><Relationship Id="rId85" Type="http://schemas.openxmlformats.org/officeDocument/2006/relationships/hyperlink" Target="https://pmc.ncbi.nlm.nih.gov/articles/PMC7103015/" TargetMode="External"/><Relationship Id="rId12" Type="http://schemas.openxmlformats.org/officeDocument/2006/relationships/hyperlink" Target="https://pmc.ncbi.nlm.nih.gov/articles/PMC7103015/" TargetMode="External"/><Relationship Id="rId17" Type="http://schemas.openxmlformats.org/officeDocument/2006/relationships/hyperlink" Target="https://pmc.ncbi.nlm.nih.gov/articles/PMC7103015/" TargetMode="External"/><Relationship Id="rId33" Type="http://schemas.openxmlformats.org/officeDocument/2006/relationships/hyperlink" Target="https://pmc.ncbi.nlm.nih.gov/articles/PMC7103015/" TargetMode="External"/><Relationship Id="rId38" Type="http://schemas.openxmlformats.org/officeDocument/2006/relationships/hyperlink" Target="https://pmc.ncbi.nlm.nih.gov/articles/PMC7103015/" TargetMode="External"/><Relationship Id="rId59" Type="http://schemas.openxmlformats.org/officeDocument/2006/relationships/hyperlink" Target="https://pmc.ncbi.nlm.nih.gov/articles/PMC7103015/" TargetMode="External"/><Relationship Id="rId103" Type="http://schemas.openxmlformats.org/officeDocument/2006/relationships/hyperlink" Target="https://pmc.ncbi.nlm.nih.gov/articles/PMC7103015/" TargetMode="External"/><Relationship Id="rId108" Type="http://schemas.openxmlformats.org/officeDocument/2006/relationships/hyperlink" Target="https://pmc.ncbi.nlm.nih.gov/articles/PMC7103015/" TargetMode="External"/><Relationship Id="rId124" Type="http://schemas.openxmlformats.org/officeDocument/2006/relationships/hyperlink" Target="https://pmc.ncbi.nlm.nih.gov/articles/PMC7103015/" TargetMode="External"/><Relationship Id="rId54" Type="http://schemas.openxmlformats.org/officeDocument/2006/relationships/hyperlink" Target="https://pmc.ncbi.nlm.nih.gov/articles/PMC7103015/" TargetMode="External"/><Relationship Id="rId70" Type="http://schemas.openxmlformats.org/officeDocument/2006/relationships/hyperlink" Target="https://www.ncbi.nlm.nih.gov/core/lw/2.0/html/tileshop_pmc/tileshop_pmc_inline.html?title=Click%20on%20image%20to%20zoom&amp;p=PMC3&amp;id=7103015_10549_2020_5575_Fig4_HTML.jpg" TargetMode="External"/><Relationship Id="rId75" Type="http://schemas.openxmlformats.org/officeDocument/2006/relationships/hyperlink" Target="https://pmc.ncbi.nlm.nih.gov/articles/PMC7103015/" TargetMode="External"/><Relationship Id="rId91" Type="http://schemas.openxmlformats.org/officeDocument/2006/relationships/hyperlink" Target="https://pmc.ncbi.nlm.nih.gov/articles/PMC7103015/" TargetMode="External"/><Relationship Id="rId96" Type="http://schemas.openxmlformats.org/officeDocument/2006/relationships/hyperlink" Target="https://pmc.ncbi.nlm.nih.gov/articles/PMC7103015/" TargetMode="External"/><Relationship Id="rId1" Type="http://schemas.openxmlformats.org/officeDocument/2006/relationships/numbering" Target="numbering.xml"/><Relationship Id="rId6" Type="http://schemas.openxmlformats.org/officeDocument/2006/relationships/hyperlink" Target="https://pmc.ncbi.nlm.nih.gov/articles/PMC7103015/" TargetMode="External"/><Relationship Id="rId23" Type="http://schemas.openxmlformats.org/officeDocument/2006/relationships/hyperlink" Target="https://pmc.ncbi.nlm.nih.gov/articles/PMC7103015/" TargetMode="External"/><Relationship Id="rId28" Type="http://schemas.openxmlformats.org/officeDocument/2006/relationships/hyperlink" Target="https://pmc.ncbi.nlm.nih.gov/articles/PMC7103015/" TargetMode="External"/><Relationship Id="rId49" Type="http://schemas.openxmlformats.org/officeDocument/2006/relationships/hyperlink" Target="https://pmc.ncbi.nlm.nih.gov/articles/PMC7103015/" TargetMode="External"/><Relationship Id="rId114" Type="http://schemas.openxmlformats.org/officeDocument/2006/relationships/hyperlink" Target="https://pmc.ncbi.nlm.nih.gov/articles/PMC7103015/" TargetMode="External"/><Relationship Id="rId119" Type="http://schemas.openxmlformats.org/officeDocument/2006/relationships/hyperlink" Target="https://pmc.ncbi.nlm.nih.gov/articles/PMC7103015/" TargetMode="External"/><Relationship Id="rId44" Type="http://schemas.openxmlformats.org/officeDocument/2006/relationships/image" Target="media/image1.jpeg"/><Relationship Id="rId60" Type="http://schemas.openxmlformats.org/officeDocument/2006/relationships/hyperlink" Target="https://pmc.ncbi.nlm.nih.gov/articles/PMC7103015/" TargetMode="External"/><Relationship Id="rId65" Type="http://schemas.openxmlformats.org/officeDocument/2006/relationships/hyperlink" Target="https://pmc.ncbi.nlm.nih.gov/articles/PMC7103015/" TargetMode="External"/><Relationship Id="rId81" Type="http://schemas.openxmlformats.org/officeDocument/2006/relationships/hyperlink" Target="https://pmc.ncbi.nlm.nih.gov/articles/PMC7103015/" TargetMode="External"/><Relationship Id="rId86" Type="http://schemas.openxmlformats.org/officeDocument/2006/relationships/hyperlink" Target="https://www.ncbi.nlm.nih.gov/core/lw/2.0/html/tileshop_pmc/tileshop_pmc_inline.html?title=Click%20on%20image%20to%20zoom&amp;p=PMC3&amp;id=7103015_10549_2020_5575_Fig6_HTML.jpg" TargetMode="External"/><Relationship Id="rId13" Type="http://schemas.openxmlformats.org/officeDocument/2006/relationships/hyperlink" Target="https://pmc.ncbi.nlm.nih.gov/articles/PMC7103015/" TargetMode="External"/><Relationship Id="rId18" Type="http://schemas.openxmlformats.org/officeDocument/2006/relationships/hyperlink" Target="https://pmc.ncbi.nlm.nih.gov/articles/PMC7103015/" TargetMode="External"/><Relationship Id="rId39" Type="http://schemas.openxmlformats.org/officeDocument/2006/relationships/hyperlink" Target="https://pmc.ncbi.nlm.nih.gov/articles/PMC7103015/" TargetMode="External"/><Relationship Id="rId109" Type="http://schemas.openxmlformats.org/officeDocument/2006/relationships/hyperlink" Target="https://pmc.ncbi.nlm.nih.gov/articles/PMC7103015/" TargetMode="External"/><Relationship Id="rId34" Type="http://schemas.openxmlformats.org/officeDocument/2006/relationships/hyperlink" Target="https://pmc.ncbi.nlm.nih.gov/articles/PMC7103015/" TargetMode="External"/><Relationship Id="rId50" Type="http://schemas.openxmlformats.org/officeDocument/2006/relationships/hyperlink" Target="https://pmc.ncbi.nlm.nih.gov/articles/PMC7103015/" TargetMode="External"/><Relationship Id="rId55" Type="http://schemas.openxmlformats.org/officeDocument/2006/relationships/hyperlink" Target="https://pmc.ncbi.nlm.nih.gov/articles/PMC7103015/" TargetMode="External"/><Relationship Id="rId76" Type="http://schemas.openxmlformats.org/officeDocument/2006/relationships/hyperlink" Target="https://www.ncbi.nlm.nih.gov/core/lw/2.0/html/tileshop_pmc/tileshop_pmc_inline.html?title=Click%20on%20image%20to%20zoom&amp;p=PMC3&amp;id=7103015_10549_2020_5575_Fig5_HTML.jpg" TargetMode="External"/><Relationship Id="rId97" Type="http://schemas.openxmlformats.org/officeDocument/2006/relationships/hyperlink" Target="https://pmc.ncbi.nlm.nih.gov/articles/PMC7103015/" TargetMode="External"/><Relationship Id="rId104" Type="http://schemas.openxmlformats.org/officeDocument/2006/relationships/hyperlink" Target="https://pmc.ncbi.nlm.nih.gov/articles/PMC7103015/" TargetMode="External"/><Relationship Id="rId120" Type="http://schemas.openxmlformats.org/officeDocument/2006/relationships/hyperlink" Target="https://pmc.ncbi.nlm.nih.gov/articles/PMC7103015/" TargetMode="External"/><Relationship Id="rId125" Type="http://schemas.openxmlformats.org/officeDocument/2006/relationships/hyperlink" Target="https://pmc.ncbi.nlm.nih.gov/articles/PMC7103015/" TargetMode="External"/><Relationship Id="rId7" Type="http://schemas.openxmlformats.org/officeDocument/2006/relationships/hyperlink" Target="https://pmc.ncbi.nlm.nih.gov/articles/PMC7103015/" TargetMode="External"/><Relationship Id="rId71" Type="http://schemas.openxmlformats.org/officeDocument/2006/relationships/image" Target="media/image4.jpeg"/><Relationship Id="rId92" Type="http://schemas.openxmlformats.org/officeDocument/2006/relationships/image" Target="media/image7.jpeg"/><Relationship Id="rId2" Type="http://schemas.openxmlformats.org/officeDocument/2006/relationships/styles" Target="styles.xml"/><Relationship Id="rId29" Type="http://schemas.openxmlformats.org/officeDocument/2006/relationships/hyperlink" Target="https://pmc.ncbi.nlm.nih.gov/articles/PMC7103015/" TargetMode="External"/><Relationship Id="rId24" Type="http://schemas.openxmlformats.org/officeDocument/2006/relationships/hyperlink" Target="https://pmc.ncbi.nlm.nih.gov/articles/PMC7103015/" TargetMode="External"/><Relationship Id="rId40" Type="http://schemas.openxmlformats.org/officeDocument/2006/relationships/hyperlink" Target="https://pmc.ncbi.nlm.nih.gov/articles/PMC7103015/" TargetMode="External"/><Relationship Id="rId45" Type="http://schemas.openxmlformats.org/officeDocument/2006/relationships/hyperlink" Target="https://pmc.ncbi.nlm.nih.gov/articles/PMC7103015/" TargetMode="External"/><Relationship Id="rId66" Type="http://schemas.openxmlformats.org/officeDocument/2006/relationships/hyperlink" Target="https://pmc.ncbi.nlm.nih.gov/articles/PMC7103015/" TargetMode="External"/><Relationship Id="rId87" Type="http://schemas.openxmlformats.org/officeDocument/2006/relationships/image" Target="media/image6.jpeg"/><Relationship Id="rId110" Type="http://schemas.openxmlformats.org/officeDocument/2006/relationships/hyperlink" Target="https://pmc.ncbi.nlm.nih.gov/articles/PMC7103015/" TargetMode="External"/><Relationship Id="rId115" Type="http://schemas.openxmlformats.org/officeDocument/2006/relationships/hyperlink" Target="https://pmc.ncbi.nlm.nih.gov/articles/PMC7103015/" TargetMode="External"/><Relationship Id="rId61" Type="http://schemas.openxmlformats.org/officeDocument/2006/relationships/hyperlink" Target="https://pmc.ncbi.nlm.nih.gov/articles/PMC7103015/" TargetMode="External"/><Relationship Id="rId82" Type="http://schemas.openxmlformats.org/officeDocument/2006/relationships/hyperlink" Target="https://pmc.ncbi.nlm.nih.gov/articles/PMC7103015/" TargetMode="External"/><Relationship Id="rId19" Type="http://schemas.openxmlformats.org/officeDocument/2006/relationships/hyperlink" Target="https://pmc.ncbi.nlm.nih.gov/articles/PMC7103015/" TargetMode="External"/><Relationship Id="rId14" Type="http://schemas.openxmlformats.org/officeDocument/2006/relationships/hyperlink" Target="https://pmc.ncbi.nlm.nih.gov/articles/PMC7103015/" TargetMode="External"/><Relationship Id="rId30" Type="http://schemas.openxmlformats.org/officeDocument/2006/relationships/hyperlink" Target="https://pmc.ncbi.nlm.nih.gov/articles/PMC7103015/" TargetMode="External"/><Relationship Id="rId35" Type="http://schemas.openxmlformats.org/officeDocument/2006/relationships/hyperlink" Target="https://pmc.ncbi.nlm.nih.gov/articles/PMC7103015/" TargetMode="External"/><Relationship Id="rId56" Type="http://schemas.openxmlformats.org/officeDocument/2006/relationships/hyperlink" Target="https://pmc.ncbi.nlm.nih.gov/articles/PMC7103015/" TargetMode="External"/><Relationship Id="rId77" Type="http://schemas.openxmlformats.org/officeDocument/2006/relationships/image" Target="media/image5.jpeg"/><Relationship Id="rId100" Type="http://schemas.openxmlformats.org/officeDocument/2006/relationships/hyperlink" Target="https://pmc.ncbi.nlm.nih.gov/articles/PMC7103015/" TargetMode="External"/><Relationship Id="rId105" Type="http://schemas.openxmlformats.org/officeDocument/2006/relationships/hyperlink" Target="https://pmc.ncbi.nlm.nih.gov/articles/PMC7103015/" TargetMode="External"/><Relationship Id="rId126" Type="http://schemas.openxmlformats.org/officeDocument/2006/relationships/fontTable" Target="fontTable.xml"/><Relationship Id="rId8" Type="http://schemas.openxmlformats.org/officeDocument/2006/relationships/hyperlink" Target="https://pmc.ncbi.nlm.nih.gov/articles/PMC7103015/" TargetMode="External"/><Relationship Id="rId51" Type="http://schemas.openxmlformats.org/officeDocument/2006/relationships/hyperlink" Target="https://pmc.ncbi.nlm.nih.gov/articles/PMC7103015/" TargetMode="External"/><Relationship Id="rId72" Type="http://schemas.openxmlformats.org/officeDocument/2006/relationships/hyperlink" Target="https://pmc.ncbi.nlm.nih.gov/articles/PMC7103015/" TargetMode="External"/><Relationship Id="rId93" Type="http://schemas.openxmlformats.org/officeDocument/2006/relationships/hyperlink" Target="https://pmc.ncbi.nlm.nih.gov/articles/PMC7103015/" TargetMode="External"/><Relationship Id="rId98" Type="http://schemas.openxmlformats.org/officeDocument/2006/relationships/hyperlink" Target="https://pmc.ncbi.nlm.nih.gov/articles/PMC7103015/" TargetMode="External"/><Relationship Id="rId121" Type="http://schemas.openxmlformats.org/officeDocument/2006/relationships/hyperlink" Target="https://clinicaltrials.gov/ct2/show/NCT02422615" TargetMode="External"/><Relationship Id="rId3" Type="http://schemas.openxmlformats.org/officeDocument/2006/relationships/settings" Target="settings.xml"/><Relationship Id="rId25" Type="http://schemas.openxmlformats.org/officeDocument/2006/relationships/hyperlink" Target="https://pmc.ncbi.nlm.nih.gov/articles/PMC7103015/" TargetMode="External"/><Relationship Id="rId46" Type="http://schemas.openxmlformats.org/officeDocument/2006/relationships/hyperlink" Target="https://pmc.ncbi.nlm.nih.gov/articles/PMC7103015/" TargetMode="External"/><Relationship Id="rId67" Type="http://schemas.openxmlformats.org/officeDocument/2006/relationships/hyperlink" Target="https://pmc.ncbi.nlm.nih.gov/articles/PMC7103015/" TargetMode="External"/><Relationship Id="rId116" Type="http://schemas.openxmlformats.org/officeDocument/2006/relationships/hyperlink" Target="https://pmc.ncbi.nlm.nih.gov/articles/PMC7103015/" TargetMode="External"/><Relationship Id="rId20" Type="http://schemas.openxmlformats.org/officeDocument/2006/relationships/hyperlink" Target="https://pmc.ncbi.nlm.nih.gov/articles/PMC7103015/" TargetMode="External"/><Relationship Id="rId41" Type="http://schemas.openxmlformats.org/officeDocument/2006/relationships/hyperlink" Target="https://pmc.ncbi.nlm.nih.gov/articles/PMC7103015/" TargetMode="External"/><Relationship Id="rId62" Type="http://schemas.openxmlformats.org/officeDocument/2006/relationships/hyperlink" Target="https://pmc.ncbi.nlm.nih.gov/articles/PMC7103015/" TargetMode="External"/><Relationship Id="rId83" Type="http://schemas.openxmlformats.org/officeDocument/2006/relationships/hyperlink" Target="https://pmc.ncbi.nlm.nih.gov/articles/PMC7103015/" TargetMode="External"/><Relationship Id="rId88" Type="http://schemas.openxmlformats.org/officeDocument/2006/relationships/hyperlink" Target="https://pmc.ncbi.nlm.nih.gov/articles/PMC7103015/" TargetMode="External"/><Relationship Id="rId111" Type="http://schemas.openxmlformats.org/officeDocument/2006/relationships/hyperlink" Target="https://pmc.ncbi.nlm.nih.gov/articles/PMC7103015/" TargetMode="External"/><Relationship Id="rId15" Type="http://schemas.openxmlformats.org/officeDocument/2006/relationships/hyperlink" Target="https://pmc.ncbi.nlm.nih.gov/articles/PMC7103015/" TargetMode="External"/><Relationship Id="rId36" Type="http://schemas.openxmlformats.org/officeDocument/2006/relationships/hyperlink" Target="https://pmc.ncbi.nlm.nih.gov/articles/PMC7103015/" TargetMode="External"/><Relationship Id="rId57" Type="http://schemas.openxmlformats.org/officeDocument/2006/relationships/hyperlink" Target="https://www.ncbi.nlm.nih.gov/core/lw/2.0/html/tileshop_pmc/tileshop_pmc_inline.html?title=Click%20on%20image%20to%20zoom&amp;p=PMC3&amp;id=7103015_10549_2020_5575_Fig3_HTML.jpg" TargetMode="External"/><Relationship Id="rId106" Type="http://schemas.openxmlformats.org/officeDocument/2006/relationships/hyperlink" Target="https://pmc.ncbi.nlm.nih.gov/articles/PMC7103015/" TargetMode="External"/><Relationship Id="rId127" Type="http://schemas.openxmlformats.org/officeDocument/2006/relationships/theme" Target="theme/theme1.xml"/><Relationship Id="rId10" Type="http://schemas.openxmlformats.org/officeDocument/2006/relationships/hyperlink" Target="https://pmc.ncbi.nlm.nih.gov/articles/PMC7103015/" TargetMode="External"/><Relationship Id="rId31" Type="http://schemas.openxmlformats.org/officeDocument/2006/relationships/hyperlink" Target="https://pmc.ncbi.nlm.nih.gov/articles/PMC7103015/" TargetMode="External"/><Relationship Id="rId52" Type="http://schemas.openxmlformats.org/officeDocument/2006/relationships/hyperlink" Target="https://pmc.ncbi.nlm.nih.gov/articles/PMC7103015/" TargetMode="External"/><Relationship Id="rId73" Type="http://schemas.openxmlformats.org/officeDocument/2006/relationships/hyperlink" Target="https://pmc.ncbi.nlm.nih.gov/articles/PMC7103015/" TargetMode="External"/><Relationship Id="rId78" Type="http://schemas.openxmlformats.org/officeDocument/2006/relationships/hyperlink" Target="https://pmc.ncbi.nlm.nih.gov/articles/PMC7103015/" TargetMode="External"/><Relationship Id="rId94" Type="http://schemas.openxmlformats.org/officeDocument/2006/relationships/hyperlink" Target="https://pmc.ncbi.nlm.nih.gov/articles/PMC7103015/" TargetMode="External"/><Relationship Id="rId99" Type="http://schemas.openxmlformats.org/officeDocument/2006/relationships/hyperlink" Target="https://pmc.ncbi.nlm.nih.gov/articles/PMC7103015/" TargetMode="External"/><Relationship Id="rId101" Type="http://schemas.openxmlformats.org/officeDocument/2006/relationships/hyperlink" Target="https://pmc.ncbi.nlm.nih.gov/articles/PMC7103015/" TargetMode="External"/><Relationship Id="rId122" Type="http://schemas.openxmlformats.org/officeDocument/2006/relationships/hyperlink" Target="https://pmc.ncbi.nlm.nih.gov/articles/PMC7103015/" TargetMode="External"/><Relationship Id="rId4" Type="http://schemas.openxmlformats.org/officeDocument/2006/relationships/webSettings" Target="webSettings.xml"/><Relationship Id="rId9" Type="http://schemas.openxmlformats.org/officeDocument/2006/relationships/hyperlink" Target="https://pmc.ncbi.nlm.nih.gov/articles/PMC710301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3240</Words>
  <Characters>18473</Characters>
  <Application>Microsoft Office Word</Application>
  <DocSecurity>0</DocSecurity>
  <Lines>153</Lines>
  <Paragraphs>43</Paragraphs>
  <ScaleCrop>false</ScaleCrop>
  <Company/>
  <LinksUpToDate>false</LinksUpToDate>
  <CharactersWithSpaces>21670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2026-01-11T06:47:00Z</dcterms:created>
  <dcterms:modified xsi:type="dcterms:W3CDTF">2026-01-11T06:50:00Z</dcterms:modified>
</cp:coreProperties>
</file>