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46971" w14:textId="77777777" w:rsidR="00355A07" w:rsidRPr="00355A07" w:rsidRDefault="00355A07" w:rsidP="00355A07">
      <w:pPr>
        <w:widowControl/>
        <w:spacing w:line="450" w:lineRule="atLeast"/>
        <w:outlineLvl w:val="0"/>
        <w:rPr>
          <w:rFonts w:ascii="微软雅黑" w:eastAsia="微软雅黑" w:hAnsi="微软雅黑" w:cs="宋体"/>
          <w:b/>
          <w:bCs/>
          <w:kern w:val="36"/>
          <w:sz w:val="36"/>
          <w:szCs w:val="36"/>
        </w:rPr>
      </w:pPr>
      <w:r w:rsidRPr="00355A07">
        <w:rPr>
          <w:rFonts w:ascii="微软雅黑" w:eastAsia="微软雅黑" w:hAnsi="微软雅黑" w:cs="宋体"/>
          <w:b/>
          <w:bCs/>
          <w:kern w:val="36"/>
          <w:sz w:val="36"/>
          <w:szCs w:val="36"/>
        </w:rPr>
        <w:t>联合使用雄激素受体阻断剂可克服乳腺癌细胞对帕博西尼的耐药性</w:t>
      </w:r>
    </w:p>
    <w:p w14:paraId="58587EF4" w14:textId="41B5E556" w:rsidR="00355A07" w:rsidRPr="00355A07" w:rsidRDefault="00355A07" w:rsidP="00355A07">
      <w:pPr>
        <w:widowControl/>
        <w:pBdr>
          <w:bottom w:val="single" w:sz="6" w:space="0" w:color="97B1C8"/>
        </w:pBdr>
        <w:spacing w:line="450" w:lineRule="atLeast"/>
        <w:outlineLvl w:val="1"/>
        <w:rPr>
          <w:rFonts w:ascii="微软雅黑" w:eastAsia="微软雅黑" w:hAnsi="微软雅黑" w:cs="宋体"/>
          <w:kern w:val="0"/>
          <w:sz w:val="34"/>
          <w:szCs w:val="34"/>
        </w:rPr>
      </w:pPr>
      <w:r w:rsidRPr="00355A07">
        <w:rPr>
          <w:rFonts w:ascii="微软雅黑" w:eastAsia="微软雅黑" w:hAnsi="微软雅黑" w:cs="宋体" w:hint="eastAsia"/>
          <w:kern w:val="0"/>
          <w:sz w:val="34"/>
          <w:szCs w:val="34"/>
        </w:rPr>
        <w:t>摘要</w:t>
      </w:r>
    </w:p>
    <w:p w14:paraId="560B3460"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细胞周期蛋白D-细胞周期蛋白依赖性激酶4/6 (CDK4/6)-Rb轴的失调与乳腺癌的进展密切相关，选择性CDK4/6抑制剂在晚期乳腺癌中显示出良好的疗效，尤其是在雌激素受体(ER)驱动的肿瘤中。然而，这些小分子抑制剂的耐药性已成为临床上不可避免的问题。本研究通过构建CDK4/6抑制剂帕博西尼耐药的乳腺癌细胞系(MCF-7pR)来探究其潜在的耐药机制。在长期暴露于帕博西尼后，我们检测到ER信号通路的减弱和雄激素受体(AR)表达的增加。此外，与亲代细胞(MCF-7)相比，MCF-7pR细胞核内AR的定位更加集中。我们还发现AR能够促进细胞周期的进程。阻断AR信号通路可降低G1/S期细胞周期蛋白的相对水平，抑制Rb磷酸化，并抑制S期转录程序的激活。此外，AR和CDK4/6的双重抑制可</w:t>
      </w:r>
      <w:r w:rsidRPr="00355A07">
        <w:rPr>
          <w:rFonts w:ascii="微软雅黑" w:eastAsia="微软雅黑" w:hAnsi="微软雅黑" w:cs="宋体"/>
          <w:i/>
          <w:iCs/>
          <w:kern w:val="0"/>
          <w:sz w:val="24"/>
          <w:szCs w:val="24"/>
        </w:rPr>
        <w:t>在体外和体内</w:t>
      </w:r>
      <w:r w:rsidRPr="00355A07">
        <w:rPr>
          <w:rFonts w:ascii="微软雅黑" w:eastAsia="微软雅黑" w:hAnsi="微软雅黑" w:cs="宋体"/>
          <w:kern w:val="0"/>
          <w:sz w:val="24"/>
          <w:szCs w:val="24"/>
        </w:rPr>
        <w:t>逆转帕博西尼的耐药性。总之，我们的研究表明，在CDK4/6抑制剂耐药的情况下，AR激活可促进细胞周期进程和细胞增殖，并提示AR抑制可能是一种治疗癌症CDK4/6抑制剂耐药性的潜在新策略。</w:t>
      </w:r>
    </w:p>
    <w:p w14:paraId="06E529A2"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关键词：</w:t>
      </w:r>
      <w:r w:rsidRPr="00355A07">
        <w:rPr>
          <w:rFonts w:ascii="微软雅黑" w:eastAsia="微软雅黑" w:hAnsi="微软雅黑" w:cs="宋体"/>
          <w:kern w:val="0"/>
          <w:sz w:val="24"/>
          <w:szCs w:val="24"/>
        </w:rPr>
        <w:t>耐药性，乳腺癌，帕博西尼，恩扎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胺，细胞周期</w:t>
      </w:r>
    </w:p>
    <w:p w14:paraId="207AEEC4" w14:textId="77777777" w:rsidR="00355A07" w:rsidRPr="00355A07" w:rsidRDefault="00355A07" w:rsidP="00355A07">
      <w:pPr>
        <w:widowControl/>
        <w:pBdr>
          <w:bottom w:val="single" w:sz="6" w:space="0" w:color="97B1C8"/>
        </w:pBdr>
        <w:spacing w:line="450" w:lineRule="atLeast"/>
        <w:outlineLvl w:val="1"/>
        <w:rPr>
          <w:rFonts w:ascii="微软雅黑" w:eastAsia="微软雅黑" w:hAnsi="微软雅黑" w:cs="宋体"/>
          <w:kern w:val="0"/>
          <w:sz w:val="34"/>
          <w:szCs w:val="34"/>
        </w:rPr>
      </w:pPr>
      <w:r w:rsidRPr="00355A07">
        <w:rPr>
          <w:rFonts w:ascii="微软雅黑" w:eastAsia="微软雅黑" w:hAnsi="微软雅黑" w:cs="宋体"/>
          <w:kern w:val="0"/>
          <w:sz w:val="34"/>
          <w:szCs w:val="34"/>
        </w:rPr>
        <w:t>介绍</w:t>
      </w:r>
    </w:p>
    <w:p w14:paraId="2726908C"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乳腺癌是最常见的恶性肿瘤，也是全球女性癌症死亡的第二大原因，据估计，2018年新增病例达266,120例，死亡40,920例</w:t>
      </w:r>
      <w:r w:rsidRPr="00355A07">
        <w:rPr>
          <w:rFonts w:ascii="微软雅黑" w:eastAsia="微软雅黑" w:hAnsi="微软雅黑" w:cs="宋体"/>
          <w:kern w:val="0"/>
          <w:sz w:val="24"/>
          <w:szCs w:val="24"/>
          <w:u w:val="single"/>
          <w:vertAlign w:val="superscript"/>
        </w:rPr>
        <w:t>&lt;sup&gt; </w:t>
      </w:r>
      <w:hyperlink r:id="rId5" w:anchor="B1" w:history="1">
        <w:r w:rsidRPr="00355A07">
          <w:rPr>
            <w:rFonts w:ascii="微软雅黑" w:eastAsia="微软雅黑" w:hAnsi="微软雅黑" w:cs="宋体"/>
            <w:kern w:val="0"/>
            <w:sz w:val="24"/>
            <w:szCs w:val="24"/>
            <w:u w:val="single"/>
            <w:vertAlign w:val="superscript"/>
          </w:rPr>
          <w:t>1&lt;/sup&gt;</w:t>
        </w:r>
      </w:hyperlink>
      <w:r w:rsidRPr="00355A07">
        <w:rPr>
          <w:rFonts w:ascii="微软雅黑" w:eastAsia="微软雅黑" w:hAnsi="微软雅黑" w:cs="宋体"/>
          <w:kern w:val="0"/>
          <w:sz w:val="24"/>
          <w:szCs w:val="24"/>
        </w:rPr>
        <w:t>。对于约占所有病例60%-70%的激素受体（HR）阳性乳腺癌患者，包括选择性雌激素受体调节剂（SERM）或选择性雌激素受体下调剂（SERD）、芳香化酶抑制剂（AI）在内的</w:t>
      </w:r>
      <w:r w:rsidRPr="00355A07">
        <w:rPr>
          <w:rFonts w:ascii="微软雅黑" w:eastAsia="微软雅黑" w:hAnsi="微软雅黑" w:cs="宋体"/>
          <w:kern w:val="0"/>
          <w:sz w:val="24"/>
          <w:szCs w:val="24"/>
        </w:rPr>
        <w:lastRenderedPageBreak/>
        <w:t>激素单药治疗，甚至它们的联合用药，都有助于降低乳腺癌死亡率</w:t>
      </w:r>
      <w:hyperlink r:id="rId6" w:anchor="B2"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vertAlign w:val="superscript"/>
        </w:rPr>
        <w:t> 2-4 </w:t>
      </w:r>
      <w:hyperlink r:id="rId7" w:anchor="B4"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。然而，对于转移性乳腺癌患者，内分泌治疗后疾病进展不可避免</w:t>
      </w:r>
      <w:r w:rsidRPr="00355A07">
        <w:rPr>
          <w:rFonts w:ascii="微软雅黑" w:eastAsia="微软雅黑" w:hAnsi="微软雅黑" w:cs="宋体"/>
          <w:kern w:val="0"/>
          <w:sz w:val="24"/>
          <w:szCs w:val="24"/>
          <w:u w:val="single"/>
          <w:vertAlign w:val="superscript"/>
        </w:rPr>
        <w:t>&lt;sup&gt; </w:t>
      </w:r>
      <w:hyperlink r:id="rId8" w:anchor="B5" w:history="1">
        <w:r w:rsidRPr="00355A07">
          <w:rPr>
            <w:rFonts w:ascii="微软雅黑" w:eastAsia="微软雅黑" w:hAnsi="微软雅黑" w:cs="宋体"/>
            <w:kern w:val="0"/>
            <w:sz w:val="24"/>
            <w:szCs w:val="24"/>
            <w:u w:val="single"/>
            <w:vertAlign w:val="superscript"/>
          </w:rPr>
          <w:t>5</w:t>
        </w:r>
      </w:hyperlink>
      <w:r w:rsidRPr="00355A07">
        <w:rPr>
          <w:rFonts w:ascii="微软雅黑" w:eastAsia="微软雅黑" w:hAnsi="微软雅黑" w:cs="宋体"/>
          <w:kern w:val="0"/>
          <w:sz w:val="24"/>
          <w:szCs w:val="24"/>
          <w:u w:val="single"/>
          <w:vertAlign w:val="superscript"/>
        </w:rPr>
        <w:t> &lt;/sup&gt;</w:t>
      </w:r>
      <w:r w:rsidRPr="00355A07">
        <w:rPr>
          <w:rFonts w:ascii="微软雅黑" w:eastAsia="微软雅黑" w:hAnsi="微软雅黑" w:cs="宋体"/>
          <w:kern w:val="0"/>
          <w:sz w:val="24"/>
          <w:szCs w:val="24"/>
        </w:rPr>
        <w:t>。CDK4/6抑制剂通过抑制HR阳性肿瘤中由ER相关转录信号驱动的CDK4/6依赖性细胞周期来抑制细胞增殖</w:t>
      </w:r>
      <w:r w:rsidRPr="00355A07">
        <w:rPr>
          <w:rFonts w:ascii="微软雅黑" w:eastAsia="微软雅黑" w:hAnsi="微软雅黑" w:cs="宋体"/>
          <w:kern w:val="0"/>
          <w:sz w:val="24"/>
          <w:szCs w:val="24"/>
          <w:u w:val="single"/>
          <w:vertAlign w:val="superscript"/>
        </w:rPr>
        <w:t>&lt;sup&gt; </w:t>
      </w:r>
      <w:hyperlink r:id="rId9" w:anchor="B6" w:history="1">
        <w:r w:rsidRPr="00355A07">
          <w:rPr>
            <w:rFonts w:ascii="微软雅黑" w:eastAsia="微软雅黑" w:hAnsi="微软雅黑" w:cs="宋体"/>
            <w:kern w:val="0"/>
            <w:sz w:val="24"/>
            <w:szCs w:val="24"/>
            <w:u w:val="single"/>
            <w:vertAlign w:val="superscript"/>
          </w:rPr>
          <w:t>6&lt;/sup&gt;</w:t>
        </w:r>
      </w:hyperlink>
      <w:r w:rsidRPr="00355A07">
        <w:rPr>
          <w:rFonts w:ascii="微软雅黑" w:eastAsia="微软雅黑" w:hAnsi="微软雅黑" w:cs="宋体"/>
          <w:kern w:val="0"/>
          <w:sz w:val="24"/>
          <w:szCs w:val="24"/>
        </w:rPr>
        <w:t>。帕博西尼是一种口服高选择性 CDK4/6 抑制剂，可有效诱导细胞周期阻滞和细胞有丝分裂。帕博西尼已获得美国食品药品监督管理局 (FDA) 和欧洲药品管理局 (EMA) 的批准，用于治疗激素受体阳性局部晚期或转移性乳腺癌患者</w:t>
      </w:r>
      <w:r w:rsidRPr="00355A07">
        <w:rPr>
          <w:rFonts w:ascii="微软雅黑" w:eastAsia="微软雅黑" w:hAnsi="微软雅黑" w:cs="宋体"/>
          <w:kern w:val="0"/>
          <w:sz w:val="24"/>
          <w:szCs w:val="24"/>
          <w:u w:val="single"/>
          <w:vertAlign w:val="superscript"/>
        </w:rPr>
        <w:t>&lt;sup&gt; </w:t>
      </w:r>
      <w:hyperlink r:id="rId10" w:anchor="B7" w:history="1">
        <w:r w:rsidRPr="00355A07">
          <w:rPr>
            <w:rFonts w:ascii="微软雅黑" w:eastAsia="微软雅黑" w:hAnsi="微软雅黑" w:cs="宋体"/>
            <w:kern w:val="0"/>
            <w:sz w:val="24"/>
            <w:szCs w:val="24"/>
            <w:u w:val="single"/>
            <w:vertAlign w:val="superscript"/>
          </w:rPr>
          <w:t>7&lt;/sup&gt;</w:t>
        </w:r>
      </w:hyperlink>
      <w:r w:rsidRPr="00355A07">
        <w:rPr>
          <w:rFonts w:ascii="微软雅黑" w:eastAsia="微软雅黑" w:hAnsi="微软雅黑" w:cs="宋体"/>
          <w:kern w:val="0"/>
          <w:sz w:val="24"/>
          <w:szCs w:val="24"/>
        </w:rPr>
        <w:t>。尽管临床疗效显著，但转移性乳腺癌患者中耐药性的产生十分常见，且其耐药机制尚不完全清楚。基于 CDK4/6 依赖性细胞周期信号通路的已知功能，视网膜母细胞瘤抑癌蛋白 (RB) 的缺失、细胞周期蛋白 D1 和 CDK6 的扩增以及细胞周期蛋白 E-CDK2 的激活是导致耐药性产生的潜在机制</w:t>
      </w:r>
      <w:r w:rsidRPr="00355A07">
        <w:rPr>
          <w:rFonts w:ascii="微软雅黑" w:eastAsia="微软雅黑" w:hAnsi="微软雅黑" w:cs="宋体"/>
          <w:kern w:val="0"/>
          <w:sz w:val="24"/>
          <w:szCs w:val="24"/>
          <w:u w:val="single"/>
          <w:vertAlign w:val="superscript"/>
        </w:rPr>
        <w:t>&lt;sup&gt; 8,9 </w:t>
      </w:r>
      <w:hyperlink r:id="rId11" w:anchor="B8" w:history="1">
        <w:r w:rsidRPr="00355A07">
          <w:rPr>
            <w:rFonts w:ascii="微软雅黑" w:eastAsia="微软雅黑" w:hAnsi="微软雅黑" w:cs="宋体"/>
            <w:kern w:val="0"/>
            <w:sz w:val="24"/>
            <w:szCs w:val="24"/>
            <w:u w:val="single"/>
            <w:vertAlign w:val="superscript"/>
          </w:rPr>
          <w:t>&lt;/sup&gt; </w:t>
        </w:r>
      </w:hyperlink>
      <w:hyperlink r:id="rId12" w:anchor="B9" w:history="1">
        <w:r w:rsidRPr="00355A07">
          <w:rPr>
            <w:rFonts w:ascii="微软雅黑" w:eastAsia="微软雅黑" w:hAnsi="微软雅黑" w:cs="宋体"/>
            <w:kern w:val="0"/>
            <w:sz w:val="24"/>
            <w:szCs w:val="24"/>
            <w:u w:val="single"/>
            <w:vertAlign w:val="superscript"/>
          </w:rPr>
          <w:t>。</w:t>
        </w:r>
      </w:hyperlink>
      <w:r w:rsidRPr="00355A07">
        <w:rPr>
          <w:rFonts w:ascii="微软雅黑" w:eastAsia="微软雅黑" w:hAnsi="微软雅黑" w:cs="宋体"/>
          <w:kern w:val="0"/>
          <w:sz w:val="24"/>
          <w:szCs w:val="24"/>
        </w:rPr>
        <w:t>此外，也有报道称，耐药机制与 PI3K/AKT/mTOR 通路的改变或激活无关</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"B10"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vertAlign w:val="superscript"/>
        </w:rPr>
        <w:t>&lt;sup&gt;10,11 </w:t>
      </w:r>
      <w:r w:rsidRPr="00355A07">
        <w:rPr>
          <w:rFonts w:ascii="微软雅黑" w:eastAsia="微软雅黑" w:hAnsi="微软雅黑" w:cs="宋体"/>
          <w:kern w:val="0"/>
          <w:sz w:val="24"/>
          <w:szCs w:val="24"/>
        </w:rPr>
        <w:fldChar w:fldCharType="end"/>
      </w:r>
      <w:hyperlink r:id="rId13" w:anchor="B11"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vertAlign w:val="superscript"/>
        </w:rPr>
        <w:t>。</w:t>
      </w:r>
      <w:r w:rsidRPr="00355A07">
        <w:rPr>
          <w:rFonts w:ascii="微软雅黑" w:eastAsia="微软雅黑" w:hAnsi="微软雅黑" w:cs="宋体"/>
          <w:kern w:val="0"/>
          <w:sz w:val="24"/>
          <w:szCs w:val="24"/>
        </w:rPr>
        <w:t>在此，识别与帕博西尼耐药性相关的机制可能提高疗效并预防治疗耐药性。</w:t>
      </w:r>
    </w:p>
    <w:p w14:paraId="0D841F4F"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在本研究中，我们建立了特异性的HR阳性细胞系，并将其长期暴露于CDK4/6抑制剂帕博西尼（</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）中。最终，癌细胞获得了对帕博西尼的耐药性，并丧失了ER信号通路的表达。此外，对帕博西尼的耐药性与AR的激活相关，AR在超过70%的乳腺癌中表达</w:t>
      </w:r>
      <w:r w:rsidRPr="00355A07">
        <w:rPr>
          <w:rFonts w:ascii="微软雅黑" w:eastAsia="微软雅黑" w:hAnsi="微软雅黑" w:cs="宋体"/>
          <w:kern w:val="0"/>
          <w:sz w:val="24"/>
          <w:szCs w:val="24"/>
          <w:u w:val="single"/>
          <w:vertAlign w:val="superscript"/>
        </w:rPr>
        <w:t>&lt;sup&gt; </w:t>
      </w:r>
      <w:hyperlink r:id="rId14" w:anchor="B12" w:history="1">
        <w:r w:rsidRPr="00355A07">
          <w:rPr>
            <w:rFonts w:ascii="微软雅黑" w:eastAsia="微软雅黑" w:hAnsi="微软雅黑" w:cs="宋体"/>
            <w:kern w:val="0"/>
            <w:sz w:val="24"/>
            <w:szCs w:val="24"/>
            <w:u w:val="single"/>
            <w:vertAlign w:val="superscript"/>
          </w:rPr>
          <w:t>12&lt;/sup&gt;</w:t>
        </w:r>
      </w:hyperlink>
      <w:r w:rsidRPr="00355A07">
        <w:rPr>
          <w:rFonts w:ascii="微软雅黑" w:eastAsia="微软雅黑" w:hAnsi="微软雅黑" w:cs="宋体"/>
          <w:kern w:val="0"/>
          <w:sz w:val="24"/>
          <w:szCs w:val="24"/>
        </w:rPr>
        <w:t>，并以配体依赖性或配体非依赖性的方式参与肿瘤发生和发展</w:t>
      </w:r>
      <w:r w:rsidRPr="00355A07">
        <w:rPr>
          <w:rFonts w:ascii="微软雅黑" w:eastAsia="微软雅黑" w:hAnsi="微软雅黑" w:cs="宋体"/>
          <w:kern w:val="0"/>
          <w:sz w:val="24"/>
          <w:szCs w:val="24"/>
          <w:vertAlign w:val="superscript"/>
        </w:rPr>
        <w:t>&lt;sup&gt; </w:t>
      </w:r>
      <w:hyperlink r:id="rId15" w:anchor="B13" w:history="1">
        <w:r w:rsidRPr="00355A07">
          <w:rPr>
            <w:rFonts w:ascii="微软雅黑" w:eastAsia="微软雅黑" w:hAnsi="微软雅黑" w:cs="宋体"/>
            <w:kern w:val="0"/>
            <w:sz w:val="24"/>
            <w:szCs w:val="24"/>
            <w:u w:val="single"/>
            <w:vertAlign w:val="superscript"/>
          </w:rPr>
          <w:t>13,14 </w:t>
        </w:r>
      </w:hyperlink>
      <w:hyperlink r:id="rId16" w:anchor="B14"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。此外，恩扎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胺（enzalutamide）作为一种新型选择性AR抑制剂</w:t>
      </w:r>
      <w:r w:rsidRPr="00355A07">
        <w:rPr>
          <w:rFonts w:ascii="微软雅黑" w:eastAsia="微软雅黑" w:hAnsi="微软雅黑" w:cs="宋体"/>
          <w:kern w:val="0"/>
          <w:sz w:val="24"/>
          <w:szCs w:val="24"/>
          <w:u w:val="single"/>
          <w:vertAlign w:val="superscript"/>
        </w:rPr>
        <w:t>&lt;sup&gt; </w:t>
      </w:r>
      <w:hyperlink r:id="rId17" w:anchor="B15" w:history="1">
        <w:r w:rsidRPr="00355A07">
          <w:rPr>
            <w:rFonts w:ascii="微软雅黑" w:eastAsia="微软雅黑" w:hAnsi="微软雅黑" w:cs="宋体"/>
            <w:kern w:val="0"/>
            <w:sz w:val="24"/>
            <w:szCs w:val="24"/>
            <w:u w:val="single"/>
            <w:vertAlign w:val="superscript"/>
          </w:rPr>
          <w:t>15</w:t>
        </w:r>
      </w:hyperlink>
      <w:r w:rsidRPr="00355A07">
        <w:rPr>
          <w:rFonts w:ascii="微软雅黑" w:eastAsia="微软雅黑" w:hAnsi="微软雅黑" w:cs="宋体"/>
          <w:kern w:val="0"/>
          <w:sz w:val="24"/>
          <w:szCs w:val="24"/>
          <w:u w:val="single"/>
          <w:vertAlign w:val="superscript"/>
        </w:rPr>
        <w:t> &lt;/sup&gt;</w:t>
      </w:r>
      <w:r w:rsidRPr="00355A07">
        <w:rPr>
          <w:rFonts w:ascii="微软雅黑" w:eastAsia="微软雅黑" w:hAnsi="微软雅黑" w:cs="宋体"/>
          <w:kern w:val="0"/>
          <w:sz w:val="24"/>
          <w:szCs w:val="24"/>
        </w:rPr>
        <w:t xml:space="preserve"> ，可以增强乳腺癌对帕博西尼的敏感性，并逆转帕博西尼耐药性。总之，本文阐明了AR信号通路激活在帕博西</w:t>
      </w:r>
      <w:r w:rsidRPr="00355A07">
        <w:rPr>
          <w:rFonts w:ascii="微软雅黑" w:eastAsia="微软雅黑" w:hAnsi="微软雅黑" w:cs="宋体"/>
          <w:kern w:val="0"/>
          <w:sz w:val="24"/>
          <w:szCs w:val="24"/>
        </w:rPr>
        <w:lastRenderedPageBreak/>
        <w:t>尼耐药性中的作用，并提出AR抑制剂恩扎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胺可作为CDK4/6抑制剂耐药后晚期癌症的一种新的治疗策略，以最大限度地提高其临床疗效。</w:t>
      </w:r>
    </w:p>
    <w:p w14:paraId="20B1C203" w14:textId="77777777" w:rsidR="00355A07" w:rsidRPr="00355A07" w:rsidRDefault="00355A07" w:rsidP="00355A07">
      <w:pPr>
        <w:widowControl/>
        <w:pBdr>
          <w:bottom w:val="single" w:sz="6" w:space="0" w:color="97B1C8"/>
        </w:pBdr>
        <w:spacing w:line="450" w:lineRule="atLeast"/>
        <w:outlineLvl w:val="1"/>
        <w:rPr>
          <w:rFonts w:ascii="微软雅黑" w:eastAsia="微软雅黑" w:hAnsi="微软雅黑" w:cs="宋体"/>
          <w:kern w:val="0"/>
          <w:sz w:val="34"/>
          <w:szCs w:val="34"/>
        </w:rPr>
      </w:pPr>
      <w:r w:rsidRPr="00355A07">
        <w:rPr>
          <w:rFonts w:ascii="微软雅黑" w:eastAsia="微软雅黑" w:hAnsi="微软雅黑" w:cs="宋体"/>
          <w:kern w:val="0"/>
          <w:sz w:val="34"/>
          <w:szCs w:val="34"/>
        </w:rPr>
        <w:t>材料与方法</w:t>
      </w:r>
    </w:p>
    <w:p w14:paraId="5E6CBC4A"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细胞培养和耐药细胞系的建立</w:t>
      </w:r>
    </w:p>
    <w:p w14:paraId="0C803C80"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MCF-7细胞系于2017年至</w:t>
      </w:r>
      <w:proofErr w:type="gramStart"/>
      <w:r w:rsidRPr="00355A07">
        <w:rPr>
          <w:rFonts w:ascii="微软雅黑" w:eastAsia="微软雅黑" w:hAnsi="微软雅黑" w:cs="宋体"/>
          <w:kern w:val="0"/>
          <w:sz w:val="24"/>
          <w:szCs w:val="24"/>
        </w:rPr>
        <w:t>2018年间购自</w:t>
      </w:r>
      <w:proofErr w:type="gramEnd"/>
      <w:r w:rsidRPr="00355A07">
        <w:rPr>
          <w:rFonts w:ascii="微软雅黑" w:eastAsia="微软雅黑" w:hAnsi="微软雅黑" w:cs="宋体"/>
          <w:kern w:val="0"/>
          <w:sz w:val="24"/>
          <w:szCs w:val="24"/>
        </w:rPr>
        <w:t>中国科学院典型培养物保藏中心细胞库（上海）。MCF-7细胞培养于添加10%胎牛血清（FBS）、100单位/毫升青霉素和100单位/毫升链霉素的高糖DMEM培养基中。MCF-7细胞在37℃、 5% </w:t>
      </w:r>
      <w:r w:rsidRPr="00355A07">
        <w:rPr>
          <w:rFonts w:ascii="微软雅黑" w:eastAsia="微软雅黑" w:hAnsi="微软雅黑" w:cs="宋体"/>
          <w:kern w:val="0"/>
          <w:sz w:val="24"/>
          <w:szCs w:val="24"/>
          <w:vertAlign w:val="subscript"/>
        </w:rPr>
        <w:t>CO</w:t>
      </w:r>
      <w:r w:rsidRPr="00355A07">
        <w:rPr>
          <w:rFonts w:ascii="Cambria Math" w:eastAsia="微软雅黑" w:hAnsi="Cambria Math" w:cs="Cambria Math"/>
          <w:kern w:val="0"/>
          <w:sz w:val="24"/>
          <w:szCs w:val="24"/>
          <w:vertAlign w:val="subscript"/>
        </w:rPr>
        <w:t>₂</w:t>
      </w:r>
      <w:r w:rsidRPr="00355A07">
        <w:rPr>
          <w:rFonts w:ascii="微软雅黑" w:eastAsia="微软雅黑" w:hAnsi="微软雅黑" w:cs="宋体"/>
          <w:kern w:val="0"/>
          <w:sz w:val="24"/>
          <w:szCs w:val="24"/>
          <w:vertAlign w:val="subscript"/>
        </w:rPr>
        <w:t>的湿润培养箱中培养。</w:t>
      </w:r>
    </w:p>
    <w:p w14:paraId="2E9DB745"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MCF-7细胞最初培养于含1 µM帕博西尼（</w:t>
      </w:r>
      <w:proofErr w:type="spellStart"/>
      <w:r w:rsidRPr="00355A07">
        <w:rPr>
          <w:rFonts w:ascii="微软雅黑" w:eastAsia="微软雅黑" w:hAnsi="微软雅黑" w:cs="宋体"/>
          <w:kern w:val="0"/>
          <w:sz w:val="24"/>
          <w:szCs w:val="24"/>
        </w:rPr>
        <w:t>MedChem</w:t>
      </w:r>
      <w:proofErr w:type="spellEnd"/>
      <w:r w:rsidRPr="00355A07">
        <w:rPr>
          <w:rFonts w:ascii="微软雅黑" w:eastAsia="微软雅黑" w:hAnsi="微软雅黑" w:cs="宋体"/>
          <w:kern w:val="0"/>
          <w:sz w:val="24"/>
          <w:szCs w:val="24"/>
        </w:rPr>
        <w:t xml:space="preserve"> Express，上海，中国）的培养基中，然后每隔2-3周将细胞传代至帕博西尼浓度逐渐增加（每次增加25%）的培养基中。最终，在30 µM帕博西尼存在下，获得的细胞呈指数增长，并命名为MCF-7pR。</w:t>
      </w:r>
    </w:p>
    <w:p w14:paraId="738C9174"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细胞活力检测及试剂</w:t>
      </w:r>
    </w:p>
    <w:p w14:paraId="72B5029A"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在细胞活力检测中，将4000个细胞接种于96孔板中，并在次日用不同浓度的试剂处理细胞。处理48小时后，使用Cell Counting Kit-8试剂盒（南京凯基生物科技有限公司）按照推荐指南评估细胞存活率。联合指数（CI）值使用</w:t>
      </w:r>
      <w:proofErr w:type="spellStart"/>
      <w:r w:rsidRPr="00355A07">
        <w:rPr>
          <w:rFonts w:ascii="微软雅黑" w:eastAsia="微软雅黑" w:hAnsi="微软雅黑" w:cs="宋体"/>
          <w:kern w:val="0"/>
          <w:sz w:val="24"/>
          <w:szCs w:val="24"/>
        </w:rPr>
        <w:t>CompuSyn</w:t>
      </w:r>
      <w:proofErr w:type="spellEnd"/>
      <w:r w:rsidRPr="00355A07">
        <w:rPr>
          <w:rFonts w:ascii="微软雅黑" w:eastAsia="微软雅黑" w:hAnsi="微软雅黑" w:cs="宋体"/>
          <w:kern w:val="0"/>
          <w:sz w:val="24"/>
          <w:szCs w:val="24"/>
        </w:rPr>
        <w:t>软件（</w:t>
      </w:r>
      <w:proofErr w:type="spellStart"/>
      <w:r w:rsidRPr="00355A07">
        <w:rPr>
          <w:rFonts w:ascii="微软雅黑" w:eastAsia="微软雅黑" w:hAnsi="微软雅黑" w:cs="宋体"/>
          <w:kern w:val="0"/>
          <w:sz w:val="24"/>
          <w:szCs w:val="24"/>
        </w:rPr>
        <w:t>ComboSyn</w:t>
      </w:r>
      <w:proofErr w:type="spellEnd"/>
      <w:r w:rsidRPr="00355A07">
        <w:rPr>
          <w:rFonts w:ascii="微软雅黑" w:eastAsia="微软雅黑" w:hAnsi="微软雅黑" w:cs="宋体"/>
          <w:kern w:val="0"/>
          <w:sz w:val="24"/>
          <w:szCs w:val="24"/>
        </w:rPr>
        <w:t>公司，新泽西州，美国）计算。</w:t>
      </w:r>
    </w:p>
    <w:p w14:paraId="2531CAB4"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lastRenderedPageBreak/>
        <w:t>Palbociclib、</w:t>
      </w:r>
      <w:proofErr w:type="spellStart"/>
      <w:r w:rsidRPr="00355A07">
        <w:rPr>
          <w:rFonts w:ascii="微软雅黑" w:eastAsia="微软雅黑" w:hAnsi="微软雅黑" w:cs="宋体"/>
          <w:kern w:val="0"/>
          <w:sz w:val="24"/>
          <w:szCs w:val="24"/>
        </w:rPr>
        <w:t>Ribociclib</w:t>
      </w:r>
      <w:proofErr w:type="spellEnd"/>
      <w:r w:rsidRPr="00355A07">
        <w:rPr>
          <w:rFonts w:ascii="微软雅黑" w:eastAsia="微软雅黑" w:hAnsi="微软雅黑" w:cs="宋体"/>
          <w:kern w:val="0"/>
          <w:sz w:val="24"/>
          <w:szCs w:val="24"/>
        </w:rPr>
        <w:t>、</w:t>
      </w:r>
      <w:proofErr w:type="spellStart"/>
      <w:r w:rsidRPr="00355A07">
        <w:rPr>
          <w:rFonts w:ascii="微软雅黑" w:eastAsia="微软雅黑" w:hAnsi="微软雅黑" w:cs="宋体"/>
          <w:kern w:val="0"/>
          <w:sz w:val="24"/>
          <w:szCs w:val="24"/>
        </w:rPr>
        <w:t>Abemaciclib</w:t>
      </w:r>
      <w:proofErr w:type="spellEnd"/>
      <w:r w:rsidRPr="00355A07">
        <w:rPr>
          <w:rFonts w:ascii="微软雅黑" w:eastAsia="微软雅黑" w:hAnsi="微软雅黑" w:cs="宋体"/>
          <w:kern w:val="0"/>
          <w:sz w:val="24"/>
          <w:szCs w:val="24"/>
        </w:rPr>
        <w:t>、enzalutamide、</w:t>
      </w:r>
      <w:proofErr w:type="spellStart"/>
      <w:r w:rsidRPr="00355A07">
        <w:rPr>
          <w:rFonts w:ascii="微软雅黑" w:eastAsia="微软雅黑" w:hAnsi="微软雅黑" w:cs="宋体"/>
          <w:kern w:val="0"/>
          <w:sz w:val="24"/>
          <w:szCs w:val="24"/>
        </w:rPr>
        <w:t>Fulvestrant</w:t>
      </w:r>
      <w:proofErr w:type="spellEnd"/>
      <w:r w:rsidRPr="00355A07">
        <w:rPr>
          <w:rFonts w:ascii="微软雅黑" w:eastAsia="微软雅黑" w:hAnsi="微软雅黑" w:cs="宋体"/>
          <w:kern w:val="0"/>
          <w:sz w:val="24"/>
          <w:szCs w:val="24"/>
        </w:rPr>
        <w:t xml:space="preserve"> 和 Dihydrotestosterone (DHT) </w:t>
      </w:r>
      <w:proofErr w:type="gramStart"/>
      <w:r w:rsidRPr="00355A07">
        <w:rPr>
          <w:rFonts w:ascii="微软雅黑" w:eastAsia="微软雅黑" w:hAnsi="微软雅黑" w:cs="宋体"/>
          <w:kern w:val="0"/>
          <w:sz w:val="24"/>
          <w:szCs w:val="24"/>
        </w:rPr>
        <w:t>均购自</w:t>
      </w:r>
      <w:proofErr w:type="gramEnd"/>
      <w:r w:rsidRPr="00355A07">
        <w:rPr>
          <w:rFonts w:ascii="微软雅黑" w:eastAsia="微软雅黑" w:hAnsi="微软雅黑" w:cs="宋体"/>
          <w:kern w:val="0"/>
          <w:sz w:val="24"/>
          <w:szCs w:val="24"/>
        </w:rPr>
        <w:t xml:space="preserve"> </w:t>
      </w:r>
      <w:proofErr w:type="spellStart"/>
      <w:r w:rsidRPr="00355A07">
        <w:rPr>
          <w:rFonts w:ascii="微软雅黑" w:eastAsia="微软雅黑" w:hAnsi="微软雅黑" w:cs="宋体"/>
          <w:kern w:val="0"/>
          <w:sz w:val="24"/>
          <w:szCs w:val="24"/>
        </w:rPr>
        <w:t>MedChem</w:t>
      </w:r>
      <w:proofErr w:type="spellEnd"/>
      <w:r w:rsidRPr="00355A07">
        <w:rPr>
          <w:rFonts w:ascii="微软雅黑" w:eastAsia="微软雅黑" w:hAnsi="微软雅黑" w:cs="宋体"/>
          <w:kern w:val="0"/>
          <w:sz w:val="24"/>
          <w:szCs w:val="24"/>
        </w:rPr>
        <w:t xml:space="preserve"> Express，其中 </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 xml:space="preserve"> 用无菌水稀释，DHT 用乙醇溶解，其他药物用 DMSO 稀释。</w:t>
      </w:r>
    </w:p>
    <w:p w14:paraId="023A1F81"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细胞周期分析</w:t>
      </w:r>
    </w:p>
    <w:p w14:paraId="0AD74F9D"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 xml:space="preserve">将细胞接种于6孔板中，并在培养基中培养24小时后，用指定药物处理细胞。为进行细胞周期分析，用冰冷的PBS洗涤细胞，然后在-20℃下用70%乙醇固定过夜。固定后的细胞用PBS复水10分钟，并进行PI/RNase染色。使用流式细胞仪（FACS </w:t>
      </w:r>
      <w:proofErr w:type="spellStart"/>
      <w:r w:rsidRPr="00355A07">
        <w:rPr>
          <w:rFonts w:ascii="微软雅黑" w:eastAsia="微软雅黑" w:hAnsi="微软雅黑" w:cs="宋体"/>
          <w:kern w:val="0"/>
          <w:sz w:val="24"/>
          <w:szCs w:val="24"/>
        </w:rPr>
        <w:t>Calibur</w:t>
      </w:r>
      <w:proofErr w:type="spellEnd"/>
      <w:r w:rsidRPr="00355A07">
        <w:rPr>
          <w:rFonts w:ascii="微软雅黑" w:eastAsia="微软雅黑" w:hAnsi="微软雅黑" w:cs="宋体"/>
          <w:kern w:val="0"/>
          <w:sz w:val="24"/>
          <w:szCs w:val="24"/>
        </w:rPr>
        <w:t>，BD Biosciences，美国）按照制造商的说明评估每个特定样本的细胞周期。</w:t>
      </w:r>
    </w:p>
    <w:p w14:paraId="0115F2EA"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菌落形成试验</w:t>
      </w:r>
    </w:p>
    <w:p w14:paraId="421499F2"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 xml:space="preserve">将细胞稀释后，以每孔 500 </w:t>
      </w:r>
      <w:proofErr w:type="gramStart"/>
      <w:r w:rsidRPr="00355A07">
        <w:rPr>
          <w:rFonts w:ascii="微软雅黑" w:eastAsia="微软雅黑" w:hAnsi="微软雅黑" w:cs="宋体"/>
          <w:kern w:val="0"/>
          <w:sz w:val="24"/>
          <w:szCs w:val="24"/>
        </w:rPr>
        <w:t>个</w:t>
      </w:r>
      <w:proofErr w:type="gramEnd"/>
      <w:r w:rsidRPr="00355A07">
        <w:rPr>
          <w:rFonts w:ascii="微软雅黑" w:eastAsia="微软雅黑" w:hAnsi="微软雅黑" w:cs="宋体"/>
          <w:kern w:val="0"/>
          <w:sz w:val="24"/>
          <w:szCs w:val="24"/>
        </w:rPr>
        <w:t xml:space="preserve">细胞的密度接种于六孔板中。孵育 24 小时后，用指定药物处理细胞 24 小时。给药后，用 PBS 洗涤细胞，并在新鲜培养基中继续培养 14 天。最后，用 100% 甲醇固定细胞，并用 0.5% 结晶紫染色。计数含有 50 </w:t>
      </w:r>
      <w:proofErr w:type="gramStart"/>
      <w:r w:rsidRPr="00355A07">
        <w:rPr>
          <w:rFonts w:ascii="微软雅黑" w:eastAsia="微软雅黑" w:hAnsi="微软雅黑" w:cs="宋体"/>
          <w:kern w:val="0"/>
          <w:sz w:val="24"/>
          <w:szCs w:val="24"/>
        </w:rPr>
        <w:t>个</w:t>
      </w:r>
      <w:proofErr w:type="gramEnd"/>
      <w:r w:rsidRPr="00355A07">
        <w:rPr>
          <w:rFonts w:ascii="微软雅黑" w:eastAsia="微软雅黑" w:hAnsi="微软雅黑" w:cs="宋体"/>
          <w:kern w:val="0"/>
          <w:sz w:val="24"/>
          <w:szCs w:val="24"/>
        </w:rPr>
        <w:t>以上细胞的克隆作为存活细胞。</w:t>
      </w:r>
    </w:p>
    <w:p w14:paraId="2B62A42C"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蛋白质印迹和免疫共沉淀分析</w:t>
      </w:r>
    </w:p>
    <w:p w14:paraId="0241006F"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细胞用冰冷的PBS洗涤三次，并在含有蛋白酶和磷酸酶抑制剂混合物的RIPA缓冲液中裂解。蛋白质浓度用BCA试剂盒测定（所有试剂</w:t>
      </w:r>
      <w:proofErr w:type="gramStart"/>
      <w:r w:rsidRPr="00355A07">
        <w:rPr>
          <w:rFonts w:ascii="微软雅黑" w:eastAsia="微软雅黑" w:hAnsi="微软雅黑" w:cs="宋体"/>
          <w:kern w:val="0"/>
          <w:sz w:val="24"/>
          <w:szCs w:val="24"/>
        </w:rPr>
        <w:t>盒均购</w:t>
      </w:r>
      <w:proofErr w:type="gramEnd"/>
      <w:r w:rsidRPr="00355A07">
        <w:rPr>
          <w:rFonts w:ascii="微软雅黑" w:eastAsia="微软雅黑" w:hAnsi="微软雅黑" w:cs="宋体"/>
          <w:kern w:val="0"/>
          <w:sz w:val="24"/>
          <w:szCs w:val="24"/>
        </w:rPr>
        <w:t>自南京凯基生物科技有限公司）。后续步骤按文献</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"B16"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vertAlign w:val="superscript"/>
        </w:rPr>
        <w:t>[16]</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所述进行。</w:t>
      </w:r>
    </w:p>
    <w:p w14:paraId="12BA4AA4"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lastRenderedPageBreak/>
        <w:t>在</w:t>
      </w:r>
      <w:proofErr w:type="gramStart"/>
      <w:r w:rsidRPr="00355A07">
        <w:rPr>
          <w:rFonts w:ascii="微软雅黑" w:eastAsia="微软雅黑" w:hAnsi="微软雅黑" w:cs="宋体"/>
          <w:kern w:val="0"/>
          <w:sz w:val="24"/>
          <w:szCs w:val="24"/>
        </w:rPr>
        <w:t>共免疫</w:t>
      </w:r>
      <w:proofErr w:type="gramEnd"/>
      <w:r w:rsidRPr="00355A07">
        <w:rPr>
          <w:rFonts w:ascii="微软雅黑" w:eastAsia="微软雅黑" w:hAnsi="微软雅黑" w:cs="宋体"/>
          <w:kern w:val="0"/>
          <w:sz w:val="24"/>
          <w:szCs w:val="24"/>
        </w:rPr>
        <w:t xml:space="preserve">沉淀实验中，用含有 50mM β-甘油磷酸钠、10mM </w:t>
      </w:r>
      <w:proofErr w:type="spellStart"/>
      <w:r w:rsidRPr="00355A07">
        <w:rPr>
          <w:rFonts w:ascii="微软雅黑" w:eastAsia="微软雅黑" w:hAnsi="微软雅黑" w:cs="宋体"/>
          <w:kern w:val="0"/>
          <w:sz w:val="24"/>
          <w:szCs w:val="24"/>
        </w:rPr>
        <w:t>NaF</w:t>
      </w:r>
      <w:proofErr w:type="spellEnd"/>
      <w:r w:rsidRPr="00355A07">
        <w:rPr>
          <w:rFonts w:ascii="微软雅黑" w:eastAsia="微软雅黑" w:hAnsi="微软雅黑" w:cs="宋体"/>
          <w:kern w:val="0"/>
          <w:sz w:val="24"/>
          <w:szCs w:val="24"/>
        </w:rPr>
        <w:t xml:space="preserve"> 和 1mgml-1 胃蛋白酶抑制剂 A 和</w:t>
      </w:r>
      <w:proofErr w:type="gramStart"/>
      <w:r w:rsidRPr="00355A07">
        <w:rPr>
          <w:rFonts w:ascii="微软雅黑" w:eastAsia="微软雅黑" w:hAnsi="微软雅黑" w:cs="宋体"/>
          <w:kern w:val="0"/>
          <w:sz w:val="24"/>
          <w:szCs w:val="24"/>
        </w:rPr>
        <w:t>抑蛋白酶</w:t>
      </w:r>
      <w:proofErr w:type="gramEnd"/>
      <w:r w:rsidRPr="00355A07">
        <w:rPr>
          <w:rFonts w:ascii="微软雅黑" w:eastAsia="微软雅黑" w:hAnsi="微软雅黑" w:cs="宋体"/>
          <w:kern w:val="0"/>
          <w:sz w:val="24"/>
          <w:szCs w:val="24"/>
        </w:rPr>
        <w:t xml:space="preserve">的 NETN 缓冲液（20mM Tris-HCl，pH 8.0，100mM NaCl，1mM EDTA，0.5% </w:t>
      </w:r>
      <w:proofErr w:type="spellStart"/>
      <w:r w:rsidRPr="00355A07">
        <w:rPr>
          <w:rFonts w:ascii="微软雅黑" w:eastAsia="微软雅黑" w:hAnsi="微软雅黑" w:cs="宋体"/>
          <w:kern w:val="0"/>
          <w:sz w:val="24"/>
          <w:szCs w:val="24"/>
        </w:rPr>
        <w:t>Nonidet</w:t>
      </w:r>
      <w:proofErr w:type="spellEnd"/>
      <w:r w:rsidRPr="00355A07">
        <w:rPr>
          <w:rFonts w:ascii="微软雅黑" w:eastAsia="微软雅黑" w:hAnsi="微软雅黑" w:cs="宋体"/>
          <w:kern w:val="0"/>
          <w:sz w:val="24"/>
          <w:szCs w:val="24"/>
        </w:rPr>
        <w:t xml:space="preserve"> P-40）裂解细胞。该</w:t>
      </w:r>
      <w:proofErr w:type="gramStart"/>
      <w:r w:rsidRPr="00355A07">
        <w:rPr>
          <w:rFonts w:ascii="微软雅黑" w:eastAsia="微软雅黑" w:hAnsi="微软雅黑" w:cs="宋体"/>
          <w:kern w:val="0"/>
          <w:sz w:val="24"/>
          <w:szCs w:val="24"/>
        </w:rPr>
        <w:t>实验按</w:t>
      </w:r>
      <w:proofErr w:type="gramEnd"/>
      <w:r w:rsidRPr="00355A07">
        <w:rPr>
          <w:rFonts w:ascii="微软雅黑" w:eastAsia="微软雅黑" w:hAnsi="微软雅黑" w:cs="宋体"/>
          <w:kern w:val="0"/>
          <w:sz w:val="24"/>
          <w:szCs w:val="24"/>
        </w:rPr>
        <w:t>先前描述的方法进行</w:t>
      </w:r>
      <w:r w:rsidRPr="00355A07">
        <w:rPr>
          <w:rFonts w:ascii="微软雅黑" w:eastAsia="微软雅黑" w:hAnsi="微软雅黑" w:cs="宋体"/>
          <w:kern w:val="0"/>
          <w:sz w:val="24"/>
          <w:szCs w:val="24"/>
          <w:u w:val="single"/>
          <w:vertAlign w:val="superscript"/>
        </w:rPr>
        <w:t>&lt;sup&gt; </w:t>
      </w:r>
      <w:hyperlink r:id="rId18" w:anchor="B17" w:history="1">
        <w:r w:rsidRPr="00355A07">
          <w:rPr>
            <w:rFonts w:ascii="微软雅黑" w:eastAsia="微软雅黑" w:hAnsi="微软雅黑" w:cs="宋体"/>
            <w:kern w:val="0"/>
            <w:sz w:val="24"/>
            <w:szCs w:val="24"/>
            <w:u w:val="single"/>
            <w:vertAlign w:val="superscript"/>
          </w:rPr>
          <w:t>17&lt;/sup&gt;</w:t>
        </w:r>
      </w:hyperlink>
      <w:r w:rsidRPr="00355A07">
        <w:rPr>
          <w:rFonts w:ascii="微软雅黑" w:eastAsia="微软雅黑" w:hAnsi="微软雅黑" w:cs="宋体"/>
          <w:kern w:val="0"/>
          <w:sz w:val="24"/>
          <w:szCs w:val="24"/>
        </w:rPr>
        <w:t>。</w:t>
      </w:r>
    </w:p>
    <w:p w14:paraId="0FCE1E6B"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Western blot实验中使用的特异性抗体包括：Abcam公司的抗MDR1（ab170904）、抗Rb（ab181616）、抗E2F1（ab179445）、抗细胞周期蛋白A2（ab181591）、抗细胞周期蛋白E2（ab226388）、抗PR（ab131486）、抗细胞周期蛋白D1（ab326977）、抗细胞周期蛋白E1（ab213142）、抗CDK 2（ab101682）抗体，以及Cell Signaling Technologies公司的抗</w:t>
      </w:r>
      <w:proofErr w:type="spellStart"/>
      <w:r w:rsidRPr="00355A07">
        <w:rPr>
          <w:rFonts w:ascii="微软雅黑" w:eastAsia="微软雅黑" w:hAnsi="微软雅黑" w:cs="宋体"/>
          <w:kern w:val="0"/>
          <w:sz w:val="24"/>
          <w:szCs w:val="24"/>
        </w:rPr>
        <w:t>pRb</w:t>
      </w:r>
      <w:proofErr w:type="spellEnd"/>
      <w:r w:rsidRPr="00355A07">
        <w:rPr>
          <w:rFonts w:ascii="微软雅黑" w:eastAsia="微软雅黑" w:hAnsi="微软雅黑" w:cs="宋体"/>
          <w:kern w:val="0"/>
          <w:sz w:val="24"/>
          <w:szCs w:val="24"/>
        </w:rPr>
        <w:t>（S795）（#9301）、抗ER（#13258）、抗AR（#5153）、抗ki67（#9449）、GAPDH（#2118）、小鼠IgG（#7076）、兔IgG（#7074）抗体。</w:t>
      </w:r>
    </w:p>
    <w:p w14:paraId="7171B91F"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实时聚合酶链式反应（实时RT-PCR）分析</w:t>
      </w:r>
    </w:p>
    <w:p w14:paraId="32D7DAB1"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使用</w:t>
      </w:r>
      <w:proofErr w:type="spellStart"/>
      <w:r w:rsidRPr="00355A07">
        <w:rPr>
          <w:rFonts w:ascii="微软雅黑" w:eastAsia="微软雅黑" w:hAnsi="微软雅黑" w:cs="宋体"/>
          <w:kern w:val="0"/>
          <w:sz w:val="24"/>
          <w:szCs w:val="24"/>
        </w:rPr>
        <w:t>Trizol</w:t>
      </w:r>
      <w:proofErr w:type="spellEnd"/>
      <w:r w:rsidRPr="00355A07">
        <w:rPr>
          <w:rFonts w:ascii="微软雅黑" w:eastAsia="微软雅黑" w:hAnsi="微软雅黑" w:cs="宋体"/>
          <w:kern w:val="0"/>
          <w:sz w:val="24"/>
          <w:szCs w:val="24"/>
        </w:rPr>
        <w:t>试剂（Invitrogen，美国加州）按照制造商说明书从培养细胞中提取总RNA。对于ESR1、PGR、XBP1、TFF1和AR的qPCR分析，使用</w:t>
      </w:r>
      <w:proofErr w:type="spellStart"/>
      <w:r w:rsidRPr="00355A07">
        <w:rPr>
          <w:rFonts w:ascii="微软雅黑" w:eastAsia="微软雅黑" w:hAnsi="微软雅黑" w:cs="宋体"/>
          <w:kern w:val="0"/>
          <w:sz w:val="24"/>
          <w:szCs w:val="24"/>
        </w:rPr>
        <w:t>PrimeScript</w:t>
      </w:r>
      <w:proofErr w:type="spellEnd"/>
      <w:r w:rsidRPr="00355A07">
        <w:rPr>
          <w:rFonts w:ascii="微软雅黑" w:eastAsia="微软雅黑" w:hAnsi="微软雅黑" w:cs="宋体"/>
          <w:kern w:val="0"/>
          <w:sz w:val="24"/>
          <w:szCs w:val="24"/>
        </w:rPr>
        <w:t>™ RT Master Mix试剂盒（Takara，中国）合成cDNA，然后使用Powers SYBR Green PCR Master Mix（Life Technology，美国）按照制造商说明书进行PCR。GAPDH用作内参。引物序列（正向和反向）如下：ESR1 F：5'-TATGTGTCCAGCCACCAACC-3'，R：5'-CTTCGTAGCATTTGCGGAGC-3'；PGR F：5'-GACTGAGCTGAAGGCAAAGG-3'，R：5'-AACTTCAGGCAAGGTGTCCG-3'； XBP1 F：5'-CTGAGTCCGCAGCAGGTG-3'，R：5'-GTCCAGAATGCCCAACAGGA-3'； TFF1 F：5'-</w:t>
      </w:r>
      <w:r w:rsidRPr="00355A07">
        <w:rPr>
          <w:rFonts w:ascii="微软雅黑" w:eastAsia="微软雅黑" w:hAnsi="微软雅黑" w:cs="宋体"/>
          <w:kern w:val="0"/>
          <w:sz w:val="24"/>
          <w:szCs w:val="24"/>
        </w:rPr>
        <w:lastRenderedPageBreak/>
        <w:t>GTGGTTTTCCTGGTGTCACG-3'，R：5'-AGGATAGAAGCACCAGGGGA-3'； AR R：5'-GGGCGAAGTAGAGCATCCT-3'，F：5'-GACGACCAGATGGCTGTCATT3'； GAPDH F：5'-CATCTTCTTTTGCGTCGCCA-3'，R：5'-TTAAAAGCAGCCCTGGTGACC-3'。在 ABI 7300 序列检测系统（Applied Biosystems，CA，USA）上进行实时 PCR 分析。</w:t>
      </w:r>
    </w:p>
    <w:p w14:paraId="1DED78AB"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免疫荧光和试剂</w:t>
      </w:r>
    </w:p>
    <w:p w14:paraId="3A3AECB9"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将细胞接种于八孔腔室载玻片（Lab-Tek Products，美国伊利诺伊州）上，并用PBS洗涤。然后，用4%多聚甲醛固定细胞20分钟，用0.1% TritonX-100</w:t>
      </w:r>
      <w:proofErr w:type="gramStart"/>
      <w:r w:rsidRPr="00355A07">
        <w:rPr>
          <w:rFonts w:ascii="微软雅黑" w:eastAsia="微软雅黑" w:hAnsi="微软雅黑" w:cs="宋体"/>
          <w:kern w:val="0"/>
          <w:sz w:val="24"/>
          <w:szCs w:val="24"/>
        </w:rPr>
        <w:t>透化10分钟</w:t>
      </w:r>
      <w:proofErr w:type="gramEnd"/>
      <w:r w:rsidRPr="00355A07">
        <w:rPr>
          <w:rFonts w:ascii="微软雅黑" w:eastAsia="微软雅黑" w:hAnsi="微软雅黑" w:cs="宋体"/>
          <w:kern w:val="0"/>
          <w:sz w:val="24"/>
          <w:szCs w:val="24"/>
        </w:rPr>
        <w:t>，并在37°C下与抗AR（#5153）抗体孵育1小时，抗体稀释度按制造商推荐。之后，用PBS洗涤细胞，并在37°C下与FITC标记的小鼠抗兔IgG（Invitrogen；1:200）孵育30分钟。随后，用4',6-二</w:t>
      </w:r>
      <w:proofErr w:type="gramStart"/>
      <w:r w:rsidRPr="00355A07">
        <w:rPr>
          <w:rFonts w:ascii="微软雅黑" w:eastAsia="微软雅黑" w:hAnsi="微软雅黑" w:cs="宋体"/>
          <w:kern w:val="0"/>
          <w:sz w:val="24"/>
          <w:szCs w:val="24"/>
        </w:rPr>
        <w:t>脒</w:t>
      </w:r>
      <w:proofErr w:type="gramEnd"/>
      <w:r w:rsidRPr="00355A07">
        <w:rPr>
          <w:rFonts w:ascii="微软雅黑" w:eastAsia="微软雅黑" w:hAnsi="微软雅黑" w:cs="宋体"/>
          <w:kern w:val="0"/>
          <w:sz w:val="24"/>
          <w:szCs w:val="24"/>
        </w:rPr>
        <w:t>基-2-苯基吲哚（DAPI；Sigma）对细胞核进行复染10分钟。最后，用封片剂（DAKO，丹麦格洛斯楚普）封片，并在LSM510共聚焦显微镜（Carl Zeiss，德国哥廷根）下观察。</w:t>
      </w:r>
    </w:p>
    <w:p w14:paraId="01983C51"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转染</w:t>
      </w:r>
    </w:p>
    <w:p w14:paraId="484EB15D"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首先将AR shRNA (</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 和对照shRNA (NC) 克隆到购自上海吉玛基因公司的pGpU6/GFP/Neo载体中，然后按照制造商的方案转染到细胞中。shRNA序列如下：shAR-1，5'-TTGCCAGAGAGCTGCATCA-3'，shAR-2，5'-CTGGCGATCCTTCACCAAT-3'，shAR-3，5'-CACCAATGTCAACTCCAGGAT-3'，以及</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，5'-AGTGCACGTGCATGTCCTA-3'。</w:t>
      </w:r>
    </w:p>
    <w:p w14:paraId="0DF710A2"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lastRenderedPageBreak/>
        <w:t>异种移植实验</w:t>
      </w:r>
    </w:p>
    <w:p w14:paraId="5A45DF9B"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MCF-7pR异种移植瘤的建立方法如前所述</w:t>
      </w:r>
      <w:r w:rsidRPr="00355A07">
        <w:rPr>
          <w:rFonts w:ascii="微软雅黑" w:eastAsia="微软雅黑" w:hAnsi="微软雅黑" w:cs="宋体"/>
          <w:kern w:val="0"/>
          <w:sz w:val="24"/>
          <w:szCs w:val="24"/>
          <w:u w:val="single"/>
          <w:vertAlign w:val="superscript"/>
        </w:rPr>
        <w:t>&lt;sup&gt; </w:t>
      </w:r>
      <w:hyperlink r:id="rId19" w:anchor="B18" w:history="1">
        <w:r w:rsidRPr="00355A07">
          <w:rPr>
            <w:rFonts w:ascii="微软雅黑" w:eastAsia="微软雅黑" w:hAnsi="微软雅黑" w:cs="宋体"/>
            <w:kern w:val="0"/>
            <w:sz w:val="24"/>
            <w:szCs w:val="24"/>
            <w:u w:val="single"/>
            <w:vertAlign w:val="superscript"/>
          </w:rPr>
          <w:t>18&lt;/sup&gt;</w:t>
        </w:r>
      </w:hyperlink>
      <w:r w:rsidRPr="00355A07">
        <w:rPr>
          <w:rFonts w:ascii="微软雅黑" w:eastAsia="微软雅黑" w:hAnsi="微软雅黑" w:cs="宋体"/>
          <w:kern w:val="0"/>
          <w:sz w:val="24"/>
          <w:szCs w:val="24"/>
        </w:rPr>
        <w:t>。当肿瘤体积达到100 mm</w:t>
      </w:r>
      <w:r w:rsidRPr="00355A07">
        <w:rPr>
          <w:rFonts w:ascii="微软雅黑" w:eastAsia="微软雅黑" w:hAnsi="微软雅黑" w:cs="宋体"/>
          <w:kern w:val="0"/>
          <w:sz w:val="24"/>
          <w:szCs w:val="24"/>
          <w:u w:val="single"/>
          <w:vertAlign w:val="superscript"/>
        </w:rPr>
        <w:t>&lt;sup&gt;3&lt;/sup&gt;</w:t>
      </w:r>
      <w:r w:rsidRPr="00355A07">
        <w:rPr>
          <w:rFonts w:ascii="微软雅黑" w:eastAsia="微软雅黑" w:hAnsi="微软雅黑" w:cs="宋体"/>
          <w:kern w:val="0"/>
          <w:sz w:val="24"/>
          <w:szCs w:val="24"/>
        </w:rPr>
        <w:t xml:space="preserve"> (±50)时，将小鼠随机分为四组（每组六只）。分别给予赋形剂（口服）、帕博西尼（100 mg/kg，每周两次，灌胃）、恩扎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胺（50 mg/kg，每周五次，灌胃）或帕博西尼联合恩扎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胺治疗。每三天测量一次肿瘤大小，肿瘤体积计算公式为（宽度×长度</w:t>
      </w:r>
      <w:r w:rsidRPr="00355A07">
        <w:rPr>
          <w:rFonts w:ascii="微软雅黑" w:eastAsia="微软雅黑" w:hAnsi="微软雅黑" w:cs="宋体"/>
          <w:kern w:val="0"/>
          <w:sz w:val="24"/>
          <w:szCs w:val="24"/>
          <w:u w:val="single"/>
          <w:vertAlign w:val="superscript"/>
        </w:rPr>
        <w:t>&lt;sup&gt;2&lt;/sup&gt;</w:t>
      </w:r>
      <w:r w:rsidRPr="00355A07">
        <w:rPr>
          <w:rFonts w:ascii="微软雅黑" w:eastAsia="微软雅黑" w:hAnsi="微软雅黑" w:cs="宋体"/>
          <w:kern w:val="0"/>
          <w:sz w:val="24"/>
          <w:szCs w:val="24"/>
        </w:rPr>
        <w:t>）/2。所有动物实验均按照机构指南进行。</w:t>
      </w:r>
    </w:p>
    <w:p w14:paraId="45A02575"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免疫组织化学</w:t>
      </w:r>
    </w:p>
    <w:p w14:paraId="2BC9E5C7"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切片经二甲苯和乙醇系列溶液脱蜡后，进行复水，并使用柠檬酸缓冲液（</w:t>
      </w:r>
      <w:proofErr w:type="spellStart"/>
      <w:r w:rsidRPr="00355A07">
        <w:rPr>
          <w:rFonts w:ascii="微软雅黑" w:eastAsia="微软雅黑" w:hAnsi="微软雅黑" w:cs="宋体"/>
          <w:kern w:val="0"/>
          <w:sz w:val="24"/>
          <w:szCs w:val="24"/>
        </w:rPr>
        <w:t>BioGenex</w:t>
      </w:r>
      <w:proofErr w:type="spellEnd"/>
      <w:r w:rsidRPr="00355A07">
        <w:rPr>
          <w:rFonts w:ascii="微软雅黑" w:eastAsia="微软雅黑" w:hAnsi="微软雅黑" w:cs="宋体"/>
          <w:kern w:val="0"/>
          <w:sz w:val="24"/>
          <w:szCs w:val="24"/>
        </w:rPr>
        <w:t>，美国）进行抗原修复。切片与Ki67和AR抗体的</w:t>
      </w:r>
      <w:proofErr w:type="gramStart"/>
      <w:r w:rsidRPr="00355A07">
        <w:rPr>
          <w:rFonts w:ascii="微软雅黑" w:eastAsia="微软雅黑" w:hAnsi="微软雅黑" w:cs="宋体"/>
          <w:kern w:val="0"/>
          <w:sz w:val="24"/>
          <w:szCs w:val="24"/>
        </w:rPr>
        <w:t>一抗在</w:t>
      </w:r>
      <w:proofErr w:type="gramEnd"/>
      <w:r w:rsidRPr="00355A07">
        <w:rPr>
          <w:rFonts w:ascii="微软雅黑" w:eastAsia="微软雅黑" w:hAnsi="微软雅黑" w:cs="宋体"/>
          <w:kern w:val="0"/>
          <w:sz w:val="24"/>
          <w:szCs w:val="24"/>
        </w:rPr>
        <w:t>4℃孵育过夜。免疫染色切片用显微镜扫描。阳性细胞百分比根据既往研究</w:t>
      </w:r>
      <w:r w:rsidRPr="00355A07">
        <w:rPr>
          <w:rFonts w:ascii="微软雅黑" w:eastAsia="微软雅黑" w:hAnsi="微软雅黑" w:cs="宋体"/>
          <w:kern w:val="0"/>
          <w:sz w:val="24"/>
          <w:szCs w:val="24"/>
          <w:u w:val="single"/>
          <w:vertAlign w:val="superscript"/>
        </w:rPr>
        <w:t>&lt;sup&gt; </w:t>
      </w:r>
      <w:hyperlink r:id="rId20" w:anchor="B19" w:history="1">
        <w:r w:rsidRPr="00355A07">
          <w:rPr>
            <w:rFonts w:ascii="微软雅黑" w:eastAsia="微软雅黑" w:hAnsi="微软雅黑" w:cs="宋体"/>
            <w:kern w:val="0"/>
            <w:sz w:val="24"/>
            <w:szCs w:val="24"/>
            <w:u w:val="single"/>
            <w:vertAlign w:val="superscript"/>
          </w:rPr>
          <w:t>19&lt;/sup&gt;</w:t>
        </w:r>
      </w:hyperlink>
      <w:r w:rsidRPr="00355A07">
        <w:rPr>
          <w:rFonts w:ascii="微软雅黑" w:eastAsia="微软雅黑" w:hAnsi="微软雅黑" w:cs="宋体"/>
          <w:kern w:val="0"/>
          <w:sz w:val="24"/>
          <w:szCs w:val="24"/>
        </w:rPr>
        <w:t>进行评分。</w:t>
      </w:r>
    </w:p>
    <w:p w14:paraId="7B80C8D3"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统计分析</w:t>
      </w:r>
    </w:p>
    <w:p w14:paraId="16A53613"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所有统计检验均使用 GraphPad Prism 6.0 版进行。数据分析采用 Student's t 检验。除非另有说明，数据均以三次独立实验的平均值 ± 标准差 (SD) 表示。P 值 &lt; 0.05 被认为具有统计学意义。*P &lt; 0.05，或 **P &lt; 0.01，或 ***P &lt; 0.001。</w:t>
      </w:r>
    </w:p>
    <w:p w14:paraId="5B182E46" w14:textId="77777777" w:rsidR="00355A07" w:rsidRPr="00355A07" w:rsidRDefault="00355A07" w:rsidP="00355A07">
      <w:pPr>
        <w:widowControl/>
        <w:pBdr>
          <w:bottom w:val="single" w:sz="6" w:space="0" w:color="97B1C8"/>
        </w:pBdr>
        <w:spacing w:line="450" w:lineRule="atLeast"/>
        <w:outlineLvl w:val="1"/>
        <w:rPr>
          <w:rFonts w:ascii="微软雅黑" w:eastAsia="微软雅黑" w:hAnsi="微软雅黑" w:cs="宋体"/>
          <w:kern w:val="0"/>
          <w:sz w:val="34"/>
          <w:szCs w:val="34"/>
        </w:rPr>
      </w:pPr>
      <w:r w:rsidRPr="00355A07">
        <w:rPr>
          <w:rFonts w:ascii="微软雅黑" w:eastAsia="微软雅黑" w:hAnsi="微软雅黑" w:cs="宋体"/>
          <w:kern w:val="0"/>
          <w:sz w:val="34"/>
          <w:szCs w:val="34"/>
        </w:rPr>
        <w:t>结果</w:t>
      </w:r>
    </w:p>
    <w:p w14:paraId="49B4162F"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建立 CDK4/6 抑制剂耐药细胞</w:t>
      </w:r>
    </w:p>
    <w:p w14:paraId="1CC3F25A"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lastRenderedPageBreak/>
        <w:t xml:space="preserve">为了从 MCF-7 细胞中生成帕博西尼耐药克隆，我们持续将 MCF-7 细胞暴露于帕博西尼中。将帕博西尼耐药细胞 (MCF-7pR) 在含有递增剂量帕博西尼的培养基中培养超过 1 年。与亲代 MCF-7 细胞相比，MCF-7pR 细胞的 IC50 值提高了 5 </w:t>
      </w:r>
      <w:proofErr w:type="gramStart"/>
      <w:r w:rsidRPr="00355A07">
        <w:rPr>
          <w:rFonts w:ascii="微软雅黑" w:eastAsia="微软雅黑" w:hAnsi="微软雅黑" w:cs="宋体"/>
          <w:kern w:val="0"/>
          <w:sz w:val="24"/>
          <w:szCs w:val="24"/>
        </w:rPr>
        <w:t>倍</w:t>
      </w:r>
      <w:proofErr w:type="gramEnd"/>
      <w:r w:rsidRPr="00355A07">
        <w:rPr>
          <w:rFonts w:ascii="微软雅黑" w:eastAsia="微软雅黑" w:hAnsi="微软雅黑" w:cs="宋体"/>
          <w:kern w:val="0"/>
          <w:sz w:val="24"/>
          <w:szCs w:val="24"/>
        </w:rPr>
        <w:t>，反复证实其对帕博西尼不敏感。帕博西尼耐药细胞 (MCF-7pR) 和亲代细胞 (MCF-7) 的平均 IC50 值分别为 24.72 µM 和 5.077 µM（图</w:t>
      </w:r>
      <w:r w:rsidRPr="00355A07">
        <w:rPr>
          <w:rFonts w:ascii="微软雅黑" w:eastAsia="微软雅黑" w:hAnsi="微软雅黑" w:cs="宋体"/>
          <w:kern w:val="0"/>
          <w:sz w:val="24"/>
          <w:szCs w:val="24"/>
          <w:vertAlign w:val="subscript"/>
        </w:rPr>
        <w:t>1A </w:t>
      </w:r>
      <w:hyperlink r:id="rId21" w:anchor="F1" w:history="1">
        <w:r w:rsidRPr="00355A07">
          <w:rPr>
            <w:rFonts w:ascii="微软雅黑" w:eastAsia="微软雅黑" w:hAnsi="微软雅黑" w:cs="宋体"/>
            <w:kern w:val="0"/>
            <w:sz w:val="24"/>
            <w:szCs w:val="24"/>
            <w:u w:val="single"/>
          </w:rPr>
          <w:t>）</w:t>
        </w:r>
      </w:hyperlink>
      <w:r w:rsidRPr="00355A07">
        <w:rPr>
          <w:rFonts w:ascii="微软雅黑" w:eastAsia="微软雅黑" w:hAnsi="微软雅黑" w:cs="宋体"/>
          <w:kern w:val="0"/>
          <w:sz w:val="24"/>
          <w:szCs w:val="24"/>
        </w:rPr>
        <w:t>。为了确定帕博西尼耐药细胞是否对其他 CDK4/6 抑制剂耐药，我们测试了耐药细胞和亲代细胞对其他新型选择性 CDK4/6 抑制剂瑞博西尼和阿贝西利的生长反应。在这两种情况下，MCF-7pR 细胞的 IC50 值均显著高于亲代</w:t>
      </w:r>
      <w:r w:rsidRPr="00355A07">
        <w:rPr>
          <w:rFonts w:ascii="微软雅黑" w:eastAsia="微软雅黑" w:hAnsi="微软雅黑" w:cs="宋体"/>
          <w:kern w:val="0"/>
          <w:sz w:val="24"/>
          <w:szCs w:val="24"/>
          <w:vertAlign w:val="subscript"/>
        </w:rPr>
        <w:t>MCF7</w:t>
      </w:r>
      <w:r w:rsidRPr="00355A07">
        <w:rPr>
          <w:rFonts w:ascii="微软雅黑" w:eastAsia="微软雅黑" w:hAnsi="微软雅黑" w:cs="宋体"/>
          <w:kern w:val="0"/>
          <w:sz w:val="24"/>
          <w:szCs w:val="24"/>
        </w:rPr>
        <w:t>细胞（补充图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"SM0"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1</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）。这些结果可能表明 MCF-7pR 细胞对广谱 CDK4/6 抑制剂具有耐药性。与亲代 MCF7 细胞相比，MCF-7pR 细胞中检测到多药耐药蛋白 1 (MDR1) 表达增加，证实了帕博西尼耐药细胞的成功构建（图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1B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 xml:space="preserve">）。我们进一步研究了亲代 MCF-7 细胞和耐药细胞的细胞周期分布是否存在差异。流式细胞术分析数据显示，经 4 </w:t>
      </w:r>
      <w:proofErr w:type="spellStart"/>
      <w:r w:rsidRPr="00355A07">
        <w:rPr>
          <w:rFonts w:ascii="微软雅黑" w:eastAsia="微软雅黑" w:hAnsi="微软雅黑" w:cs="宋体"/>
          <w:kern w:val="0"/>
          <w:sz w:val="24"/>
          <w:szCs w:val="24"/>
        </w:rPr>
        <w:t>μM</w:t>
      </w:r>
      <w:proofErr w:type="spellEnd"/>
      <w:r w:rsidRPr="00355A07">
        <w:rPr>
          <w:rFonts w:ascii="微软雅黑" w:eastAsia="微软雅黑" w:hAnsi="微软雅黑" w:cs="宋体"/>
          <w:kern w:val="0"/>
          <w:sz w:val="24"/>
          <w:szCs w:val="24"/>
        </w:rPr>
        <w:t xml:space="preserve"> 帕博西尼处理 48 小时后，S 期细胞比例显著降低，而 MCF-7pR 细胞中 S 期细胞比例并未降低（图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1C</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）。此外，我们检测到 MCF-7pR 细胞的集落形成能力较亲代 MCF-7 细胞增强。帕博西尼处理显著降低了亲代MCF-7细胞的克隆形成能力；然而，MCF-7pR细胞的克隆形成能力并未降低（图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1D</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）。为了进一步验证帕博西尼耐药性与细胞周期蛋白D1-CDK4/6-Rb轴的改变相关，我们分别检测了MCF-7细胞在帕博西尼处理0小时、24小时和48小时后Rb蛋白的磷酸化水平。结果表明，4 µM帕博西尼处理24小时可降低MCF-7细胞中磷酸化Rb蛋白（</w:t>
      </w:r>
      <w:proofErr w:type="spellStart"/>
      <w:r w:rsidRPr="00355A07">
        <w:rPr>
          <w:rFonts w:ascii="微软雅黑" w:eastAsia="微软雅黑" w:hAnsi="微软雅黑" w:cs="宋体"/>
          <w:kern w:val="0"/>
          <w:sz w:val="24"/>
          <w:szCs w:val="24"/>
        </w:rPr>
        <w:t>pRb</w:t>
      </w:r>
      <w:proofErr w:type="spellEnd"/>
      <w:r w:rsidRPr="00355A07">
        <w:rPr>
          <w:rFonts w:ascii="微软雅黑" w:eastAsia="微软雅黑" w:hAnsi="微软雅黑" w:cs="宋体"/>
          <w:kern w:val="0"/>
          <w:sz w:val="24"/>
          <w:szCs w:val="24"/>
        </w:rPr>
        <w:t xml:space="preserve">）的水平，而帕博西尼处理48小时并未显著抑制MCF-7pR细胞中Rb蛋白的磷酸化。与 Rb 磷酸化水平的变化一致，亲代 MCF-7 细胞中 E2F1 及其靶基因（cyclin A2 和 cyclin </w:t>
      </w:r>
      <w:r w:rsidRPr="00355A07">
        <w:rPr>
          <w:rFonts w:ascii="微软雅黑" w:eastAsia="微软雅黑" w:hAnsi="微软雅黑" w:cs="宋体"/>
          <w:kern w:val="0"/>
          <w:sz w:val="24"/>
          <w:szCs w:val="24"/>
        </w:rPr>
        <w:lastRenderedPageBreak/>
        <w:t>E2）的表达被帕博西尼显著抑制，但在 MCF-7pR 细胞中未观察到此现象（图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1E</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）。总之，帕博西尼耐药的乳腺癌细胞表现出更高的 IC50 值</w:t>
      </w:r>
      <w:r w:rsidRPr="00355A07">
        <w:rPr>
          <w:rFonts w:ascii="微软雅黑" w:eastAsia="微软雅黑" w:hAnsi="微软雅黑" w:cs="宋体"/>
          <w:kern w:val="0"/>
          <w:sz w:val="24"/>
          <w:szCs w:val="24"/>
          <w:vertAlign w:val="subscript"/>
        </w:rPr>
        <w:t>。</w:t>
      </w:r>
      <w:r w:rsidRPr="00355A07">
        <w:rPr>
          <w:rFonts w:ascii="微软雅黑" w:eastAsia="微软雅黑" w:hAnsi="微软雅黑" w:cs="宋体"/>
          <w:kern w:val="0"/>
          <w:sz w:val="24"/>
          <w:szCs w:val="24"/>
        </w:rPr>
        <w:t>帕博西尼治疗后，MDR1表达增加，细胞集落形成能力较亲代细胞有所提高。此外，获得的耐药性可能削弱帕博西尼对G1-S期转换的抑制作用。</w:t>
      </w:r>
    </w:p>
    <w:p w14:paraId="2435220A"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图1。</w:t>
      </w:r>
    </w:p>
    <w:p w14:paraId="2567AE14" w14:textId="13CCFAE6"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drawing>
          <wp:inline distT="0" distB="0" distL="0" distR="0" wp14:anchorId="01C30F84" wp14:editId="586AC9CF">
            <wp:extent cx="5274310" cy="3162935"/>
            <wp:effectExtent l="0" t="0" r="2540" b="0"/>
            <wp:docPr id="6" name="图片 6" descr="图 1">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162935"/>
                    </a:xfrm>
                    <a:prstGeom prst="rect">
                      <a:avLst/>
                    </a:prstGeom>
                    <a:noFill/>
                    <a:ln>
                      <a:noFill/>
                    </a:ln>
                  </pic:spPr>
                </pic:pic>
              </a:graphicData>
            </a:graphic>
          </wp:inline>
        </w:drawing>
      </w:r>
    </w:p>
    <w:p w14:paraId="043A03C1"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CDK4/6抑制剂耐药细胞的生成。</w:t>
      </w:r>
      <w:proofErr w:type="gramStart"/>
      <w:r w:rsidRPr="00355A07">
        <w:rPr>
          <w:rFonts w:ascii="微软雅黑" w:eastAsia="微软雅黑" w:hAnsi="微软雅黑" w:cs="宋体"/>
          <w:b/>
          <w:bCs/>
          <w:kern w:val="0"/>
          <w:sz w:val="24"/>
          <w:szCs w:val="24"/>
        </w:rPr>
        <w:t>A</w:t>
      </w:r>
      <w:r w:rsidRPr="00355A07">
        <w:rPr>
          <w:rFonts w:ascii="微软雅黑" w:eastAsia="微软雅黑" w:hAnsi="微软雅黑" w:cs="宋体"/>
          <w:kern w:val="0"/>
          <w:sz w:val="24"/>
          <w:szCs w:val="24"/>
        </w:rPr>
        <w:t> .</w:t>
      </w:r>
      <w:proofErr w:type="gramEnd"/>
      <w:r w:rsidRPr="00355A07">
        <w:rPr>
          <w:rFonts w:ascii="微软雅黑" w:eastAsia="微软雅黑" w:hAnsi="微软雅黑" w:cs="宋体"/>
          <w:kern w:val="0"/>
          <w:sz w:val="24"/>
          <w:szCs w:val="24"/>
        </w:rPr>
        <w:t xml:space="preserve"> 采用细胞活力检测法分析MCF-7和MCF-7pR细胞经不同浓度帕博西尼处理48小时后的相对细胞活力。图中显示了该药物在MCF-7和MCF-7pR细胞中的IC50值</w:t>
      </w:r>
      <w:r w:rsidRPr="00355A07">
        <w:rPr>
          <w:rFonts w:ascii="微软雅黑" w:eastAsia="微软雅黑" w:hAnsi="微软雅黑" w:cs="宋体"/>
          <w:kern w:val="0"/>
          <w:sz w:val="24"/>
          <w:szCs w:val="24"/>
          <w:vertAlign w:val="subscript"/>
        </w:rPr>
        <w:t>。</w:t>
      </w:r>
      <w:r w:rsidRPr="00355A07">
        <w:rPr>
          <w:rFonts w:ascii="微软雅黑" w:eastAsia="微软雅黑" w:hAnsi="微软雅黑" w:cs="宋体"/>
          <w:kern w:val="0"/>
          <w:sz w:val="24"/>
          <w:szCs w:val="24"/>
        </w:rPr>
        <w:t> *P &lt; 0.05。B. 通过Western blot检测MCF-7和MCF-7pR细胞中MDR-1的表达水平。C. 将MCF-7和MCF-7pR细胞用或不用帕博西尼（4 µM）处理48小时，然后用流式细胞仪进行检测。结果以平均细胞周期分布百分比±标准误差表示。*P &lt; 0.05，**P &lt; 0.01，***P &lt; 0.001。D. 分别显示MCF-7和MCF-7pR细胞经帕博西尼处理或未处</w:t>
      </w:r>
      <w:r w:rsidRPr="00355A07">
        <w:rPr>
          <w:rFonts w:ascii="微软雅黑" w:eastAsia="微软雅黑" w:hAnsi="微软雅黑" w:cs="宋体"/>
          <w:kern w:val="0"/>
          <w:sz w:val="24"/>
          <w:szCs w:val="24"/>
        </w:rPr>
        <w:lastRenderedPageBreak/>
        <w:t>理后的集落形成结果图像。 E. 将MCF-7和MCF-7pR细胞用4 µM帕博西尼处理，并在指定时间收集细胞。使用指定的抗体进行免疫印迹分析。</w:t>
      </w:r>
    </w:p>
    <w:p w14:paraId="40AEB65D"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CDK4/6抑制剂耐药细胞中激素受体的失调</w:t>
      </w:r>
    </w:p>
    <w:p w14:paraId="0996F0EB"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在乳腺癌细胞中，雌激素受体（ER）的激活可通过直接结合启动子持续增强细胞周期蛋白D1的表达，从而编码细胞周期蛋白D1亚型</w:t>
      </w:r>
      <w:r w:rsidRPr="00355A07">
        <w:rPr>
          <w:rFonts w:ascii="微软雅黑" w:eastAsia="微软雅黑" w:hAnsi="微软雅黑" w:cs="宋体"/>
          <w:kern w:val="0"/>
          <w:sz w:val="24"/>
          <w:szCs w:val="24"/>
          <w:u w:val="single"/>
          <w:vertAlign w:val="superscript"/>
        </w:rPr>
        <w:t>&lt;sup&gt; </w:t>
      </w:r>
      <w:hyperlink r:id="rId24" w:anchor="B20" w:history="1">
        <w:r w:rsidRPr="00355A07">
          <w:rPr>
            <w:rFonts w:ascii="微软雅黑" w:eastAsia="微软雅黑" w:hAnsi="微软雅黑" w:cs="宋体"/>
            <w:kern w:val="0"/>
            <w:sz w:val="24"/>
            <w:szCs w:val="24"/>
            <w:u w:val="single"/>
            <w:vertAlign w:val="superscript"/>
          </w:rPr>
          <w:t>20&lt;/sup&gt;</w:t>
        </w:r>
      </w:hyperlink>
      <w:r w:rsidRPr="00355A07">
        <w:rPr>
          <w:rFonts w:ascii="微软雅黑" w:eastAsia="微软雅黑" w:hAnsi="微软雅黑" w:cs="宋体"/>
          <w:kern w:val="0"/>
          <w:sz w:val="24"/>
          <w:szCs w:val="24"/>
        </w:rPr>
        <w:t>。此外，参与细胞周期蛋白D1-CDK4/6-Rb轴的雌二醇2因子（E2F）可以调控ER的表达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"B21"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vertAlign w:val="superscript"/>
        </w:rPr>
        <w:t>&lt;sup&gt;</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vertAlign w:val="superscript"/>
        </w:rPr>
        <w:t> 21,22 </w:t>
      </w:r>
      <w:hyperlink r:id="rId25" w:anchor="B22"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。我们推测，在细胞周期蛋白D1-CDK4/6-Rb轴失调的MCF-7pR细胞中，ER信号通路是否发生改变。与亲代MCF-7细胞相比，耐药细胞中ER和孕激素受体（PR）的mRNA和蛋白</w:t>
      </w:r>
      <w:proofErr w:type="gramStart"/>
      <w:r w:rsidRPr="00355A07">
        <w:rPr>
          <w:rFonts w:ascii="微软雅黑" w:eastAsia="微软雅黑" w:hAnsi="微软雅黑" w:cs="宋体"/>
          <w:kern w:val="0"/>
          <w:sz w:val="24"/>
          <w:szCs w:val="24"/>
        </w:rPr>
        <w:t>表达水</w:t>
      </w:r>
      <w:proofErr w:type="gramEnd"/>
      <w:r w:rsidRPr="00355A07">
        <w:rPr>
          <w:rFonts w:ascii="微软雅黑" w:eastAsia="微软雅黑" w:hAnsi="微软雅黑" w:cs="宋体"/>
          <w:kern w:val="0"/>
          <w:sz w:val="24"/>
          <w:szCs w:val="24"/>
        </w:rPr>
        <w:t>平均显著降低（图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"F2"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2A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和B）。此外，作为ER调控基因的XBP1和TFF1在帕博西尼耐药细胞中也受到抑制（图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"F2"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2B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）。鉴于雌激素受体（ER）在ER阳性乳腺癌的增殖和进展中起着至关重要的作用</w:t>
      </w:r>
      <w:r w:rsidRPr="00355A07">
        <w:rPr>
          <w:rFonts w:ascii="微软雅黑" w:eastAsia="微软雅黑" w:hAnsi="微软雅黑" w:cs="宋体"/>
          <w:kern w:val="0"/>
          <w:sz w:val="24"/>
          <w:szCs w:val="24"/>
          <w:u w:val="single"/>
          <w:vertAlign w:val="superscript"/>
        </w:rPr>
        <w:t>&lt;sup&gt; </w:t>
      </w:r>
      <w:hyperlink r:id="rId26" w:anchor="B23" w:history="1">
        <w:r w:rsidRPr="00355A07">
          <w:rPr>
            <w:rFonts w:ascii="微软雅黑" w:eastAsia="微软雅黑" w:hAnsi="微软雅黑" w:cs="宋体"/>
            <w:kern w:val="0"/>
            <w:sz w:val="24"/>
            <w:szCs w:val="24"/>
            <w:u w:val="single"/>
            <w:vertAlign w:val="superscript"/>
          </w:rPr>
          <w:t>23&lt;/sup&gt;</w:t>
        </w:r>
      </w:hyperlink>
      <w:r w:rsidRPr="00355A07">
        <w:rPr>
          <w:rFonts w:ascii="微软雅黑" w:eastAsia="微软雅黑" w:hAnsi="微软雅黑" w:cs="宋体"/>
          <w:kern w:val="0"/>
          <w:sz w:val="24"/>
          <w:szCs w:val="24"/>
        </w:rPr>
        <w:t>，我们进一步研究了ER信号缺失是否能在不依赖于ER的情况下诱导耐药克隆细胞的增殖。我们通过细胞活力检测，检测了</w:t>
      </w:r>
      <w:proofErr w:type="gramStart"/>
      <w:r w:rsidRPr="00355A07">
        <w:rPr>
          <w:rFonts w:ascii="微软雅黑" w:eastAsia="微软雅黑" w:hAnsi="微软雅黑" w:cs="宋体"/>
          <w:kern w:val="0"/>
          <w:sz w:val="24"/>
          <w:szCs w:val="24"/>
        </w:rPr>
        <w:t>氟维司群</w:t>
      </w:r>
      <w:proofErr w:type="gramEnd"/>
      <w:r w:rsidRPr="00355A07">
        <w:rPr>
          <w:rFonts w:ascii="微软雅黑" w:eastAsia="微软雅黑" w:hAnsi="微软雅黑" w:cs="宋体"/>
          <w:kern w:val="0"/>
          <w:sz w:val="24"/>
          <w:szCs w:val="24"/>
        </w:rPr>
        <w:t>对MCF-7pR细胞及其亲代MCF-7细胞的影响。结果显示，MCF-7pR细胞的IC </w:t>
      </w:r>
      <w:r w:rsidRPr="00355A07">
        <w:rPr>
          <w:rFonts w:ascii="微软雅黑" w:eastAsia="微软雅黑" w:hAnsi="微软雅黑" w:cs="宋体"/>
          <w:kern w:val="0"/>
          <w:sz w:val="24"/>
          <w:szCs w:val="24"/>
          <w:vertAlign w:val="subscript"/>
        </w:rPr>
        <w:t>&lt;sub&gt;50&lt;/sub&gt;</w:t>
      </w:r>
      <w:r w:rsidRPr="00355A07">
        <w:rPr>
          <w:rFonts w:ascii="微软雅黑" w:eastAsia="微软雅黑" w:hAnsi="微软雅黑" w:cs="宋体"/>
          <w:kern w:val="0"/>
          <w:sz w:val="24"/>
          <w:szCs w:val="24"/>
        </w:rPr>
        <w:t>值高于MCF-7细胞（图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"F2"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2C</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）。综上所述，这些分析表明，对CDK4/6抑制剂耐药的细胞可能对内分泌治疗也不敏感。除了ER和孕激素受体（PR）之外，雄激素受体（AR）是另一种类固醇激素激活的转录因子，属于核受体超家族</w:t>
      </w:r>
      <w:r w:rsidRPr="00355A07">
        <w:rPr>
          <w:rFonts w:ascii="微软雅黑" w:eastAsia="微软雅黑" w:hAnsi="微软雅黑" w:cs="宋体"/>
          <w:kern w:val="0"/>
          <w:sz w:val="24"/>
          <w:szCs w:val="24"/>
          <w:u w:val="single"/>
          <w:vertAlign w:val="superscript"/>
        </w:rPr>
        <w:t>&lt;sup&gt; </w:t>
      </w:r>
      <w:hyperlink r:id="rId27" w:anchor="B24" w:history="1">
        <w:r w:rsidRPr="00355A07">
          <w:rPr>
            <w:rFonts w:ascii="微软雅黑" w:eastAsia="微软雅黑" w:hAnsi="微软雅黑" w:cs="宋体"/>
            <w:kern w:val="0"/>
            <w:sz w:val="24"/>
            <w:szCs w:val="24"/>
            <w:u w:val="single"/>
            <w:vertAlign w:val="superscript"/>
          </w:rPr>
          <w:t>24</w:t>
        </w:r>
      </w:hyperlink>
      <w:r w:rsidRPr="00355A07">
        <w:rPr>
          <w:rFonts w:ascii="微软雅黑" w:eastAsia="微软雅黑" w:hAnsi="微软雅黑" w:cs="宋体"/>
          <w:kern w:val="0"/>
          <w:sz w:val="24"/>
          <w:szCs w:val="24"/>
          <w:u w:val="single"/>
          <w:vertAlign w:val="superscript"/>
        </w:rPr>
        <w:t> &lt;/sup&gt;</w:t>
      </w:r>
      <w:r w:rsidRPr="00355A07">
        <w:rPr>
          <w:rFonts w:ascii="微软雅黑" w:eastAsia="微软雅黑" w:hAnsi="微软雅黑" w:cs="宋体"/>
          <w:kern w:val="0"/>
          <w:sz w:val="24"/>
          <w:szCs w:val="24"/>
        </w:rPr>
        <w:t>。在乳腺癌中，AR和ER信号通路之间存在动态的相互作用，从而建立了一个特定的转录网络。最近的一些研究表明，核内AR与ER的比值可能对肿瘤生物学和内分泌治疗的反应产生关键影响。此外，AR 的过表达可能诱导内分泌治疗耐药性</w:t>
      </w:r>
      <w:r w:rsidRPr="00355A07">
        <w:rPr>
          <w:rFonts w:ascii="微软雅黑" w:eastAsia="微软雅黑" w:hAnsi="微软雅黑" w:cs="宋体"/>
          <w:kern w:val="0"/>
          <w:sz w:val="24"/>
          <w:szCs w:val="24"/>
          <w:vertAlign w:val="superscript"/>
        </w:rPr>
        <w:t>&lt;sup&gt; </w:t>
      </w:r>
      <w:hyperlink r:id="rId28" w:anchor="B25" w:history="1">
        <w:r w:rsidRPr="00355A07">
          <w:rPr>
            <w:rFonts w:ascii="微软雅黑" w:eastAsia="微软雅黑" w:hAnsi="微软雅黑" w:cs="宋体"/>
            <w:kern w:val="0"/>
            <w:sz w:val="24"/>
            <w:szCs w:val="24"/>
            <w:u w:val="single"/>
            <w:vertAlign w:val="superscript"/>
          </w:rPr>
          <w:t>25-28 </w:t>
        </w:r>
      </w:hyperlink>
      <w:hyperlink r:id="rId29" w:anchor="B28"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。因此，我们接下来检测了耐药细</w:t>
      </w:r>
      <w:r w:rsidRPr="00355A07">
        <w:rPr>
          <w:rFonts w:ascii="微软雅黑" w:eastAsia="微软雅黑" w:hAnsi="微软雅黑" w:cs="宋体"/>
          <w:kern w:val="0"/>
          <w:sz w:val="24"/>
          <w:szCs w:val="24"/>
        </w:rPr>
        <w:lastRenderedPageBreak/>
        <w:t>胞中 AR 的表达。与亲代细胞相比，MCF-7pR 细胞中 AR 的 mRNA 和蛋白水平均显著升高（图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"F2"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2A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和 2B）。此外，免疫染色结果显示，与亲代 MCF-7 细胞相比，耐药细胞核内 AR 的定位更为明显（图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"F2"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2D</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）。这些观察结果表明，在 ER 缺失的情况下，AR 可能作为耐药细胞增殖的介质，并参与 CDK4/6 抑制剂的耐药性。</w:t>
      </w:r>
    </w:p>
    <w:p w14:paraId="7EA526C2"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图2。</w:t>
      </w:r>
    </w:p>
    <w:p w14:paraId="20CCD3F1" w14:textId="7163A820"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drawing>
          <wp:inline distT="0" distB="0" distL="0" distR="0" wp14:anchorId="3336F6BF" wp14:editId="7627D6AD">
            <wp:extent cx="5274310" cy="3177540"/>
            <wp:effectExtent l="0" t="0" r="2540" b="3810"/>
            <wp:docPr id="5" name="图片 5" descr="图 2">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 2">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3177540"/>
                    </a:xfrm>
                    <a:prstGeom prst="rect">
                      <a:avLst/>
                    </a:prstGeom>
                    <a:noFill/>
                    <a:ln>
                      <a:noFill/>
                    </a:ln>
                  </pic:spPr>
                </pic:pic>
              </a:graphicData>
            </a:graphic>
          </wp:inline>
        </w:drawing>
      </w:r>
    </w:p>
    <w:p w14:paraId="25A3F9F3"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CDK4/6抑制剂耐药细胞中激素受体的失调。</w:t>
      </w:r>
      <w:proofErr w:type="gramStart"/>
      <w:r w:rsidRPr="00355A07">
        <w:rPr>
          <w:rFonts w:ascii="微软雅黑" w:eastAsia="微软雅黑" w:hAnsi="微软雅黑" w:cs="宋体"/>
          <w:b/>
          <w:bCs/>
          <w:kern w:val="0"/>
          <w:sz w:val="24"/>
          <w:szCs w:val="24"/>
        </w:rPr>
        <w:t>A</w:t>
      </w:r>
      <w:r w:rsidRPr="00355A07">
        <w:rPr>
          <w:rFonts w:ascii="微软雅黑" w:eastAsia="微软雅黑" w:hAnsi="微软雅黑" w:cs="宋体"/>
          <w:kern w:val="0"/>
          <w:sz w:val="24"/>
          <w:szCs w:val="24"/>
        </w:rPr>
        <w:t> .</w:t>
      </w:r>
      <w:proofErr w:type="gramEnd"/>
      <w:r w:rsidRPr="00355A07">
        <w:rPr>
          <w:rFonts w:ascii="微软雅黑" w:eastAsia="微软雅黑" w:hAnsi="微软雅黑" w:cs="宋体"/>
          <w:kern w:val="0"/>
          <w:sz w:val="24"/>
          <w:szCs w:val="24"/>
        </w:rPr>
        <w:t xml:space="preserve"> Western blot结果显示MCF-7和MCF-7pR细胞中ER、PR和AR的表达。B. 通过实时RT-PCR分析MCF-7和MCF-7pR细胞中ESR1、AR以及ER调控基因PGR、XBP1、TFF1的mRNA水平。数据来自三次重复实验，结果以平均值±标准差表示，*P &lt; 0.05，**P &lt; 0.01，***P &lt; 0.001。C. 通过细胞活力检测分析MCF-7和MCF-7pR细胞经不同浓度氟维司群处理48小时后的相对细胞活力。图中显示了氟维司群在MCF-7和MCF-7pR细胞中的IC50</w:t>
      </w:r>
      <w:r w:rsidRPr="00355A07">
        <w:rPr>
          <w:rFonts w:ascii="微软雅黑" w:eastAsia="微软雅黑" w:hAnsi="微软雅黑" w:cs="宋体"/>
          <w:kern w:val="0"/>
          <w:sz w:val="24"/>
          <w:szCs w:val="24"/>
          <w:vertAlign w:val="subscript"/>
        </w:rPr>
        <w:t>值</w:t>
      </w:r>
      <w:r w:rsidRPr="00355A07">
        <w:rPr>
          <w:rFonts w:ascii="微软雅黑" w:eastAsia="微软雅黑" w:hAnsi="微软雅黑" w:cs="宋体"/>
          <w:kern w:val="0"/>
          <w:sz w:val="24"/>
          <w:szCs w:val="24"/>
        </w:rPr>
        <w:t>。 *P &lt; 0.05，或**P &lt; 0.01，或***P &lt; 0.001。</w:t>
      </w:r>
      <w:r w:rsidRPr="00355A07">
        <w:rPr>
          <w:rFonts w:ascii="微软雅黑" w:eastAsia="微软雅黑" w:hAnsi="微软雅黑" w:cs="宋体"/>
          <w:kern w:val="0"/>
          <w:sz w:val="24"/>
          <w:szCs w:val="24"/>
        </w:rPr>
        <w:lastRenderedPageBreak/>
        <w:t>D. 通过免疫荧光法（IF）进行AR定位的荧光显微镜分析。绿色信号代表AR蛋白的染色，蓝色信号代表DAPI对核DNA的染色。比例尺：25 µm。</w:t>
      </w:r>
    </w:p>
    <w:p w14:paraId="1EB8B66C"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耐药细胞细胞周期中雄激素受体（AR）的调控</w:t>
      </w:r>
    </w:p>
    <w:p w14:paraId="2F3B0A3A"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我们证实，不可芳香化的雄激素5α-二氢睾酮（DHT）能够抑制MCF-7细胞的增殖。与DHT对亲代细胞的抑制作用相反，DHT处理在不同时间点（24、48或72小时）均能促进MCF-7pR细胞的增殖（图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此外，由于在耐药MCF-7pR细胞与亲代MCF-7细胞中观察到不同的G1/S期转换，我们探究了耐药克隆和亲代细胞之间是否存在不同的细胞周期蛋白D1调控机制。细胞周期蛋白D1是促有丝分裂信号通路中进入S期的关键限速步骤。如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所示，DHT处理48小时后，MCF-7细胞中细胞周期蛋白D1的水平降低，而DHT激活的雄激素受体（AR）则增加了MCF-7pR细胞中细胞周期蛋白D1的表达（图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）。为了检测AR是否与耐药细胞中的细胞周期蛋白D1相互作用，我们进行了</w:t>
      </w:r>
      <w:proofErr w:type="gramStart"/>
      <w:r w:rsidRPr="00355A07">
        <w:rPr>
          <w:rFonts w:ascii="微软雅黑" w:eastAsia="微软雅黑" w:hAnsi="微软雅黑" w:cs="宋体"/>
          <w:kern w:val="0"/>
          <w:sz w:val="24"/>
          <w:szCs w:val="24"/>
        </w:rPr>
        <w:t>共免疫</w:t>
      </w:r>
      <w:proofErr w:type="gramEnd"/>
      <w:r w:rsidRPr="00355A07">
        <w:rPr>
          <w:rFonts w:ascii="微软雅黑" w:eastAsia="微软雅黑" w:hAnsi="微软雅黑" w:cs="宋体"/>
          <w:kern w:val="0"/>
          <w:sz w:val="24"/>
          <w:szCs w:val="24"/>
        </w:rPr>
        <w:t>沉淀实验。用DHT类药物处理MCF-7pR细胞后，提取细胞裂解液，分别用抗AR抗体或抗细胞周期蛋白D1抗体进行免疫沉淀。结果证实了AR与细胞周期蛋白D1蛋白之间的相互作用（图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3C</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）。综上所述，我们的研究结果表明，AR可以与细胞周期蛋白D1结合，并正向调控MCF-7pR细胞中细胞周期蛋白D1的表达。AR</w:t>
      </w:r>
      <w:proofErr w:type="gramStart"/>
      <w:r w:rsidRPr="00355A07">
        <w:rPr>
          <w:rFonts w:ascii="微软雅黑" w:eastAsia="微软雅黑" w:hAnsi="微软雅黑" w:cs="宋体"/>
          <w:kern w:val="0"/>
          <w:sz w:val="24"/>
          <w:szCs w:val="24"/>
        </w:rPr>
        <w:t>介</w:t>
      </w:r>
      <w:proofErr w:type="gramEnd"/>
      <w:r w:rsidRPr="00355A07">
        <w:rPr>
          <w:rFonts w:ascii="微软雅黑" w:eastAsia="微软雅黑" w:hAnsi="微软雅黑" w:cs="宋体"/>
          <w:kern w:val="0"/>
          <w:sz w:val="24"/>
          <w:szCs w:val="24"/>
        </w:rPr>
        <w:t>导的细胞周期蛋白D1表达可能与CDK4/6抑制剂的耐药性有关。</w:t>
      </w:r>
    </w:p>
    <w:p w14:paraId="0704275E"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 3。</w:t>
      </w:r>
    </w:p>
    <w:p w14:paraId="456701E3" w14:textId="4FBE6432"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lastRenderedPageBreak/>
        <w:drawing>
          <wp:inline distT="0" distB="0" distL="0" distR="0" wp14:anchorId="5EA4D547" wp14:editId="6109CB05">
            <wp:extent cx="5274310" cy="2337435"/>
            <wp:effectExtent l="0" t="0" r="2540" b="5715"/>
            <wp:docPr id="4" name="图片 4" descr="图 3">
              <a:hlinkClick xmlns:a="http://schemas.openxmlformats.org/drawingml/2006/main" r:id="rId3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3">
                      <a:hlinkClick r:id="rId32" tgtFrame="&quot;_blank&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2337435"/>
                    </a:xfrm>
                    <a:prstGeom prst="rect">
                      <a:avLst/>
                    </a:prstGeom>
                    <a:noFill/>
                    <a:ln>
                      <a:noFill/>
                    </a:ln>
                  </pic:spPr>
                </pic:pic>
              </a:graphicData>
            </a:graphic>
          </wp:inline>
        </w:drawing>
      </w:r>
    </w:p>
    <w:p w14:paraId="3853F526"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AR在耐药细胞周期中的调控。</w:t>
      </w:r>
      <w:proofErr w:type="gramStart"/>
      <w:r w:rsidRPr="00355A07">
        <w:rPr>
          <w:rFonts w:ascii="微软雅黑" w:eastAsia="微软雅黑" w:hAnsi="微软雅黑" w:cs="宋体"/>
          <w:b/>
          <w:bCs/>
          <w:kern w:val="0"/>
          <w:sz w:val="24"/>
          <w:szCs w:val="24"/>
        </w:rPr>
        <w:t>A</w:t>
      </w:r>
      <w:r w:rsidRPr="00355A07">
        <w:rPr>
          <w:rFonts w:ascii="微软雅黑" w:eastAsia="微软雅黑" w:hAnsi="微软雅黑" w:cs="宋体"/>
          <w:kern w:val="0"/>
          <w:sz w:val="24"/>
          <w:szCs w:val="24"/>
        </w:rPr>
        <w:t> .</w:t>
      </w:r>
      <w:proofErr w:type="gramEnd"/>
      <w:r w:rsidRPr="00355A07">
        <w:rPr>
          <w:rFonts w:ascii="微软雅黑" w:eastAsia="微软雅黑" w:hAnsi="微软雅黑" w:cs="宋体"/>
          <w:kern w:val="0"/>
          <w:sz w:val="24"/>
          <w:szCs w:val="24"/>
        </w:rPr>
        <w:t xml:space="preserve"> 将MCF-7和MCF-7pR细胞用100 </w:t>
      </w:r>
      <w:proofErr w:type="spellStart"/>
      <w:r w:rsidRPr="00355A07">
        <w:rPr>
          <w:rFonts w:ascii="微软雅黑" w:eastAsia="微软雅黑" w:hAnsi="微软雅黑" w:cs="宋体"/>
          <w:kern w:val="0"/>
          <w:sz w:val="24"/>
          <w:szCs w:val="24"/>
        </w:rPr>
        <w:t>nM</w:t>
      </w:r>
      <w:proofErr w:type="spellEnd"/>
      <w:r w:rsidRPr="00355A07">
        <w:rPr>
          <w:rFonts w:ascii="微软雅黑" w:eastAsia="微软雅黑" w:hAnsi="微软雅黑" w:cs="宋体"/>
          <w:kern w:val="0"/>
          <w:sz w:val="24"/>
          <w:szCs w:val="24"/>
        </w:rPr>
        <w:t xml:space="preserve"> DHT处理24、48或72小时后，采用CCK-8法检测细胞活力。*P &lt; 0.05，**P &lt; 0.01，***P &lt; 0.001。B. 将MCF-7和MCF-7pR细胞用载体或100 </w:t>
      </w:r>
      <w:proofErr w:type="spellStart"/>
      <w:r w:rsidRPr="00355A07">
        <w:rPr>
          <w:rFonts w:ascii="微软雅黑" w:eastAsia="微软雅黑" w:hAnsi="微软雅黑" w:cs="宋体"/>
          <w:kern w:val="0"/>
          <w:sz w:val="24"/>
          <w:szCs w:val="24"/>
        </w:rPr>
        <w:t>nM</w:t>
      </w:r>
      <w:proofErr w:type="spellEnd"/>
      <w:r w:rsidRPr="00355A07">
        <w:rPr>
          <w:rFonts w:ascii="微软雅黑" w:eastAsia="微软雅黑" w:hAnsi="微软雅黑" w:cs="宋体"/>
          <w:kern w:val="0"/>
          <w:sz w:val="24"/>
          <w:szCs w:val="24"/>
        </w:rPr>
        <w:t xml:space="preserve"> DHT处理48小时后，采用Western blot检测AR和CCND1的表达。C. 将MCF-7pR细胞用载体或100 </w:t>
      </w:r>
      <w:proofErr w:type="spellStart"/>
      <w:r w:rsidRPr="00355A07">
        <w:rPr>
          <w:rFonts w:ascii="微软雅黑" w:eastAsia="微软雅黑" w:hAnsi="微软雅黑" w:cs="宋体"/>
          <w:kern w:val="0"/>
          <w:sz w:val="24"/>
          <w:szCs w:val="24"/>
        </w:rPr>
        <w:t>nM</w:t>
      </w:r>
      <w:proofErr w:type="spellEnd"/>
      <w:r w:rsidRPr="00355A07">
        <w:rPr>
          <w:rFonts w:ascii="微软雅黑" w:eastAsia="微软雅黑" w:hAnsi="微软雅黑" w:cs="宋体"/>
          <w:kern w:val="0"/>
          <w:sz w:val="24"/>
          <w:szCs w:val="24"/>
        </w:rPr>
        <w:t xml:space="preserve"> DHT处理后的细胞裂解液与AR抗体进行免疫沉淀。然后用指定的抗体进行Western blot分析。D. 将MCF-7pR细胞转染</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或</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 xml:space="preserve"> 48小时后，采用实时PCR检测AR mRNA水平。所示数据来自三次重复实验，以平均值±标准差（SD）表示，***P &lt; 0.001。E. 用</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或</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转染48小时后，通过Western blot检测AR的表达。*P &lt; 0.05，**P &lt; 0.01，***P &lt; 0.001。F. 将MCF-7pR细胞用DHT处理和/或用</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转染48小时，然后用流式细胞仪进行检测。结果以细胞周期分布百分比的平均值±标准误差表示。G. 将MCF-7pR细胞用DHT处理和/或用AR转染48小时后，通过Western blot检测AR、CCND1、CDK2和CCNE1的蛋白表达。</w:t>
      </w:r>
    </w:p>
    <w:p w14:paraId="07F0769E"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为了进一步验证AR在细胞周期调控中的作用，我们将AR短发夹RNA（</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）转染到MCF-7pR细胞中。在mRNA和蛋白水平上证实了AR的沉默（图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 C</w:t>
      </w:r>
      <w:r w:rsidRPr="00355A07">
        <w:rPr>
          <w:rFonts w:ascii="微软雅黑" w:eastAsia="微软雅黑" w:hAnsi="微软雅黑" w:cs="宋体"/>
          <w:kern w:val="0"/>
          <w:sz w:val="24"/>
          <w:szCs w:val="24"/>
        </w:rPr>
        <w:lastRenderedPageBreak/>
        <w:t>和D）。shAR-3的转染效率最高，因此被选作后续研究。细胞周期分析数据显示，DHT处理导致MCF-7pR细胞中G0/G1期细胞比例下降，同时S期细胞比例也下降。添加shRNA可有效逆转DHT对G1/S期转换的诱导作用（图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 E）。近期在ER阳性乳腺癌细胞中的体外研究表明，细胞周期蛋白E-CDK2轴的过度激活与帕博西尼耐药性密切相关。长期暴露于帕博西尼可导致CDK2和细胞周期蛋白E表达增加</w:t>
      </w:r>
      <w:r w:rsidRPr="00355A07">
        <w:rPr>
          <w:rFonts w:ascii="微软雅黑" w:eastAsia="微软雅黑" w:hAnsi="微软雅黑" w:cs="宋体"/>
          <w:kern w:val="0"/>
          <w:sz w:val="24"/>
          <w:szCs w:val="24"/>
          <w:vertAlign w:val="superscript"/>
        </w:rPr>
        <w:t>&lt;sup&gt; </w:t>
      </w:r>
      <w:hyperlink r:id="rId34" w:anchor="B8" w:history="1">
        <w:r w:rsidRPr="00355A07">
          <w:rPr>
            <w:rFonts w:ascii="微软雅黑" w:eastAsia="微软雅黑" w:hAnsi="微软雅黑" w:cs="宋体"/>
            <w:kern w:val="0"/>
            <w:sz w:val="24"/>
            <w:szCs w:val="24"/>
            <w:u w:val="single"/>
            <w:vertAlign w:val="superscript"/>
          </w:rPr>
          <w:t>8-10 </w:t>
        </w:r>
      </w:hyperlink>
      <w:hyperlink r:id="rId35" w:anchor="B10"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。接下来，我们研究了AR是否能够调控耐药细胞中CDK2和CCNE1的表达。 Western blot实验数据表明，DHT处理激活AR后，MCF-7pR细胞中CDK2和CCNE1的表达上调。此外，AR沉默抑制了这两个基因的表达（图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"F3"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3F</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）。因此，AR参与了耐药MCF-7pR细胞的细胞周期进程调控，并可能有助于解释耐药细胞中帕博西尼耐药的部分分子机制。</w:t>
      </w:r>
    </w:p>
    <w:p w14:paraId="2F034DA3"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AR阻断可恢复对帕博西尼的敏感性</w:t>
      </w:r>
    </w:p>
    <w:p w14:paraId="2CC62F92"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基于上述证据表明AR信号通路的激活可能与细胞周期进程的调控相关，我们试图确定抑制AR是否能提高MCF-7pR细胞对帕博西尼的敏感性。细胞活力检测结果显示，与对照组相比，转染</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的MCF-7pR细胞中帕博西尼的IC50值降低，提示沉默AR可增强MCF-7pR细胞对帕博西尼的敏感性（图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"F4"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4A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）。此外，通过细胞周期分析，我们证实AR阻断与帕博西尼联合应用可显著增加G1/S期阻滞。值得注意的是，与对照shRNA相比，</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显著增强了帕博西尼诱导MCF-7pR细胞周期阻滞的作用（图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"F4"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4B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）。此外，当帕博西尼浓度从 2 µM 增加到 8 µM 时，转染 AR shRNA 的 MCF-7pR 细胞的克隆形成能力降低（图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"F4"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4</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 xml:space="preserve"> C 和 D）。此外，与对照组相比，帕博西尼处理导致转染 </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 xml:space="preserve"> 的细胞中多种 G1 期限制性标志物（包括 RB、</w:t>
      </w:r>
      <w:proofErr w:type="spellStart"/>
      <w:r w:rsidRPr="00355A07">
        <w:rPr>
          <w:rFonts w:ascii="微软雅黑" w:eastAsia="微软雅黑" w:hAnsi="微软雅黑" w:cs="宋体"/>
          <w:kern w:val="0"/>
          <w:sz w:val="24"/>
          <w:szCs w:val="24"/>
        </w:rPr>
        <w:t>pRb</w:t>
      </w:r>
      <w:proofErr w:type="spellEnd"/>
      <w:r w:rsidRPr="00355A07">
        <w:rPr>
          <w:rFonts w:ascii="微软雅黑" w:eastAsia="微软雅黑" w:hAnsi="微软雅黑" w:cs="宋体"/>
          <w:kern w:val="0"/>
          <w:sz w:val="24"/>
          <w:szCs w:val="24"/>
        </w:rPr>
        <w:t>、E2F1、cyclin A2 和 cyclin E2）的</w:t>
      </w:r>
      <w:r w:rsidRPr="00355A07">
        <w:rPr>
          <w:rFonts w:ascii="微软雅黑" w:eastAsia="微软雅黑" w:hAnsi="微软雅黑" w:cs="宋体"/>
          <w:kern w:val="0"/>
          <w:sz w:val="24"/>
          <w:szCs w:val="24"/>
        </w:rPr>
        <w:lastRenderedPageBreak/>
        <w:t>表达降低（图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"F4"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4</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 E）。总之，我们的数据表明，AR 抑制可能损害 G1-S 期转换，并抑制帕博西尼耐药细胞的增殖。</w:t>
      </w:r>
    </w:p>
    <w:p w14:paraId="4A1BC736"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 4。</w:t>
      </w:r>
    </w:p>
    <w:p w14:paraId="26B62DEC" w14:textId="44346FF4"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drawing>
          <wp:inline distT="0" distB="0" distL="0" distR="0" wp14:anchorId="7496F81B" wp14:editId="6A3667AE">
            <wp:extent cx="5274310" cy="6489065"/>
            <wp:effectExtent l="0" t="0" r="2540" b="6985"/>
            <wp:docPr id="3" name="图片 3" descr="图 4">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4">
                      <a:hlinkClick r:id="rId36" tgtFrame="&quot;_blank&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6489065"/>
                    </a:xfrm>
                    <a:prstGeom prst="rect">
                      <a:avLst/>
                    </a:prstGeom>
                    <a:noFill/>
                    <a:ln>
                      <a:noFill/>
                    </a:ln>
                  </pic:spPr>
                </pic:pic>
              </a:graphicData>
            </a:graphic>
          </wp:inline>
        </w:drawing>
      </w:r>
    </w:p>
    <w:p w14:paraId="187B26F4"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AR阻断恢复了对帕博西尼的敏感性。</w:t>
      </w:r>
      <w:proofErr w:type="gramStart"/>
      <w:r w:rsidRPr="00355A07">
        <w:rPr>
          <w:rFonts w:ascii="微软雅黑" w:eastAsia="微软雅黑" w:hAnsi="微软雅黑" w:cs="宋体"/>
          <w:b/>
          <w:bCs/>
          <w:kern w:val="0"/>
          <w:sz w:val="24"/>
          <w:szCs w:val="24"/>
        </w:rPr>
        <w:t>A</w:t>
      </w:r>
      <w:r w:rsidRPr="00355A07">
        <w:rPr>
          <w:rFonts w:ascii="微软雅黑" w:eastAsia="微软雅黑" w:hAnsi="微软雅黑" w:cs="宋体"/>
          <w:kern w:val="0"/>
          <w:sz w:val="24"/>
          <w:szCs w:val="24"/>
        </w:rPr>
        <w:t> .</w:t>
      </w:r>
      <w:proofErr w:type="gramEnd"/>
      <w:r w:rsidRPr="00355A07">
        <w:rPr>
          <w:rFonts w:ascii="微软雅黑" w:eastAsia="微软雅黑" w:hAnsi="微软雅黑" w:cs="宋体"/>
          <w:kern w:val="0"/>
          <w:sz w:val="24"/>
          <w:szCs w:val="24"/>
        </w:rPr>
        <w:t xml:space="preserve"> 将转染</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或</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的MCF-7pR细胞用指定浓度的帕博西尼处理48小时，然后用CCK-8法评估其相对细胞活</w:t>
      </w:r>
      <w:r w:rsidRPr="00355A07">
        <w:rPr>
          <w:rFonts w:ascii="微软雅黑" w:eastAsia="微软雅黑" w:hAnsi="微软雅黑" w:cs="宋体"/>
          <w:kern w:val="0"/>
          <w:sz w:val="24"/>
          <w:szCs w:val="24"/>
        </w:rPr>
        <w:lastRenderedPageBreak/>
        <w:t>力。图中显示了IC50</w:t>
      </w:r>
      <w:r w:rsidRPr="00355A07">
        <w:rPr>
          <w:rFonts w:ascii="微软雅黑" w:eastAsia="微软雅黑" w:hAnsi="微软雅黑" w:cs="宋体"/>
          <w:kern w:val="0"/>
          <w:sz w:val="24"/>
          <w:szCs w:val="24"/>
          <w:vertAlign w:val="subscript"/>
        </w:rPr>
        <w:t>值</w:t>
      </w:r>
      <w:r w:rsidRPr="00355A07">
        <w:rPr>
          <w:rFonts w:ascii="微软雅黑" w:eastAsia="微软雅黑" w:hAnsi="微软雅黑" w:cs="宋体"/>
          <w:kern w:val="0"/>
          <w:sz w:val="24"/>
          <w:szCs w:val="24"/>
        </w:rPr>
        <w:t>，***P &lt; 0.001。B. 将转染</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或</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的MCF-7pR细胞用指定浓度的帕博西尼处理。通过流式细胞术测定细胞周期分布。图中显示了细胞周期各期（G1、S和G2）的细胞百分比。C和D. 将转染</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或</w:t>
      </w:r>
      <w:proofErr w:type="spellStart"/>
      <w:r w:rsidRPr="00355A07">
        <w:rPr>
          <w:rFonts w:ascii="微软雅黑" w:eastAsia="微软雅黑" w:hAnsi="微软雅黑" w:cs="宋体"/>
          <w:kern w:val="0"/>
          <w:sz w:val="24"/>
          <w:szCs w:val="24"/>
        </w:rPr>
        <w:t>shNC</w:t>
      </w:r>
      <w:proofErr w:type="spellEnd"/>
      <w:r w:rsidRPr="00355A07">
        <w:rPr>
          <w:rFonts w:ascii="微软雅黑" w:eastAsia="微软雅黑" w:hAnsi="微软雅黑" w:cs="宋体"/>
          <w:kern w:val="0"/>
          <w:sz w:val="24"/>
          <w:szCs w:val="24"/>
        </w:rPr>
        <w:t xml:space="preserve">的MCF-7pR细胞用指定浓度的帕博西尼处理48小时，并通过克隆形成实验测定细胞增殖。数据代表三次独立实验的平均值，**P &lt; 0.01或***P &lt; 0.001。 E. MCF-7pR 细胞用载体或 </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 xml:space="preserve"> 处理和/或转染 </w:t>
      </w:r>
      <w:proofErr w:type="spellStart"/>
      <w:r w:rsidRPr="00355A07">
        <w:rPr>
          <w:rFonts w:ascii="微软雅黑" w:eastAsia="微软雅黑" w:hAnsi="微软雅黑" w:cs="宋体"/>
          <w:kern w:val="0"/>
          <w:sz w:val="24"/>
          <w:szCs w:val="24"/>
        </w:rPr>
        <w:t>shAR</w:t>
      </w:r>
      <w:proofErr w:type="spellEnd"/>
      <w:r w:rsidRPr="00355A07">
        <w:rPr>
          <w:rFonts w:ascii="微软雅黑" w:eastAsia="微软雅黑" w:hAnsi="微软雅黑" w:cs="宋体"/>
          <w:kern w:val="0"/>
          <w:sz w:val="24"/>
          <w:szCs w:val="24"/>
        </w:rPr>
        <w:t>，48 小时后收集，并用指定的抗体进行免疫印迹分析。</w:t>
      </w:r>
    </w:p>
    <w:p w14:paraId="47920A8C"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恩扎</w:t>
      </w:r>
      <w:proofErr w:type="gramStart"/>
      <w:r w:rsidRPr="00355A07">
        <w:rPr>
          <w:rFonts w:ascii="微软雅黑" w:eastAsia="微软雅黑" w:hAnsi="微软雅黑" w:cs="宋体"/>
          <w:kern w:val="0"/>
          <w:sz w:val="32"/>
          <w:szCs w:val="32"/>
        </w:rPr>
        <w:t>卢</w:t>
      </w:r>
      <w:proofErr w:type="gramEnd"/>
      <w:r w:rsidRPr="00355A07">
        <w:rPr>
          <w:rFonts w:ascii="微软雅黑" w:eastAsia="微软雅黑" w:hAnsi="微软雅黑" w:cs="宋体"/>
          <w:kern w:val="0"/>
          <w:sz w:val="32"/>
          <w:szCs w:val="32"/>
        </w:rPr>
        <w:t>胺可使对帕博西尼耐药的细胞重新对帕博西尼敏感</w:t>
      </w:r>
    </w:p>
    <w:p w14:paraId="48AB87A2"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胺是一种雄激素受体（AR）拮抗剂，已获FDA批准用于治疗转移性前列腺癌患者</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"B29"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vertAlign w:val="superscript"/>
        </w:rPr>
        <w:t>&lt;sup&gt;29,30</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vertAlign w:val="superscript"/>
        </w:rPr>
        <w:t> &lt;/sup&gt; </w:t>
      </w:r>
      <w:hyperlink r:id="rId38" w:anchor="B30" w:history="1">
        <w:r w:rsidRPr="00355A07">
          <w:rPr>
            <w:rFonts w:ascii="微软雅黑" w:eastAsia="微软雅黑" w:hAnsi="微软雅黑" w:cs="宋体"/>
            <w:kern w:val="0"/>
            <w:sz w:val="24"/>
            <w:szCs w:val="24"/>
            <w:u w:val="single"/>
            <w:vertAlign w:val="superscript"/>
          </w:rPr>
          <w:t>。</w:t>
        </w:r>
      </w:hyperlink>
      <w:r w:rsidRPr="00355A07">
        <w:rPr>
          <w:rFonts w:ascii="微软雅黑" w:eastAsia="微软雅黑" w:hAnsi="微软雅黑" w:cs="宋体"/>
          <w:kern w:val="0"/>
          <w:sz w:val="24"/>
          <w:szCs w:val="24"/>
        </w:rPr>
        <w:t>接下来，我们研究了CDK4/6抑制剂与AR拮抗</w:t>
      </w:r>
      <w:proofErr w:type="gramStart"/>
      <w:r w:rsidRPr="00355A07">
        <w:rPr>
          <w:rFonts w:ascii="微软雅黑" w:eastAsia="微软雅黑" w:hAnsi="微软雅黑" w:cs="宋体"/>
          <w:kern w:val="0"/>
          <w:sz w:val="24"/>
          <w:szCs w:val="24"/>
        </w:rPr>
        <w:t>剂联合</w:t>
      </w:r>
      <w:proofErr w:type="gramEnd"/>
      <w:r w:rsidRPr="00355A07">
        <w:rPr>
          <w:rFonts w:ascii="微软雅黑" w:eastAsia="微软雅黑" w:hAnsi="微软雅黑" w:cs="宋体"/>
          <w:kern w:val="0"/>
          <w:sz w:val="24"/>
          <w:szCs w:val="24"/>
        </w:rPr>
        <w:t>治疗是否能使MCF-7pR细胞对CDK4/6抑制剂重新敏感。该联合用药显著抑制了MCF-7pR细胞进入S期（图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"F5"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5A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）。为了进一步研究恩扎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和帕博西尼的协同作用，我们在MCF-7pR细胞中采用了固定比例联合治疗模型。我们采用1:1的联合比例，并计算了联合指数（CI）。联合指数与受影响细胞比例的关系图（CI-Fa图）显示，所有耐药细胞的CI值均低于1，表明这两种药物联合使用具有显著的协同作用（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"F5"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5B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）。我们还用递增浓度的帕博西尼和</w:t>
      </w:r>
      <w:proofErr w:type="gramStart"/>
      <w:r w:rsidRPr="00355A07">
        <w:rPr>
          <w:rFonts w:ascii="微软雅黑" w:eastAsia="微软雅黑" w:hAnsi="微软雅黑" w:cs="宋体"/>
          <w:kern w:val="0"/>
          <w:sz w:val="24"/>
          <w:szCs w:val="24"/>
        </w:rPr>
        <w:t>恩扎卢</w:t>
      </w:r>
      <w:proofErr w:type="gramEnd"/>
      <w:r w:rsidRPr="00355A07">
        <w:rPr>
          <w:rFonts w:ascii="微软雅黑" w:eastAsia="微软雅黑" w:hAnsi="微软雅黑" w:cs="宋体"/>
          <w:kern w:val="0"/>
          <w:sz w:val="24"/>
          <w:szCs w:val="24"/>
        </w:rPr>
        <w:t>胺处理细胞，结果显示MCF-7pR细胞表现出叠加至协同效应（图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"F5"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5C</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）。为了进一步评估联合治疗的长期疗效，我们检测了帕博西尼、恩扎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胺或二者联合用药在克隆形成实验中的作用。对于MCF-7pR细胞，单独使用帕博西尼未能抑制克隆形成，但相同浓度的帕博西尼与恩扎</w:t>
      </w:r>
      <w:proofErr w:type="gramStart"/>
      <w:r w:rsidRPr="00355A07">
        <w:rPr>
          <w:rFonts w:ascii="微软雅黑" w:eastAsia="微软雅黑" w:hAnsi="微软雅黑" w:cs="宋体"/>
          <w:kern w:val="0"/>
          <w:sz w:val="24"/>
          <w:szCs w:val="24"/>
        </w:rPr>
        <w:t>卢胺联合</w:t>
      </w:r>
      <w:proofErr w:type="gramEnd"/>
      <w:r w:rsidRPr="00355A07">
        <w:rPr>
          <w:rFonts w:ascii="微软雅黑" w:eastAsia="微软雅黑" w:hAnsi="微软雅黑" w:cs="宋体"/>
          <w:kern w:val="0"/>
          <w:sz w:val="24"/>
          <w:szCs w:val="24"/>
        </w:rPr>
        <w:t>使用时，克隆形成显著减少（图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"F5"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5D</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）。与细胞周期分析结果一致，联合治疗也抑制了</w:t>
      </w:r>
      <w:proofErr w:type="spellStart"/>
      <w:r w:rsidRPr="00355A07">
        <w:rPr>
          <w:rFonts w:ascii="微软雅黑" w:eastAsia="微软雅黑" w:hAnsi="微软雅黑" w:cs="宋体"/>
          <w:kern w:val="0"/>
          <w:sz w:val="24"/>
          <w:szCs w:val="24"/>
        </w:rPr>
        <w:t>pRB</w:t>
      </w:r>
      <w:proofErr w:type="spellEnd"/>
      <w:r w:rsidRPr="00355A07">
        <w:rPr>
          <w:rFonts w:ascii="微软雅黑" w:eastAsia="微软雅黑" w:hAnsi="微软雅黑" w:cs="宋体"/>
          <w:kern w:val="0"/>
          <w:sz w:val="24"/>
          <w:szCs w:val="24"/>
        </w:rPr>
        <w:t>及相关G1-S期细胞周期蛋</w:t>
      </w:r>
      <w:r w:rsidRPr="00355A07">
        <w:rPr>
          <w:rFonts w:ascii="微软雅黑" w:eastAsia="微软雅黑" w:hAnsi="微软雅黑" w:cs="宋体"/>
          <w:kern w:val="0"/>
          <w:sz w:val="24"/>
          <w:szCs w:val="24"/>
        </w:rPr>
        <w:lastRenderedPageBreak/>
        <w:t>白的表达（图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"F5"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5E</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）。因此，恩扎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胺联</w:t>
      </w:r>
      <w:proofErr w:type="gramStart"/>
      <w:r w:rsidRPr="00355A07">
        <w:rPr>
          <w:rFonts w:ascii="微软雅黑" w:eastAsia="微软雅黑" w:hAnsi="微软雅黑" w:cs="宋体"/>
          <w:kern w:val="0"/>
          <w:sz w:val="24"/>
          <w:szCs w:val="24"/>
        </w:rPr>
        <w:t>合帕</w:t>
      </w:r>
      <w:proofErr w:type="gramEnd"/>
      <w:r w:rsidRPr="00355A07">
        <w:rPr>
          <w:rFonts w:ascii="微软雅黑" w:eastAsia="微软雅黑" w:hAnsi="微软雅黑" w:cs="宋体"/>
          <w:kern w:val="0"/>
          <w:sz w:val="24"/>
          <w:szCs w:val="24"/>
        </w:rPr>
        <w:t>博西</w:t>
      </w:r>
      <w:proofErr w:type="gramStart"/>
      <w:r w:rsidRPr="00355A07">
        <w:rPr>
          <w:rFonts w:ascii="微软雅黑" w:eastAsia="微软雅黑" w:hAnsi="微软雅黑" w:cs="宋体"/>
          <w:kern w:val="0"/>
          <w:sz w:val="24"/>
          <w:szCs w:val="24"/>
        </w:rPr>
        <w:t>尼治疗</w:t>
      </w:r>
      <w:proofErr w:type="gramEnd"/>
      <w:r w:rsidRPr="00355A07">
        <w:rPr>
          <w:rFonts w:ascii="微软雅黑" w:eastAsia="微软雅黑" w:hAnsi="微软雅黑" w:cs="宋体"/>
          <w:kern w:val="0"/>
          <w:sz w:val="24"/>
          <w:szCs w:val="24"/>
        </w:rPr>
        <w:t>可以克服帕博西尼耐药乳腺癌细胞的获得性耐药性。</w:t>
      </w:r>
    </w:p>
    <w:p w14:paraId="777F2578"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 5。</w:t>
      </w:r>
    </w:p>
    <w:p w14:paraId="63CD61B4" w14:textId="111E76F8"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drawing>
          <wp:inline distT="0" distB="0" distL="0" distR="0" wp14:anchorId="5EB9128D" wp14:editId="2848EFA6">
            <wp:extent cx="5274310" cy="2453640"/>
            <wp:effectExtent l="0" t="0" r="2540" b="3810"/>
            <wp:docPr id="2" name="图片 2" descr="图 5">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5">
                      <a:hlinkClick r:id="rId39" tgtFrame="&quot;_blank&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2453640"/>
                    </a:xfrm>
                    <a:prstGeom prst="rect">
                      <a:avLst/>
                    </a:prstGeom>
                    <a:noFill/>
                    <a:ln>
                      <a:noFill/>
                    </a:ln>
                  </pic:spPr>
                </pic:pic>
              </a:graphicData>
            </a:graphic>
          </wp:inline>
        </w:drawing>
      </w:r>
    </w:p>
    <w:p w14:paraId="42F33D19"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kern w:val="0"/>
          <w:sz w:val="24"/>
          <w:szCs w:val="24"/>
        </w:rPr>
        <w:t>恩扎</w:t>
      </w:r>
      <w:proofErr w:type="gramStart"/>
      <w:r w:rsidRPr="00355A07">
        <w:rPr>
          <w:rFonts w:ascii="微软雅黑" w:eastAsia="微软雅黑" w:hAnsi="微软雅黑" w:cs="宋体"/>
          <w:b/>
          <w:bCs/>
          <w:kern w:val="0"/>
          <w:sz w:val="24"/>
          <w:szCs w:val="24"/>
        </w:rPr>
        <w:t>卢</w:t>
      </w:r>
      <w:proofErr w:type="gramEnd"/>
      <w:r w:rsidRPr="00355A07">
        <w:rPr>
          <w:rFonts w:ascii="微软雅黑" w:eastAsia="微软雅黑" w:hAnsi="微软雅黑" w:cs="宋体"/>
          <w:b/>
          <w:bCs/>
          <w:kern w:val="0"/>
          <w:sz w:val="24"/>
          <w:szCs w:val="24"/>
        </w:rPr>
        <w:t>胺可使帕博西尼耐药细胞重新对帕博西尼敏感。</w:t>
      </w:r>
      <w:proofErr w:type="gramStart"/>
      <w:r w:rsidRPr="00355A07">
        <w:rPr>
          <w:rFonts w:ascii="微软雅黑" w:eastAsia="微软雅黑" w:hAnsi="微软雅黑" w:cs="宋体"/>
          <w:b/>
          <w:bCs/>
          <w:kern w:val="0"/>
          <w:sz w:val="24"/>
          <w:szCs w:val="24"/>
        </w:rPr>
        <w:t>A</w:t>
      </w:r>
      <w:r w:rsidRPr="00355A07">
        <w:rPr>
          <w:rFonts w:ascii="微软雅黑" w:eastAsia="微软雅黑" w:hAnsi="微软雅黑" w:cs="宋体"/>
          <w:kern w:val="0"/>
          <w:sz w:val="24"/>
          <w:szCs w:val="24"/>
        </w:rPr>
        <w:t> .</w:t>
      </w:r>
      <w:proofErr w:type="gramEnd"/>
      <w:r w:rsidRPr="00355A07">
        <w:rPr>
          <w:rFonts w:ascii="微软雅黑" w:eastAsia="微软雅黑" w:hAnsi="微软雅黑" w:cs="宋体"/>
          <w:kern w:val="0"/>
          <w:sz w:val="24"/>
          <w:szCs w:val="24"/>
        </w:rPr>
        <w:t xml:space="preserve"> 将MCF-7pR细胞分别用20 µM恩扎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胺、4 µM帕博西尼或二者联合处理48小时。采</w:t>
      </w:r>
      <w:r w:rsidRPr="00355A07">
        <w:rPr>
          <w:rFonts w:ascii="MS Gothic" w:eastAsia="MS Gothic" w:hAnsi="MS Gothic" w:cs="MS Gothic" w:hint="eastAsia"/>
          <w:kern w:val="0"/>
          <w:sz w:val="24"/>
          <w:szCs w:val="24"/>
        </w:rPr>
        <w:t>​​</w:t>
      </w:r>
      <w:r w:rsidRPr="00355A07">
        <w:rPr>
          <w:rFonts w:ascii="微软雅黑" w:eastAsia="微软雅黑" w:hAnsi="微软雅黑" w:cs="宋体"/>
          <w:kern w:val="0"/>
          <w:sz w:val="24"/>
          <w:szCs w:val="24"/>
        </w:rPr>
        <w:t>用流式细胞术分析细胞周期分布，并与未处理的细胞进行比较。B. 将MCF-7pR细胞用帕博西尼和恩扎卢胺联合处理。帕博西尼和恩扎卢胺的剂量比为1:1。采用CCK-8法检测细胞活力。图中显示了细胞活力数据的CI-Fa图（联合指数与受影响分数的关系图）。CI值由</w:t>
      </w:r>
      <w:proofErr w:type="spellStart"/>
      <w:r w:rsidRPr="00355A07">
        <w:rPr>
          <w:rFonts w:ascii="微软雅黑" w:eastAsia="微软雅黑" w:hAnsi="微软雅黑" w:cs="宋体"/>
          <w:kern w:val="0"/>
          <w:sz w:val="24"/>
          <w:szCs w:val="24"/>
        </w:rPr>
        <w:t>Compusyn</w:t>
      </w:r>
      <w:proofErr w:type="spellEnd"/>
      <w:r w:rsidRPr="00355A07">
        <w:rPr>
          <w:rFonts w:ascii="微软雅黑" w:eastAsia="微软雅黑" w:hAnsi="微软雅黑" w:cs="宋体"/>
          <w:kern w:val="0"/>
          <w:sz w:val="24"/>
          <w:szCs w:val="24"/>
        </w:rPr>
        <w:t>软件计算。CI值小于1被认为具有协同作用。数据为三次独立实验的平均值。 C. 将MCF-7pR细胞用10-160 µM恩扎卢胺联合恒定剂量的帕博西尼（2、4、8、16 µM）处理48小时。图中显示的是</w:t>
      </w:r>
      <w:proofErr w:type="spellStart"/>
      <w:r w:rsidRPr="00355A07">
        <w:rPr>
          <w:rFonts w:ascii="微软雅黑" w:eastAsia="微软雅黑" w:hAnsi="微软雅黑" w:cs="宋体"/>
          <w:kern w:val="0"/>
          <w:sz w:val="24"/>
          <w:szCs w:val="24"/>
        </w:rPr>
        <w:t>Compusyn</w:t>
      </w:r>
      <w:proofErr w:type="spellEnd"/>
      <w:r w:rsidRPr="00355A07">
        <w:rPr>
          <w:rFonts w:ascii="微软雅黑" w:eastAsia="微软雅黑" w:hAnsi="微软雅黑" w:cs="宋体"/>
          <w:kern w:val="0"/>
          <w:sz w:val="24"/>
          <w:szCs w:val="24"/>
        </w:rPr>
        <w:t>软件计算的CI值。D. 将MCF-7pR细胞单独或联合用帕博西尼和恩扎卢胺处理48小时，并通过克隆形成实验测定细胞增殖。数据代表三次独立实验的平均值，***P &lt; 0.001。E. 将MCF-7pR细胞用20 µM恩扎卢胺联合或</w:t>
      </w:r>
      <w:r w:rsidRPr="00355A07">
        <w:rPr>
          <w:rFonts w:ascii="微软雅黑" w:eastAsia="微软雅黑" w:hAnsi="微软雅黑" w:cs="宋体"/>
          <w:kern w:val="0"/>
          <w:sz w:val="24"/>
          <w:szCs w:val="24"/>
        </w:rPr>
        <w:lastRenderedPageBreak/>
        <w:t>不联合4 µM帕博西尼处理48小时。药物处理后，使用抗</w:t>
      </w:r>
      <w:proofErr w:type="spellStart"/>
      <w:r w:rsidRPr="00355A07">
        <w:rPr>
          <w:rFonts w:ascii="微软雅黑" w:eastAsia="微软雅黑" w:hAnsi="微软雅黑" w:cs="宋体"/>
          <w:kern w:val="0"/>
          <w:sz w:val="24"/>
          <w:szCs w:val="24"/>
        </w:rPr>
        <w:t>pRb</w:t>
      </w:r>
      <w:proofErr w:type="spellEnd"/>
      <w:r w:rsidRPr="00355A07">
        <w:rPr>
          <w:rFonts w:ascii="微软雅黑" w:eastAsia="微软雅黑" w:hAnsi="微软雅黑" w:cs="宋体"/>
          <w:kern w:val="0"/>
          <w:sz w:val="24"/>
          <w:szCs w:val="24"/>
        </w:rPr>
        <w:t>（s795）、抗Rb、抗E2F1、抗cyclin A2和抗cyclin E2抗体进行Western blot分析。</w:t>
      </w:r>
    </w:p>
    <w:p w14:paraId="087BC778" w14:textId="77777777" w:rsidR="00355A07" w:rsidRPr="00355A07" w:rsidRDefault="00355A07" w:rsidP="00355A07">
      <w:pPr>
        <w:widowControl/>
        <w:spacing w:line="450" w:lineRule="atLeast"/>
        <w:outlineLvl w:val="2"/>
        <w:rPr>
          <w:rFonts w:ascii="微软雅黑" w:eastAsia="微软雅黑" w:hAnsi="微软雅黑" w:cs="宋体"/>
          <w:kern w:val="0"/>
          <w:sz w:val="32"/>
          <w:szCs w:val="32"/>
        </w:rPr>
      </w:pPr>
      <w:r w:rsidRPr="00355A07">
        <w:rPr>
          <w:rFonts w:ascii="微软雅黑" w:eastAsia="微软雅黑" w:hAnsi="微软雅黑" w:cs="宋体"/>
          <w:kern w:val="0"/>
          <w:sz w:val="32"/>
          <w:szCs w:val="32"/>
        </w:rPr>
        <w:t>恩扎</w:t>
      </w:r>
      <w:proofErr w:type="gramStart"/>
      <w:r w:rsidRPr="00355A07">
        <w:rPr>
          <w:rFonts w:ascii="微软雅黑" w:eastAsia="微软雅黑" w:hAnsi="微软雅黑" w:cs="宋体"/>
          <w:kern w:val="0"/>
          <w:sz w:val="32"/>
          <w:szCs w:val="32"/>
        </w:rPr>
        <w:t>卢</w:t>
      </w:r>
      <w:proofErr w:type="gramEnd"/>
      <w:r w:rsidRPr="00355A07">
        <w:rPr>
          <w:rFonts w:ascii="微软雅黑" w:eastAsia="微软雅黑" w:hAnsi="微软雅黑" w:cs="宋体"/>
          <w:kern w:val="0"/>
          <w:sz w:val="32"/>
          <w:szCs w:val="32"/>
        </w:rPr>
        <w:t>胺和帕博西尼对帕博西尼耐药细胞的</w:t>
      </w:r>
      <w:r w:rsidRPr="00355A07">
        <w:rPr>
          <w:rFonts w:ascii="微软雅黑" w:eastAsia="微软雅黑" w:hAnsi="微软雅黑" w:cs="宋体"/>
          <w:i/>
          <w:iCs/>
          <w:kern w:val="0"/>
          <w:sz w:val="32"/>
          <w:szCs w:val="32"/>
        </w:rPr>
        <w:t>体内协同作用</w:t>
      </w:r>
    </w:p>
    <w:p w14:paraId="0FA002D7"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接下来，我们利用MCF-7pR异种移植瘤模型，</w:t>
      </w:r>
      <w:r w:rsidRPr="00355A07">
        <w:rPr>
          <w:rFonts w:ascii="微软雅黑" w:eastAsia="微软雅黑" w:hAnsi="微软雅黑" w:cs="宋体"/>
          <w:i/>
          <w:iCs/>
          <w:kern w:val="0"/>
          <w:sz w:val="24"/>
          <w:szCs w:val="24"/>
        </w:rPr>
        <w:t>在体内</w:t>
      </w:r>
      <w:r w:rsidRPr="00355A07">
        <w:rPr>
          <w:rFonts w:ascii="微软雅黑" w:eastAsia="微软雅黑" w:hAnsi="微软雅黑" w:cs="宋体"/>
          <w:kern w:val="0"/>
          <w:sz w:val="24"/>
          <w:szCs w:val="24"/>
        </w:rPr>
        <w:t>探索了帕博西尼和</w:t>
      </w:r>
      <w:proofErr w:type="gramStart"/>
      <w:r w:rsidRPr="00355A07">
        <w:rPr>
          <w:rFonts w:ascii="微软雅黑" w:eastAsia="微软雅黑" w:hAnsi="微软雅黑" w:cs="宋体"/>
          <w:kern w:val="0"/>
          <w:sz w:val="24"/>
          <w:szCs w:val="24"/>
        </w:rPr>
        <w:t>恩扎卢</w:t>
      </w:r>
      <w:proofErr w:type="gramEnd"/>
      <w:r w:rsidRPr="00355A07">
        <w:rPr>
          <w:rFonts w:ascii="微软雅黑" w:eastAsia="微软雅黑" w:hAnsi="微软雅黑" w:cs="宋体"/>
          <w:kern w:val="0"/>
          <w:sz w:val="24"/>
          <w:szCs w:val="24"/>
        </w:rPr>
        <w:t>胺联合用药的效果。将MCF-7pR细胞注射到裸鼠体内。当肿瘤平均体积达到</w:t>
      </w:r>
      <w:r w:rsidRPr="00355A07">
        <w:rPr>
          <w:rFonts w:ascii="微软雅黑" w:eastAsia="微软雅黑" w:hAnsi="微软雅黑" w:cs="宋体"/>
          <w:kern w:val="0"/>
          <w:sz w:val="24"/>
          <w:szCs w:val="24"/>
          <w:vertAlign w:val="superscript"/>
        </w:rPr>
        <w:t>100mm³时</w:t>
      </w:r>
      <w:r w:rsidRPr="00355A07">
        <w:rPr>
          <w:rFonts w:ascii="微软雅黑" w:eastAsia="微软雅黑" w:hAnsi="微软雅黑" w:cs="宋体"/>
          <w:kern w:val="0"/>
          <w:sz w:val="24"/>
          <w:szCs w:val="24"/>
        </w:rPr>
        <w:t>，分别给予恩扎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胺、帕博西尼或二者联合治疗。小鼠分别接受赋形剂、每周两次口服100 mg/kg帕博西尼、每周五次口服50 mg/kg恩扎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胺或二者联合治疗。与单药治疗相比，恩扎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胺和帕博西尼联合用药显著抑制了肿瘤生长（图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"F6"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6A</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和C）。此外，单药或联合治疗均未引起明显的体重下降（图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"F6"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6B</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）。联合治疗优于任何单药治疗，并导致肿瘤显著缩小，Ki67水平降低（图</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"F6"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6D</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w:t>
      </w:r>
    </w:p>
    <w:p w14:paraId="0899A715" w14:textId="77777777" w:rsidR="00355A07" w:rsidRPr="00355A07" w:rsidRDefault="00355A07" w:rsidP="00355A07">
      <w:pPr>
        <w:widowControl/>
        <w:spacing w:line="450" w:lineRule="atLeast"/>
        <w:outlineLvl w:val="3"/>
        <w:rPr>
          <w:rFonts w:ascii="微软雅黑" w:eastAsia="微软雅黑" w:hAnsi="微软雅黑" w:cs="宋体"/>
          <w:kern w:val="0"/>
          <w:sz w:val="30"/>
          <w:szCs w:val="30"/>
        </w:rPr>
      </w:pPr>
      <w:r w:rsidRPr="00355A07">
        <w:rPr>
          <w:rFonts w:ascii="微软雅黑" w:eastAsia="微软雅黑" w:hAnsi="微软雅黑" w:cs="宋体"/>
          <w:kern w:val="0"/>
          <w:sz w:val="30"/>
          <w:szCs w:val="30"/>
        </w:rPr>
        <w:t>图 6。</w:t>
      </w:r>
    </w:p>
    <w:p w14:paraId="09AB9438" w14:textId="36E07969"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noProof/>
          <w:kern w:val="0"/>
          <w:sz w:val="24"/>
          <w:szCs w:val="24"/>
        </w:rPr>
        <w:drawing>
          <wp:inline distT="0" distB="0" distL="0" distR="0" wp14:anchorId="7D09970B" wp14:editId="404875EA">
            <wp:extent cx="5274310" cy="3043555"/>
            <wp:effectExtent l="0" t="0" r="2540" b="4445"/>
            <wp:docPr id="1" name="图片 1" descr="图 6">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 6">
                      <a:hlinkClick r:id="rId41" tgtFrame="&quot;_blank&quo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3043555"/>
                    </a:xfrm>
                    <a:prstGeom prst="rect">
                      <a:avLst/>
                    </a:prstGeom>
                    <a:noFill/>
                    <a:ln>
                      <a:noFill/>
                    </a:ln>
                  </pic:spPr>
                </pic:pic>
              </a:graphicData>
            </a:graphic>
          </wp:inline>
        </w:drawing>
      </w:r>
    </w:p>
    <w:p w14:paraId="424F2391" w14:textId="77777777" w:rsidR="00355A07" w:rsidRPr="00355A07" w:rsidRDefault="00355A07" w:rsidP="00355A07">
      <w:pPr>
        <w:widowControl/>
        <w:rPr>
          <w:rFonts w:ascii="微软雅黑" w:eastAsia="微软雅黑" w:hAnsi="微软雅黑" w:cs="宋体"/>
          <w:kern w:val="0"/>
          <w:sz w:val="24"/>
          <w:szCs w:val="24"/>
        </w:rPr>
      </w:pPr>
      <w:r w:rsidRPr="00355A07">
        <w:rPr>
          <w:rFonts w:ascii="微软雅黑" w:eastAsia="微软雅黑" w:hAnsi="微软雅黑" w:cs="宋体"/>
          <w:b/>
          <w:bCs/>
          <w:i/>
          <w:iCs/>
          <w:kern w:val="0"/>
          <w:sz w:val="24"/>
          <w:szCs w:val="24"/>
        </w:rPr>
        <w:t>恩扎</w:t>
      </w:r>
      <w:proofErr w:type="gramStart"/>
      <w:r w:rsidRPr="00355A07">
        <w:rPr>
          <w:rFonts w:ascii="微软雅黑" w:eastAsia="微软雅黑" w:hAnsi="微软雅黑" w:cs="宋体"/>
          <w:b/>
          <w:bCs/>
          <w:i/>
          <w:iCs/>
          <w:kern w:val="0"/>
          <w:sz w:val="24"/>
          <w:szCs w:val="24"/>
        </w:rPr>
        <w:t>卢</w:t>
      </w:r>
      <w:proofErr w:type="gramEnd"/>
      <w:r w:rsidRPr="00355A07">
        <w:rPr>
          <w:rFonts w:ascii="微软雅黑" w:eastAsia="微软雅黑" w:hAnsi="微软雅黑" w:cs="宋体"/>
          <w:b/>
          <w:bCs/>
          <w:i/>
          <w:iCs/>
          <w:kern w:val="0"/>
          <w:sz w:val="24"/>
          <w:szCs w:val="24"/>
        </w:rPr>
        <w:t>胺和帕博西尼对体</w:t>
      </w:r>
      <w:r w:rsidRPr="00355A07">
        <w:rPr>
          <w:rFonts w:ascii="微软雅黑" w:eastAsia="微软雅黑" w:hAnsi="微软雅黑" w:cs="宋体"/>
          <w:b/>
          <w:bCs/>
          <w:kern w:val="0"/>
          <w:sz w:val="24"/>
          <w:szCs w:val="24"/>
        </w:rPr>
        <w:t>内帕博西尼耐药细胞的协同作用。</w:t>
      </w:r>
      <w:r w:rsidRPr="00355A07">
        <w:rPr>
          <w:rFonts w:ascii="微软雅黑" w:eastAsia="微软雅黑" w:hAnsi="微软雅黑" w:cs="宋体"/>
          <w:kern w:val="0"/>
          <w:sz w:val="24"/>
          <w:szCs w:val="24"/>
        </w:rPr>
        <w:t>携带MCF-7pR异种移植瘤（肿瘤体积为100±50mm³，每组6只）的小鼠分别</w:t>
      </w:r>
      <w:r w:rsidRPr="00355A07">
        <w:rPr>
          <w:rFonts w:ascii="微软雅黑" w:eastAsia="微软雅黑" w:hAnsi="微软雅黑" w:cs="宋体"/>
          <w:kern w:val="0"/>
          <w:sz w:val="24"/>
          <w:szCs w:val="24"/>
          <w:vertAlign w:val="superscript"/>
        </w:rPr>
        <w:t>接受</w:t>
      </w:r>
      <w:r w:rsidRPr="00355A07">
        <w:rPr>
          <w:rFonts w:ascii="微软雅黑" w:eastAsia="微软雅黑" w:hAnsi="微软雅黑" w:cs="宋体"/>
          <w:kern w:val="0"/>
          <w:sz w:val="24"/>
          <w:szCs w:val="24"/>
        </w:rPr>
        <w:t>帕博西尼</w:t>
      </w:r>
      <w:r w:rsidRPr="00355A07">
        <w:rPr>
          <w:rFonts w:ascii="微软雅黑" w:eastAsia="微软雅黑" w:hAnsi="微软雅黑" w:cs="宋体"/>
          <w:kern w:val="0"/>
          <w:sz w:val="24"/>
          <w:szCs w:val="24"/>
        </w:rPr>
        <w:lastRenderedPageBreak/>
        <w:t>（100mg/kg/d，口服）每周两次、恩扎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胺（50mg/kg/d，口服）每周五次或两者联合给药。A. 每周评估一次肿瘤体积，</w:t>
      </w:r>
      <w:proofErr w:type="gramStart"/>
      <w:r w:rsidRPr="00355A07">
        <w:rPr>
          <w:rFonts w:ascii="微软雅黑" w:eastAsia="微软雅黑" w:hAnsi="微软雅黑" w:cs="宋体"/>
          <w:kern w:val="0"/>
          <w:sz w:val="24"/>
          <w:szCs w:val="24"/>
        </w:rPr>
        <w:t>并按公式(</w:t>
      </w:r>
      <w:proofErr w:type="gramEnd"/>
      <w:r w:rsidRPr="00355A07">
        <w:rPr>
          <w:rFonts w:ascii="微软雅黑" w:eastAsia="微软雅黑" w:hAnsi="微软雅黑" w:cs="宋体"/>
          <w:kern w:val="0"/>
          <w:sz w:val="24"/>
          <w:szCs w:val="24"/>
        </w:rPr>
        <w:t>S² × L)²/2计算。S：短径；L：长径，*P &lt; 0.05。B. MCF-7pR异种移植瘤小鼠的体重数据。CD. 取出各治疗组小鼠的肿瘤组织，进行常规H&amp;E染色（200倍）。对异种移植</w:t>
      </w:r>
      <w:proofErr w:type="gramStart"/>
      <w:r w:rsidRPr="00355A07">
        <w:rPr>
          <w:rFonts w:ascii="微软雅黑" w:eastAsia="微软雅黑" w:hAnsi="微软雅黑" w:cs="宋体"/>
          <w:kern w:val="0"/>
          <w:sz w:val="24"/>
          <w:szCs w:val="24"/>
        </w:rPr>
        <w:t>瘤进行</w:t>
      </w:r>
      <w:proofErr w:type="gramEnd"/>
      <w:r w:rsidRPr="00355A07">
        <w:rPr>
          <w:rFonts w:ascii="微软雅黑" w:eastAsia="微软雅黑" w:hAnsi="微软雅黑" w:cs="宋体"/>
          <w:kern w:val="0"/>
          <w:sz w:val="24"/>
          <w:szCs w:val="24"/>
        </w:rPr>
        <w:t>Ki67和AR的免疫组织化学分析。各治疗组中 ki67 和 AR 的表达比率如图所示，***P &lt; 0.001。</w:t>
      </w:r>
    </w:p>
    <w:p w14:paraId="711443B8" w14:textId="77777777" w:rsidR="00355A07" w:rsidRPr="00355A07" w:rsidRDefault="00355A07" w:rsidP="00355A07">
      <w:pPr>
        <w:widowControl/>
        <w:pBdr>
          <w:bottom w:val="single" w:sz="6" w:space="0" w:color="97B1C8"/>
        </w:pBdr>
        <w:spacing w:line="450" w:lineRule="atLeast"/>
        <w:outlineLvl w:val="1"/>
        <w:rPr>
          <w:rFonts w:ascii="微软雅黑" w:eastAsia="微软雅黑" w:hAnsi="微软雅黑" w:cs="宋体"/>
          <w:kern w:val="0"/>
          <w:sz w:val="34"/>
          <w:szCs w:val="34"/>
        </w:rPr>
      </w:pPr>
      <w:r w:rsidRPr="00355A07">
        <w:rPr>
          <w:rFonts w:ascii="微软雅黑" w:eastAsia="微软雅黑" w:hAnsi="微软雅黑" w:cs="宋体"/>
          <w:kern w:val="0"/>
          <w:sz w:val="34"/>
          <w:szCs w:val="34"/>
        </w:rPr>
        <w:t>讨论</w:t>
      </w:r>
    </w:p>
    <w:p w14:paraId="3176E613"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CDK4/6抑制剂已在晚期ER阳性乳腺癌中显示出临床疗效；然而，这些药物不太可能提供持久的治愈，并且耐药性的产生是不可避免的。本文阐述了CDK4/6抑制剂耐药的分子机制，旨在探索CDK4/6抑制剂与其</w:t>
      </w:r>
      <w:proofErr w:type="gramStart"/>
      <w:r w:rsidRPr="00355A07">
        <w:rPr>
          <w:rFonts w:ascii="微软雅黑" w:eastAsia="微软雅黑" w:hAnsi="微软雅黑" w:cs="宋体"/>
          <w:kern w:val="0"/>
          <w:sz w:val="24"/>
          <w:szCs w:val="24"/>
        </w:rPr>
        <w:t>他靶向药物</w:t>
      </w:r>
      <w:proofErr w:type="gramEnd"/>
      <w:r w:rsidRPr="00355A07">
        <w:rPr>
          <w:rFonts w:ascii="微软雅黑" w:eastAsia="微软雅黑" w:hAnsi="微软雅黑" w:cs="宋体"/>
          <w:kern w:val="0"/>
          <w:sz w:val="24"/>
          <w:szCs w:val="24"/>
        </w:rPr>
        <w:t>联合治疗的策略，以期为ER阳性乳腺癌的最佳治疗方案提供新的思路。</w:t>
      </w:r>
    </w:p>
    <w:p w14:paraId="39654709"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为了探究帕博西尼耐药的潜在机制，我们将HR阳性敏感细胞系暴露于CDK4/6抑制剂帕博西尼中。MCF-7细胞系长期暴露于该药物后，ER信号通路丧失，而AR信号通路被激活。我们推测，这种变化的一个潜在效应因子可能是下游的E2F家族，该家族成员更持久地从Rb中释放出来，并作为ER表达的抑制因子发挥作用&lt;sup&gt;21,22&lt;/sup&gt;。本文数据表明，细胞周期进程与ER信号通路</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"B21"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rPr>
        <w:t>的</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激活</w:t>
      </w:r>
      <w:hyperlink r:id="rId43" w:anchor="B22" w:history="1">
        <w:r w:rsidRPr="00355A07">
          <w:rPr>
            <w:rFonts w:ascii="微软雅黑" w:eastAsia="微软雅黑" w:hAnsi="微软雅黑" w:cs="宋体"/>
            <w:kern w:val="0"/>
            <w:sz w:val="24"/>
            <w:szCs w:val="24"/>
          </w:rPr>
          <w:t>无关</w:t>
        </w:r>
      </w:hyperlink>
      <w:r w:rsidRPr="00355A07">
        <w:rPr>
          <w:rFonts w:ascii="微软雅黑" w:eastAsia="微软雅黑" w:hAnsi="微软雅黑" w:cs="宋体"/>
          <w:kern w:val="0"/>
          <w:sz w:val="24"/>
          <w:szCs w:val="24"/>
        </w:rPr>
        <w:t>，而对帕博西尼的耐药性也可能导致对ER拮抗剂的获得性不敏感性。此外，已有报道指出，Rb以不依赖于雄激素的方式与AR相互作用，并作为AR的共激活因子。另外，CCNE1也可以作为AR的共激活因子，并促进AR的激活</w:t>
      </w:r>
      <w:r w:rsidRPr="00355A07">
        <w:rPr>
          <w:rFonts w:ascii="微软雅黑" w:eastAsia="微软雅黑" w:hAnsi="微软雅黑" w:cs="宋体"/>
          <w:kern w:val="0"/>
          <w:sz w:val="24"/>
          <w:szCs w:val="24"/>
          <w:u w:val="single"/>
          <w:vertAlign w:val="superscript"/>
        </w:rPr>
        <w:t>&lt;sup&gt; </w:t>
      </w:r>
      <w:hyperlink r:id="rId44" w:anchor="B31" w:history="1">
        <w:r w:rsidRPr="00355A07">
          <w:rPr>
            <w:rFonts w:ascii="微软雅黑" w:eastAsia="微软雅黑" w:hAnsi="微软雅黑" w:cs="宋体"/>
            <w:kern w:val="0"/>
            <w:sz w:val="24"/>
            <w:szCs w:val="24"/>
            <w:u w:val="single"/>
            <w:vertAlign w:val="superscript"/>
          </w:rPr>
          <w:t>31&lt;/sup&gt;</w:t>
        </w:r>
      </w:hyperlink>
      <w:r w:rsidRPr="00355A07">
        <w:rPr>
          <w:rFonts w:ascii="微软雅黑" w:eastAsia="微软雅黑" w:hAnsi="微软雅黑" w:cs="宋体"/>
          <w:kern w:val="0"/>
          <w:sz w:val="24"/>
          <w:szCs w:val="24"/>
        </w:rPr>
        <w:t>。因此，在耐药细胞中，细胞周期进程的失调可能导致HR表达的</w:t>
      </w:r>
      <w:r w:rsidRPr="00355A07">
        <w:rPr>
          <w:rFonts w:ascii="微软雅黑" w:eastAsia="微软雅黑" w:hAnsi="微软雅黑" w:cs="宋体"/>
          <w:kern w:val="0"/>
          <w:sz w:val="24"/>
          <w:szCs w:val="24"/>
        </w:rPr>
        <w:lastRenderedPageBreak/>
        <w:t>异常改变。与推测一致，在 CDK4/6 抑制剂耐药性中观察到了 AR 通路的诱导，这是由 AR 表达升高和更多核定位所决定的。</w:t>
      </w:r>
    </w:p>
    <w:p w14:paraId="7D62FFD4"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雄激素受体（AR）属于核受体家族，在雌激素受体阳性和雌激素受体阴性乳腺癌中均有相当一部分（60-90%）表达</w:t>
      </w:r>
      <w:r w:rsidRPr="00355A07">
        <w:rPr>
          <w:rFonts w:ascii="微软雅黑" w:eastAsia="微软雅黑" w:hAnsi="微软雅黑" w:cs="宋体"/>
          <w:kern w:val="0"/>
          <w:sz w:val="24"/>
          <w:szCs w:val="24"/>
          <w:u w:val="single"/>
          <w:vertAlign w:val="superscript"/>
        </w:rPr>
        <w:t>&lt;sup&gt; </w:t>
      </w:r>
      <w:hyperlink r:id="rId45" w:anchor="B32" w:history="1">
        <w:r w:rsidRPr="00355A07">
          <w:rPr>
            <w:rFonts w:ascii="微软雅黑" w:eastAsia="微软雅黑" w:hAnsi="微软雅黑" w:cs="宋体"/>
            <w:kern w:val="0"/>
            <w:sz w:val="24"/>
            <w:szCs w:val="24"/>
            <w:u w:val="single"/>
            <w:vertAlign w:val="superscript"/>
          </w:rPr>
          <w:t>32,33</w:t>
        </w:r>
      </w:hyperlink>
      <w:r w:rsidRPr="00355A07">
        <w:rPr>
          <w:rFonts w:ascii="微软雅黑" w:eastAsia="微软雅黑" w:hAnsi="微软雅黑" w:cs="宋体"/>
          <w:kern w:val="0"/>
          <w:sz w:val="24"/>
          <w:szCs w:val="24"/>
          <w:vertAlign w:val="superscript"/>
        </w:rPr>
        <w:t> &lt;/sup&gt;</w:t>
      </w:r>
      <w:r w:rsidRPr="00355A07">
        <w:rPr>
          <w:rFonts w:ascii="微软雅黑" w:eastAsia="微软雅黑" w:hAnsi="微软雅黑" w:cs="宋体"/>
          <w:kern w:val="0"/>
          <w:sz w:val="24"/>
          <w:szCs w:val="24"/>
        </w:rPr>
        <w:t>。研究表明，AR表达与更好的预后相关，尤其是在</w:t>
      </w:r>
      <w:proofErr w:type="gramStart"/>
      <w:r w:rsidRPr="00355A07">
        <w:rPr>
          <w:rFonts w:ascii="微软雅黑" w:eastAsia="微软雅黑" w:hAnsi="微软雅黑" w:cs="宋体"/>
          <w:kern w:val="0"/>
          <w:sz w:val="24"/>
          <w:szCs w:val="24"/>
        </w:rPr>
        <w:t>管腔型乳腺癌</w:t>
      </w:r>
      <w:proofErr w:type="gramEnd"/>
      <w:r w:rsidRPr="00355A07">
        <w:rPr>
          <w:rFonts w:ascii="微软雅黑" w:eastAsia="微软雅黑" w:hAnsi="微软雅黑" w:cs="宋体"/>
          <w:kern w:val="0"/>
          <w:sz w:val="24"/>
          <w:szCs w:val="24"/>
        </w:rPr>
        <w:t>中</w:t>
      </w:r>
      <w:r w:rsidRPr="00355A07">
        <w:rPr>
          <w:rFonts w:ascii="微软雅黑" w:eastAsia="微软雅黑" w:hAnsi="微软雅黑" w:cs="宋体"/>
          <w:kern w:val="0"/>
          <w:sz w:val="24"/>
          <w:szCs w:val="24"/>
          <w:u w:val="single"/>
          <w:vertAlign w:val="superscript"/>
        </w:rPr>
        <w:t>&lt;sup&gt; </w:t>
      </w:r>
      <w:hyperlink r:id="rId46" w:anchor="B34" w:history="1">
        <w:r w:rsidRPr="00355A07">
          <w:rPr>
            <w:rFonts w:ascii="微软雅黑" w:eastAsia="微软雅黑" w:hAnsi="微软雅黑" w:cs="宋体"/>
            <w:kern w:val="0"/>
            <w:sz w:val="24"/>
            <w:szCs w:val="24"/>
            <w:u w:val="single"/>
            <w:vertAlign w:val="superscript"/>
          </w:rPr>
          <w:t>34 </w:t>
        </w:r>
      </w:hyperlink>
      <w:hyperlink r:id="rId47" w:anchor="B33"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。相反，AR表达缺失会导致高级别导管乳腺癌从原位癌向浸润性基底细胞癌亚型转化</w:t>
      </w:r>
      <w:r w:rsidRPr="00355A07">
        <w:rPr>
          <w:rFonts w:ascii="微软雅黑" w:eastAsia="微软雅黑" w:hAnsi="微软雅黑" w:cs="宋体"/>
          <w:kern w:val="0"/>
          <w:sz w:val="24"/>
          <w:szCs w:val="24"/>
          <w:u w:val="single"/>
          <w:vertAlign w:val="superscript"/>
        </w:rPr>
        <w:t>&lt;sup&gt; </w:t>
      </w:r>
      <w:hyperlink r:id="rId48" w:anchor="B35" w:history="1">
        <w:r w:rsidRPr="00355A07">
          <w:rPr>
            <w:rFonts w:ascii="微软雅黑" w:eastAsia="微软雅黑" w:hAnsi="微软雅黑" w:cs="宋体"/>
            <w:kern w:val="0"/>
            <w:sz w:val="24"/>
            <w:szCs w:val="24"/>
            <w:u w:val="single"/>
            <w:vertAlign w:val="superscript"/>
          </w:rPr>
          <w:t>35&lt;/sup&gt;</w:t>
        </w:r>
      </w:hyperlink>
      <w:r w:rsidRPr="00355A07">
        <w:rPr>
          <w:rFonts w:ascii="微软雅黑" w:eastAsia="微软雅黑" w:hAnsi="微软雅黑" w:cs="宋体"/>
          <w:kern w:val="0"/>
          <w:sz w:val="24"/>
          <w:szCs w:val="24"/>
        </w:rPr>
        <w:t>。既往研究表明，二氢睾酮（DHT）激活的AR通过靶向细胞周期的G1/S期转换来抑制MCF-7细胞增殖</w:t>
      </w:r>
      <w:r w:rsidRPr="00355A07">
        <w:rPr>
          <w:rFonts w:ascii="微软雅黑" w:eastAsia="微软雅黑" w:hAnsi="微软雅黑" w:cs="宋体"/>
          <w:kern w:val="0"/>
          <w:sz w:val="24"/>
          <w:szCs w:val="24"/>
          <w:u w:val="single"/>
          <w:vertAlign w:val="superscript"/>
        </w:rPr>
        <w:t>&lt;sup&gt; </w:t>
      </w:r>
      <w:hyperlink r:id="rId49" w:anchor="B36" w:history="1">
        <w:r w:rsidRPr="00355A07">
          <w:rPr>
            <w:rFonts w:ascii="微软雅黑" w:eastAsia="微软雅黑" w:hAnsi="微软雅黑" w:cs="宋体"/>
            <w:kern w:val="0"/>
            <w:sz w:val="24"/>
            <w:szCs w:val="24"/>
            <w:u w:val="single"/>
            <w:vertAlign w:val="superscript"/>
          </w:rPr>
          <w:t>36&lt;/sup&gt;</w:t>
        </w:r>
      </w:hyperlink>
      <w:r w:rsidRPr="00355A07">
        <w:rPr>
          <w:rFonts w:ascii="微软雅黑" w:eastAsia="微软雅黑" w:hAnsi="微软雅黑" w:cs="宋体"/>
          <w:kern w:val="0"/>
          <w:sz w:val="24"/>
          <w:szCs w:val="24"/>
        </w:rPr>
        <w:t>。与AR在细胞周期调控中的作用相反</w:t>
      </w:r>
      <w:r w:rsidRPr="00355A07">
        <w:rPr>
          <w:rFonts w:ascii="微软雅黑" w:eastAsia="微软雅黑" w:hAnsi="微软雅黑" w:cs="宋体"/>
          <w:kern w:val="0"/>
          <w:sz w:val="24"/>
          <w:szCs w:val="24"/>
          <w:u w:val="single"/>
          <w:vertAlign w:val="superscript"/>
        </w:rPr>
        <w:t>&lt;sup&gt;</w:t>
      </w:r>
      <w:r w:rsidRPr="00355A07">
        <w:rPr>
          <w:rFonts w:ascii="微软雅黑" w:eastAsia="微软雅黑" w:hAnsi="微软雅黑" w:cs="宋体"/>
          <w:kern w:val="0"/>
          <w:sz w:val="24"/>
          <w:szCs w:val="24"/>
        </w:rPr>
        <w:t> </w:t>
      </w:r>
      <w:hyperlink r:id="rId50" w:anchor="B36" w:history="1">
        <w:r w:rsidRPr="00355A07">
          <w:rPr>
            <w:rFonts w:ascii="微软雅黑" w:eastAsia="微软雅黑" w:hAnsi="微软雅黑" w:cs="宋体"/>
            <w:kern w:val="0"/>
            <w:sz w:val="24"/>
            <w:szCs w:val="24"/>
            <w:u w:val="single"/>
            <w:vertAlign w:val="superscript"/>
          </w:rPr>
          <w:t>36&lt;/sup&gt;</w:t>
        </w:r>
      </w:hyperlink>
      <w:r w:rsidRPr="00355A07">
        <w:rPr>
          <w:rFonts w:ascii="微软雅黑" w:eastAsia="微软雅黑" w:hAnsi="微软雅黑" w:cs="宋体"/>
          <w:kern w:val="0"/>
          <w:sz w:val="24"/>
          <w:szCs w:val="24"/>
        </w:rPr>
        <w:t>，耐药细胞中AR的激活可能参与促进正在进行的细胞周期进程。 AR 可以结合并激活细胞周期蛋白 D1，这与近期研究</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"https://pmc.ncbi.nlm.nih.gov/articles/PMC6367574/" \l "B11"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vertAlign w:val="superscript"/>
        </w:rPr>
        <w:t>&lt;sup&gt;</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vertAlign w:val="superscript"/>
        </w:rPr>
        <w:t> 11,37 </w:t>
      </w:r>
      <w:hyperlink r:id="rId51" w:anchor="B37" w:history="1">
        <w:r w:rsidRPr="00355A07">
          <w:rPr>
            <w:rFonts w:ascii="微软雅黑" w:eastAsia="微软雅黑" w:hAnsi="微软雅黑" w:cs="宋体"/>
            <w:kern w:val="0"/>
            <w:sz w:val="24"/>
            <w:szCs w:val="24"/>
            <w:u w:val="single"/>
            <w:vertAlign w:val="superscript"/>
          </w:rPr>
          <w:t>&lt;/sup&gt;</w:t>
        </w:r>
      </w:hyperlink>
      <w:r w:rsidRPr="00355A07">
        <w:rPr>
          <w:rFonts w:ascii="微软雅黑" w:eastAsia="微软雅黑" w:hAnsi="微软雅黑" w:cs="宋体"/>
          <w:kern w:val="0"/>
          <w:sz w:val="24"/>
          <w:szCs w:val="24"/>
        </w:rPr>
        <w:t>的数据一致。CDK4 /6 发挥激酶功能，并通过结合细胞周期蛋白 D1 磷酸化 RB。因此，一种推测是，AR 信号通路增强可能通过细胞周期蛋白 D1 绕过帕博西尼，从而诱导细胞周期蛋白 D1/CDK2 复合物的形成，使细胞对帕博西尼产生早期耐药性</w:t>
      </w:r>
      <w:r w:rsidRPr="00355A07">
        <w:rPr>
          <w:rFonts w:ascii="微软雅黑" w:eastAsia="微软雅黑" w:hAnsi="微软雅黑" w:cs="宋体"/>
          <w:kern w:val="0"/>
          <w:sz w:val="24"/>
          <w:szCs w:val="24"/>
          <w:u w:val="single"/>
          <w:vertAlign w:val="superscript"/>
        </w:rPr>
        <w:t>&lt;sup&gt; </w:t>
      </w:r>
      <w:hyperlink r:id="rId52" w:anchor="B10" w:history="1">
        <w:r w:rsidRPr="00355A07">
          <w:rPr>
            <w:rFonts w:ascii="微软雅黑" w:eastAsia="微软雅黑" w:hAnsi="微软雅黑" w:cs="宋体"/>
            <w:kern w:val="0"/>
            <w:sz w:val="24"/>
            <w:szCs w:val="24"/>
            <w:u w:val="single"/>
            <w:vertAlign w:val="superscript"/>
          </w:rPr>
          <w:t>10</w:t>
        </w:r>
      </w:hyperlink>
      <w:r w:rsidRPr="00355A07">
        <w:rPr>
          <w:rFonts w:ascii="微软雅黑" w:eastAsia="微软雅黑" w:hAnsi="微软雅黑" w:cs="宋体"/>
          <w:kern w:val="0"/>
          <w:sz w:val="24"/>
          <w:szCs w:val="24"/>
          <w:u w:val="single"/>
          <w:vertAlign w:val="superscript"/>
        </w:rPr>
        <w:t> &lt;/sup&gt;</w:t>
      </w:r>
      <w:r w:rsidRPr="00355A07">
        <w:rPr>
          <w:rFonts w:ascii="微软雅黑" w:eastAsia="微软雅黑" w:hAnsi="微软雅黑" w:cs="宋体"/>
          <w:kern w:val="0"/>
          <w:sz w:val="24"/>
          <w:szCs w:val="24"/>
        </w:rPr>
        <w:t>。既往研究表明，激活的 CDK2-CCNE1 复合物可诱导帕博西尼耐药。事实上，在我们构建的耐药细胞模型中，AR 可以提高 CDK2 和 CCNE1 的表达。综上所述，这些数据表明 AR 参与了帕博西尼耐药细胞的细胞周期进程。</w:t>
      </w:r>
    </w:p>
    <w:p w14:paraId="59FD66DE"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胺是一种第二代雄激素受体（AR）拮抗剂，已被用于治疗转移性去势抵抗性或化疗耐药性前列腺癌患者。恩扎</w:t>
      </w:r>
      <w:proofErr w:type="gramStart"/>
      <w:r w:rsidRPr="00355A07">
        <w:rPr>
          <w:rFonts w:ascii="微软雅黑" w:eastAsia="微软雅黑" w:hAnsi="微软雅黑" w:cs="宋体"/>
          <w:kern w:val="0"/>
          <w:sz w:val="24"/>
          <w:szCs w:val="24"/>
        </w:rPr>
        <w:t>卢胺已</w:t>
      </w:r>
      <w:proofErr w:type="gramEnd"/>
      <w:r w:rsidRPr="00355A07">
        <w:rPr>
          <w:rFonts w:ascii="微软雅黑" w:eastAsia="微软雅黑" w:hAnsi="微软雅黑" w:cs="宋体"/>
          <w:kern w:val="0"/>
          <w:sz w:val="24"/>
          <w:szCs w:val="24"/>
        </w:rPr>
        <w:t>在乳腺癌患者中开展临床试验（</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"https://clinicaltrials.gov/ct2/show/NCT02689427" \t "_blank"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NCT02689427</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"https://clinicaltrials.gov/ct2/show/NCT01889238" \t "_blank"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NCT01889238</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和</w:t>
      </w:r>
      <w:r w:rsidRPr="00355A07">
        <w:rPr>
          <w:rFonts w:ascii="微软雅黑" w:eastAsia="微软雅黑" w:hAnsi="微软雅黑" w:cs="宋体"/>
          <w:kern w:val="0"/>
          <w:sz w:val="24"/>
          <w:szCs w:val="24"/>
        </w:rPr>
        <w:fldChar w:fldCharType="begin"/>
      </w:r>
      <w:r w:rsidRPr="00355A07">
        <w:rPr>
          <w:rFonts w:ascii="微软雅黑" w:eastAsia="微软雅黑" w:hAnsi="微软雅黑" w:cs="宋体"/>
          <w:kern w:val="0"/>
          <w:sz w:val="24"/>
          <w:szCs w:val="24"/>
        </w:rPr>
        <w:instrText xml:space="preserve"> HYPERLINK "https://clinicaltrials.gov/ct2/show/NCT02457910" \t "_blank" </w:instrText>
      </w:r>
      <w:r w:rsidRPr="00355A07">
        <w:rPr>
          <w:rFonts w:ascii="微软雅黑" w:eastAsia="微软雅黑" w:hAnsi="微软雅黑" w:cs="宋体"/>
          <w:kern w:val="0"/>
          <w:sz w:val="24"/>
          <w:szCs w:val="24"/>
        </w:rPr>
        <w:fldChar w:fldCharType="separate"/>
      </w:r>
      <w:r w:rsidRPr="00355A07">
        <w:rPr>
          <w:rFonts w:ascii="微软雅黑" w:eastAsia="微软雅黑" w:hAnsi="微软雅黑" w:cs="宋体"/>
          <w:kern w:val="0"/>
          <w:sz w:val="24"/>
          <w:szCs w:val="24"/>
          <w:u w:val="single"/>
        </w:rPr>
        <w:t>NCT02457910</w:t>
      </w:r>
      <w:r w:rsidRPr="00355A07">
        <w:rPr>
          <w:rFonts w:ascii="微软雅黑" w:eastAsia="微软雅黑" w:hAnsi="微软雅黑" w:cs="宋体"/>
          <w:kern w:val="0"/>
          <w:sz w:val="24"/>
          <w:szCs w:val="24"/>
        </w:rPr>
        <w:fldChar w:fldCharType="end"/>
      </w:r>
      <w:r w:rsidRPr="00355A07">
        <w:rPr>
          <w:rFonts w:ascii="微软雅黑" w:eastAsia="微软雅黑" w:hAnsi="微软雅黑" w:cs="宋体"/>
          <w:kern w:val="0"/>
          <w:sz w:val="24"/>
          <w:szCs w:val="24"/>
        </w:rPr>
        <w:t>）</w:t>
      </w:r>
      <w:hyperlink r:id="rId53" w:anchor="B38" w:history="1">
        <w:r w:rsidRPr="00355A07">
          <w:rPr>
            <w:rFonts w:ascii="微软雅黑" w:eastAsia="微软雅黑" w:hAnsi="微软雅黑" w:cs="宋体"/>
            <w:kern w:val="0"/>
            <w:sz w:val="24"/>
            <w:szCs w:val="24"/>
            <w:u w:val="single"/>
            <w:vertAlign w:val="superscript"/>
          </w:rPr>
          <w:t>&lt;sup&gt;38&lt;/sup&gt;</w:t>
        </w:r>
      </w:hyperlink>
      <w:r w:rsidRPr="00355A07">
        <w:rPr>
          <w:rFonts w:ascii="微软雅黑" w:eastAsia="微软雅黑" w:hAnsi="微软雅黑" w:cs="宋体"/>
          <w:kern w:val="0"/>
          <w:sz w:val="24"/>
          <w:szCs w:val="24"/>
        </w:rPr>
        <w:t>。值得注意的是，抑制AR可使我们的耐药细胞重新对帕博西尼敏感。恩扎</w:t>
      </w:r>
      <w:proofErr w:type="gramStart"/>
      <w:r w:rsidRPr="00355A07">
        <w:rPr>
          <w:rFonts w:ascii="微软雅黑" w:eastAsia="微软雅黑" w:hAnsi="微软雅黑" w:cs="宋体"/>
          <w:kern w:val="0"/>
          <w:sz w:val="24"/>
          <w:szCs w:val="24"/>
        </w:rPr>
        <w:t>卢胺作为</w:t>
      </w:r>
      <w:proofErr w:type="gramEnd"/>
      <w:r w:rsidRPr="00355A07">
        <w:rPr>
          <w:rFonts w:ascii="微软雅黑" w:eastAsia="微软雅黑" w:hAnsi="微软雅黑" w:cs="宋体"/>
          <w:kern w:val="0"/>
          <w:sz w:val="24"/>
          <w:szCs w:val="24"/>
        </w:rPr>
        <w:t>一种AR</w:t>
      </w:r>
      <w:r w:rsidRPr="00355A07">
        <w:rPr>
          <w:rFonts w:ascii="微软雅黑" w:eastAsia="微软雅黑" w:hAnsi="微软雅黑" w:cs="宋体"/>
          <w:kern w:val="0"/>
          <w:sz w:val="24"/>
          <w:szCs w:val="24"/>
        </w:rPr>
        <w:lastRenderedPageBreak/>
        <w:t>拮抗剂，与帕博西尼联用时，对耐药细胞具有协同生长抑制作用。考虑</w:t>
      </w:r>
      <w:proofErr w:type="gramStart"/>
      <w:r w:rsidRPr="00355A07">
        <w:rPr>
          <w:rFonts w:ascii="微软雅黑" w:eastAsia="微软雅黑" w:hAnsi="微软雅黑" w:cs="宋体"/>
          <w:kern w:val="0"/>
          <w:sz w:val="24"/>
          <w:szCs w:val="24"/>
        </w:rPr>
        <w:t>到恩扎卢</w:t>
      </w:r>
      <w:proofErr w:type="gramEnd"/>
      <w:r w:rsidRPr="00355A07">
        <w:rPr>
          <w:rFonts w:ascii="微软雅黑" w:eastAsia="微软雅黑" w:hAnsi="微软雅黑" w:cs="宋体"/>
          <w:kern w:val="0"/>
          <w:sz w:val="24"/>
          <w:szCs w:val="24"/>
        </w:rPr>
        <w:t>胺和帕博西尼</w:t>
      </w:r>
      <w:r w:rsidRPr="00355A07">
        <w:rPr>
          <w:rFonts w:ascii="微软雅黑" w:eastAsia="微软雅黑" w:hAnsi="微软雅黑" w:cs="宋体"/>
          <w:i/>
          <w:iCs/>
          <w:kern w:val="0"/>
          <w:sz w:val="24"/>
          <w:szCs w:val="24"/>
        </w:rPr>
        <w:t>在体外</w:t>
      </w:r>
      <w:r w:rsidRPr="00355A07">
        <w:rPr>
          <w:rFonts w:ascii="微软雅黑" w:eastAsia="微软雅黑" w:hAnsi="微软雅黑" w:cs="宋体"/>
          <w:kern w:val="0"/>
          <w:sz w:val="24"/>
          <w:szCs w:val="24"/>
        </w:rPr>
        <w:t>和</w:t>
      </w:r>
      <w:r w:rsidRPr="00355A07">
        <w:rPr>
          <w:rFonts w:ascii="微软雅黑" w:eastAsia="微软雅黑" w:hAnsi="微软雅黑" w:cs="宋体"/>
          <w:i/>
          <w:iCs/>
          <w:kern w:val="0"/>
          <w:sz w:val="24"/>
          <w:szCs w:val="24"/>
        </w:rPr>
        <w:t>体内</w:t>
      </w:r>
      <w:r w:rsidRPr="00355A07">
        <w:rPr>
          <w:rFonts w:ascii="微软雅黑" w:eastAsia="微软雅黑" w:hAnsi="微软雅黑" w:cs="宋体"/>
          <w:kern w:val="0"/>
          <w:sz w:val="24"/>
          <w:szCs w:val="24"/>
        </w:rPr>
        <w:t>对帕博西尼耐药细胞的协同生长抑制作用，恩扎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胺的临床应用可考虑用于治疗帕博西尼耐药。此外，机制研究表明，AR激活可提高我们耐药细胞模型中CCNE1的表达。这一发现赋予了 CCNE1 有用的预测相关性，从而能够识别出具有 CCNE1 过表达的 CDK4/6 抑制剂耐药肿瘤，并促使人们考虑将 CDK4/6 抑制剂与 AR 抑制剂恩扎</w:t>
      </w:r>
      <w:proofErr w:type="gramStart"/>
      <w:r w:rsidRPr="00355A07">
        <w:rPr>
          <w:rFonts w:ascii="微软雅黑" w:eastAsia="微软雅黑" w:hAnsi="微软雅黑" w:cs="宋体"/>
          <w:kern w:val="0"/>
          <w:sz w:val="24"/>
          <w:szCs w:val="24"/>
        </w:rPr>
        <w:t>卢胺联合</w:t>
      </w:r>
      <w:proofErr w:type="gramEnd"/>
      <w:r w:rsidRPr="00355A07">
        <w:rPr>
          <w:rFonts w:ascii="微软雅黑" w:eastAsia="微软雅黑" w:hAnsi="微软雅黑" w:cs="宋体"/>
          <w:kern w:val="0"/>
          <w:sz w:val="24"/>
          <w:szCs w:val="24"/>
        </w:rPr>
        <w:t>使用。</w:t>
      </w:r>
    </w:p>
    <w:p w14:paraId="6960406B"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然而，本研究也存在一些局限性。仅使用了一种帕博西尼耐药细胞系，可能存在其他参与帕博西尼耐药的蛋白质或突变体。此外，RB1的获得性突变在帕博西尼耐药乳腺癌中很常见，这可能通过一种不依赖于RB1的机制导致帕博西尼耐药。在我们研究的帕博西尼耐药细胞中，AR以依赖于RB1的方式</w:t>
      </w:r>
      <w:proofErr w:type="gramStart"/>
      <w:r w:rsidRPr="00355A07">
        <w:rPr>
          <w:rFonts w:ascii="微软雅黑" w:eastAsia="微软雅黑" w:hAnsi="微软雅黑" w:cs="宋体"/>
          <w:kern w:val="0"/>
          <w:sz w:val="24"/>
          <w:szCs w:val="24"/>
        </w:rPr>
        <w:t>介</w:t>
      </w:r>
      <w:proofErr w:type="gramEnd"/>
      <w:r w:rsidRPr="00355A07">
        <w:rPr>
          <w:rFonts w:ascii="微软雅黑" w:eastAsia="微软雅黑" w:hAnsi="微软雅黑" w:cs="宋体"/>
          <w:kern w:val="0"/>
          <w:sz w:val="24"/>
          <w:szCs w:val="24"/>
        </w:rPr>
        <w:t>导帕博西尼耐药，并且在缺乏RB1的情况下，帕博西尼联合恩扎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胺的治疗效果尚不确定。因此，有必要评估在基因组和功能均缺失RB1的帕博西尼耐药细胞中联合治疗的效果。</w:t>
      </w:r>
    </w:p>
    <w:p w14:paraId="2C9426AF" w14:textId="77777777" w:rsidR="00355A07" w:rsidRPr="00355A07" w:rsidRDefault="00355A07" w:rsidP="00355A07">
      <w:pPr>
        <w:widowControl/>
        <w:spacing w:before="450"/>
        <w:rPr>
          <w:rFonts w:ascii="微软雅黑" w:eastAsia="微软雅黑" w:hAnsi="微软雅黑" w:cs="宋体"/>
          <w:kern w:val="0"/>
          <w:sz w:val="24"/>
          <w:szCs w:val="24"/>
        </w:rPr>
      </w:pPr>
      <w:r w:rsidRPr="00355A07">
        <w:rPr>
          <w:rFonts w:ascii="微软雅黑" w:eastAsia="微软雅黑" w:hAnsi="微软雅黑" w:cs="宋体"/>
          <w:kern w:val="0"/>
          <w:sz w:val="24"/>
          <w:szCs w:val="24"/>
        </w:rPr>
        <w:t xml:space="preserve">总之，我们首先发现活化的 AR 在乳腺癌的 </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 xml:space="preserve"> 耐药性中发挥了重要作用，并阐明了 AR 抑制剂恩扎</w:t>
      </w:r>
      <w:proofErr w:type="gramStart"/>
      <w:r w:rsidRPr="00355A07">
        <w:rPr>
          <w:rFonts w:ascii="微软雅黑" w:eastAsia="微软雅黑" w:hAnsi="微软雅黑" w:cs="宋体"/>
          <w:kern w:val="0"/>
          <w:sz w:val="24"/>
          <w:szCs w:val="24"/>
        </w:rPr>
        <w:t>卢</w:t>
      </w:r>
      <w:proofErr w:type="gramEnd"/>
      <w:r w:rsidRPr="00355A07">
        <w:rPr>
          <w:rFonts w:ascii="微软雅黑" w:eastAsia="微软雅黑" w:hAnsi="微软雅黑" w:cs="宋体"/>
          <w:kern w:val="0"/>
          <w:sz w:val="24"/>
          <w:szCs w:val="24"/>
        </w:rPr>
        <w:t xml:space="preserve">胺与 </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 xml:space="preserve"> 之间的协同作用，这可能是 </w:t>
      </w:r>
      <w:proofErr w:type="spellStart"/>
      <w:r w:rsidRPr="00355A07">
        <w:rPr>
          <w:rFonts w:ascii="微软雅黑" w:eastAsia="微软雅黑" w:hAnsi="微软雅黑" w:cs="宋体"/>
          <w:kern w:val="0"/>
          <w:sz w:val="24"/>
          <w:szCs w:val="24"/>
        </w:rPr>
        <w:t>palbociclib</w:t>
      </w:r>
      <w:proofErr w:type="spellEnd"/>
      <w:r w:rsidRPr="00355A07">
        <w:rPr>
          <w:rFonts w:ascii="微软雅黑" w:eastAsia="微软雅黑" w:hAnsi="微软雅黑" w:cs="宋体"/>
          <w:kern w:val="0"/>
          <w:sz w:val="24"/>
          <w:szCs w:val="24"/>
        </w:rPr>
        <w:t xml:space="preserve"> 耐药性乳腺癌的一种有前景的治疗策略。</w:t>
      </w:r>
    </w:p>
    <w:p w14:paraId="390A851A" w14:textId="77777777" w:rsidR="00A036A0" w:rsidRPr="00355A07" w:rsidRDefault="00A036A0" w:rsidP="00355A07">
      <w:pPr>
        <w:rPr>
          <w:rFonts w:ascii="微软雅黑" w:eastAsia="微软雅黑" w:hAnsi="微软雅黑"/>
        </w:rPr>
      </w:pPr>
    </w:p>
    <w:sectPr w:rsidR="00A036A0" w:rsidRPr="00355A07">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94445"/>
    <w:multiLevelType w:val="multilevel"/>
    <w:tmpl w:val="93BC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6A0"/>
    <w:rsid w:val="00355A07"/>
    <w:rsid w:val="00A03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3CE7D"/>
  <w15:chartTrackingRefBased/>
  <w15:docId w15:val="{BB7E55BE-60A3-446B-863B-9F010C8A3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55A0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355A0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355A07"/>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355A07"/>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55A07"/>
    <w:rPr>
      <w:rFonts w:ascii="宋体" w:eastAsia="宋体" w:hAnsi="宋体" w:cs="宋体"/>
      <w:b/>
      <w:bCs/>
      <w:kern w:val="36"/>
      <w:sz w:val="48"/>
      <w:szCs w:val="48"/>
    </w:rPr>
  </w:style>
  <w:style w:type="character" w:customStyle="1" w:styleId="20">
    <w:name w:val="标题 2 字符"/>
    <w:basedOn w:val="a0"/>
    <w:link w:val="2"/>
    <w:uiPriority w:val="9"/>
    <w:rsid w:val="00355A07"/>
    <w:rPr>
      <w:rFonts w:ascii="宋体" w:eastAsia="宋体" w:hAnsi="宋体" w:cs="宋体"/>
      <w:b/>
      <w:bCs/>
      <w:kern w:val="0"/>
      <w:sz w:val="36"/>
      <w:szCs w:val="36"/>
    </w:rPr>
  </w:style>
  <w:style w:type="character" w:customStyle="1" w:styleId="30">
    <w:name w:val="标题 3 字符"/>
    <w:basedOn w:val="a0"/>
    <w:link w:val="3"/>
    <w:uiPriority w:val="9"/>
    <w:rsid w:val="00355A07"/>
    <w:rPr>
      <w:rFonts w:ascii="宋体" w:eastAsia="宋体" w:hAnsi="宋体" w:cs="宋体"/>
      <w:b/>
      <w:bCs/>
      <w:kern w:val="0"/>
      <w:sz w:val="27"/>
      <w:szCs w:val="27"/>
    </w:rPr>
  </w:style>
  <w:style w:type="character" w:customStyle="1" w:styleId="40">
    <w:name w:val="标题 4 字符"/>
    <w:basedOn w:val="a0"/>
    <w:link w:val="4"/>
    <w:uiPriority w:val="9"/>
    <w:rsid w:val="00355A07"/>
    <w:rPr>
      <w:rFonts w:ascii="宋体" w:eastAsia="宋体" w:hAnsi="宋体" w:cs="宋体"/>
      <w:b/>
      <w:bCs/>
      <w:kern w:val="0"/>
      <w:sz w:val="24"/>
      <w:szCs w:val="24"/>
    </w:rPr>
  </w:style>
  <w:style w:type="character" w:styleId="a3">
    <w:name w:val="Hyperlink"/>
    <w:basedOn w:val="a0"/>
    <w:uiPriority w:val="99"/>
    <w:semiHidden/>
    <w:unhideWhenUsed/>
    <w:rsid w:val="00355A07"/>
    <w:rPr>
      <w:color w:val="0000FF"/>
      <w:u w:val="single"/>
    </w:rPr>
  </w:style>
  <w:style w:type="character" w:customStyle="1" w:styleId="name">
    <w:name w:val="name"/>
    <w:basedOn w:val="a0"/>
    <w:rsid w:val="00355A07"/>
  </w:style>
  <w:style w:type="paragraph" w:styleId="a4">
    <w:name w:val="Normal (Web)"/>
    <w:basedOn w:val="a"/>
    <w:uiPriority w:val="99"/>
    <w:semiHidden/>
    <w:unhideWhenUsed/>
    <w:rsid w:val="00355A07"/>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355A07"/>
    <w:rPr>
      <w:i/>
      <w:iCs/>
    </w:rPr>
  </w:style>
  <w:style w:type="character" w:styleId="a6">
    <w:name w:val="Strong"/>
    <w:basedOn w:val="a0"/>
    <w:uiPriority w:val="22"/>
    <w:qFormat/>
    <w:rsid w:val="00355A07"/>
    <w:rPr>
      <w:b/>
      <w:bCs/>
    </w:rPr>
  </w:style>
  <w:style w:type="paragraph" w:customStyle="1" w:styleId="img-box">
    <w:name w:val="img-box"/>
    <w:basedOn w:val="a"/>
    <w:rsid w:val="00355A0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837835">
      <w:bodyDiv w:val="1"/>
      <w:marLeft w:val="0"/>
      <w:marRight w:val="0"/>
      <w:marTop w:val="0"/>
      <w:marBottom w:val="0"/>
      <w:divBdr>
        <w:top w:val="none" w:sz="0" w:space="0" w:color="auto"/>
        <w:left w:val="none" w:sz="0" w:space="0" w:color="auto"/>
        <w:bottom w:val="none" w:sz="0" w:space="0" w:color="auto"/>
        <w:right w:val="none" w:sz="0" w:space="0" w:color="auto"/>
      </w:divBdr>
      <w:divsChild>
        <w:div w:id="1310329523">
          <w:marLeft w:val="0"/>
          <w:marRight w:val="0"/>
          <w:marTop w:val="0"/>
          <w:marBottom w:val="0"/>
          <w:divBdr>
            <w:top w:val="none" w:sz="0" w:space="0" w:color="auto"/>
            <w:left w:val="none" w:sz="0" w:space="0" w:color="auto"/>
            <w:bottom w:val="none" w:sz="0" w:space="0" w:color="auto"/>
            <w:right w:val="none" w:sz="0" w:space="0" w:color="auto"/>
          </w:divBdr>
          <w:divsChild>
            <w:div w:id="1600677272">
              <w:marLeft w:val="0"/>
              <w:marRight w:val="0"/>
              <w:marTop w:val="225"/>
              <w:marBottom w:val="0"/>
              <w:divBdr>
                <w:top w:val="none" w:sz="0" w:space="0" w:color="auto"/>
                <w:left w:val="none" w:sz="0" w:space="0" w:color="auto"/>
                <w:bottom w:val="none" w:sz="0" w:space="0" w:color="auto"/>
                <w:right w:val="none" w:sz="0" w:space="0" w:color="auto"/>
              </w:divBdr>
            </w:div>
            <w:div w:id="1106999930">
              <w:marLeft w:val="0"/>
              <w:marRight w:val="0"/>
              <w:marTop w:val="0"/>
              <w:marBottom w:val="0"/>
              <w:divBdr>
                <w:top w:val="none" w:sz="0" w:space="0" w:color="auto"/>
                <w:left w:val="none" w:sz="0" w:space="0" w:color="auto"/>
                <w:bottom w:val="none" w:sz="0" w:space="0" w:color="auto"/>
                <w:right w:val="none" w:sz="0" w:space="0" w:color="auto"/>
              </w:divBdr>
            </w:div>
          </w:divsChild>
        </w:div>
        <w:div w:id="1846699956">
          <w:marLeft w:val="0"/>
          <w:marRight w:val="0"/>
          <w:marTop w:val="450"/>
          <w:marBottom w:val="0"/>
          <w:divBdr>
            <w:top w:val="none" w:sz="0" w:space="0" w:color="auto"/>
            <w:left w:val="none" w:sz="0" w:space="0" w:color="auto"/>
            <w:bottom w:val="none" w:sz="0" w:space="0" w:color="auto"/>
            <w:right w:val="none" w:sz="0" w:space="0" w:color="auto"/>
          </w:divBdr>
        </w:div>
        <w:div w:id="73206508">
          <w:marLeft w:val="0"/>
          <w:marRight w:val="0"/>
          <w:marTop w:val="450"/>
          <w:marBottom w:val="0"/>
          <w:divBdr>
            <w:top w:val="none" w:sz="0" w:space="0" w:color="auto"/>
            <w:left w:val="none" w:sz="0" w:space="0" w:color="auto"/>
            <w:bottom w:val="none" w:sz="0" w:space="0" w:color="auto"/>
            <w:right w:val="none" w:sz="0" w:space="0" w:color="auto"/>
          </w:divBdr>
        </w:div>
        <w:div w:id="169419480">
          <w:marLeft w:val="0"/>
          <w:marRight w:val="0"/>
          <w:marTop w:val="450"/>
          <w:marBottom w:val="0"/>
          <w:divBdr>
            <w:top w:val="none" w:sz="0" w:space="0" w:color="auto"/>
            <w:left w:val="none" w:sz="0" w:space="0" w:color="auto"/>
            <w:bottom w:val="none" w:sz="0" w:space="0" w:color="auto"/>
            <w:right w:val="none" w:sz="0" w:space="0" w:color="auto"/>
          </w:divBdr>
        </w:div>
        <w:div w:id="965696612">
          <w:marLeft w:val="0"/>
          <w:marRight w:val="0"/>
          <w:marTop w:val="450"/>
          <w:marBottom w:val="0"/>
          <w:divBdr>
            <w:top w:val="none" w:sz="0" w:space="0" w:color="auto"/>
            <w:left w:val="none" w:sz="0" w:space="0" w:color="auto"/>
            <w:bottom w:val="none" w:sz="0" w:space="0" w:color="auto"/>
            <w:right w:val="none" w:sz="0" w:space="0" w:color="auto"/>
          </w:divBdr>
        </w:div>
        <w:div w:id="31199014">
          <w:marLeft w:val="0"/>
          <w:marRight w:val="0"/>
          <w:marTop w:val="450"/>
          <w:marBottom w:val="0"/>
          <w:divBdr>
            <w:top w:val="none" w:sz="0" w:space="0" w:color="auto"/>
            <w:left w:val="none" w:sz="0" w:space="0" w:color="auto"/>
            <w:bottom w:val="none" w:sz="0" w:space="0" w:color="auto"/>
            <w:right w:val="none" w:sz="0" w:space="0" w:color="auto"/>
          </w:divBdr>
        </w:div>
        <w:div w:id="506528365">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6367574/" TargetMode="External"/><Relationship Id="rId18" Type="http://schemas.openxmlformats.org/officeDocument/2006/relationships/hyperlink" Target="https://pmc.ncbi.nlm.nih.gov/articles/PMC6367574/" TargetMode="External"/><Relationship Id="rId26" Type="http://schemas.openxmlformats.org/officeDocument/2006/relationships/hyperlink" Target="https://pmc.ncbi.nlm.nih.gov/articles/PMC6367574/" TargetMode="External"/><Relationship Id="rId39" Type="http://schemas.openxmlformats.org/officeDocument/2006/relationships/hyperlink" Target="https://www.ncbi.nlm.nih.gov/core/lw/2.0/html/tileshop_pmc/tileshop_pmc_inline.html?title=Click%20on%20image%20to%20zoom&amp;p=PMC3&amp;id=6367574_ijbsv15p0522g005.jpg" TargetMode="External"/><Relationship Id="rId21" Type="http://schemas.openxmlformats.org/officeDocument/2006/relationships/hyperlink" Target="https://pmc.ncbi.nlm.nih.gov/articles/PMC6367574/" TargetMode="External"/><Relationship Id="rId34" Type="http://schemas.openxmlformats.org/officeDocument/2006/relationships/hyperlink" Target="https://pmc.ncbi.nlm.nih.gov/articles/PMC6367574/" TargetMode="External"/><Relationship Id="rId42" Type="http://schemas.openxmlformats.org/officeDocument/2006/relationships/image" Target="media/image6.jpeg"/><Relationship Id="rId47" Type="http://schemas.openxmlformats.org/officeDocument/2006/relationships/hyperlink" Target="https://pmc.ncbi.nlm.nih.gov/articles/PMC6367574/" TargetMode="External"/><Relationship Id="rId50" Type="http://schemas.openxmlformats.org/officeDocument/2006/relationships/hyperlink" Target="https://pmc.ncbi.nlm.nih.gov/articles/PMC6367574/" TargetMode="External"/><Relationship Id="rId55" Type="http://schemas.openxmlformats.org/officeDocument/2006/relationships/theme" Target="theme/theme1.xml"/><Relationship Id="rId7" Type="http://schemas.openxmlformats.org/officeDocument/2006/relationships/hyperlink" Target="https://pmc.ncbi.nlm.nih.gov/articles/PMC6367574/" TargetMode="External"/><Relationship Id="rId2" Type="http://schemas.openxmlformats.org/officeDocument/2006/relationships/styles" Target="styles.xml"/><Relationship Id="rId16" Type="http://schemas.openxmlformats.org/officeDocument/2006/relationships/hyperlink" Target="https://pmc.ncbi.nlm.nih.gov/articles/PMC6367574/" TargetMode="External"/><Relationship Id="rId29" Type="http://schemas.openxmlformats.org/officeDocument/2006/relationships/hyperlink" Target="https://pmc.ncbi.nlm.nih.gov/articles/PMC6367574/" TargetMode="External"/><Relationship Id="rId11" Type="http://schemas.openxmlformats.org/officeDocument/2006/relationships/hyperlink" Target="https://pmc.ncbi.nlm.nih.gov/articles/PMC6367574/" TargetMode="External"/><Relationship Id="rId24" Type="http://schemas.openxmlformats.org/officeDocument/2006/relationships/hyperlink" Target="https://pmc.ncbi.nlm.nih.gov/articles/PMC6367574/" TargetMode="External"/><Relationship Id="rId32" Type="http://schemas.openxmlformats.org/officeDocument/2006/relationships/hyperlink" Target="https://www.ncbi.nlm.nih.gov/core/lw/2.0/html/tileshop_pmc/tileshop_pmc_inline.html?title=Click%20on%20image%20to%20zoom&amp;p=PMC3&amp;id=6367574_ijbsv15p0522g003.jpg" TargetMode="External"/><Relationship Id="rId37" Type="http://schemas.openxmlformats.org/officeDocument/2006/relationships/image" Target="media/image4.jpeg"/><Relationship Id="rId40" Type="http://schemas.openxmlformats.org/officeDocument/2006/relationships/image" Target="media/image5.jpeg"/><Relationship Id="rId45" Type="http://schemas.openxmlformats.org/officeDocument/2006/relationships/hyperlink" Target="https://pmc.ncbi.nlm.nih.gov/articles/PMC6367574/" TargetMode="External"/><Relationship Id="rId53" Type="http://schemas.openxmlformats.org/officeDocument/2006/relationships/hyperlink" Target="https://pmc.ncbi.nlm.nih.gov/articles/PMC6367574/" TargetMode="External"/><Relationship Id="rId5" Type="http://schemas.openxmlformats.org/officeDocument/2006/relationships/hyperlink" Target="https://pmc.ncbi.nlm.nih.gov/articles/PMC6367574/" TargetMode="External"/><Relationship Id="rId10" Type="http://schemas.openxmlformats.org/officeDocument/2006/relationships/hyperlink" Target="https://pmc.ncbi.nlm.nih.gov/articles/PMC6367574/" TargetMode="External"/><Relationship Id="rId19" Type="http://schemas.openxmlformats.org/officeDocument/2006/relationships/hyperlink" Target="https://pmc.ncbi.nlm.nih.gov/articles/PMC6367574/" TargetMode="External"/><Relationship Id="rId31" Type="http://schemas.openxmlformats.org/officeDocument/2006/relationships/image" Target="media/image2.jpeg"/><Relationship Id="rId44" Type="http://schemas.openxmlformats.org/officeDocument/2006/relationships/hyperlink" Target="https://pmc.ncbi.nlm.nih.gov/articles/PMC6367574/" TargetMode="External"/><Relationship Id="rId52" Type="http://schemas.openxmlformats.org/officeDocument/2006/relationships/hyperlink" Target="https://pmc.ncbi.nlm.nih.gov/articles/PMC6367574/" TargetMode="External"/><Relationship Id="rId4" Type="http://schemas.openxmlformats.org/officeDocument/2006/relationships/webSettings" Target="webSettings.xml"/><Relationship Id="rId9" Type="http://schemas.openxmlformats.org/officeDocument/2006/relationships/hyperlink" Target="https://pmc.ncbi.nlm.nih.gov/articles/PMC6367574/" TargetMode="External"/><Relationship Id="rId14" Type="http://schemas.openxmlformats.org/officeDocument/2006/relationships/hyperlink" Target="https://pmc.ncbi.nlm.nih.gov/articles/PMC6367574/" TargetMode="External"/><Relationship Id="rId22" Type="http://schemas.openxmlformats.org/officeDocument/2006/relationships/hyperlink" Target="https://www.ncbi.nlm.nih.gov/core/lw/2.0/html/tileshop_pmc/tileshop_pmc_inline.html?title=Click%20on%20image%20to%20zoom&amp;p=PMC3&amp;id=6367574_ijbsv15p0522g001.jpg" TargetMode="External"/><Relationship Id="rId27" Type="http://schemas.openxmlformats.org/officeDocument/2006/relationships/hyperlink" Target="https://pmc.ncbi.nlm.nih.gov/articles/PMC6367574/" TargetMode="External"/><Relationship Id="rId30" Type="http://schemas.openxmlformats.org/officeDocument/2006/relationships/hyperlink" Target="https://www.ncbi.nlm.nih.gov/core/lw/2.0/html/tileshop_pmc/tileshop_pmc_inline.html?title=Click%20on%20image%20to%20zoom&amp;p=PMC3&amp;id=6367574_ijbsv15p0522g002.jpg" TargetMode="External"/><Relationship Id="rId35" Type="http://schemas.openxmlformats.org/officeDocument/2006/relationships/hyperlink" Target="https://pmc.ncbi.nlm.nih.gov/articles/PMC6367574/" TargetMode="External"/><Relationship Id="rId43" Type="http://schemas.openxmlformats.org/officeDocument/2006/relationships/hyperlink" Target="https://pmc.ncbi.nlm.nih.gov/articles/PMC6367574/" TargetMode="External"/><Relationship Id="rId48" Type="http://schemas.openxmlformats.org/officeDocument/2006/relationships/hyperlink" Target="https://pmc.ncbi.nlm.nih.gov/articles/PMC6367574/" TargetMode="External"/><Relationship Id="rId8" Type="http://schemas.openxmlformats.org/officeDocument/2006/relationships/hyperlink" Target="https://pmc.ncbi.nlm.nih.gov/articles/PMC6367574/" TargetMode="External"/><Relationship Id="rId51" Type="http://schemas.openxmlformats.org/officeDocument/2006/relationships/hyperlink" Target="https://pmc.ncbi.nlm.nih.gov/articles/PMC6367574/" TargetMode="External"/><Relationship Id="rId3" Type="http://schemas.openxmlformats.org/officeDocument/2006/relationships/settings" Target="settings.xml"/><Relationship Id="rId12" Type="http://schemas.openxmlformats.org/officeDocument/2006/relationships/hyperlink" Target="https://pmc.ncbi.nlm.nih.gov/articles/PMC6367574/" TargetMode="External"/><Relationship Id="rId17" Type="http://schemas.openxmlformats.org/officeDocument/2006/relationships/hyperlink" Target="https://pmc.ncbi.nlm.nih.gov/articles/PMC6367574/" TargetMode="External"/><Relationship Id="rId25" Type="http://schemas.openxmlformats.org/officeDocument/2006/relationships/hyperlink" Target="https://pmc.ncbi.nlm.nih.gov/articles/PMC6367574/" TargetMode="External"/><Relationship Id="rId33" Type="http://schemas.openxmlformats.org/officeDocument/2006/relationships/image" Target="media/image3.jpeg"/><Relationship Id="rId38" Type="http://schemas.openxmlformats.org/officeDocument/2006/relationships/hyperlink" Target="https://pmc.ncbi.nlm.nih.gov/articles/PMC6367574/" TargetMode="External"/><Relationship Id="rId46" Type="http://schemas.openxmlformats.org/officeDocument/2006/relationships/hyperlink" Target="https://pmc.ncbi.nlm.nih.gov/articles/PMC6367574/" TargetMode="External"/><Relationship Id="rId20" Type="http://schemas.openxmlformats.org/officeDocument/2006/relationships/hyperlink" Target="https://pmc.ncbi.nlm.nih.gov/articles/PMC6367574/" TargetMode="External"/><Relationship Id="rId41" Type="http://schemas.openxmlformats.org/officeDocument/2006/relationships/hyperlink" Target="https://www.ncbi.nlm.nih.gov/core/lw/2.0/html/tileshop_pmc/tileshop_pmc_inline.html?title=Click%20on%20image%20to%20zoom&amp;p=PMC3&amp;id=6367574_ijbsv15p0522g006.jpg"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pmc.ncbi.nlm.nih.gov/articles/PMC6367574/" TargetMode="External"/><Relationship Id="rId15" Type="http://schemas.openxmlformats.org/officeDocument/2006/relationships/hyperlink" Target="https://pmc.ncbi.nlm.nih.gov/articles/PMC6367574/" TargetMode="External"/><Relationship Id="rId23" Type="http://schemas.openxmlformats.org/officeDocument/2006/relationships/image" Target="media/image1.jpeg"/><Relationship Id="rId28" Type="http://schemas.openxmlformats.org/officeDocument/2006/relationships/hyperlink" Target="https://pmc.ncbi.nlm.nih.gov/articles/PMC6367574/" TargetMode="External"/><Relationship Id="rId36" Type="http://schemas.openxmlformats.org/officeDocument/2006/relationships/hyperlink" Target="https://www.ncbi.nlm.nih.gov/core/lw/2.0/html/tileshop_pmc/tileshop_pmc_inline.html?title=Click%20on%20image%20to%20zoom&amp;p=PMC3&amp;id=6367574_ijbsv15p0522g004.jpg" TargetMode="External"/><Relationship Id="rId49" Type="http://schemas.openxmlformats.org/officeDocument/2006/relationships/hyperlink" Target="https://pmc.ncbi.nlm.nih.gov/articles/PMC636757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2843</Words>
  <Characters>16210</Characters>
  <Application>Microsoft Office Word</Application>
  <DocSecurity>0</DocSecurity>
  <Lines>135</Lines>
  <Paragraphs>38</Paragraphs>
  <ScaleCrop>false</ScaleCrop>
  <Company/>
  <LinksUpToDate>false</LinksUpToDate>
  <CharactersWithSpaces>19015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2026-01-11T06:38:00Z</dcterms:created>
  <dcterms:modified xsi:type="dcterms:W3CDTF">2026-01-11T06:41:00Z</dcterms:modified>
</cp:coreProperties>
</file>