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522B60" w14:textId="77777777" w:rsidR="00891DA8" w:rsidRPr="00891DA8" w:rsidRDefault="00891DA8" w:rsidP="00891DA8">
      <w:pPr>
        <w:widowControl/>
        <w:spacing w:line="450" w:lineRule="atLeast"/>
        <w:outlineLvl w:val="0"/>
        <w:rPr>
          <w:rFonts w:ascii="微软雅黑" w:eastAsia="微软雅黑" w:hAnsi="微软雅黑" w:cs="宋体"/>
          <w:b/>
          <w:bCs/>
          <w:kern w:val="36"/>
          <w:sz w:val="36"/>
          <w:szCs w:val="36"/>
        </w:rPr>
      </w:pPr>
      <w:r w:rsidRPr="00891DA8">
        <w:rPr>
          <w:rFonts w:ascii="微软雅黑" w:eastAsia="微软雅黑" w:hAnsi="微软雅黑" w:cs="宋体"/>
          <w:b/>
          <w:bCs/>
          <w:kern w:val="36"/>
          <w:sz w:val="36"/>
          <w:szCs w:val="36"/>
        </w:rPr>
        <w:t>靶向雌激素受体阳性乳腺癌中的细胞周期蛋白依赖性激酶（CDK）4/6</w:t>
      </w:r>
    </w:p>
    <w:p w14:paraId="1C8836B5" w14:textId="0C318BAB" w:rsidR="00891DA8" w:rsidRPr="00891DA8" w:rsidRDefault="00891DA8" w:rsidP="00891DA8">
      <w:pPr>
        <w:widowControl/>
        <w:pBdr>
          <w:bottom w:val="single" w:sz="6" w:space="0" w:color="97B1C8"/>
        </w:pBdr>
        <w:spacing w:line="450" w:lineRule="atLeast"/>
        <w:outlineLvl w:val="1"/>
        <w:rPr>
          <w:rFonts w:ascii="微软雅黑" w:eastAsia="微软雅黑" w:hAnsi="微软雅黑" w:cs="宋体"/>
          <w:kern w:val="0"/>
          <w:sz w:val="34"/>
          <w:szCs w:val="34"/>
        </w:rPr>
      </w:pPr>
      <w:r w:rsidRPr="00E217B9">
        <w:rPr>
          <w:rFonts w:ascii="微软雅黑" w:eastAsia="微软雅黑" w:hAnsi="微软雅黑" w:cs="宋体" w:hint="eastAsia"/>
          <w:kern w:val="0"/>
          <w:sz w:val="34"/>
          <w:szCs w:val="34"/>
        </w:rPr>
        <w:t>摘要</w:t>
      </w:r>
    </w:p>
    <w:p w14:paraId="30A78B88"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尽管早期检测和治疗取得了显著进展，乳腺癌仍然是女性发病和死亡的主要原因之一。过去十年，我们对乳腺癌分子异质性的认识显著加深，细胞周期信号在乳腺癌发生和抗雌激素耐药中的作用日益受到关注。哺乳动物细胞周期由细胞周期蛋白及其相关的细胞周期蛋白依赖性激酶（CDK）伴侣之间复杂的相互作用驱动，而这一过程的失调是癌症的标志之一。尽管如此，广谱CDK抑制剂的早期疗效却令人失望。然而，近期使用新型口服可逆CDK4/6抑制剂帕博西尼（PD-0332991）开展的临床前和I/II期临床试验证实了CDK4/6作为雌激素受体阳性（ER+）乳腺癌潜在靶点的作用。这篇综述重点介绍了我们目前对正常和恶性乳腺组织中 CDK 信号传导的理解，特别关注了 ER+ 疾病中 CDK4/6 抑制的最新临床进展。</w:t>
      </w:r>
    </w:p>
    <w:p w14:paraId="26A0A8B7" w14:textId="77777777" w:rsidR="00891DA8" w:rsidRPr="00891DA8" w:rsidRDefault="00891DA8" w:rsidP="00891DA8">
      <w:pPr>
        <w:widowControl/>
        <w:pBdr>
          <w:bottom w:val="single" w:sz="6" w:space="0" w:color="97B1C8"/>
        </w:pBdr>
        <w:spacing w:line="450" w:lineRule="atLeast"/>
        <w:outlineLvl w:val="1"/>
        <w:rPr>
          <w:rFonts w:ascii="微软雅黑" w:eastAsia="微软雅黑" w:hAnsi="微软雅黑" w:cs="宋体"/>
          <w:kern w:val="0"/>
          <w:sz w:val="34"/>
          <w:szCs w:val="34"/>
        </w:rPr>
      </w:pPr>
      <w:r w:rsidRPr="00891DA8">
        <w:rPr>
          <w:rFonts w:ascii="微软雅黑" w:eastAsia="微软雅黑" w:hAnsi="微软雅黑" w:cs="宋体"/>
          <w:kern w:val="0"/>
          <w:sz w:val="34"/>
          <w:szCs w:val="34"/>
        </w:rPr>
        <w:t>背景</w:t>
      </w:r>
    </w:p>
    <w:p w14:paraId="7C7532D1"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乳腺癌是一种全球性疾病，每年新增病例超过130万例，占所有恶性肿瘤的23%以上[ </w:t>
      </w:r>
      <w:hyperlink r:id="rId5" w:anchor="CR1" w:history="1">
        <w:r w:rsidRPr="00891DA8">
          <w:rPr>
            <w:rFonts w:ascii="微软雅黑" w:eastAsia="微软雅黑" w:hAnsi="微软雅黑" w:cs="宋体"/>
            <w:kern w:val="0"/>
            <w:sz w:val="24"/>
            <w:szCs w:val="24"/>
            <w:u w:val="single"/>
          </w:rPr>
          <w:t>1</w:t>
        </w:r>
      </w:hyperlink>
      <w:r w:rsidRPr="00891DA8">
        <w:rPr>
          <w:rFonts w:ascii="微软雅黑" w:eastAsia="微软雅黑" w:hAnsi="微软雅黑" w:cs="宋体"/>
          <w:kern w:val="0"/>
          <w:sz w:val="24"/>
          <w:szCs w:val="24"/>
        </w:rPr>
        <w:t> ]。我们对乳腺癌特定亚</w:t>
      </w:r>
      <w:proofErr w:type="gramStart"/>
      <w:r w:rsidRPr="00891DA8">
        <w:rPr>
          <w:rFonts w:ascii="微软雅黑" w:eastAsia="微软雅黑" w:hAnsi="微软雅黑" w:cs="宋体"/>
          <w:kern w:val="0"/>
          <w:sz w:val="24"/>
          <w:szCs w:val="24"/>
        </w:rPr>
        <w:t>型分子</w:t>
      </w:r>
      <w:proofErr w:type="gramEnd"/>
      <w:r w:rsidRPr="00891DA8">
        <w:rPr>
          <w:rFonts w:ascii="微软雅黑" w:eastAsia="微软雅黑" w:hAnsi="微软雅黑" w:cs="宋体"/>
          <w:kern w:val="0"/>
          <w:sz w:val="24"/>
          <w:szCs w:val="24"/>
        </w:rPr>
        <w:t>多样性和驱动因素的认识，为靶</w:t>
      </w:r>
      <w:proofErr w:type="gramStart"/>
      <w:r w:rsidRPr="00891DA8">
        <w:rPr>
          <w:rFonts w:ascii="微软雅黑" w:eastAsia="微软雅黑" w:hAnsi="微软雅黑" w:cs="宋体"/>
          <w:kern w:val="0"/>
          <w:sz w:val="24"/>
          <w:szCs w:val="24"/>
        </w:rPr>
        <w:t>向药物</w:t>
      </w:r>
      <w:proofErr w:type="gramEnd"/>
      <w:r w:rsidRPr="00891DA8">
        <w:rPr>
          <w:rFonts w:ascii="微软雅黑" w:eastAsia="微软雅黑" w:hAnsi="微软雅黑" w:cs="宋体"/>
          <w:kern w:val="0"/>
          <w:sz w:val="24"/>
          <w:szCs w:val="24"/>
        </w:rPr>
        <w:t>的合理设计和临床开发铺平了道路。这些药物旨在提高疗效，同时避免许多与化疗相关的传统毒性。抗雌激素和HER2靶</w:t>
      </w:r>
      <w:proofErr w:type="gramStart"/>
      <w:r w:rsidRPr="00891DA8">
        <w:rPr>
          <w:rFonts w:ascii="微软雅黑" w:eastAsia="微软雅黑" w:hAnsi="微软雅黑" w:cs="宋体"/>
          <w:kern w:val="0"/>
          <w:sz w:val="24"/>
          <w:szCs w:val="24"/>
        </w:rPr>
        <w:t>向药物</w:t>
      </w:r>
      <w:proofErr w:type="gramEnd"/>
      <w:r w:rsidRPr="00891DA8">
        <w:rPr>
          <w:rFonts w:ascii="微软雅黑" w:eastAsia="微软雅黑" w:hAnsi="微软雅黑" w:cs="宋体"/>
          <w:kern w:val="0"/>
          <w:sz w:val="24"/>
          <w:szCs w:val="24"/>
        </w:rPr>
        <w:t>的研发已充分证明了这种方法的成功，分别用于治疗激素受体阳性乳腺癌和HER2扩增型乳腺癌。尽管我们的治疗手段取得了这些进展，但许多患者仍然会对靶向和</w:t>
      </w:r>
      <w:proofErr w:type="gramStart"/>
      <w:r w:rsidRPr="00891DA8">
        <w:rPr>
          <w:rFonts w:ascii="微软雅黑" w:eastAsia="微软雅黑" w:hAnsi="微软雅黑" w:cs="宋体"/>
          <w:kern w:val="0"/>
          <w:sz w:val="24"/>
          <w:szCs w:val="24"/>
        </w:rPr>
        <w:t>非靶向治疗</w:t>
      </w:r>
      <w:proofErr w:type="gramEnd"/>
      <w:r w:rsidRPr="00891DA8">
        <w:rPr>
          <w:rFonts w:ascii="微软雅黑" w:eastAsia="微软雅黑" w:hAnsi="微软雅黑" w:cs="宋体"/>
          <w:kern w:val="0"/>
          <w:sz w:val="24"/>
          <w:szCs w:val="24"/>
        </w:rPr>
        <w:t>产生耐药性，最终发展为致命性疾病，这凸显了开发新的治疗方法的必要性。</w:t>
      </w:r>
    </w:p>
    <w:p w14:paraId="372B80ED"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lastRenderedPageBreak/>
        <w:t>大约40年前，Lee Hartwell利用温度敏感型酵母突变体首次鉴定出细胞分裂周期（CDC）基因是细胞分裂的关键调控因子[ </w:t>
      </w:r>
      <w:hyperlink r:id="rId6" w:anchor="CR2" w:history="1">
        <w:r w:rsidRPr="00891DA8">
          <w:rPr>
            <w:rFonts w:ascii="微软雅黑" w:eastAsia="微软雅黑" w:hAnsi="微软雅黑" w:cs="宋体"/>
            <w:kern w:val="0"/>
            <w:sz w:val="24"/>
            <w:szCs w:val="24"/>
            <w:u w:val="single"/>
          </w:rPr>
          <w:t>2</w:t>
        </w:r>
      </w:hyperlink>
      <w:r w:rsidRPr="00891DA8">
        <w:rPr>
          <w:rFonts w:ascii="微软雅黑" w:eastAsia="微软雅黑" w:hAnsi="微软雅黑" w:cs="宋体"/>
          <w:kern w:val="0"/>
          <w:sz w:val="24"/>
          <w:szCs w:val="24"/>
        </w:rPr>
        <w:t> ]。随后，Paul Nurse发现了这些基因的人类同源基因，并将该家族命名为细胞周期蛋白依赖性激酶（CDK）[ </w:t>
      </w:r>
      <w:hyperlink r:id="rId7" w:anchor="CR3" w:history="1">
        <w:r w:rsidRPr="00891DA8">
          <w:rPr>
            <w:rFonts w:ascii="微软雅黑" w:eastAsia="微软雅黑" w:hAnsi="微软雅黑" w:cs="宋体"/>
            <w:kern w:val="0"/>
            <w:sz w:val="24"/>
            <w:szCs w:val="24"/>
            <w:u w:val="single"/>
          </w:rPr>
          <w:t>3</w:t>
        </w:r>
      </w:hyperlink>
      <w:r w:rsidRPr="00891DA8">
        <w:rPr>
          <w:rFonts w:ascii="微软雅黑" w:eastAsia="微软雅黑" w:hAnsi="微软雅黑" w:cs="宋体"/>
          <w:kern w:val="0"/>
          <w:sz w:val="24"/>
          <w:szCs w:val="24"/>
        </w:rPr>
        <w:t> ]。20世纪80年代初，Tim Hunt在研究海胆</w:t>
      </w:r>
      <w:proofErr w:type="gramStart"/>
      <w:r w:rsidRPr="00891DA8">
        <w:rPr>
          <w:rFonts w:ascii="微软雅黑" w:eastAsia="微软雅黑" w:hAnsi="微软雅黑" w:cs="宋体"/>
          <w:kern w:val="0"/>
          <w:sz w:val="24"/>
          <w:szCs w:val="24"/>
        </w:rPr>
        <w:t>卵</w:t>
      </w:r>
      <w:proofErr w:type="gramEnd"/>
      <w:r w:rsidRPr="00891DA8">
        <w:rPr>
          <w:rFonts w:ascii="微软雅黑" w:eastAsia="微软雅黑" w:hAnsi="微软雅黑" w:cs="宋体"/>
          <w:kern w:val="0"/>
          <w:sz w:val="24"/>
          <w:szCs w:val="24"/>
        </w:rPr>
        <w:t>分裂时发现了细胞周期蛋白分子[ </w:t>
      </w:r>
      <w:hyperlink r:id="rId8" w:anchor="CR4" w:history="1">
        <w:r w:rsidRPr="00891DA8">
          <w:rPr>
            <w:rFonts w:ascii="微软雅黑" w:eastAsia="微软雅黑" w:hAnsi="微软雅黑" w:cs="宋体"/>
            <w:kern w:val="0"/>
            <w:sz w:val="24"/>
            <w:szCs w:val="24"/>
            <w:u w:val="single"/>
          </w:rPr>
          <w:t>4</w:t>
        </w:r>
      </w:hyperlink>
      <w:r w:rsidRPr="00891DA8">
        <w:rPr>
          <w:rFonts w:ascii="微软雅黑" w:eastAsia="微软雅黑" w:hAnsi="微软雅黑" w:cs="宋体"/>
          <w:kern w:val="0"/>
          <w:sz w:val="24"/>
          <w:szCs w:val="24"/>
        </w:rPr>
        <w:t> ]。这些分子因其周期性结构而被命名，并被发现对CDK蛋白的结合和激活起着重要作用。如今，人们认识到这一关键的激活因子和激酶组合在细胞分裂调控中起着核心作用，这些重要成就获得了2001年诺贝尔生理学或医学奖的认可。目前，细胞周期被视为一系列有序的阶段（G1、S、G2、M）的进程，其中各种细胞周期蛋白/CDK组合对于调控这一过程至关重要。基于这些关键性观察，多项研究已将细胞周期生物学的改变与癌症联系起来。在乳腺癌中，已发现多种细胞周期调控蛋白的改变，包括各种细胞周期蛋白、CDK 和</w:t>
      </w:r>
      <w:r w:rsidRPr="00891DA8">
        <w:rPr>
          <w:rFonts w:ascii="微软雅黑" w:eastAsia="微软雅黑" w:hAnsi="微软雅黑" w:cs="宋体"/>
          <w:i/>
          <w:iCs/>
          <w:kern w:val="0"/>
          <w:sz w:val="24"/>
          <w:szCs w:val="24"/>
        </w:rPr>
        <w:t>RB</w:t>
      </w:r>
      <w:r w:rsidRPr="00891DA8">
        <w:rPr>
          <w:rFonts w:ascii="微软雅黑" w:eastAsia="微软雅黑" w:hAnsi="微软雅黑" w:cs="宋体"/>
          <w:kern w:val="0"/>
          <w:sz w:val="24"/>
          <w:szCs w:val="24"/>
        </w:rPr>
        <w:t>基因产物 (</w:t>
      </w:r>
      <w:proofErr w:type="spellStart"/>
      <w:r w:rsidRPr="00891DA8">
        <w:rPr>
          <w:rFonts w:ascii="微软雅黑" w:eastAsia="微软雅黑" w:hAnsi="微软雅黑" w:cs="宋体"/>
          <w:kern w:val="0"/>
          <w:sz w:val="24"/>
          <w:szCs w:val="24"/>
        </w:rPr>
        <w:t>pRb</w:t>
      </w:r>
      <w:proofErr w:type="spellEnd"/>
      <w:r w:rsidRPr="00891DA8">
        <w:rPr>
          <w:rFonts w:ascii="微软雅黑" w:eastAsia="微软雅黑" w:hAnsi="微软雅黑" w:cs="宋体"/>
          <w:kern w:val="0"/>
          <w:sz w:val="24"/>
          <w:szCs w:val="24"/>
        </w:rPr>
        <w:t>) [ </w:t>
      </w:r>
      <w:hyperlink r:id="rId9" w:anchor="CR5" w:history="1">
        <w:r w:rsidRPr="00891DA8">
          <w:rPr>
            <w:rFonts w:ascii="微软雅黑" w:eastAsia="微软雅黑" w:hAnsi="微软雅黑" w:cs="宋体"/>
            <w:kern w:val="0"/>
            <w:sz w:val="24"/>
            <w:szCs w:val="24"/>
            <w:u w:val="single"/>
          </w:rPr>
          <w:t>5-7</w:t>
        </w:r>
      </w:hyperlink>
      <w:r w:rsidRPr="00891DA8">
        <w:rPr>
          <w:rFonts w:ascii="微软雅黑" w:eastAsia="微软雅黑" w:hAnsi="微软雅黑" w:cs="宋体"/>
          <w:kern w:val="0"/>
          <w:sz w:val="24"/>
          <w:szCs w:val="24"/>
        </w:rPr>
        <w:t> ] 。证据表明，细胞周期蛋白 D1:CDK4/6 轴的失调在乳腺癌中发挥作用，一些肿瘤中细胞周期蛋白 D1 过表达 [ </w:t>
      </w:r>
      <w:hyperlink r:id="rId10" w:anchor="CR7" w:history="1">
        <w:r w:rsidRPr="00891DA8">
          <w:rPr>
            <w:rFonts w:ascii="微软雅黑" w:eastAsia="微软雅黑" w:hAnsi="微软雅黑" w:cs="宋体"/>
            <w:kern w:val="0"/>
            <w:sz w:val="24"/>
            <w:szCs w:val="24"/>
            <w:u w:val="single"/>
          </w:rPr>
          <w:t>5</w:t>
        </w:r>
      </w:hyperlink>
      <w:r w:rsidRPr="00891DA8">
        <w:rPr>
          <w:rFonts w:ascii="微软雅黑" w:eastAsia="微软雅黑" w:hAnsi="微软雅黑" w:cs="宋体"/>
          <w:kern w:val="0"/>
          <w:sz w:val="24"/>
          <w:szCs w:val="24"/>
        </w:rPr>
        <w:t> ]。此外，虽然 CDK4 和细胞周期蛋白 D1 并非正常乳腺发育所必需，但它们却是小鼠模型中乳腺恶性肿瘤诱导所必需的，这提示 CDK4 抑制剂可能在抑制乳腺癌细胞的同时，不损伤健康组织 [ </w:t>
      </w:r>
      <w:hyperlink r:id="rId11" w:anchor="CR5" w:history="1">
        <w:r w:rsidRPr="00891DA8">
          <w:rPr>
            <w:rFonts w:ascii="微软雅黑" w:eastAsia="微软雅黑" w:hAnsi="微软雅黑" w:cs="宋体"/>
            <w:kern w:val="0"/>
            <w:sz w:val="24"/>
            <w:szCs w:val="24"/>
            <w:u w:val="single"/>
          </w:rPr>
          <w:t>6 </w:t>
        </w:r>
      </w:hyperlink>
      <w:hyperlink r:id="rId12" w:anchor="CR6" w:history="1">
        <w:r w:rsidRPr="00891DA8">
          <w:rPr>
            <w:rFonts w:ascii="微软雅黑" w:eastAsia="微软雅黑" w:hAnsi="微软雅黑" w:cs="宋体"/>
            <w:kern w:val="0"/>
            <w:sz w:val="24"/>
            <w:szCs w:val="24"/>
            <w:u w:val="single"/>
          </w:rPr>
          <w:t>,</w:t>
        </w:r>
      </w:hyperlink>
      <w:r w:rsidRPr="00891DA8">
        <w:rPr>
          <w:rFonts w:ascii="微软雅黑" w:eastAsia="微软雅黑" w:hAnsi="微软雅黑" w:cs="宋体"/>
          <w:kern w:val="0"/>
          <w:sz w:val="24"/>
          <w:szCs w:val="24"/>
        </w:rPr>
        <w:t> 7 </w:t>
      </w:r>
      <w:hyperlink r:id="rId13" w:anchor="CR7" w:history="1">
        <w:r w:rsidRPr="00891DA8">
          <w:rPr>
            <w:rFonts w:ascii="微软雅黑" w:eastAsia="微软雅黑" w:hAnsi="微软雅黑" w:cs="宋体"/>
            <w:kern w:val="0"/>
            <w:sz w:val="24"/>
            <w:szCs w:val="24"/>
            <w:u w:val="single"/>
          </w:rPr>
          <w:t>]</w:t>
        </w:r>
      </w:hyperlink>
      <w:r w:rsidRPr="00891DA8">
        <w:rPr>
          <w:rFonts w:ascii="微软雅黑" w:eastAsia="微软雅黑" w:hAnsi="微软雅黑" w:cs="宋体"/>
          <w:kern w:val="0"/>
          <w:sz w:val="24"/>
          <w:szCs w:val="24"/>
        </w:rPr>
        <w:t xml:space="preserve">。上述数据似乎表明，在癌症中，通过药物抑制细胞周期蛋白 D1:CDK4/6 </w:t>
      </w:r>
      <w:proofErr w:type="gramStart"/>
      <w:r w:rsidRPr="00891DA8">
        <w:rPr>
          <w:rFonts w:ascii="微软雅黑" w:eastAsia="微软雅黑" w:hAnsi="微软雅黑" w:cs="宋体"/>
          <w:kern w:val="0"/>
          <w:sz w:val="24"/>
          <w:szCs w:val="24"/>
        </w:rPr>
        <w:t>轴可能</w:t>
      </w:r>
      <w:proofErr w:type="gramEnd"/>
      <w:r w:rsidRPr="00891DA8">
        <w:rPr>
          <w:rFonts w:ascii="微软雅黑" w:eastAsia="微软雅黑" w:hAnsi="微软雅黑" w:cs="宋体"/>
          <w:kern w:val="0"/>
          <w:sz w:val="24"/>
          <w:szCs w:val="24"/>
        </w:rPr>
        <w:t>既有效又相对无毒。然而，第一代广谱 CDK 抑制剂的早期临床经验令人失望，疗效不佳且毒性显著，这引发了人们的疑问：这些药物的失败是由于化合物的药理学特性和/或特异性较差，还是 CDK 信号通路在癌症中的作用并非至关重要？此外，缺乏合适的患者选择和/或缺乏预测疗效的标志物也可能是导致早期临床失败的原因。近年来，更具特异性的 CDK 抑制剂的研发重新激发了人们对靶向细胞周期作为癌症新型治疗方法的兴趣。在一系列使用人乳腺癌细胞系</w:t>
      </w:r>
      <w:r w:rsidRPr="00891DA8">
        <w:rPr>
          <w:rFonts w:ascii="微软雅黑" w:eastAsia="微软雅黑" w:hAnsi="微软雅黑" w:cs="宋体"/>
          <w:kern w:val="0"/>
          <w:sz w:val="24"/>
          <w:szCs w:val="24"/>
        </w:rPr>
        <w:lastRenderedPageBreak/>
        <w:t>模型的临床前研究中，我们证实了帕博西尼（PD-0332991）具有显著的生长抑制活性，帕博西尼是一种高选择性的 CDK4/6 抑制剂[ </w:t>
      </w:r>
      <w:hyperlink r:id="rId14" w:anchor="CR8" w:history="1">
        <w:r w:rsidRPr="00891DA8">
          <w:rPr>
            <w:rFonts w:ascii="微软雅黑" w:eastAsia="微软雅黑" w:hAnsi="微软雅黑" w:cs="宋体"/>
            <w:kern w:val="0"/>
            <w:sz w:val="24"/>
            <w:szCs w:val="24"/>
            <w:u w:val="single"/>
          </w:rPr>
          <w:t>8]。</w:t>
        </w:r>
      </w:hyperlink>
      <w:r w:rsidRPr="00891DA8">
        <w:rPr>
          <w:rFonts w:ascii="微软雅黑" w:eastAsia="微软雅黑" w:hAnsi="微软雅黑" w:cs="宋体"/>
          <w:kern w:val="0"/>
          <w:sz w:val="24"/>
          <w:szCs w:val="24"/>
        </w:rPr>
        <w:t>] 这些观察结果随后被逻辑地转化为 I/II 期临床研究，该研究现已证明对晚期雌激素受体阳性 (ER+) 乳腺癌患者具有显著的临床活性 [ </w:t>
      </w:r>
      <w:hyperlink r:id="rId15" w:anchor="CR9" w:history="1">
        <w:r w:rsidRPr="00891DA8">
          <w:rPr>
            <w:rFonts w:ascii="微软雅黑" w:eastAsia="微软雅黑" w:hAnsi="微软雅黑" w:cs="宋体"/>
            <w:kern w:val="0"/>
            <w:sz w:val="24"/>
            <w:szCs w:val="24"/>
            <w:u w:val="single"/>
          </w:rPr>
          <w:t>9</w:t>
        </w:r>
      </w:hyperlink>
      <w:r w:rsidRPr="00891DA8">
        <w:rPr>
          <w:rFonts w:ascii="微软雅黑" w:eastAsia="微软雅黑" w:hAnsi="微软雅黑" w:cs="宋体"/>
          <w:kern w:val="0"/>
          <w:sz w:val="24"/>
          <w:szCs w:val="24"/>
        </w:rPr>
        <w:t> ]。</w:t>
      </w:r>
    </w:p>
    <w:p w14:paraId="1AFDC776"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本文进一步阐述了细胞周期蛋白：CDK活性在细胞周期调控中的作用，并重点关注细胞周期蛋白D：CDK4/6活性在正常组织和恶性组织中的核心作用。最后，我们讨论了CDK抑制剂的临床前和临床应用经验，尤其侧重于选择性CDK4/6抑制剂。</w:t>
      </w:r>
    </w:p>
    <w:p w14:paraId="14D9B8A9" w14:textId="77777777" w:rsidR="00891DA8" w:rsidRPr="00891DA8" w:rsidRDefault="00891DA8" w:rsidP="00891DA8">
      <w:pPr>
        <w:widowControl/>
        <w:pBdr>
          <w:bottom w:val="single" w:sz="6" w:space="0" w:color="97B1C8"/>
        </w:pBdr>
        <w:spacing w:line="450" w:lineRule="atLeast"/>
        <w:outlineLvl w:val="1"/>
        <w:rPr>
          <w:rFonts w:ascii="微软雅黑" w:eastAsia="微软雅黑" w:hAnsi="微软雅黑" w:cs="宋体"/>
          <w:kern w:val="0"/>
          <w:sz w:val="34"/>
          <w:szCs w:val="34"/>
        </w:rPr>
      </w:pPr>
      <w:r w:rsidRPr="00891DA8">
        <w:rPr>
          <w:rFonts w:ascii="微软雅黑" w:eastAsia="微软雅黑" w:hAnsi="微软雅黑" w:cs="宋体"/>
          <w:kern w:val="0"/>
          <w:sz w:val="34"/>
          <w:szCs w:val="34"/>
        </w:rPr>
        <w:t>CDK4/6在细胞周期调控中的作用</w:t>
      </w:r>
    </w:p>
    <w:p w14:paraId="7F8DE71C"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细胞周期的基本调控框架已在文献中得到广泛的研究和报道。其他文献[ </w:t>
      </w:r>
      <w:hyperlink r:id="rId16" w:anchor="CR10" w:history="1">
        <w:r w:rsidRPr="00891DA8">
          <w:rPr>
            <w:rFonts w:ascii="微软雅黑" w:eastAsia="微软雅黑" w:hAnsi="微软雅黑" w:cs="宋体"/>
            <w:kern w:val="0"/>
            <w:sz w:val="24"/>
            <w:szCs w:val="24"/>
            <w:u w:val="single"/>
          </w:rPr>
          <w:t>10</w:t>
        </w:r>
      </w:hyperlink>
      <w:r w:rsidRPr="00891DA8">
        <w:rPr>
          <w:rFonts w:ascii="微软雅黑" w:eastAsia="微软雅黑" w:hAnsi="微软雅黑" w:cs="宋体"/>
          <w:kern w:val="0"/>
          <w:sz w:val="24"/>
          <w:szCs w:val="24"/>
        </w:rPr>
        <w:t> , </w:t>
      </w:r>
      <w:hyperlink r:id="rId17" w:anchor="CR11" w:history="1">
        <w:r w:rsidRPr="00891DA8">
          <w:rPr>
            <w:rFonts w:ascii="微软雅黑" w:eastAsia="微软雅黑" w:hAnsi="微软雅黑" w:cs="宋体"/>
            <w:kern w:val="0"/>
            <w:sz w:val="24"/>
            <w:szCs w:val="24"/>
            <w:u w:val="single"/>
          </w:rPr>
          <w:t>11</w:t>
        </w:r>
      </w:hyperlink>
      <w:r w:rsidRPr="00891DA8">
        <w:rPr>
          <w:rFonts w:ascii="微软雅黑" w:eastAsia="微软雅黑" w:hAnsi="微软雅黑" w:cs="宋体"/>
          <w:kern w:val="0"/>
          <w:sz w:val="24"/>
          <w:szCs w:val="24"/>
        </w:rPr>
        <w:t> ]对此进行了更全面的综述，但以下是对这些重要先前发现的简要总结。</w:t>
      </w:r>
    </w:p>
    <w:p w14:paraId="01E81476"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哺乳动物细胞周期通常分为四个不同的阶段，分别称为G1期、S期、G2期和M期。这些阶段之间的有序转换受到“检查点”的严格调控，而这些检查点是由多种细胞周期蛋白及其相关的CDK相互作用所控制的[ </w:t>
      </w:r>
      <w:hyperlink r:id="rId18" w:anchor="CR12" w:history="1">
        <w:r w:rsidRPr="00891DA8">
          <w:rPr>
            <w:rFonts w:ascii="微软雅黑" w:eastAsia="微软雅黑" w:hAnsi="微软雅黑" w:cs="宋体"/>
            <w:kern w:val="0"/>
            <w:sz w:val="24"/>
            <w:szCs w:val="24"/>
            <w:u w:val="single"/>
          </w:rPr>
          <w:t>12</w:t>
        </w:r>
      </w:hyperlink>
      <w:r w:rsidRPr="00891DA8">
        <w:rPr>
          <w:rFonts w:ascii="微软雅黑" w:eastAsia="微软雅黑" w:hAnsi="微软雅黑" w:cs="宋体"/>
          <w:kern w:val="0"/>
          <w:sz w:val="24"/>
          <w:szCs w:val="24"/>
        </w:rPr>
        <w:t> ]（图 </w:t>
      </w:r>
      <w:hyperlink r:id="rId19" w:anchor="Fig1" w:history="1">
        <w:r w:rsidRPr="00891DA8">
          <w:rPr>
            <w:rFonts w:ascii="微软雅黑" w:eastAsia="微软雅黑" w:hAnsi="微软雅黑" w:cs="宋体"/>
            <w:kern w:val="0"/>
            <w:sz w:val="24"/>
            <w:szCs w:val="24"/>
            <w:u w:val="single"/>
          </w:rPr>
          <w:t>1</w:t>
        </w:r>
      </w:hyperlink>
      <w:r w:rsidRPr="00891DA8">
        <w:rPr>
          <w:rFonts w:ascii="微软雅黑" w:eastAsia="微软雅黑" w:hAnsi="微软雅黑" w:cs="宋体"/>
          <w:kern w:val="0"/>
          <w:sz w:val="24"/>
          <w:szCs w:val="24"/>
        </w:rPr>
        <w:t>）。已知至少有12个不同的基因位点编码CDK，它们属于一个高度保守的丝氨酸/苏氨酸蛋白激酶家族。该家族包括三个间期CDK（CDK2、CDK4和CDK6）、一个有丝分裂CDK（CDK1，曾被称为CDC2）以及一些调控性CDK，例如CDK激活复合物的组成部分CDK7和转录CDK（CDK8和CDK9）[ </w:t>
      </w:r>
      <w:hyperlink r:id="rId20" w:anchor="CR11" w:history="1">
        <w:r w:rsidRPr="00891DA8">
          <w:rPr>
            <w:rFonts w:ascii="微软雅黑" w:eastAsia="微软雅黑" w:hAnsi="微软雅黑" w:cs="宋体"/>
            <w:kern w:val="0"/>
            <w:sz w:val="24"/>
            <w:szCs w:val="24"/>
            <w:u w:val="single"/>
          </w:rPr>
          <w:t>11-13 </w:t>
        </w:r>
      </w:hyperlink>
      <w:hyperlink r:id="rId21" w:anchor="CR13" w:history="1">
        <w:r w:rsidRPr="00891DA8">
          <w:rPr>
            <w:rFonts w:ascii="微软雅黑" w:eastAsia="微软雅黑" w:hAnsi="微软雅黑" w:cs="宋体"/>
            <w:kern w:val="0"/>
            <w:sz w:val="24"/>
            <w:szCs w:val="24"/>
            <w:u w:val="single"/>
          </w:rPr>
          <w:t>]</w:t>
        </w:r>
      </w:hyperlink>
      <w:r w:rsidRPr="00891DA8">
        <w:rPr>
          <w:rFonts w:ascii="微软雅黑" w:eastAsia="微软雅黑" w:hAnsi="微软雅黑" w:cs="宋体"/>
          <w:kern w:val="0"/>
          <w:sz w:val="24"/>
          <w:szCs w:val="24"/>
        </w:rPr>
        <w:t>。与 CDK 不同，细胞周期蛋白是一个极其多样化的蛋白质家族，分为四类（A 型、B 型、D 型和 E 型细胞周期蛋白），它们作为 CDK-细胞周期蛋白全酶的调节亚基发挥</w:t>
      </w:r>
      <w:r w:rsidRPr="00891DA8">
        <w:rPr>
          <w:rFonts w:ascii="微软雅黑" w:eastAsia="微软雅黑" w:hAnsi="微软雅黑" w:cs="宋体"/>
          <w:kern w:val="0"/>
          <w:sz w:val="24"/>
          <w:szCs w:val="24"/>
        </w:rPr>
        <w:lastRenderedPageBreak/>
        <w:t>作用 [ </w:t>
      </w:r>
      <w:hyperlink r:id="rId22" w:anchor="CR11" w:history="1">
        <w:r w:rsidRPr="00891DA8">
          <w:rPr>
            <w:rFonts w:ascii="微软雅黑" w:eastAsia="微软雅黑" w:hAnsi="微软雅黑" w:cs="宋体"/>
            <w:kern w:val="0"/>
            <w:sz w:val="24"/>
            <w:szCs w:val="24"/>
            <w:u w:val="single"/>
          </w:rPr>
          <w:t>11</w:t>
        </w:r>
      </w:hyperlink>
      <w:r w:rsidRPr="00891DA8">
        <w:rPr>
          <w:rFonts w:ascii="微软雅黑" w:eastAsia="微软雅黑" w:hAnsi="微软雅黑" w:cs="宋体"/>
          <w:kern w:val="0"/>
          <w:sz w:val="24"/>
          <w:szCs w:val="24"/>
        </w:rPr>
        <w:t> ]。尽管 CDK 和细胞周期蛋白数量众多，但只有少数几种与乳腺癌的发病机制密切相关。本综述主要关注 CDK4 和 CDK6，它们的特异性在很大程度上重叠但不完全相同，以及细胞周期蛋白 D1，它是 D 型（D1、D2、D3）细胞周期蛋白家族中最具代表性的成员 [ </w:t>
      </w:r>
      <w:hyperlink r:id="rId23" w:anchor="CR14" w:history="1">
        <w:r w:rsidRPr="00891DA8">
          <w:rPr>
            <w:rFonts w:ascii="微软雅黑" w:eastAsia="微软雅黑" w:hAnsi="微软雅黑" w:cs="宋体"/>
            <w:kern w:val="0"/>
            <w:sz w:val="24"/>
            <w:szCs w:val="24"/>
            <w:u w:val="single"/>
          </w:rPr>
          <w:t>14</w:t>
        </w:r>
      </w:hyperlink>
      <w:r w:rsidRPr="00891DA8">
        <w:rPr>
          <w:rFonts w:ascii="微软雅黑" w:eastAsia="微软雅黑" w:hAnsi="微软雅黑" w:cs="宋体"/>
          <w:kern w:val="0"/>
          <w:sz w:val="24"/>
          <w:szCs w:val="24"/>
        </w:rPr>
        <w:t> ]。</w:t>
      </w:r>
    </w:p>
    <w:p w14:paraId="3F65ACF0" w14:textId="77777777" w:rsidR="00891DA8" w:rsidRPr="00891DA8" w:rsidRDefault="00891DA8" w:rsidP="00891DA8">
      <w:pPr>
        <w:widowControl/>
        <w:spacing w:line="450" w:lineRule="atLeast"/>
        <w:outlineLvl w:val="2"/>
        <w:rPr>
          <w:rFonts w:ascii="微软雅黑" w:eastAsia="微软雅黑" w:hAnsi="微软雅黑" w:cs="宋体"/>
          <w:kern w:val="0"/>
          <w:sz w:val="30"/>
          <w:szCs w:val="30"/>
        </w:rPr>
      </w:pPr>
      <w:r w:rsidRPr="00891DA8">
        <w:rPr>
          <w:rFonts w:ascii="微软雅黑" w:eastAsia="微软雅黑" w:hAnsi="微软雅黑" w:cs="宋体"/>
          <w:kern w:val="0"/>
          <w:sz w:val="30"/>
          <w:szCs w:val="30"/>
        </w:rPr>
        <w:t>图1。</w:t>
      </w:r>
    </w:p>
    <w:p w14:paraId="3AA84443" w14:textId="3AAB9A7D" w:rsidR="00891DA8" w:rsidRPr="00891DA8" w:rsidRDefault="00891DA8" w:rsidP="00891DA8">
      <w:pPr>
        <w:widowControl/>
        <w:spacing w:before="450"/>
        <w:rPr>
          <w:rFonts w:ascii="微软雅黑" w:eastAsia="微软雅黑" w:hAnsi="微软雅黑" w:cs="宋体"/>
          <w:kern w:val="0"/>
          <w:sz w:val="24"/>
          <w:szCs w:val="24"/>
        </w:rPr>
      </w:pPr>
      <w:r w:rsidRPr="00E217B9">
        <w:rPr>
          <w:rFonts w:ascii="微软雅黑" w:eastAsia="微软雅黑" w:hAnsi="微软雅黑" w:cs="宋体"/>
          <w:noProof/>
          <w:kern w:val="0"/>
          <w:sz w:val="24"/>
          <w:szCs w:val="24"/>
        </w:rPr>
        <w:drawing>
          <wp:inline distT="0" distB="0" distL="0" distR="0" wp14:anchorId="711178BF" wp14:editId="22C6AB70">
            <wp:extent cx="4504055" cy="6002655"/>
            <wp:effectExtent l="0" t="0" r="0" b="0"/>
            <wp:docPr id="1" name="图片 1" descr="图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1" descr="图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04055" cy="6002655"/>
                    </a:xfrm>
                    <a:prstGeom prst="rect">
                      <a:avLst/>
                    </a:prstGeom>
                    <a:noFill/>
                    <a:ln>
                      <a:noFill/>
                    </a:ln>
                  </pic:spPr>
                </pic:pic>
              </a:graphicData>
            </a:graphic>
          </wp:inline>
        </w:drawing>
      </w:r>
    </w:p>
    <w:p w14:paraId="5D544575"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lastRenderedPageBreak/>
        <w:t>细胞周期蛋白D/细胞周期蛋白依赖性激酶（</w:t>
      </w:r>
      <w:r w:rsidRPr="00891DA8">
        <w:rPr>
          <w:rFonts w:ascii="微软雅黑" w:eastAsia="微软雅黑" w:hAnsi="微软雅黑" w:cs="宋体"/>
          <w:i/>
          <w:iCs/>
          <w:kern w:val="0"/>
          <w:sz w:val="24"/>
          <w:szCs w:val="24"/>
        </w:rPr>
        <w:t>CDK</w:t>
      </w:r>
      <w:r w:rsidRPr="00891DA8">
        <w:rPr>
          <w:rFonts w:ascii="微软雅黑" w:eastAsia="微软雅黑" w:hAnsi="微软雅黑" w:cs="宋体"/>
          <w:kern w:val="0"/>
          <w:sz w:val="24"/>
          <w:szCs w:val="24"/>
        </w:rPr>
        <w:t>）4/6/视网膜母细胞瘤蛋白（</w:t>
      </w:r>
      <w:r w:rsidRPr="00891DA8">
        <w:rPr>
          <w:rFonts w:ascii="微软雅黑" w:eastAsia="微软雅黑" w:hAnsi="微软雅黑" w:cs="宋体"/>
          <w:i/>
          <w:iCs/>
          <w:kern w:val="0"/>
          <w:sz w:val="24"/>
          <w:szCs w:val="24"/>
        </w:rPr>
        <w:t>Rb</w:t>
      </w:r>
      <w:r w:rsidRPr="00891DA8">
        <w:rPr>
          <w:rFonts w:ascii="微软雅黑" w:eastAsia="微软雅黑" w:hAnsi="微软雅黑" w:cs="宋体"/>
          <w:kern w:val="0"/>
          <w:sz w:val="24"/>
          <w:szCs w:val="24"/>
        </w:rPr>
        <w:t>）通路与细胞周期。哺乳动物细胞周期受到严格调控。在乳腺癌中，类固醇和肽类生长因子均可通过激活细胞周期蛋白D/CDK4/6通路促进细胞增殖。这导致G1期进程中</w:t>
      </w:r>
      <w:proofErr w:type="spellStart"/>
      <w:r w:rsidRPr="00891DA8">
        <w:rPr>
          <w:rFonts w:ascii="微软雅黑" w:eastAsia="微软雅黑" w:hAnsi="微软雅黑" w:cs="宋体"/>
          <w:kern w:val="0"/>
          <w:sz w:val="24"/>
          <w:szCs w:val="24"/>
        </w:rPr>
        <w:t>pRb</w:t>
      </w:r>
      <w:proofErr w:type="spellEnd"/>
      <w:r w:rsidRPr="00891DA8">
        <w:rPr>
          <w:rFonts w:ascii="微软雅黑" w:eastAsia="微软雅黑" w:hAnsi="微软雅黑" w:cs="宋体"/>
          <w:kern w:val="0"/>
          <w:sz w:val="24"/>
          <w:szCs w:val="24"/>
        </w:rPr>
        <w:t>过度磷酸化。当视网膜母细胞瘤蛋白（</w:t>
      </w:r>
      <w:proofErr w:type="spellStart"/>
      <w:r w:rsidRPr="00891DA8">
        <w:rPr>
          <w:rFonts w:ascii="微软雅黑" w:eastAsia="微软雅黑" w:hAnsi="微软雅黑" w:cs="宋体"/>
          <w:kern w:val="0"/>
          <w:sz w:val="24"/>
          <w:szCs w:val="24"/>
        </w:rPr>
        <w:t>pRb</w:t>
      </w:r>
      <w:proofErr w:type="spellEnd"/>
      <w:r w:rsidRPr="00891DA8">
        <w:rPr>
          <w:rFonts w:ascii="微软雅黑" w:eastAsia="微软雅黑" w:hAnsi="微软雅黑" w:cs="宋体"/>
          <w:kern w:val="0"/>
          <w:sz w:val="24"/>
          <w:szCs w:val="24"/>
        </w:rPr>
        <w:t>）过度磷酸化时，转录因子E2F被释放，细胞周期进入S期。CDK4/6小分子激酶抑制剂旨在阻断</w:t>
      </w:r>
      <w:proofErr w:type="spellStart"/>
      <w:r w:rsidRPr="00891DA8">
        <w:rPr>
          <w:rFonts w:ascii="微软雅黑" w:eastAsia="微软雅黑" w:hAnsi="微软雅黑" w:cs="宋体"/>
          <w:kern w:val="0"/>
          <w:sz w:val="24"/>
          <w:szCs w:val="24"/>
        </w:rPr>
        <w:t>pRb</w:t>
      </w:r>
      <w:proofErr w:type="spellEnd"/>
      <w:r w:rsidRPr="00891DA8">
        <w:rPr>
          <w:rFonts w:ascii="微软雅黑" w:eastAsia="微软雅黑" w:hAnsi="微软雅黑" w:cs="宋体"/>
          <w:kern w:val="0"/>
          <w:sz w:val="24"/>
          <w:szCs w:val="24"/>
        </w:rPr>
        <w:t>的过度磷酸化，从而诱导G1期阻滞并抑制细胞增殖。ER </w:t>
      </w:r>
      <w:r w:rsidRPr="00891DA8">
        <w:rPr>
          <w:rFonts w:ascii="微软雅黑" w:eastAsia="微软雅黑" w:hAnsi="微软雅黑" w:cs="宋体"/>
          <w:i/>
          <w:iCs/>
          <w:kern w:val="0"/>
          <w:sz w:val="24"/>
          <w:szCs w:val="24"/>
        </w:rPr>
        <w:t>：</w:t>
      </w:r>
      <w:r w:rsidRPr="00891DA8">
        <w:rPr>
          <w:rFonts w:ascii="微软雅黑" w:eastAsia="微软雅黑" w:hAnsi="微软雅黑" w:cs="宋体"/>
          <w:kern w:val="0"/>
          <w:sz w:val="24"/>
          <w:szCs w:val="24"/>
        </w:rPr>
        <w:t>雌激素受体</w:t>
      </w:r>
    </w:p>
    <w:p w14:paraId="04F98973"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通常情况下，视网膜母细胞瘤基因产物（</w:t>
      </w:r>
      <w:proofErr w:type="spellStart"/>
      <w:r w:rsidRPr="00891DA8">
        <w:rPr>
          <w:rFonts w:ascii="微软雅黑" w:eastAsia="微软雅黑" w:hAnsi="微软雅黑" w:cs="宋体"/>
          <w:kern w:val="0"/>
          <w:sz w:val="24"/>
          <w:szCs w:val="24"/>
        </w:rPr>
        <w:t>pRb</w:t>
      </w:r>
      <w:proofErr w:type="spellEnd"/>
      <w:r w:rsidRPr="00891DA8">
        <w:rPr>
          <w:rFonts w:ascii="微软雅黑" w:eastAsia="微软雅黑" w:hAnsi="微软雅黑" w:cs="宋体"/>
          <w:kern w:val="0"/>
          <w:sz w:val="24"/>
          <w:szCs w:val="24"/>
        </w:rPr>
        <w:t>）以及其他所谓的口袋蛋白（包括p107和p130）通过隔离E2F家族转录因子来维持细胞周期进程的抑制[ </w:t>
      </w:r>
      <w:hyperlink r:id="rId25" w:anchor="CR15" w:history="1">
        <w:r w:rsidRPr="00891DA8">
          <w:rPr>
            <w:rFonts w:ascii="微软雅黑" w:eastAsia="微软雅黑" w:hAnsi="微软雅黑" w:cs="宋体"/>
            <w:kern w:val="0"/>
            <w:sz w:val="24"/>
            <w:szCs w:val="24"/>
            <w:u w:val="single"/>
          </w:rPr>
          <w:t>15</w:t>
        </w:r>
      </w:hyperlink>
      <w:r w:rsidRPr="00891DA8">
        <w:rPr>
          <w:rFonts w:ascii="微软雅黑" w:eastAsia="微软雅黑" w:hAnsi="微软雅黑" w:cs="宋体"/>
          <w:kern w:val="0"/>
          <w:sz w:val="24"/>
          <w:szCs w:val="24"/>
        </w:rPr>
        <w:t> ]。然而，一旦进入细胞周期，静止细胞会在特定的促有丝分裂和黏附信号的刺激下合成细胞周期蛋白D1。新合成的细胞周期蛋白D1会与CDK4/CDK6形成激活复合物，进而启动</w:t>
      </w:r>
      <w:proofErr w:type="spellStart"/>
      <w:r w:rsidRPr="00891DA8">
        <w:rPr>
          <w:rFonts w:ascii="微软雅黑" w:eastAsia="微软雅黑" w:hAnsi="微软雅黑" w:cs="宋体"/>
          <w:kern w:val="0"/>
          <w:sz w:val="24"/>
          <w:szCs w:val="24"/>
        </w:rPr>
        <w:t>pRb</w:t>
      </w:r>
      <w:proofErr w:type="spellEnd"/>
      <w:r w:rsidRPr="00891DA8">
        <w:rPr>
          <w:rFonts w:ascii="微软雅黑" w:eastAsia="微软雅黑" w:hAnsi="微软雅黑" w:cs="宋体"/>
          <w:kern w:val="0"/>
          <w:sz w:val="24"/>
          <w:szCs w:val="24"/>
        </w:rPr>
        <w:t>的磷酸化。由细胞周期蛋白D1:CDK4/6复合物</w:t>
      </w:r>
      <w:proofErr w:type="gramStart"/>
      <w:r w:rsidRPr="00891DA8">
        <w:rPr>
          <w:rFonts w:ascii="微软雅黑" w:eastAsia="微软雅黑" w:hAnsi="微软雅黑" w:cs="宋体"/>
          <w:kern w:val="0"/>
          <w:sz w:val="24"/>
          <w:szCs w:val="24"/>
        </w:rPr>
        <w:t>介</w:t>
      </w:r>
      <w:proofErr w:type="gramEnd"/>
      <w:r w:rsidRPr="00891DA8">
        <w:rPr>
          <w:rFonts w:ascii="微软雅黑" w:eastAsia="微软雅黑" w:hAnsi="微软雅黑" w:cs="宋体"/>
          <w:kern w:val="0"/>
          <w:sz w:val="24"/>
          <w:szCs w:val="24"/>
        </w:rPr>
        <w:t>导的磷酸化过程解除</w:t>
      </w:r>
      <w:proofErr w:type="spellStart"/>
      <w:r w:rsidRPr="00891DA8">
        <w:rPr>
          <w:rFonts w:ascii="微软雅黑" w:eastAsia="微软雅黑" w:hAnsi="微软雅黑" w:cs="宋体"/>
          <w:kern w:val="0"/>
          <w:sz w:val="24"/>
          <w:szCs w:val="24"/>
        </w:rPr>
        <w:t>pRb</w:t>
      </w:r>
      <w:proofErr w:type="spellEnd"/>
      <w:r w:rsidRPr="00891DA8">
        <w:rPr>
          <w:rFonts w:ascii="微软雅黑" w:eastAsia="微软雅黑" w:hAnsi="微软雅黑" w:cs="宋体"/>
          <w:kern w:val="0"/>
          <w:sz w:val="24"/>
          <w:szCs w:val="24"/>
        </w:rPr>
        <w:t>对E2F的转录抑制，从而启动S期特异性靶基因的转录。其中一个基因编码细胞周期蛋白E，它与CDK2结合，并进一步磷酸化</w:t>
      </w:r>
      <w:proofErr w:type="spellStart"/>
      <w:r w:rsidRPr="00891DA8">
        <w:rPr>
          <w:rFonts w:ascii="微软雅黑" w:eastAsia="微软雅黑" w:hAnsi="微软雅黑" w:cs="宋体"/>
          <w:kern w:val="0"/>
          <w:sz w:val="24"/>
          <w:szCs w:val="24"/>
        </w:rPr>
        <w:t>pRb</w:t>
      </w:r>
      <w:proofErr w:type="spellEnd"/>
      <w:r w:rsidRPr="00891DA8">
        <w:rPr>
          <w:rFonts w:ascii="微软雅黑" w:eastAsia="微软雅黑" w:hAnsi="微软雅黑" w:cs="宋体"/>
          <w:kern w:val="0"/>
          <w:sz w:val="24"/>
          <w:szCs w:val="24"/>
        </w:rPr>
        <w:t>以及其他G1/S检查点的关键介质。该过程建立了一个正反馈回路，使细胞不可逆地经历 G1-S 期转换（即所谓的“限制点”），并以不依赖有丝分裂原的方式继续细胞周期[ </w:t>
      </w:r>
      <w:hyperlink r:id="rId26" w:anchor="CR16" w:history="1">
        <w:r w:rsidRPr="00891DA8">
          <w:rPr>
            <w:rFonts w:ascii="微软雅黑" w:eastAsia="微软雅黑" w:hAnsi="微软雅黑" w:cs="宋体"/>
            <w:kern w:val="0"/>
            <w:sz w:val="24"/>
            <w:szCs w:val="24"/>
            <w:u w:val="single"/>
          </w:rPr>
          <w:t>16</w:t>
        </w:r>
      </w:hyperlink>
      <w:r w:rsidRPr="00891DA8">
        <w:rPr>
          <w:rFonts w:ascii="微软雅黑" w:eastAsia="微软雅黑" w:hAnsi="微软雅黑" w:cs="宋体"/>
          <w:kern w:val="0"/>
          <w:sz w:val="24"/>
          <w:szCs w:val="24"/>
        </w:rPr>
        <w:t> , </w:t>
      </w:r>
      <w:hyperlink r:id="rId27" w:anchor="CR17" w:history="1">
        <w:r w:rsidRPr="00891DA8">
          <w:rPr>
            <w:rFonts w:ascii="微软雅黑" w:eastAsia="微软雅黑" w:hAnsi="微软雅黑" w:cs="宋体"/>
            <w:kern w:val="0"/>
            <w:sz w:val="24"/>
            <w:szCs w:val="24"/>
            <w:u w:val="single"/>
          </w:rPr>
          <w:t>17</w:t>
        </w:r>
      </w:hyperlink>
      <w:r w:rsidRPr="00891DA8">
        <w:rPr>
          <w:rFonts w:ascii="微软雅黑" w:eastAsia="微软雅黑" w:hAnsi="微软雅黑" w:cs="宋体"/>
          <w:kern w:val="0"/>
          <w:sz w:val="24"/>
          <w:szCs w:val="24"/>
        </w:rPr>
        <w:t xml:space="preserve"> ]。除了 </w:t>
      </w:r>
      <w:proofErr w:type="spellStart"/>
      <w:r w:rsidRPr="00891DA8">
        <w:rPr>
          <w:rFonts w:ascii="微软雅黑" w:eastAsia="微软雅黑" w:hAnsi="微软雅黑" w:cs="宋体"/>
          <w:kern w:val="0"/>
          <w:sz w:val="24"/>
          <w:szCs w:val="24"/>
        </w:rPr>
        <w:t>pRb</w:t>
      </w:r>
      <w:proofErr w:type="spellEnd"/>
      <w:r w:rsidRPr="00891DA8">
        <w:rPr>
          <w:rFonts w:ascii="微软雅黑" w:eastAsia="微软雅黑" w:hAnsi="微软雅黑" w:cs="宋体"/>
          <w:kern w:val="0"/>
          <w:sz w:val="24"/>
          <w:szCs w:val="24"/>
        </w:rPr>
        <w:t xml:space="preserve"> 磷酸化外，最近的研究表明，细胞周期蛋白 D:CDK4 通过磷酸化 SMAD2、Cdt1、MARCKS、FOXM1 和 PRMT5-MEP50 复合物等靶点，</w:t>
      </w:r>
      <w:r w:rsidRPr="00891DA8">
        <w:rPr>
          <w:rFonts w:ascii="微软雅黑" w:eastAsia="微软雅黑" w:hAnsi="微软雅黑" w:cs="宋体"/>
          <w:kern w:val="0"/>
          <w:sz w:val="24"/>
          <w:szCs w:val="24"/>
        </w:rPr>
        <w:fldChar w:fldCharType="begin"/>
      </w:r>
      <w:r w:rsidRPr="00891DA8">
        <w:rPr>
          <w:rFonts w:ascii="微软雅黑" w:eastAsia="微软雅黑" w:hAnsi="微软雅黑" w:cs="宋体"/>
          <w:kern w:val="0"/>
          <w:sz w:val="24"/>
          <w:szCs w:val="24"/>
        </w:rPr>
        <w:instrText xml:space="preserve"> HYPERLINK "https://pmc.ncbi.nlm.nih.gov/articles/PMC4746893/" \l "CR18" </w:instrText>
      </w:r>
      <w:r w:rsidRPr="00891DA8">
        <w:rPr>
          <w:rFonts w:ascii="微软雅黑" w:eastAsia="微软雅黑" w:hAnsi="微软雅黑" w:cs="宋体"/>
          <w:kern w:val="0"/>
          <w:sz w:val="24"/>
          <w:szCs w:val="24"/>
        </w:rPr>
        <w:fldChar w:fldCharType="separate"/>
      </w:r>
      <w:r w:rsidRPr="00891DA8">
        <w:rPr>
          <w:rFonts w:ascii="微软雅黑" w:eastAsia="微软雅黑" w:hAnsi="微软雅黑" w:cs="宋体"/>
          <w:kern w:val="0"/>
          <w:sz w:val="24"/>
          <w:szCs w:val="24"/>
          <w:u w:val="single"/>
        </w:rPr>
        <w:t>直接作用</w:t>
      </w:r>
      <w:r w:rsidRPr="00891DA8">
        <w:rPr>
          <w:rFonts w:ascii="微软雅黑" w:eastAsia="微软雅黑" w:hAnsi="微软雅黑" w:cs="宋体"/>
          <w:kern w:val="0"/>
          <w:sz w:val="24"/>
          <w:szCs w:val="24"/>
        </w:rPr>
        <w:fldChar w:fldCharType="end"/>
      </w:r>
      <w:hyperlink r:id="rId28" w:anchor="CR21" w:history="1">
        <w:r w:rsidRPr="00891DA8">
          <w:rPr>
            <w:rFonts w:ascii="微软雅黑" w:eastAsia="微软雅黑" w:hAnsi="微软雅黑" w:cs="宋体"/>
            <w:kern w:val="0"/>
            <w:sz w:val="24"/>
            <w:szCs w:val="24"/>
            <w:u w:val="single"/>
          </w:rPr>
          <w:t>于参与增殖、迁移和 DNA 损伤反应的通路[ </w:t>
        </w:r>
      </w:hyperlink>
      <w:hyperlink r:id="rId29" w:anchor="CR18" w:history="1">
        <w:r w:rsidRPr="00891DA8">
          <w:rPr>
            <w:rFonts w:ascii="微软雅黑" w:eastAsia="微软雅黑" w:hAnsi="微软雅黑" w:cs="宋体"/>
            <w:kern w:val="0"/>
            <w:sz w:val="24"/>
            <w:szCs w:val="24"/>
            <w:u w:val="single"/>
          </w:rPr>
          <w:t>18-21</w:t>
        </w:r>
      </w:hyperlink>
      <w:r w:rsidRPr="00891DA8">
        <w:rPr>
          <w:rFonts w:ascii="微软雅黑" w:eastAsia="微软雅黑" w:hAnsi="微软雅黑" w:cs="宋体"/>
          <w:kern w:val="0"/>
          <w:sz w:val="24"/>
          <w:szCs w:val="24"/>
        </w:rPr>
        <w:t> ] [ 18 , </w:t>
      </w:r>
      <w:hyperlink r:id="rId30" w:anchor="CR21" w:history="1">
        <w:r w:rsidRPr="00891DA8">
          <w:rPr>
            <w:rFonts w:ascii="微软雅黑" w:eastAsia="微软雅黑" w:hAnsi="微软雅黑" w:cs="宋体"/>
            <w:kern w:val="0"/>
            <w:sz w:val="24"/>
            <w:szCs w:val="24"/>
            <w:u w:val="single"/>
          </w:rPr>
          <w:t>21-24 </w:t>
        </w:r>
      </w:hyperlink>
      <w:hyperlink r:id="rId31" w:anchor="CR24" w:history="1">
        <w:r w:rsidRPr="00891DA8">
          <w:rPr>
            <w:rFonts w:ascii="微软雅黑" w:eastAsia="微软雅黑" w:hAnsi="微软雅黑" w:cs="宋体"/>
            <w:kern w:val="0"/>
            <w:sz w:val="24"/>
            <w:szCs w:val="24"/>
            <w:u w:val="single"/>
          </w:rPr>
          <w:t>]</w:t>
        </w:r>
      </w:hyperlink>
      <w:r w:rsidRPr="00891DA8">
        <w:rPr>
          <w:rFonts w:ascii="微软雅黑" w:eastAsia="微软雅黑" w:hAnsi="微软雅黑" w:cs="宋体"/>
          <w:kern w:val="0"/>
          <w:sz w:val="24"/>
          <w:szCs w:val="24"/>
        </w:rPr>
        <w:t>。</w:t>
      </w:r>
    </w:p>
    <w:p w14:paraId="741AC27D"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lastRenderedPageBreak/>
        <w:t>在 S 期后期，CDK2 被细胞周期蛋白 A2 进一步激活，从而促成从 S 期到 G2 期的转变。最后，CDK1 被 A 型和 B 型细胞周期蛋白激活，以促进有丝分裂实际过程的开始和进行 [ </w:t>
      </w:r>
      <w:hyperlink r:id="rId32" w:anchor="CR11" w:history="1">
        <w:r w:rsidRPr="00891DA8">
          <w:rPr>
            <w:rFonts w:ascii="微软雅黑" w:eastAsia="微软雅黑" w:hAnsi="微软雅黑" w:cs="宋体"/>
            <w:kern w:val="0"/>
            <w:sz w:val="24"/>
            <w:szCs w:val="24"/>
            <w:u w:val="single"/>
          </w:rPr>
          <w:t>11</w:t>
        </w:r>
      </w:hyperlink>
      <w:r w:rsidRPr="00891DA8">
        <w:rPr>
          <w:rFonts w:ascii="微软雅黑" w:eastAsia="微软雅黑" w:hAnsi="微软雅黑" w:cs="宋体"/>
          <w:kern w:val="0"/>
          <w:sz w:val="24"/>
          <w:szCs w:val="24"/>
        </w:rPr>
        <w:t> ]。</w:t>
      </w:r>
    </w:p>
    <w:p w14:paraId="41A41AB7" w14:textId="77777777" w:rsidR="00891DA8" w:rsidRPr="00891DA8" w:rsidRDefault="00891DA8" w:rsidP="00891DA8">
      <w:pPr>
        <w:widowControl/>
        <w:pBdr>
          <w:bottom w:val="single" w:sz="6" w:space="0" w:color="97B1C8"/>
        </w:pBdr>
        <w:spacing w:line="450" w:lineRule="atLeast"/>
        <w:outlineLvl w:val="1"/>
        <w:rPr>
          <w:rFonts w:ascii="微软雅黑" w:eastAsia="微软雅黑" w:hAnsi="微软雅黑" w:cs="宋体"/>
          <w:kern w:val="0"/>
          <w:sz w:val="34"/>
          <w:szCs w:val="34"/>
        </w:rPr>
      </w:pPr>
      <w:r w:rsidRPr="00891DA8">
        <w:rPr>
          <w:rFonts w:ascii="微软雅黑" w:eastAsia="微软雅黑" w:hAnsi="微软雅黑" w:cs="宋体"/>
          <w:kern w:val="0"/>
          <w:sz w:val="34"/>
          <w:szCs w:val="34"/>
        </w:rPr>
        <w:t>CDK4/6信号传导的负调控因子</w:t>
      </w:r>
    </w:p>
    <w:p w14:paraId="4FA1A822"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CDK4/6活性受两类细胞周期蛋白激酶抑制剂（CKI）的负调控，即INK4（p16、p15、p18、p19）和CIP/KIP（p21、p27、p57）蛋白家族[ </w:t>
      </w:r>
      <w:hyperlink r:id="rId33" w:anchor="CR11" w:history="1">
        <w:r w:rsidRPr="00891DA8">
          <w:rPr>
            <w:rFonts w:ascii="微软雅黑" w:eastAsia="微软雅黑" w:hAnsi="微软雅黑" w:cs="宋体"/>
            <w:kern w:val="0"/>
            <w:sz w:val="24"/>
            <w:szCs w:val="24"/>
            <w:u w:val="single"/>
          </w:rPr>
          <w:t>11</w:t>
        </w:r>
      </w:hyperlink>
      <w:r w:rsidRPr="00891DA8">
        <w:rPr>
          <w:rFonts w:ascii="微软雅黑" w:eastAsia="微软雅黑" w:hAnsi="微软雅黑" w:cs="宋体"/>
          <w:kern w:val="0"/>
          <w:sz w:val="24"/>
          <w:szCs w:val="24"/>
        </w:rPr>
        <w:t> , </w:t>
      </w:r>
      <w:hyperlink r:id="rId34" w:anchor="CR25" w:history="1">
        <w:r w:rsidRPr="00891DA8">
          <w:rPr>
            <w:rFonts w:ascii="微软雅黑" w:eastAsia="微软雅黑" w:hAnsi="微软雅黑" w:cs="宋体"/>
            <w:kern w:val="0"/>
            <w:sz w:val="24"/>
            <w:szCs w:val="24"/>
            <w:u w:val="single"/>
          </w:rPr>
          <w:t>25</w:t>
        </w:r>
      </w:hyperlink>
      <w:r w:rsidRPr="00891DA8">
        <w:rPr>
          <w:rFonts w:ascii="微软雅黑" w:eastAsia="微软雅黑" w:hAnsi="微软雅黑" w:cs="宋体"/>
          <w:kern w:val="0"/>
          <w:sz w:val="24"/>
          <w:szCs w:val="24"/>
        </w:rPr>
        <w:t> ]。这些抑制剂在细胞周期中通常检测不到，但在受到抑制性信号（包括转化生长因子-β、接触抑制或衰老）刺激时会迅速上调[ </w:t>
      </w:r>
      <w:hyperlink r:id="rId35" w:anchor="CR26" w:history="1">
        <w:r w:rsidRPr="00891DA8">
          <w:rPr>
            <w:rFonts w:ascii="微软雅黑" w:eastAsia="微软雅黑" w:hAnsi="微软雅黑" w:cs="宋体"/>
            <w:kern w:val="0"/>
            <w:sz w:val="24"/>
            <w:szCs w:val="24"/>
            <w:u w:val="single"/>
          </w:rPr>
          <w:t>26</w:t>
        </w:r>
      </w:hyperlink>
      <w:r w:rsidRPr="00891DA8">
        <w:rPr>
          <w:rFonts w:ascii="微软雅黑" w:eastAsia="微软雅黑" w:hAnsi="微软雅黑" w:cs="宋体"/>
          <w:kern w:val="0"/>
          <w:sz w:val="24"/>
          <w:szCs w:val="24"/>
        </w:rPr>
        <w:t> , </w:t>
      </w:r>
      <w:hyperlink r:id="rId36" w:anchor="CR27" w:history="1">
        <w:r w:rsidRPr="00891DA8">
          <w:rPr>
            <w:rFonts w:ascii="微软雅黑" w:eastAsia="微软雅黑" w:hAnsi="微软雅黑" w:cs="宋体"/>
            <w:kern w:val="0"/>
            <w:sz w:val="24"/>
            <w:szCs w:val="24"/>
            <w:u w:val="single"/>
          </w:rPr>
          <w:t>27</w:t>
        </w:r>
      </w:hyperlink>
      <w:r w:rsidRPr="00891DA8">
        <w:rPr>
          <w:rFonts w:ascii="微软雅黑" w:eastAsia="微软雅黑" w:hAnsi="微软雅黑" w:cs="宋体"/>
          <w:kern w:val="0"/>
          <w:sz w:val="24"/>
          <w:szCs w:val="24"/>
        </w:rPr>
        <w:t> ]。CIP/KIP家族对细胞周期机制的影响十分复杂，在不同情况下既可激活也可抑制细胞周期[ </w:t>
      </w:r>
      <w:hyperlink r:id="rId37" w:anchor="CR10" w:history="1">
        <w:r w:rsidRPr="00891DA8">
          <w:rPr>
            <w:rFonts w:ascii="微软雅黑" w:eastAsia="微软雅黑" w:hAnsi="微软雅黑" w:cs="宋体"/>
            <w:kern w:val="0"/>
            <w:sz w:val="24"/>
            <w:szCs w:val="24"/>
            <w:u w:val="single"/>
          </w:rPr>
          <w:t>10</w:t>
        </w:r>
      </w:hyperlink>
      <w:r w:rsidRPr="00891DA8">
        <w:rPr>
          <w:rFonts w:ascii="微软雅黑" w:eastAsia="微软雅黑" w:hAnsi="微软雅黑" w:cs="宋体"/>
          <w:kern w:val="0"/>
          <w:sz w:val="24"/>
          <w:szCs w:val="24"/>
        </w:rPr>
        <w:t> ]。值得注意的是，他</w:t>
      </w:r>
      <w:proofErr w:type="gramStart"/>
      <w:r w:rsidRPr="00891DA8">
        <w:rPr>
          <w:rFonts w:ascii="微软雅黑" w:eastAsia="微软雅黑" w:hAnsi="微软雅黑" w:cs="宋体"/>
          <w:kern w:val="0"/>
          <w:sz w:val="24"/>
          <w:szCs w:val="24"/>
        </w:rPr>
        <w:t>莫昔芬</w:t>
      </w:r>
      <w:proofErr w:type="gramEnd"/>
      <w:r w:rsidRPr="00891DA8">
        <w:rPr>
          <w:rFonts w:ascii="微软雅黑" w:eastAsia="微软雅黑" w:hAnsi="微软雅黑" w:cs="宋体"/>
          <w:kern w:val="0"/>
          <w:sz w:val="24"/>
          <w:szCs w:val="24"/>
        </w:rPr>
        <w:t>已知可上调p21和p27的表达，而这些细胞周期抑制剂的缺失与抗雌激素耐药性有关[ </w:t>
      </w:r>
      <w:hyperlink r:id="rId38" w:anchor="CR28" w:history="1">
        <w:r w:rsidRPr="00891DA8">
          <w:rPr>
            <w:rFonts w:ascii="微软雅黑" w:eastAsia="微软雅黑" w:hAnsi="微软雅黑" w:cs="宋体"/>
            <w:kern w:val="0"/>
            <w:sz w:val="24"/>
            <w:szCs w:val="24"/>
            <w:u w:val="single"/>
          </w:rPr>
          <w:t>28</w:t>
        </w:r>
      </w:hyperlink>
      <w:r w:rsidRPr="00891DA8">
        <w:rPr>
          <w:rFonts w:ascii="微软雅黑" w:eastAsia="微软雅黑" w:hAnsi="微软雅黑" w:cs="宋体"/>
          <w:kern w:val="0"/>
          <w:sz w:val="24"/>
          <w:szCs w:val="24"/>
        </w:rPr>
        <w:t> ]。在 INK4（CDK4 抑制剂）蛋白家族中，p16 似乎与多种恶性肿瘤的发病机制直接相关。当 p16 与 CDK4/6 结合时，会抑制细胞周期蛋白 D1 的有效结合，从而引发 G1 期细胞周期阻滞 [ </w:t>
      </w:r>
      <w:hyperlink r:id="rId39" w:anchor="CR29" w:history="1">
        <w:r w:rsidRPr="00891DA8">
          <w:rPr>
            <w:rFonts w:ascii="微软雅黑" w:eastAsia="微软雅黑" w:hAnsi="微软雅黑" w:cs="宋体"/>
            <w:kern w:val="0"/>
            <w:sz w:val="24"/>
            <w:szCs w:val="24"/>
            <w:u w:val="single"/>
          </w:rPr>
          <w:t>29</w:t>
        </w:r>
      </w:hyperlink>
      <w:r w:rsidRPr="00891DA8">
        <w:rPr>
          <w:rFonts w:ascii="微软雅黑" w:eastAsia="微软雅黑" w:hAnsi="微软雅黑" w:cs="宋体"/>
          <w:kern w:val="0"/>
          <w:sz w:val="24"/>
          <w:szCs w:val="24"/>
        </w:rPr>
        <w:t> ]。此外，p16 还参与细胞衰老的激活，细胞衰老被定义为增殖能力的稳定且长期的丧失，而细胞衰老是癌症中另一个经常失调的过程 [ </w:t>
      </w:r>
      <w:hyperlink r:id="rId40" w:anchor="CR30" w:history="1">
        <w:r w:rsidRPr="00891DA8">
          <w:rPr>
            <w:rFonts w:ascii="微软雅黑" w:eastAsia="微软雅黑" w:hAnsi="微软雅黑" w:cs="宋体"/>
            <w:kern w:val="0"/>
            <w:sz w:val="24"/>
            <w:szCs w:val="24"/>
            <w:u w:val="single"/>
          </w:rPr>
          <w:t>30</w:t>
        </w:r>
      </w:hyperlink>
      <w:r w:rsidRPr="00891DA8">
        <w:rPr>
          <w:rFonts w:ascii="微软雅黑" w:eastAsia="微软雅黑" w:hAnsi="微软雅黑" w:cs="宋体"/>
          <w:kern w:val="0"/>
          <w:sz w:val="24"/>
          <w:szCs w:val="24"/>
        </w:rPr>
        <w:t> ]。</w:t>
      </w:r>
    </w:p>
    <w:p w14:paraId="07BC0F66" w14:textId="77777777" w:rsidR="00891DA8" w:rsidRPr="00891DA8" w:rsidRDefault="00891DA8" w:rsidP="00891DA8">
      <w:pPr>
        <w:widowControl/>
        <w:pBdr>
          <w:bottom w:val="single" w:sz="6" w:space="0" w:color="97B1C8"/>
        </w:pBdr>
        <w:spacing w:line="450" w:lineRule="atLeast"/>
        <w:outlineLvl w:val="1"/>
        <w:rPr>
          <w:rFonts w:ascii="微软雅黑" w:eastAsia="微软雅黑" w:hAnsi="微软雅黑" w:cs="宋体"/>
          <w:kern w:val="0"/>
          <w:sz w:val="34"/>
          <w:szCs w:val="34"/>
        </w:rPr>
      </w:pPr>
      <w:r w:rsidRPr="00891DA8">
        <w:rPr>
          <w:rFonts w:ascii="微软雅黑" w:eastAsia="微软雅黑" w:hAnsi="微软雅黑" w:cs="宋体"/>
          <w:kern w:val="0"/>
          <w:sz w:val="34"/>
          <w:szCs w:val="34"/>
        </w:rPr>
        <w:t>细胞周期蛋白D:CDK4/6通路非催化功能</w:t>
      </w:r>
    </w:p>
    <w:p w14:paraId="54A776DF"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细胞周期蛋白D:CDK4/6通路并非所有效应都由磷酸化驱动，细胞周期蛋白D1的非催化作用正日益受到重视。细胞周期蛋白D1现在也被认为参与多种基因的转录调控，它直接作用于启动子区域，并调控组蛋白的乙酰化和甲基化[ </w:t>
      </w:r>
      <w:hyperlink r:id="rId41" w:anchor="CR33" w:history="1">
        <w:r w:rsidRPr="00891DA8">
          <w:rPr>
            <w:rFonts w:ascii="微软雅黑" w:eastAsia="微软雅黑" w:hAnsi="微软雅黑" w:cs="宋体"/>
            <w:kern w:val="0"/>
            <w:sz w:val="24"/>
            <w:szCs w:val="24"/>
            <w:u w:val="single"/>
          </w:rPr>
          <w:t>31-33 </w:t>
        </w:r>
      </w:hyperlink>
      <w:hyperlink r:id="rId42" w:anchor="CR31" w:history="1">
        <w:r w:rsidRPr="00891DA8">
          <w:rPr>
            <w:rFonts w:ascii="微软雅黑" w:eastAsia="微软雅黑" w:hAnsi="微软雅黑" w:cs="宋体"/>
            <w:kern w:val="0"/>
            <w:sz w:val="24"/>
            <w:szCs w:val="24"/>
            <w:u w:val="single"/>
          </w:rPr>
          <w:t>]</w:t>
        </w:r>
      </w:hyperlink>
      <w:r w:rsidRPr="00891DA8">
        <w:rPr>
          <w:rFonts w:ascii="微软雅黑" w:eastAsia="微软雅黑" w:hAnsi="微软雅黑" w:cs="宋体"/>
          <w:kern w:val="0"/>
          <w:sz w:val="24"/>
          <w:szCs w:val="24"/>
        </w:rPr>
        <w:t> 。研究表明，细胞周期蛋白D1与雌激素受体α（ER-α）相互作用，增强其活性，同时抑制雄激素受体（AR）、甲状腺激素受体β和过氧化物酶体增殖物激活受</w:t>
      </w:r>
      <w:r w:rsidRPr="00891DA8">
        <w:rPr>
          <w:rFonts w:ascii="微软雅黑" w:eastAsia="微软雅黑" w:hAnsi="微软雅黑" w:cs="宋体"/>
          <w:kern w:val="0"/>
          <w:sz w:val="24"/>
          <w:szCs w:val="24"/>
        </w:rPr>
        <w:lastRenderedPageBreak/>
        <w:t>体γ（</w:t>
      </w:r>
      <w:proofErr w:type="spellStart"/>
      <w:r w:rsidRPr="00891DA8">
        <w:rPr>
          <w:rFonts w:ascii="微软雅黑" w:eastAsia="微软雅黑" w:hAnsi="微软雅黑" w:cs="宋体"/>
          <w:kern w:val="0"/>
          <w:sz w:val="24"/>
          <w:szCs w:val="24"/>
        </w:rPr>
        <w:t>PPARγ</w:t>
      </w:r>
      <w:proofErr w:type="spellEnd"/>
      <w:r w:rsidRPr="00891DA8">
        <w:rPr>
          <w:rFonts w:ascii="微软雅黑" w:eastAsia="微软雅黑" w:hAnsi="微软雅黑" w:cs="宋体"/>
          <w:kern w:val="0"/>
          <w:sz w:val="24"/>
          <w:szCs w:val="24"/>
        </w:rPr>
        <w:t>）的活性[ </w:t>
      </w:r>
      <w:hyperlink r:id="rId43" w:anchor="CR34" w:history="1">
        <w:r w:rsidRPr="00891DA8">
          <w:rPr>
            <w:rFonts w:ascii="微软雅黑" w:eastAsia="微软雅黑" w:hAnsi="微软雅黑" w:cs="宋体"/>
            <w:kern w:val="0"/>
            <w:sz w:val="24"/>
            <w:szCs w:val="24"/>
            <w:u w:val="single"/>
          </w:rPr>
          <w:t>34</w:t>
        </w:r>
      </w:hyperlink>
      <w:r w:rsidRPr="00891DA8">
        <w:rPr>
          <w:rFonts w:ascii="微软雅黑" w:eastAsia="微软雅黑" w:hAnsi="微软雅黑" w:cs="宋体"/>
          <w:kern w:val="0"/>
          <w:sz w:val="24"/>
          <w:szCs w:val="24"/>
        </w:rPr>
        <w:t> ]。细胞周期蛋白D1的另一个已被充分阐明的非催化功能是隔离p21和p27，从而对细胞迁移和DNA损伤反应产生不依赖于CDK4/6的影响[ </w:t>
      </w:r>
      <w:hyperlink r:id="rId44" w:anchor="CR36" w:history="1">
        <w:r w:rsidRPr="00891DA8">
          <w:rPr>
            <w:rFonts w:ascii="微软雅黑" w:eastAsia="微软雅黑" w:hAnsi="微软雅黑" w:cs="宋体"/>
            <w:kern w:val="0"/>
            <w:sz w:val="24"/>
            <w:szCs w:val="24"/>
            <w:u w:val="single"/>
          </w:rPr>
          <w:t>3 </w:t>
        </w:r>
      </w:hyperlink>
      <w:hyperlink r:id="rId45" w:anchor="CR35" w:history="1">
        <w:r w:rsidRPr="00891DA8">
          <w:rPr>
            <w:rFonts w:ascii="MS Gothic" w:eastAsia="MS Gothic" w:hAnsi="MS Gothic" w:cs="MS Gothic" w:hint="eastAsia"/>
            <w:kern w:val="0"/>
            <w:sz w:val="24"/>
            <w:szCs w:val="24"/>
            <w:u w:val="single"/>
          </w:rPr>
          <w:t>​​</w:t>
        </w:r>
        <w:r w:rsidRPr="00891DA8">
          <w:rPr>
            <w:rFonts w:ascii="微软雅黑" w:eastAsia="微软雅黑" w:hAnsi="微软雅黑" w:cs="宋体"/>
            <w:kern w:val="0"/>
            <w:sz w:val="24"/>
            <w:szCs w:val="24"/>
            <w:u w:val="single"/>
          </w:rPr>
          <w:t>5,36</w:t>
        </w:r>
      </w:hyperlink>
      <w:r w:rsidRPr="00891DA8">
        <w:rPr>
          <w:rFonts w:ascii="微软雅黑" w:eastAsia="微软雅黑" w:hAnsi="微软雅黑" w:cs="宋体"/>
          <w:kern w:val="0"/>
          <w:sz w:val="24"/>
          <w:szCs w:val="24"/>
        </w:rPr>
        <w:t xml:space="preserve"> ] 。细胞周期蛋白 D1 的这些非催化功能在细胞周期中，特别是细胞分裂和运动的调节中，其生理相关性的相对程度仍在确定中，但在评估抑制 CDK4/6 </w:t>
      </w:r>
      <w:proofErr w:type="gramStart"/>
      <w:r w:rsidRPr="00891DA8">
        <w:rPr>
          <w:rFonts w:ascii="微软雅黑" w:eastAsia="微软雅黑" w:hAnsi="微软雅黑" w:cs="宋体"/>
          <w:kern w:val="0"/>
          <w:sz w:val="24"/>
          <w:szCs w:val="24"/>
        </w:rPr>
        <w:t>介</w:t>
      </w:r>
      <w:proofErr w:type="gramEnd"/>
      <w:r w:rsidRPr="00891DA8">
        <w:rPr>
          <w:rFonts w:ascii="微软雅黑" w:eastAsia="微软雅黑" w:hAnsi="微软雅黑" w:cs="宋体"/>
          <w:kern w:val="0"/>
          <w:sz w:val="24"/>
          <w:szCs w:val="24"/>
        </w:rPr>
        <w:t>导的信号传导的效果时，应该考虑这些功能。</w:t>
      </w:r>
    </w:p>
    <w:p w14:paraId="37883968" w14:textId="77777777" w:rsidR="00891DA8" w:rsidRPr="00891DA8" w:rsidRDefault="00891DA8" w:rsidP="00891DA8">
      <w:pPr>
        <w:widowControl/>
        <w:pBdr>
          <w:bottom w:val="single" w:sz="6" w:space="0" w:color="97B1C8"/>
        </w:pBdr>
        <w:spacing w:line="450" w:lineRule="atLeast"/>
        <w:outlineLvl w:val="1"/>
        <w:rPr>
          <w:rFonts w:ascii="微软雅黑" w:eastAsia="微软雅黑" w:hAnsi="微软雅黑" w:cs="宋体"/>
          <w:kern w:val="0"/>
          <w:sz w:val="34"/>
          <w:szCs w:val="34"/>
        </w:rPr>
      </w:pPr>
      <w:r w:rsidRPr="00891DA8">
        <w:rPr>
          <w:rFonts w:ascii="微软雅黑" w:eastAsia="微软雅黑" w:hAnsi="微软雅黑" w:cs="宋体"/>
          <w:kern w:val="0"/>
          <w:sz w:val="34"/>
          <w:szCs w:val="34"/>
        </w:rPr>
        <w:t>CDK4/6在正常发育中的作用</w:t>
      </w:r>
    </w:p>
    <w:p w14:paraId="000F0FF2"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鉴于细胞周期中 CDK-细胞周期蛋白激活的固有线性特征，人们长期以来认为单个 CDK 的缺失会对细胞增殖和胚胎发育产生有害影响。然而，CDK2、CDK3、CDK4 和 CDK6 的独立敲除小鼠模型对这一观点提出了质疑，这些小鼠均能存活 [ </w:t>
      </w:r>
      <w:hyperlink r:id="rId46" w:anchor="CR40" w:history="1">
        <w:r w:rsidRPr="00891DA8">
          <w:rPr>
            <w:rFonts w:ascii="微软雅黑" w:eastAsia="微软雅黑" w:hAnsi="微软雅黑" w:cs="宋体"/>
            <w:kern w:val="0"/>
            <w:sz w:val="24"/>
            <w:szCs w:val="24"/>
            <w:u w:val="single"/>
          </w:rPr>
          <w:t>37-40 </w:t>
        </w:r>
      </w:hyperlink>
      <w:hyperlink r:id="rId47" w:anchor="CR37" w:history="1">
        <w:r w:rsidRPr="00891DA8">
          <w:rPr>
            <w:rFonts w:ascii="微软雅黑" w:eastAsia="微软雅黑" w:hAnsi="微软雅黑" w:cs="宋体"/>
            <w:kern w:val="0"/>
            <w:sz w:val="24"/>
            <w:szCs w:val="24"/>
            <w:u w:val="single"/>
          </w:rPr>
          <w:t>]</w:t>
        </w:r>
      </w:hyperlink>
      <w:r w:rsidRPr="00891DA8">
        <w:rPr>
          <w:rFonts w:ascii="微软雅黑" w:eastAsia="微软雅黑" w:hAnsi="微软雅黑" w:cs="宋体"/>
          <w:kern w:val="0"/>
          <w:sz w:val="24"/>
          <w:szCs w:val="24"/>
        </w:rPr>
        <w:t> 。但是，CDK4 和 CDK6 的双敲除小鼠以及细胞周期蛋白 D1、D2 和 D3 的三敲除小鼠发育基本正常，但分别因严重贫血和心脏异常在妊娠中期/晚期死亡。这些小鼠的胚胎成纤维细胞尽管对有丝分裂原的需求增加且 S 期进入速度减慢，但其增殖基本正常，而且癌变倾向也较低 [ </w:t>
      </w:r>
      <w:hyperlink r:id="rId48" w:anchor="CR41" w:history="1">
        <w:r w:rsidRPr="00891DA8">
          <w:rPr>
            <w:rFonts w:ascii="微软雅黑" w:eastAsia="微软雅黑" w:hAnsi="微软雅黑" w:cs="宋体"/>
            <w:kern w:val="0"/>
            <w:sz w:val="24"/>
            <w:szCs w:val="24"/>
            <w:u w:val="single"/>
          </w:rPr>
          <w:t>41</w:t>
        </w:r>
      </w:hyperlink>
      <w:r w:rsidRPr="00891DA8">
        <w:rPr>
          <w:rFonts w:ascii="微软雅黑" w:eastAsia="微软雅黑" w:hAnsi="微软雅黑" w:cs="宋体"/>
          <w:kern w:val="0"/>
          <w:sz w:val="24"/>
          <w:szCs w:val="24"/>
        </w:rPr>
        <w:t> , </w:t>
      </w:r>
      <w:hyperlink r:id="rId49" w:anchor="CR42" w:history="1">
        <w:r w:rsidRPr="00891DA8">
          <w:rPr>
            <w:rFonts w:ascii="微软雅黑" w:eastAsia="微软雅黑" w:hAnsi="微软雅黑" w:cs="宋体"/>
            <w:kern w:val="0"/>
            <w:sz w:val="24"/>
            <w:szCs w:val="24"/>
            <w:u w:val="single"/>
          </w:rPr>
          <w:t>42</w:t>
        </w:r>
      </w:hyperlink>
      <w:r w:rsidRPr="00891DA8">
        <w:rPr>
          <w:rFonts w:ascii="微软雅黑" w:eastAsia="微软雅黑" w:hAnsi="微软雅黑" w:cs="宋体"/>
          <w:kern w:val="0"/>
          <w:sz w:val="24"/>
          <w:szCs w:val="24"/>
        </w:rPr>
        <w:t> ]。这些数据表明，CDK4 和 CDK6 的活性在某些发育和正常细胞功能中可能并非必需，提示靶向抑制 CDK4 和 CDK6 可能对正常组织具有较好的耐受性。</w:t>
      </w:r>
    </w:p>
    <w:p w14:paraId="5CE35D20" w14:textId="77777777" w:rsidR="00891DA8" w:rsidRPr="00891DA8" w:rsidRDefault="00891DA8" w:rsidP="00891DA8">
      <w:pPr>
        <w:widowControl/>
        <w:pBdr>
          <w:bottom w:val="single" w:sz="6" w:space="0" w:color="97B1C8"/>
        </w:pBdr>
        <w:spacing w:line="450" w:lineRule="atLeast"/>
        <w:outlineLvl w:val="1"/>
        <w:rPr>
          <w:rFonts w:ascii="微软雅黑" w:eastAsia="微软雅黑" w:hAnsi="微软雅黑" w:cs="宋体"/>
          <w:kern w:val="0"/>
          <w:sz w:val="34"/>
          <w:szCs w:val="34"/>
        </w:rPr>
      </w:pPr>
      <w:r w:rsidRPr="00891DA8">
        <w:rPr>
          <w:rFonts w:ascii="微软雅黑" w:eastAsia="微软雅黑" w:hAnsi="微软雅黑" w:cs="宋体"/>
          <w:kern w:val="0"/>
          <w:sz w:val="34"/>
          <w:szCs w:val="34"/>
        </w:rPr>
        <w:t>CDK4/6在乳腺癌发病机制中的作用</w:t>
      </w:r>
    </w:p>
    <w:p w14:paraId="197886E5"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细胞周期调控机制的改变被认为是“癌症的标志”，会导致细胞不受控制地增殖[ </w:t>
      </w:r>
      <w:hyperlink r:id="rId50" w:anchor="CR43" w:history="1">
        <w:r w:rsidRPr="00891DA8">
          <w:rPr>
            <w:rFonts w:ascii="微软雅黑" w:eastAsia="微软雅黑" w:hAnsi="微软雅黑" w:cs="宋体"/>
            <w:kern w:val="0"/>
            <w:sz w:val="24"/>
            <w:szCs w:val="24"/>
            <w:u w:val="single"/>
          </w:rPr>
          <w:t>43</w:t>
        </w:r>
      </w:hyperlink>
      <w:r w:rsidRPr="00891DA8">
        <w:rPr>
          <w:rFonts w:ascii="微软雅黑" w:eastAsia="微软雅黑" w:hAnsi="微软雅黑" w:cs="宋体"/>
          <w:kern w:val="0"/>
          <w:sz w:val="24"/>
          <w:szCs w:val="24"/>
        </w:rPr>
        <w:t> ]。大量证据表明，细胞周期蛋白D1:CDK4/6复合物的失调在包括乳腺癌在内的多种癌症的发生和发展中都起着重要作用。鉴于细胞周期蛋白D1的“过表达”在导管原位癌中就已出现，并在转移性病变中持续存在，但在非典型导管增生等早期病变中却缺失[44, 45 </w:t>
      </w:r>
      <w:hyperlink r:id="rId51" w:anchor="CR44" w:history="1">
        <w:r w:rsidRPr="00891DA8">
          <w:rPr>
            <w:rFonts w:ascii="微软雅黑" w:eastAsia="微软雅黑" w:hAnsi="微软雅黑" w:cs="宋体"/>
            <w:kern w:val="0"/>
            <w:sz w:val="24"/>
            <w:szCs w:val="24"/>
            <w:u w:val="single"/>
          </w:rPr>
          <w:t>]</w:t>
        </w:r>
      </w:hyperlink>
      <w:r w:rsidRPr="00891DA8">
        <w:rPr>
          <w:rFonts w:ascii="微软雅黑" w:eastAsia="微软雅黑" w:hAnsi="微软雅黑" w:cs="宋体"/>
          <w:kern w:val="0"/>
          <w:sz w:val="24"/>
          <w:szCs w:val="24"/>
        </w:rPr>
        <w:t>，</w:t>
      </w:r>
      <w:r w:rsidRPr="00891DA8">
        <w:rPr>
          <w:rFonts w:ascii="微软雅黑" w:eastAsia="微软雅黑" w:hAnsi="微软雅黑" w:cs="宋体"/>
          <w:kern w:val="0"/>
          <w:sz w:val="24"/>
          <w:szCs w:val="24"/>
        </w:rPr>
        <w:fldChar w:fldCharType="begin"/>
      </w:r>
      <w:r w:rsidRPr="00891DA8">
        <w:rPr>
          <w:rFonts w:ascii="微软雅黑" w:eastAsia="微软雅黑" w:hAnsi="微软雅黑" w:cs="宋体"/>
          <w:kern w:val="0"/>
          <w:sz w:val="24"/>
          <w:szCs w:val="24"/>
        </w:rPr>
        <w:instrText xml:space="preserve"> HYPERLINK "https://pmc.ncbi.nlm.nih.gov/articles/PMC4746893/" \l "CR45" </w:instrText>
      </w:r>
      <w:r w:rsidRPr="00891DA8">
        <w:rPr>
          <w:rFonts w:ascii="微软雅黑" w:eastAsia="微软雅黑" w:hAnsi="微软雅黑" w:cs="宋体"/>
          <w:kern w:val="0"/>
          <w:sz w:val="24"/>
          <w:szCs w:val="24"/>
        </w:rPr>
        <w:fldChar w:fldCharType="separate"/>
      </w:r>
      <w:r w:rsidRPr="00891DA8">
        <w:rPr>
          <w:rFonts w:ascii="微软雅黑" w:eastAsia="微软雅黑" w:hAnsi="微软雅黑" w:cs="宋体"/>
          <w:kern w:val="0"/>
          <w:sz w:val="24"/>
          <w:szCs w:val="24"/>
          <w:u w:val="single"/>
        </w:rPr>
        <w:t>因此</w:t>
      </w:r>
      <w:r w:rsidRPr="00891DA8">
        <w:rPr>
          <w:rFonts w:ascii="微软雅黑" w:eastAsia="微软雅黑" w:hAnsi="微软雅黑" w:cs="宋体"/>
          <w:kern w:val="0"/>
          <w:sz w:val="24"/>
          <w:szCs w:val="24"/>
        </w:rPr>
        <w:fldChar w:fldCharType="end"/>
      </w:r>
      <w:r w:rsidRPr="00891DA8">
        <w:rPr>
          <w:rFonts w:ascii="微软雅黑" w:eastAsia="微软雅黑" w:hAnsi="微软雅黑" w:cs="宋体"/>
          <w:kern w:val="0"/>
          <w:sz w:val="24"/>
          <w:szCs w:val="24"/>
        </w:rPr>
        <w:t>细胞周期蛋白D1:CDK4/6轴的失调似乎</w:t>
      </w:r>
      <w:r w:rsidRPr="00891DA8">
        <w:rPr>
          <w:rFonts w:ascii="微软雅黑" w:eastAsia="微软雅黑" w:hAnsi="微软雅黑" w:cs="宋体"/>
          <w:kern w:val="0"/>
          <w:sz w:val="24"/>
          <w:szCs w:val="24"/>
        </w:rPr>
        <w:lastRenderedPageBreak/>
        <w:t>是乳腺癌发病机制中的早期步骤。已知D型细胞周期蛋白在乳腺发育过程中并非必需，但对于肿瘤的有效起始却至关重要。例如，缺乏功能性细胞周期蛋白D1的小鼠对ErbB-2/HER2/ </w:t>
      </w:r>
      <w:r w:rsidRPr="00891DA8">
        <w:rPr>
          <w:rFonts w:ascii="微软雅黑" w:eastAsia="微软雅黑" w:hAnsi="微软雅黑" w:cs="宋体"/>
          <w:i/>
          <w:iCs/>
          <w:kern w:val="0"/>
          <w:sz w:val="24"/>
          <w:szCs w:val="24"/>
        </w:rPr>
        <w:t>neu</w:t>
      </w:r>
      <w:r w:rsidRPr="00891DA8">
        <w:rPr>
          <w:rFonts w:ascii="微软雅黑" w:eastAsia="微软雅黑" w:hAnsi="微软雅黑" w:cs="宋体"/>
          <w:kern w:val="0"/>
          <w:sz w:val="24"/>
          <w:szCs w:val="24"/>
        </w:rPr>
        <w:t>和</w:t>
      </w:r>
      <w:proofErr w:type="spellStart"/>
      <w:r w:rsidRPr="00891DA8">
        <w:rPr>
          <w:rFonts w:ascii="微软雅黑" w:eastAsia="微软雅黑" w:hAnsi="微软雅黑" w:cs="宋体"/>
          <w:kern w:val="0"/>
          <w:sz w:val="24"/>
          <w:szCs w:val="24"/>
        </w:rPr>
        <w:t>ras</w:t>
      </w:r>
      <w:proofErr w:type="spellEnd"/>
      <w:r w:rsidRPr="00891DA8">
        <w:rPr>
          <w:rFonts w:ascii="微软雅黑" w:eastAsia="微软雅黑" w:hAnsi="微软雅黑" w:cs="宋体"/>
          <w:kern w:val="0"/>
          <w:sz w:val="24"/>
          <w:szCs w:val="24"/>
        </w:rPr>
        <w:t>癌基因引发的癌症具有抵抗力，而细胞周期蛋白D3缺失的小鼠则对Notch1驱动的T细胞急性淋巴细胞白血病不敏感[ </w:t>
      </w:r>
      <w:hyperlink r:id="rId52" w:anchor="CR7" w:history="1">
        <w:r w:rsidRPr="00891DA8">
          <w:rPr>
            <w:rFonts w:ascii="微软雅黑" w:eastAsia="微软雅黑" w:hAnsi="微软雅黑" w:cs="宋体"/>
            <w:kern w:val="0"/>
            <w:sz w:val="24"/>
            <w:szCs w:val="24"/>
            <w:u w:val="single"/>
          </w:rPr>
          <w:t>7</w:t>
        </w:r>
      </w:hyperlink>
      <w:r w:rsidRPr="00891DA8">
        <w:rPr>
          <w:rFonts w:ascii="微软雅黑" w:eastAsia="微软雅黑" w:hAnsi="微软雅黑" w:cs="宋体"/>
          <w:kern w:val="0"/>
          <w:sz w:val="24"/>
          <w:szCs w:val="24"/>
        </w:rPr>
        <w:t> , </w:t>
      </w:r>
      <w:hyperlink r:id="rId53" w:anchor="CR46" w:history="1">
        <w:r w:rsidRPr="00891DA8">
          <w:rPr>
            <w:rFonts w:ascii="微软雅黑" w:eastAsia="微软雅黑" w:hAnsi="微软雅黑" w:cs="宋体"/>
            <w:kern w:val="0"/>
            <w:sz w:val="24"/>
            <w:szCs w:val="24"/>
            <w:u w:val="single"/>
          </w:rPr>
          <w:t>46</w:t>
        </w:r>
      </w:hyperlink>
      <w:r w:rsidRPr="00891DA8">
        <w:rPr>
          <w:rFonts w:ascii="微软雅黑" w:eastAsia="微软雅黑" w:hAnsi="微软雅黑" w:cs="宋体"/>
          <w:kern w:val="0"/>
          <w:sz w:val="24"/>
          <w:szCs w:val="24"/>
        </w:rPr>
        <w:t> , </w:t>
      </w:r>
      <w:hyperlink r:id="rId54" w:anchor="CR47" w:history="1">
        <w:r w:rsidRPr="00891DA8">
          <w:rPr>
            <w:rFonts w:ascii="微软雅黑" w:eastAsia="微软雅黑" w:hAnsi="微软雅黑" w:cs="宋体"/>
            <w:kern w:val="0"/>
            <w:sz w:val="24"/>
            <w:szCs w:val="24"/>
            <w:u w:val="single"/>
          </w:rPr>
          <w:t>47</w:t>
        </w:r>
      </w:hyperlink>
      <w:r w:rsidRPr="00891DA8">
        <w:rPr>
          <w:rFonts w:ascii="微软雅黑" w:eastAsia="微软雅黑" w:hAnsi="微软雅黑" w:cs="宋体"/>
          <w:kern w:val="0"/>
          <w:sz w:val="24"/>
          <w:szCs w:val="24"/>
        </w:rPr>
        <w:t> ]。此外，细胞周期蛋白D1和D3似乎可以相互补偿，共同驱动肿瘤的发生和发展[ </w:t>
      </w:r>
      <w:hyperlink r:id="rId55" w:anchor="CR48" w:history="1">
        <w:r w:rsidRPr="00891DA8">
          <w:rPr>
            <w:rFonts w:ascii="微软雅黑" w:eastAsia="微软雅黑" w:hAnsi="微软雅黑" w:cs="宋体"/>
            <w:kern w:val="0"/>
            <w:sz w:val="24"/>
            <w:szCs w:val="24"/>
            <w:u w:val="single"/>
          </w:rPr>
          <w:t>48</w:t>
        </w:r>
      </w:hyperlink>
      <w:r w:rsidRPr="00891DA8">
        <w:rPr>
          <w:rFonts w:ascii="微软雅黑" w:eastAsia="微软雅黑" w:hAnsi="微软雅黑" w:cs="宋体"/>
          <w:kern w:val="0"/>
          <w:sz w:val="24"/>
          <w:szCs w:val="24"/>
        </w:rPr>
        <w:t> ]。类似地，CDK4的表达似乎是ErbB-2诱导的肿瘤发生所必需的，但对于</w:t>
      </w:r>
      <w:proofErr w:type="spellStart"/>
      <w:r w:rsidRPr="00891DA8">
        <w:rPr>
          <w:rFonts w:ascii="微软雅黑" w:eastAsia="微软雅黑" w:hAnsi="微软雅黑" w:cs="宋体"/>
          <w:kern w:val="0"/>
          <w:sz w:val="24"/>
          <w:szCs w:val="24"/>
        </w:rPr>
        <w:t>Wnt</w:t>
      </w:r>
      <w:proofErr w:type="spellEnd"/>
      <w:r w:rsidRPr="00891DA8">
        <w:rPr>
          <w:rFonts w:ascii="微软雅黑" w:eastAsia="微软雅黑" w:hAnsi="微软雅黑" w:cs="宋体"/>
          <w:kern w:val="0"/>
          <w:sz w:val="24"/>
          <w:szCs w:val="24"/>
        </w:rPr>
        <w:t>信号通路诱导的肿瘤发生则并非必需[ </w:t>
      </w:r>
      <w:hyperlink r:id="rId56" w:anchor="CR49" w:history="1">
        <w:r w:rsidRPr="00891DA8">
          <w:rPr>
            <w:rFonts w:ascii="微软雅黑" w:eastAsia="微软雅黑" w:hAnsi="微软雅黑" w:cs="宋体"/>
            <w:kern w:val="0"/>
            <w:sz w:val="24"/>
            <w:szCs w:val="24"/>
            <w:u w:val="single"/>
          </w:rPr>
          <w:t>49</w:t>
        </w:r>
      </w:hyperlink>
      <w:r w:rsidRPr="00891DA8">
        <w:rPr>
          <w:rFonts w:ascii="微软雅黑" w:eastAsia="微软雅黑" w:hAnsi="微软雅黑" w:cs="宋体"/>
          <w:kern w:val="0"/>
          <w:sz w:val="24"/>
          <w:szCs w:val="24"/>
        </w:rPr>
        <w:t> ]。进一步的证据表明，细胞周期蛋白D1:CDK4/6</w:t>
      </w:r>
      <w:proofErr w:type="gramStart"/>
      <w:r w:rsidRPr="00891DA8">
        <w:rPr>
          <w:rFonts w:ascii="微软雅黑" w:eastAsia="微软雅黑" w:hAnsi="微软雅黑" w:cs="宋体"/>
          <w:kern w:val="0"/>
          <w:sz w:val="24"/>
          <w:szCs w:val="24"/>
        </w:rPr>
        <w:t>轴对于</w:t>
      </w:r>
      <w:proofErr w:type="gramEnd"/>
      <w:r w:rsidRPr="00891DA8">
        <w:rPr>
          <w:rFonts w:ascii="微软雅黑" w:eastAsia="微软雅黑" w:hAnsi="微软雅黑" w:cs="宋体"/>
          <w:kern w:val="0"/>
          <w:sz w:val="24"/>
          <w:szCs w:val="24"/>
        </w:rPr>
        <w:t>乳腺癌的维持和进展至关重要，这些研究证实了它们在恶性肿瘤发生中的作用。这是基于以下数据：在体内，急性细胞周期蛋白 D1 消融或 CDK4/6 靶向抑制可导致 ErbB2 驱动的肿瘤停滞和衰老 [ </w:t>
      </w:r>
      <w:hyperlink r:id="rId57" w:anchor="CR47" w:history="1">
        <w:r w:rsidRPr="00891DA8">
          <w:rPr>
            <w:rFonts w:ascii="微软雅黑" w:eastAsia="微软雅黑" w:hAnsi="微软雅黑" w:cs="宋体"/>
            <w:kern w:val="0"/>
            <w:sz w:val="24"/>
            <w:szCs w:val="24"/>
            <w:u w:val="single"/>
          </w:rPr>
          <w:t>47</w:t>
        </w:r>
      </w:hyperlink>
      <w:r w:rsidRPr="00891DA8">
        <w:rPr>
          <w:rFonts w:ascii="微软雅黑" w:eastAsia="微软雅黑" w:hAnsi="微软雅黑" w:cs="宋体"/>
          <w:kern w:val="0"/>
          <w:sz w:val="24"/>
          <w:szCs w:val="24"/>
        </w:rPr>
        <w:t> ]。</w:t>
      </w:r>
    </w:p>
    <w:p w14:paraId="3FDBC061"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细胞周期蛋白D1:CDK4/6复合物在调控细胞周期起始中起着核心作用，但CDK4/6的激活突变在癌症中极其罕见。然而，已有研究报道，在15%至25%的乳腺癌中存在CDK4和细胞周期蛋白D1的扩增，而一些已发表的研究显示，超过一半的乳腺癌存在细胞周期蛋白D1的过表达[ </w:t>
      </w:r>
      <w:hyperlink r:id="rId58" w:anchor="CR44" w:history="1">
        <w:r w:rsidRPr="00891DA8">
          <w:rPr>
            <w:rFonts w:ascii="微软雅黑" w:eastAsia="微软雅黑" w:hAnsi="微软雅黑" w:cs="宋体"/>
            <w:kern w:val="0"/>
            <w:sz w:val="24"/>
            <w:szCs w:val="24"/>
            <w:u w:val="single"/>
          </w:rPr>
          <w:t>44</w:t>
        </w:r>
      </w:hyperlink>
      <w:r w:rsidRPr="00891DA8">
        <w:rPr>
          <w:rFonts w:ascii="微软雅黑" w:eastAsia="微软雅黑" w:hAnsi="微软雅黑" w:cs="宋体"/>
          <w:kern w:val="0"/>
          <w:sz w:val="24"/>
          <w:szCs w:val="24"/>
        </w:rPr>
        <w:t> , </w:t>
      </w:r>
      <w:hyperlink r:id="rId59" w:anchor="CR45" w:history="1">
        <w:r w:rsidRPr="00891DA8">
          <w:rPr>
            <w:rFonts w:ascii="微软雅黑" w:eastAsia="微软雅黑" w:hAnsi="微软雅黑" w:cs="宋体"/>
            <w:kern w:val="0"/>
            <w:sz w:val="24"/>
            <w:szCs w:val="24"/>
            <w:u w:val="single"/>
          </w:rPr>
          <w:t>45</w:t>
        </w:r>
      </w:hyperlink>
      <w:r w:rsidRPr="00891DA8">
        <w:rPr>
          <w:rFonts w:ascii="微软雅黑" w:eastAsia="微软雅黑" w:hAnsi="微软雅黑" w:cs="宋体"/>
          <w:kern w:val="0"/>
          <w:sz w:val="24"/>
          <w:szCs w:val="24"/>
        </w:rPr>
        <w:t> , </w:t>
      </w:r>
      <w:hyperlink r:id="rId60" w:anchor="CR50" w:history="1">
        <w:r w:rsidRPr="00891DA8">
          <w:rPr>
            <w:rFonts w:ascii="微软雅黑" w:eastAsia="微软雅黑" w:hAnsi="微软雅黑" w:cs="宋体"/>
            <w:kern w:val="0"/>
            <w:sz w:val="24"/>
            <w:szCs w:val="24"/>
            <w:u w:val="single"/>
          </w:rPr>
          <w:t>50</w:t>
        </w:r>
      </w:hyperlink>
      <w:r w:rsidRPr="00891DA8">
        <w:rPr>
          <w:rFonts w:ascii="微软雅黑" w:eastAsia="微软雅黑" w:hAnsi="微软雅黑" w:cs="宋体"/>
          <w:kern w:val="0"/>
          <w:sz w:val="24"/>
          <w:szCs w:val="24"/>
        </w:rPr>
        <w:t> , </w:t>
      </w:r>
      <w:hyperlink r:id="rId61" w:anchor="CR51" w:history="1">
        <w:r w:rsidRPr="00891DA8">
          <w:rPr>
            <w:rFonts w:ascii="微软雅黑" w:eastAsia="微软雅黑" w:hAnsi="微软雅黑" w:cs="宋体"/>
            <w:kern w:val="0"/>
            <w:sz w:val="24"/>
            <w:szCs w:val="24"/>
            <w:u w:val="single"/>
          </w:rPr>
          <w:t>51</w:t>
        </w:r>
      </w:hyperlink>
      <w:r w:rsidRPr="00891DA8">
        <w:rPr>
          <w:rFonts w:ascii="微软雅黑" w:eastAsia="微软雅黑" w:hAnsi="微软雅黑" w:cs="宋体"/>
          <w:kern w:val="0"/>
          <w:sz w:val="24"/>
          <w:szCs w:val="24"/>
        </w:rPr>
        <w:t> ]。近期发表的癌症基因组图谱（TCGA）数据包含了来自507例患者的510个肿瘤标本，并对其进行了全面的基因组分析[ </w:t>
      </w:r>
      <w:hyperlink r:id="rId62" w:anchor="CR52" w:history="1">
        <w:r w:rsidRPr="00891DA8">
          <w:rPr>
            <w:rFonts w:ascii="微软雅黑" w:eastAsia="微软雅黑" w:hAnsi="微软雅黑" w:cs="宋体"/>
            <w:kern w:val="0"/>
            <w:sz w:val="24"/>
            <w:szCs w:val="24"/>
            <w:u w:val="single"/>
          </w:rPr>
          <w:t>52</w:t>
        </w:r>
      </w:hyperlink>
      <w:r w:rsidRPr="00891DA8">
        <w:rPr>
          <w:rFonts w:ascii="微软雅黑" w:eastAsia="微软雅黑" w:hAnsi="微软雅黑" w:cs="宋体"/>
          <w:kern w:val="0"/>
          <w:sz w:val="24"/>
          <w:szCs w:val="24"/>
        </w:rPr>
        <w:t> ]。按乳腺癌的内在亚型进行分析发现，细胞周期基因的改变各不相同，其中细胞周期蛋白D1扩增在管腔A型、管腔B型和HER2富集型乳腺癌中最常见，频率分别为29%、58%和38%。相反，细胞周期蛋白E1的扩增在基底细胞癌亚型中更为常见。与细胞周期蛋白D1类似，CDK4的扩增在管腔A型、B型和HER2富集亚组中更为常见，分别为14%、</w:t>
      </w:r>
      <w:r w:rsidRPr="00891DA8">
        <w:rPr>
          <w:rFonts w:ascii="微软雅黑" w:eastAsia="微软雅黑" w:hAnsi="微软雅黑" w:cs="宋体"/>
          <w:kern w:val="0"/>
          <w:sz w:val="24"/>
          <w:szCs w:val="24"/>
        </w:rPr>
        <w:lastRenderedPageBreak/>
        <w:t>25%和24%。其他一些被认为会拮抗CDK4/6依赖性的改变，例如</w:t>
      </w:r>
      <w:proofErr w:type="spellStart"/>
      <w:r w:rsidRPr="00891DA8">
        <w:rPr>
          <w:rFonts w:ascii="微软雅黑" w:eastAsia="微软雅黑" w:hAnsi="微软雅黑" w:cs="宋体"/>
          <w:kern w:val="0"/>
          <w:sz w:val="24"/>
          <w:szCs w:val="24"/>
        </w:rPr>
        <w:t>pRb</w:t>
      </w:r>
      <w:proofErr w:type="spellEnd"/>
      <w:r w:rsidRPr="00891DA8">
        <w:rPr>
          <w:rFonts w:ascii="微软雅黑" w:eastAsia="微软雅黑" w:hAnsi="微软雅黑" w:cs="宋体"/>
          <w:kern w:val="0"/>
          <w:sz w:val="24"/>
          <w:szCs w:val="24"/>
        </w:rPr>
        <w:t>表达降低或</w:t>
      </w:r>
      <w:r w:rsidRPr="00891DA8">
        <w:rPr>
          <w:rFonts w:ascii="微软雅黑" w:eastAsia="微软雅黑" w:hAnsi="微软雅黑" w:cs="宋体"/>
          <w:i/>
          <w:iCs/>
          <w:kern w:val="0"/>
          <w:sz w:val="24"/>
          <w:szCs w:val="24"/>
        </w:rPr>
        <w:t>RB</w:t>
      </w:r>
      <w:r w:rsidRPr="00891DA8">
        <w:rPr>
          <w:rFonts w:ascii="微软雅黑" w:eastAsia="微软雅黑" w:hAnsi="微软雅黑" w:cs="宋体"/>
          <w:kern w:val="0"/>
          <w:sz w:val="24"/>
          <w:szCs w:val="24"/>
        </w:rPr>
        <w:t>缺失/突变，在基底细胞癌中也很常见（突变/</w:t>
      </w:r>
      <w:proofErr w:type="gramStart"/>
      <w:r w:rsidRPr="00891DA8">
        <w:rPr>
          <w:rFonts w:ascii="微软雅黑" w:eastAsia="微软雅黑" w:hAnsi="微软雅黑" w:cs="宋体"/>
          <w:kern w:val="0"/>
          <w:sz w:val="24"/>
          <w:szCs w:val="24"/>
        </w:rPr>
        <w:t>缺失占</w:t>
      </w:r>
      <w:proofErr w:type="gramEnd"/>
      <w:r w:rsidRPr="00891DA8">
        <w:rPr>
          <w:rFonts w:ascii="微软雅黑" w:eastAsia="微软雅黑" w:hAnsi="微软雅黑" w:cs="宋体"/>
          <w:kern w:val="0"/>
          <w:sz w:val="24"/>
          <w:szCs w:val="24"/>
        </w:rPr>
        <w:t>20%）。</w:t>
      </w:r>
    </w:p>
    <w:p w14:paraId="6C702420"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细胞周期蛋白D1和CDK4的扩增在管腔B型（分别为58%和25%）和HER2表达亚型（分别为38%和24%）中尤为显著，在管腔A型（分别为29%和14%）中处于中等水平，而在基底样肿瘤中则较低，基底样肿瘤往往也常伴有</w:t>
      </w:r>
      <w:proofErr w:type="spellStart"/>
      <w:r w:rsidRPr="00891DA8">
        <w:rPr>
          <w:rFonts w:ascii="微软雅黑" w:eastAsia="微软雅黑" w:hAnsi="微软雅黑" w:cs="宋体"/>
          <w:kern w:val="0"/>
          <w:sz w:val="24"/>
          <w:szCs w:val="24"/>
        </w:rPr>
        <w:t>pRb</w:t>
      </w:r>
      <w:proofErr w:type="spellEnd"/>
      <w:r w:rsidRPr="00891DA8">
        <w:rPr>
          <w:rFonts w:ascii="微软雅黑" w:eastAsia="微软雅黑" w:hAnsi="微软雅黑" w:cs="宋体"/>
          <w:kern w:val="0"/>
          <w:sz w:val="24"/>
          <w:szCs w:val="24"/>
        </w:rPr>
        <w:t>的缺失[ </w:t>
      </w:r>
      <w:hyperlink r:id="rId63" w:anchor="CR52" w:history="1">
        <w:r w:rsidRPr="00891DA8">
          <w:rPr>
            <w:rFonts w:ascii="微软雅黑" w:eastAsia="微软雅黑" w:hAnsi="微软雅黑" w:cs="宋体"/>
            <w:kern w:val="0"/>
            <w:sz w:val="24"/>
            <w:szCs w:val="24"/>
            <w:u w:val="single"/>
          </w:rPr>
          <w:t>52</w:t>
        </w:r>
      </w:hyperlink>
      <w:r w:rsidRPr="00891DA8">
        <w:rPr>
          <w:rFonts w:ascii="微软雅黑" w:eastAsia="微软雅黑" w:hAnsi="微软雅黑" w:cs="宋体"/>
          <w:kern w:val="0"/>
          <w:sz w:val="24"/>
          <w:szCs w:val="24"/>
        </w:rPr>
        <w:t> ]。回顾来看，其他一些会拮抗CDK4/6依赖性的改变，例如</w:t>
      </w:r>
      <w:r w:rsidRPr="00891DA8">
        <w:rPr>
          <w:rFonts w:ascii="微软雅黑" w:eastAsia="微软雅黑" w:hAnsi="微软雅黑" w:cs="宋体"/>
          <w:i/>
          <w:iCs/>
          <w:kern w:val="0"/>
          <w:sz w:val="24"/>
          <w:szCs w:val="24"/>
        </w:rPr>
        <w:t>RB</w:t>
      </w:r>
      <w:r w:rsidRPr="00891DA8">
        <w:rPr>
          <w:rFonts w:ascii="微软雅黑" w:eastAsia="微软雅黑" w:hAnsi="微软雅黑" w:cs="宋体"/>
          <w:kern w:val="0"/>
          <w:sz w:val="24"/>
          <w:szCs w:val="24"/>
        </w:rPr>
        <w:t>表达降低或</w:t>
      </w:r>
      <w:r w:rsidRPr="00891DA8">
        <w:rPr>
          <w:rFonts w:ascii="微软雅黑" w:eastAsia="微软雅黑" w:hAnsi="微软雅黑" w:cs="宋体"/>
          <w:i/>
          <w:iCs/>
          <w:kern w:val="0"/>
          <w:sz w:val="24"/>
          <w:szCs w:val="24"/>
        </w:rPr>
        <w:t>RB</w:t>
      </w:r>
      <w:r w:rsidRPr="00891DA8">
        <w:rPr>
          <w:rFonts w:ascii="微软雅黑" w:eastAsia="微软雅黑" w:hAnsi="微软雅黑" w:cs="宋体"/>
          <w:kern w:val="0"/>
          <w:sz w:val="24"/>
          <w:szCs w:val="24"/>
        </w:rPr>
        <w:t>缺失/突变，在</w:t>
      </w:r>
      <w:proofErr w:type="gramStart"/>
      <w:r w:rsidRPr="00891DA8">
        <w:rPr>
          <w:rFonts w:ascii="微软雅黑" w:eastAsia="微软雅黑" w:hAnsi="微软雅黑" w:cs="宋体"/>
          <w:kern w:val="0"/>
          <w:sz w:val="24"/>
          <w:szCs w:val="24"/>
        </w:rPr>
        <w:t>基底样亚型</w:t>
      </w:r>
      <w:proofErr w:type="gramEnd"/>
      <w:r w:rsidRPr="00891DA8">
        <w:rPr>
          <w:rFonts w:ascii="微软雅黑" w:eastAsia="微软雅黑" w:hAnsi="微软雅黑" w:cs="宋体"/>
          <w:kern w:val="0"/>
          <w:sz w:val="24"/>
          <w:szCs w:val="24"/>
        </w:rPr>
        <w:t>中也更为常见。</w:t>
      </w:r>
    </w:p>
    <w:p w14:paraId="2526C621" w14:textId="77777777" w:rsidR="00891DA8" w:rsidRPr="00891DA8" w:rsidRDefault="00891DA8" w:rsidP="00891DA8">
      <w:pPr>
        <w:widowControl/>
        <w:pBdr>
          <w:bottom w:val="single" w:sz="6" w:space="0" w:color="97B1C8"/>
        </w:pBdr>
        <w:spacing w:line="450" w:lineRule="atLeast"/>
        <w:outlineLvl w:val="1"/>
        <w:rPr>
          <w:rFonts w:ascii="微软雅黑" w:eastAsia="微软雅黑" w:hAnsi="微软雅黑" w:cs="宋体"/>
          <w:kern w:val="0"/>
          <w:sz w:val="34"/>
          <w:szCs w:val="34"/>
        </w:rPr>
      </w:pPr>
      <w:r w:rsidRPr="00891DA8">
        <w:rPr>
          <w:rFonts w:ascii="微软雅黑" w:eastAsia="微软雅黑" w:hAnsi="微软雅黑" w:cs="宋体"/>
          <w:kern w:val="0"/>
          <w:sz w:val="34"/>
          <w:szCs w:val="34"/>
        </w:rPr>
        <w:t>CDK4/6 与内分泌信号在乳腺癌中的相互作用</w:t>
      </w:r>
    </w:p>
    <w:p w14:paraId="5B8BA60B"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肽类生长因子和类固醇激素信号通路之间的相互作用一直是乳腺癌研究的热点领域，也是临床研究的重点。雌激素受体（ER）和人表皮生长因子受体2（HER2）信号通路似乎分别是约60%和20-25%乳腺癌生物学中的潜在“驱动因素”[ </w:t>
      </w:r>
      <w:hyperlink r:id="rId64" w:anchor="CR53" w:history="1">
        <w:r w:rsidRPr="00891DA8">
          <w:rPr>
            <w:rFonts w:ascii="微软雅黑" w:eastAsia="微软雅黑" w:hAnsi="微软雅黑" w:cs="宋体"/>
            <w:kern w:val="0"/>
            <w:sz w:val="24"/>
            <w:szCs w:val="24"/>
            <w:u w:val="single"/>
          </w:rPr>
          <w:t>53</w:t>
        </w:r>
      </w:hyperlink>
      <w:r w:rsidRPr="00891DA8">
        <w:rPr>
          <w:rFonts w:ascii="微软雅黑" w:eastAsia="微软雅黑" w:hAnsi="微软雅黑" w:cs="宋体"/>
          <w:kern w:val="0"/>
          <w:sz w:val="24"/>
          <w:szCs w:val="24"/>
        </w:rPr>
        <w:t> ]。虽然针对这些亚型的治疗方法主要针对相应的受体，但这两条通路可能存在汇合，最终对细胞周期蛋白D:CDK4/6通路产生下游效应。</w:t>
      </w:r>
    </w:p>
    <w:p w14:paraId="176DEDD5"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ER阳性乳腺癌的增殖和存活很大程度上依赖于雌激素信号通路[ </w:t>
      </w:r>
      <w:hyperlink r:id="rId65" w:anchor="CR54" w:history="1">
        <w:r w:rsidRPr="00891DA8">
          <w:rPr>
            <w:rFonts w:ascii="微软雅黑" w:eastAsia="微软雅黑" w:hAnsi="微软雅黑" w:cs="宋体"/>
            <w:kern w:val="0"/>
            <w:sz w:val="24"/>
            <w:szCs w:val="24"/>
            <w:u w:val="single"/>
          </w:rPr>
          <w:t>54</w:t>
        </w:r>
      </w:hyperlink>
      <w:r w:rsidRPr="00891DA8">
        <w:rPr>
          <w:rFonts w:ascii="微软雅黑" w:eastAsia="微软雅黑" w:hAnsi="微软雅黑" w:cs="宋体"/>
          <w:kern w:val="0"/>
          <w:sz w:val="24"/>
          <w:szCs w:val="24"/>
        </w:rPr>
        <w:t> ]，ER抑制会导致肿瘤细胞活力下降和细胞周期停滞于G1期[ </w:t>
      </w:r>
      <w:hyperlink r:id="rId66" w:anchor="CR55" w:history="1">
        <w:r w:rsidRPr="00891DA8">
          <w:rPr>
            <w:rFonts w:ascii="微软雅黑" w:eastAsia="微软雅黑" w:hAnsi="微软雅黑" w:cs="宋体"/>
            <w:kern w:val="0"/>
            <w:sz w:val="24"/>
            <w:szCs w:val="24"/>
            <w:u w:val="single"/>
          </w:rPr>
          <w:t>55</w:t>
        </w:r>
      </w:hyperlink>
      <w:r w:rsidRPr="00891DA8">
        <w:rPr>
          <w:rFonts w:ascii="微软雅黑" w:eastAsia="微软雅黑" w:hAnsi="微软雅黑" w:cs="宋体"/>
          <w:kern w:val="0"/>
          <w:sz w:val="24"/>
          <w:szCs w:val="24"/>
        </w:rPr>
        <w:t> , </w:t>
      </w:r>
      <w:hyperlink r:id="rId67" w:anchor="CR56" w:history="1">
        <w:r w:rsidRPr="00891DA8">
          <w:rPr>
            <w:rFonts w:ascii="微软雅黑" w:eastAsia="微软雅黑" w:hAnsi="微软雅黑" w:cs="宋体"/>
            <w:kern w:val="0"/>
            <w:sz w:val="24"/>
            <w:szCs w:val="24"/>
            <w:u w:val="single"/>
          </w:rPr>
          <w:t>56</w:t>
        </w:r>
      </w:hyperlink>
      <w:r w:rsidRPr="00891DA8">
        <w:rPr>
          <w:rFonts w:ascii="微软雅黑" w:eastAsia="微软雅黑" w:hAnsi="微软雅黑" w:cs="宋体"/>
          <w:kern w:val="0"/>
          <w:sz w:val="24"/>
          <w:szCs w:val="24"/>
        </w:rPr>
        <w:t> ]。已知ER信号通路可上调细胞周期蛋白D1的水平，并增强多种信号通路，最终导致CDK4/6活性上调[ </w:t>
      </w:r>
      <w:hyperlink r:id="rId68" w:anchor="CR57" w:history="1">
        <w:r w:rsidRPr="00891DA8">
          <w:rPr>
            <w:rFonts w:ascii="微软雅黑" w:eastAsia="微软雅黑" w:hAnsi="微软雅黑" w:cs="宋体"/>
            <w:kern w:val="0"/>
            <w:sz w:val="24"/>
            <w:szCs w:val="24"/>
            <w:u w:val="single"/>
          </w:rPr>
          <w:t>57</w:t>
        </w:r>
      </w:hyperlink>
      <w:r w:rsidRPr="00891DA8">
        <w:rPr>
          <w:rFonts w:ascii="微软雅黑" w:eastAsia="微软雅黑" w:hAnsi="微软雅黑" w:cs="宋体"/>
          <w:kern w:val="0"/>
          <w:sz w:val="24"/>
          <w:szCs w:val="24"/>
        </w:rPr>
        <w:t> , </w:t>
      </w:r>
      <w:hyperlink r:id="rId69" w:anchor="CR58" w:history="1">
        <w:r w:rsidRPr="00891DA8">
          <w:rPr>
            <w:rFonts w:ascii="微软雅黑" w:eastAsia="微软雅黑" w:hAnsi="微软雅黑" w:cs="宋体"/>
            <w:kern w:val="0"/>
            <w:sz w:val="24"/>
            <w:szCs w:val="24"/>
            <w:u w:val="single"/>
          </w:rPr>
          <w:t>58</w:t>
        </w:r>
      </w:hyperlink>
      <w:r w:rsidRPr="00891DA8">
        <w:rPr>
          <w:rFonts w:ascii="微软雅黑" w:eastAsia="微软雅黑" w:hAnsi="微软雅黑" w:cs="宋体"/>
          <w:kern w:val="0"/>
          <w:sz w:val="24"/>
          <w:szCs w:val="24"/>
        </w:rPr>
        <w:t> ]。因此，激素疗法是ER阳性乳腺癌治疗的基石，这一点不足为奇。然而，并非所有ER阳性乳腺癌都对这种疗法有效，即使在有效的情况下，获得性耐药也并不少见。数据表明，至少在某些ER阳性乳腺癌中，这种耐药可能是由多种其他促有丝分裂通路（例如HER2、PI3K/AKT等）的失调</w:t>
      </w:r>
      <w:proofErr w:type="gramStart"/>
      <w:r w:rsidRPr="00891DA8">
        <w:rPr>
          <w:rFonts w:ascii="微软雅黑" w:eastAsia="微软雅黑" w:hAnsi="微软雅黑" w:cs="宋体"/>
          <w:kern w:val="0"/>
          <w:sz w:val="24"/>
          <w:szCs w:val="24"/>
        </w:rPr>
        <w:t>介</w:t>
      </w:r>
      <w:proofErr w:type="gramEnd"/>
      <w:r w:rsidRPr="00891DA8">
        <w:rPr>
          <w:rFonts w:ascii="微软雅黑" w:eastAsia="微软雅黑" w:hAnsi="微软雅黑" w:cs="宋体"/>
          <w:kern w:val="0"/>
          <w:sz w:val="24"/>
          <w:szCs w:val="24"/>
        </w:rPr>
        <w:t>导的，</w:t>
      </w:r>
      <w:r w:rsidRPr="00891DA8">
        <w:rPr>
          <w:rFonts w:ascii="微软雅黑" w:eastAsia="微软雅黑" w:hAnsi="微软雅黑" w:cs="宋体"/>
          <w:kern w:val="0"/>
          <w:sz w:val="24"/>
          <w:szCs w:val="24"/>
        </w:rPr>
        <w:lastRenderedPageBreak/>
        <w:t>这些通路能够以ER非依赖的方式增强细胞周期蛋白D1:CDK4/6信号通路。此外，如上所述，细胞周期蛋白D1可以独立激活ER，并且大多数过表达细胞周期蛋白D1的乳腺癌为ER阳性[ </w:t>
      </w:r>
      <w:hyperlink r:id="rId70" w:anchor="CR51" w:history="1">
        <w:r w:rsidRPr="00891DA8">
          <w:rPr>
            <w:rFonts w:ascii="微软雅黑" w:eastAsia="微软雅黑" w:hAnsi="微软雅黑" w:cs="宋体"/>
            <w:kern w:val="0"/>
            <w:sz w:val="24"/>
            <w:szCs w:val="24"/>
            <w:u w:val="single"/>
          </w:rPr>
          <w:t>51</w:t>
        </w:r>
      </w:hyperlink>
      <w:r w:rsidRPr="00891DA8">
        <w:rPr>
          <w:rFonts w:ascii="微软雅黑" w:eastAsia="微软雅黑" w:hAnsi="微软雅黑" w:cs="宋体"/>
          <w:kern w:val="0"/>
          <w:sz w:val="24"/>
          <w:szCs w:val="24"/>
        </w:rPr>
        <w:t> , </w:t>
      </w:r>
      <w:hyperlink r:id="rId71" w:anchor="CR59" w:history="1">
        <w:r w:rsidRPr="00891DA8">
          <w:rPr>
            <w:rFonts w:ascii="微软雅黑" w:eastAsia="微软雅黑" w:hAnsi="微软雅黑" w:cs="宋体"/>
            <w:kern w:val="0"/>
            <w:sz w:val="24"/>
            <w:szCs w:val="24"/>
            <w:u w:val="single"/>
          </w:rPr>
          <w:t>59</w:t>
        </w:r>
      </w:hyperlink>
      <w:r w:rsidRPr="00891DA8">
        <w:rPr>
          <w:rFonts w:ascii="微软雅黑" w:eastAsia="微软雅黑" w:hAnsi="微软雅黑" w:cs="宋体"/>
          <w:kern w:val="0"/>
          <w:sz w:val="24"/>
          <w:szCs w:val="24"/>
        </w:rPr>
        <w:t> ]。这些发现表明细胞周期蛋白D:CDK4/6</w:t>
      </w:r>
      <w:proofErr w:type="gramStart"/>
      <w:r w:rsidRPr="00891DA8">
        <w:rPr>
          <w:rFonts w:ascii="微软雅黑" w:eastAsia="微软雅黑" w:hAnsi="微软雅黑" w:cs="宋体"/>
          <w:kern w:val="0"/>
          <w:sz w:val="24"/>
          <w:szCs w:val="24"/>
        </w:rPr>
        <w:t>介</w:t>
      </w:r>
      <w:proofErr w:type="gramEnd"/>
      <w:r w:rsidRPr="00891DA8">
        <w:rPr>
          <w:rFonts w:ascii="微软雅黑" w:eastAsia="微软雅黑" w:hAnsi="微软雅黑" w:cs="宋体"/>
          <w:kern w:val="0"/>
          <w:sz w:val="24"/>
          <w:szCs w:val="24"/>
        </w:rPr>
        <w:t>导的信号传导可能在ER阳性乳腺癌的雌激素非依赖性中发挥作用[ </w:t>
      </w:r>
      <w:hyperlink r:id="rId72" w:anchor="CR60" w:history="1">
        <w:r w:rsidRPr="00891DA8">
          <w:rPr>
            <w:rFonts w:ascii="微软雅黑" w:eastAsia="微软雅黑" w:hAnsi="微软雅黑" w:cs="宋体"/>
            <w:kern w:val="0"/>
            <w:sz w:val="24"/>
            <w:szCs w:val="24"/>
            <w:u w:val="single"/>
          </w:rPr>
          <w:t>60</w:t>
        </w:r>
      </w:hyperlink>
      <w:r w:rsidRPr="00891DA8">
        <w:rPr>
          <w:rFonts w:ascii="微软雅黑" w:eastAsia="微软雅黑" w:hAnsi="微软雅黑" w:cs="宋体"/>
          <w:kern w:val="0"/>
          <w:sz w:val="24"/>
          <w:szCs w:val="24"/>
        </w:rPr>
        <w:t> ]。</w:t>
      </w:r>
    </w:p>
    <w:p w14:paraId="6F49C530" w14:textId="77777777" w:rsidR="00891DA8" w:rsidRPr="00891DA8" w:rsidRDefault="00891DA8" w:rsidP="00891DA8">
      <w:pPr>
        <w:widowControl/>
        <w:pBdr>
          <w:bottom w:val="single" w:sz="6" w:space="0" w:color="97B1C8"/>
        </w:pBdr>
        <w:spacing w:line="450" w:lineRule="atLeast"/>
        <w:outlineLvl w:val="1"/>
        <w:rPr>
          <w:rFonts w:ascii="微软雅黑" w:eastAsia="微软雅黑" w:hAnsi="微软雅黑" w:cs="宋体"/>
          <w:kern w:val="0"/>
          <w:sz w:val="34"/>
          <w:szCs w:val="34"/>
        </w:rPr>
      </w:pPr>
      <w:r w:rsidRPr="00891DA8">
        <w:rPr>
          <w:rFonts w:ascii="微软雅黑" w:eastAsia="微软雅黑" w:hAnsi="微软雅黑" w:cs="宋体"/>
          <w:kern w:val="0"/>
          <w:sz w:val="34"/>
          <w:szCs w:val="34"/>
        </w:rPr>
        <w:t>细胞周期蛋白D:CDK4/6通路治疗靶向治疗</w:t>
      </w:r>
    </w:p>
    <w:p w14:paraId="7C1EC735"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细胞周期调控已被认为</w:t>
      </w:r>
      <w:proofErr w:type="gramStart"/>
      <w:r w:rsidRPr="00891DA8">
        <w:rPr>
          <w:rFonts w:ascii="微软雅黑" w:eastAsia="微软雅黑" w:hAnsi="微软雅黑" w:cs="宋体"/>
          <w:kern w:val="0"/>
          <w:sz w:val="24"/>
          <w:szCs w:val="24"/>
        </w:rPr>
        <w:t>是靶向药物</w:t>
      </w:r>
      <w:proofErr w:type="gramEnd"/>
      <w:r w:rsidRPr="00891DA8">
        <w:rPr>
          <w:rFonts w:ascii="微软雅黑" w:eastAsia="微软雅黑" w:hAnsi="微软雅黑" w:cs="宋体"/>
          <w:kern w:val="0"/>
          <w:sz w:val="24"/>
          <w:szCs w:val="24"/>
        </w:rPr>
        <w:t xml:space="preserve">治疗的理想靶点。鉴于其激酶活性，CDK 被广泛研究作为药物靶点。大量的药物研发项目已成功筛选出高效的小分子 CDK 抑制剂，其中一些化合物已成功进入临床前和早期临床试验。然而，直到最近，许多 CDK 抑制剂的临床活性仍然较差，且伴有不良反应。一般来说，CDK 抑制剂可分为两类：第一代抑制剂，例如 </w:t>
      </w:r>
      <w:proofErr w:type="spellStart"/>
      <w:r w:rsidRPr="00891DA8">
        <w:rPr>
          <w:rFonts w:ascii="微软雅黑" w:eastAsia="微软雅黑" w:hAnsi="微软雅黑" w:cs="宋体"/>
          <w:kern w:val="0"/>
          <w:sz w:val="24"/>
          <w:szCs w:val="24"/>
        </w:rPr>
        <w:t>flavopiridol</w:t>
      </w:r>
      <w:proofErr w:type="spellEnd"/>
      <w:r w:rsidRPr="00891DA8">
        <w:rPr>
          <w:rFonts w:ascii="微软雅黑" w:eastAsia="微软雅黑" w:hAnsi="微软雅黑" w:cs="宋体"/>
          <w:kern w:val="0"/>
          <w:sz w:val="24"/>
          <w:szCs w:val="24"/>
        </w:rPr>
        <w:t>、R-</w:t>
      </w:r>
      <w:proofErr w:type="spellStart"/>
      <w:r w:rsidRPr="00891DA8">
        <w:rPr>
          <w:rFonts w:ascii="微软雅黑" w:eastAsia="微软雅黑" w:hAnsi="微软雅黑" w:cs="宋体"/>
          <w:kern w:val="0"/>
          <w:sz w:val="24"/>
          <w:szCs w:val="24"/>
        </w:rPr>
        <w:t>roscovitine</w:t>
      </w:r>
      <w:proofErr w:type="spellEnd"/>
      <w:r w:rsidRPr="00891DA8">
        <w:rPr>
          <w:rFonts w:ascii="微软雅黑" w:eastAsia="微软雅黑" w:hAnsi="微软雅黑" w:cs="宋体"/>
          <w:kern w:val="0"/>
          <w:sz w:val="24"/>
          <w:szCs w:val="24"/>
        </w:rPr>
        <w:t xml:space="preserve"> 和 UCN-01，这类抑制剂的特异性较低，作用范围较广，能够阻断多种 CDK（泛 CDK 抑制剂）；以及第二代抑制剂，这类抑制剂对特定 CDK 具有更高的特异性。目前，第二类化合物已展现出更强的靶向活性和更佳的安全性。</w:t>
      </w:r>
    </w:p>
    <w:p w14:paraId="43CD375C" w14:textId="77777777" w:rsidR="00891DA8" w:rsidRPr="00891DA8" w:rsidRDefault="00891DA8" w:rsidP="00891DA8">
      <w:pPr>
        <w:widowControl/>
        <w:spacing w:line="450" w:lineRule="atLeast"/>
        <w:outlineLvl w:val="2"/>
        <w:rPr>
          <w:rFonts w:ascii="微软雅黑" w:eastAsia="微软雅黑" w:hAnsi="微软雅黑" w:cs="宋体"/>
          <w:kern w:val="0"/>
          <w:sz w:val="32"/>
          <w:szCs w:val="32"/>
        </w:rPr>
      </w:pPr>
      <w:r w:rsidRPr="00891DA8">
        <w:rPr>
          <w:rFonts w:ascii="微软雅黑" w:eastAsia="微软雅黑" w:hAnsi="微软雅黑" w:cs="宋体"/>
          <w:kern w:val="0"/>
          <w:sz w:val="32"/>
          <w:szCs w:val="32"/>
        </w:rPr>
        <w:t>第一代 CDK 抑制剂</w:t>
      </w:r>
    </w:p>
    <w:p w14:paraId="32D1AF0C"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如前所述，大多数第一代化合物并非特异性针对任何单一的CDK酶，而是主要作为泛CDK抑制剂发挥作用。然而，尽管临床前研究最初令人振奋，但许多此类化合物在临床研究中活性较低和/或毒性较大。</w:t>
      </w:r>
    </w:p>
    <w:p w14:paraId="3135250B"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黄酮吡啶醇（美国国家癌症研究所）是所有第一代 CDK 抑制剂中研究最多的，也是一种经典的泛 CDK 抑制剂。在 I 期和 II 期临床研究中，黄酮</w:t>
      </w:r>
      <w:proofErr w:type="gramStart"/>
      <w:r w:rsidRPr="00891DA8">
        <w:rPr>
          <w:rFonts w:ascii="微软雅黑" w:eastAsia="微软雅黑" w:hAnsi="微软雅黑" w:cs="宋体"/>
          <w:kern w:val="0"/>
          <w:sz w:val="24"/>
          <w:szCs w:val="24"/>
        </w:rPr>
        <w:t>吡啶醇单药</w:t>
      </w:r>
      <w:proofErr w:type="gramEnd"/>
      <w:r w:rsidRPr="00891DA8">
        <w:rPr>
          <w:rFonts w:ascii="微软雅黑" w:eastAsia="微软雅黑" w:hAnsi="微软雅黑" w:cs="宋体"/>
          <w:kern w:val="0"/>
          <w:sz w:val="24"/>
          <w:szCs w:val="24"/>
        </w:rPr>
        <w:lastRenderedPageBreak/>
        <w:t>疗效甚微，且伴有多种毒性，这些毒性更常见于传统细胞毒性药物，包括输注部位刺激、胃肠道毒性和严重中性粒细胞减少症 [ </w:t>
      </w:r>
      <w:hyperlink r:id="rId73" w:anchor="CR61" w:history="1">
        <w:r w:rsidRPr="00891DA8">
          <w:rPr>
            <w:rFonts w:ascii="微软雅黑" w:eastAsia="微软雅黑" w:hAnsi="微软雅黑" w:cs="宋体"/>
            <w:kern w:val="0"/>
            <w:sz w:val="24"/>
            <w:szCs w:val="24"/>
            <w:u w:val="single"/>
          </w:rPr>
          <w:t>61</w:t>
        </w:r>
      </w:hyperlink>
      <w:r w:rsidRPr="00891DA8">
        <w:rPr>
          <w:rFonts w:ascii="微软雅黑" w:eastAsia="微软雅黑" w:hAnsi="微软雅黑" w:cs="宋体"/>
          <w:kern w:val="0"/>
          <w:sz w:val="24"/>
          <w:szCs w:val="24"/>
        </w:rPr>
        <w:t> ]。尤其是在转移性乳腺癌中，黄酮吡啶</w:t>
      </w:r>
      <w:proofErr w:type="gramStart"/>
      <w:r w:rsidRPr="00891DA8">
        <w:rPr>
          <w:rFonts w:ascii="微软雅黑" w:eastAsia="微软雅黑" w:hAnsi="微软雅黑" w:cs="宋体"/>
          <w:kern w:val="0"/>
          <w:sz w:val="24"/>
          <w:szCs w:val="24"/>
        </w:rPr>
        <w:t>醇</w:t>
      </w:r>
      <w:proofErr w:type="gramEnd"/>
      <w:r w:rsidRPr="00891DA8">
        <w:rPr>
          <w:rFonts w:ascii="微软雅黑" w:eastAsia="微软雅黑" w:hAnsi="微软雅黑" w:cs="宋体"/>
          <w:kern w:val="0"/>
          <w:sz w:val="24"/>
          <w:szCs w:val="24"/>
        </w:rPr>
        <w:t>导致中性粒细胞减少症的发生率过高 [ </w:t>
      </w:r>
      <w:hyperlink r:id="rId74" w:anchor="CR62" w:history="1">
        <w:r w:rsidRPr="00891DA8">
          <w:rPr>
            <w:rFonts w:ascii="微软雅黑" w:eastAsia="微软雅黑" w:hAnsi="微软雅黑" w:cs="宋体"/>
            <w:kern w:val="0"/>
            <w:sz w:val="24"/>
            <w:szCs w:val="24"/>
            <w:u w:val="single"/>
          </w:rPr>
          <w:t>62</w:t>
        </w:r>
      </w:hyperlink>
      <w:r w:rsidRPr="00891DA8">
        <w:rPr>
          <w:rFonts w:ascii="微软雅黑" w:eastAsia="微软雅黑" w:hAnsi="微软雅黑" w:cs="宋体"/>
          <w:kern w:val="0"/>
          <w:sz w:val="24"/>
          <w:szCs w:val="24"/>
        </w:rPr>
        <w:t> ]。这种毒性至少部分归因于该化合物对 CDK9（可能还有 CDK7）的抑制作用，导致短寿命细胞周期和抗凋亡 mRNA 转录本的耗竭 [ </w:t>
      </w:r>
      <w:hyperlink r:id="rId75" w:anchor="CR63" w:history="1">
        <w:r w:rsidRPr="00891DA8">
          <w:rPr>
            <w:rFonts w:ascii="微软雅黑" w:eastAsia="微软雅黑" w:hAnsi="微软雅黑" w:cs="宋体"/>
            <w:kern w:val="0"/>
            <w:sz w:val="24"/>
            <w:szCs w:val="24"/>
            <w:u w:val="single"/>
          </w:rPr>
          <w:t>63</w:t>
        </w:r>
      </w:hyperlink>
      <w:r w:rsidRPr="00891DA8">
        <w:rPr>
          <w:rFonts w:ascii="微软雅黑" w:eastAsia="微软雅黑" w:hAnsi="微软雅黑" w:cs="宋体"/>
          <w:kern w:val="0"/>
          <w:sz w:val="24"/>
          <w:szCs w:val="24"/>
        </w:rPr>
        <w:t> ]。虽然这可能有助于黄酮吡啶醇对依赖于此类转录</w:t>
      </w:r>
      <w:proofErr w:type="gramStart"/>
      <w:r w:rsidRPr="00891DA8">
        <w:rPr>
          <w:rFonts w:ascii="微软雅黑" w:eastAsia="微软雅黑" w:hAnsi="微软雅黑" w:cs="宋体"/>
          <w:kern w:val="0"/>
          <w:sz w:val="24"/>
          <w:szCs w:val="24"/>
        </w:rPr>
        <w:t>本表达</w:t>
      </w:r>
      <w:proofErr w:type="gramEnd"/>
      <w:r w:rsidRPr="00891DA8">
        <w:rPr>
          <w:rFonts w:ascii="微软雅黑" w:eastAsia="微软雅黑" w:hAnsi="微软雅黑" w:cs="宋体"/>
          <w:kern w:val="0"/>
          <w:sz w:val="24"/>
          <w:szCs w:val="24"/>
        </w:rPr>
        <w:t>的肿瘤的体外疗效，但对健康组织的脱靶效应会导致该化合物在多项临床试验中观察到的严重抗增殖毒性[ </w:t>
      </w:r>
      <w:hyperlink r:id="rId76" w:anchor="CR64" w:history="1">
        <w:r w:rsidRPr="00891DA8">
          <w:rPr>
            <w:rFonts w:ascii="微软雅黑" w:eastAsia="微软雅黑" w:hAnsi="微软雅黑" w:cs="宋体"/>
            <w:kern w:val="0"/>
            <w:sz w:val="24"/>
            <w:szCs w:val="24"/>
            <w:u w:val="single"/>
          </w:rPr>
          <w:t>64</w:t>
        </w:r>
      </w:hyperlink>
      <w:r w:rsidRPr="00891DA8">
        <w:rPr>
          <w:rFonts w:ascii="微软雅黑" w:eastAsia="微软雅黑" w:hAnsi="微软雅黑" w:cs="宋体"/>
          <w:kern w:val="0"/>
          <w:sz w:val="24"/>
          <w:szCs w:val="24"/>
        </w:rPr>
        <w:t> ]。</w:t>
      </w:r>
    </w:p>
    <w:p w14:paraId="5EDAEDFC"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其他泛CDK抑制剂的例子包括UCN-01和R-</w:t>
      </w:r>
      <w:proofErr w:type="spellStart"/>
      <w:r w:rsidRPr="00891DA8">
        <w:rPr>
          <w:rFonts w:ascii="微软雅黑" w:eastAsia="微软雅黑" w:hAnsi="微软雅黑" w:cs="宋体"/>
          <w:kern w:val="0"/>
          <w:sz w:val="24"/>
          <w:szCs w:val="24"/>
        </w:rPr>
        <w:t>Rescovitine</w:t>
      </w:r>
      <w:proofErr w:type="spellEnd"/>
      <w:r w:rsidRPr="00891DA8">
        <w:rPr>
          <w:rFonts w:ascii="微软雅黑" w:eastAsia="微软雅黑" w:hAnsi="微软雅黑" w:cs="宋体"/>
          <w:kern w:val="0"/>
          <w:sz w:val="24"/>
          <w:szCs w:val="24"/>
        </w:rPr>
        <w:t>（</w:t>
      </w:r>
      <w:proofErr w:type="spellStart"/>
      <w:r w:rsidRPr="00891DA8">
        <w:rPr>
          <w:rFonts w:ascii="微软雅黑" w:eastAsia="微软雅黑" w:hAnsi="微软雅黑" w:cs="宋体"/>
          <w:kern w:val="0"/>
          <w:sz w:val="24"/>
          <w:szCs w:val="24"/>
        </w:rPr>
        <w:t>seliciclib</w:t>
      </w:r>
      <w:proofErr w:type="spellEnd"/>
      <w:r w:rsidRPr="00891DA8">
        <w:rPr>
          <w:rFonts w:ascii="微软雅黑" w:eastAsia="微软雅黑" w:hAnsi="微软雅黑" w:cs="宋体"/>
          <w:kern w:val="0"/>
          <w:sz w:val="24"/>
          <w:szCs w:val="24"/>
        </w:rPr>
        <w:t>；</w:t>
      </w:r>
      <w:proofErr w:type="spellStart"/>
      <w:r w:rsidRPr="00891DA8">
        <w:rPr>
          <w:rFonts w:ascii="微软雅黑" w:eastAsia="微软雅黑" w:hAnsi="微软雅黑" w:cs="宋体"/>
          <w:kern w:val="0"/>
          <w:sz w:val="24"/>
          <w:szCs w:val="24"/>
        </w:rPr>
        <w:t>Cyclacel</w:t>
      </w:r>
      <w:proofErr w:type="spellEnd"/>
      <w:r w:rsidRPr="00891DA8">
        <w:rPr>
          <w:rFonts w:ascii="微软雅黑" w:eastAsia="微软雅黑" w:hAnsi="微软雅黑" w:cs="宋体"/>
          <w:kern w:val="0"/>
          <w:sz w:val="24"/>
          <w:szCs w:val="24"/>
        </w:rPr>
        <w:t>）。UCN-01是一种星形</w:t>
      </w:r>
      <w:proofErr w:type="gramStart"/>
      <w:r w:rsidRPr="00891DA8">
        <w:rPr>
          <w:rFonts w:ascii="微软雅黑" w:eastAsia="微软雅黑" w:hAnsi="微软雅黑" w:cs="宋体"/>
          <w:kern w:val="0"/>
          <w:sz w:val="24"/>
          <w:szCs w:val="24"/>
        </w:rPr>
        <w:t>孢</w:t>
      </w:r>
      <w:proofErr w:type="gramEnd"/>
      <w:r w:rsidRPr="00891DA8">
        <w:rPr>
          <w:rFonts w:ascii="微软雅黑" w:eastAsia="微软雅黑" w:hAnsi="微软雅黑" w:cs="宋体"/>
          <w:kern w:val="0"/>
          <w:sz w:val="24"/>
          <w:szCs w:val="24"/>
        </w:rPr>
        <w:t>菌素类似物，对CDK、AKT、Chk1和蛋白激酶C具有广泛的活性。该药物在临床前模型中显示出良好的G1/S期细胞周期阻滞、p21诱导和</w:t>
      </w:r>
      <w:proofErr w:type="spellStart"/>
      <w:r w:rsidRPr="00891DA8">
        <w:rPr>
          <w:rFonts w:ascii="微软雅黑" w:eastAsia="微软雅黑" w:hAnsi="微软雅黑" w:cs="宋体"/>
          <w:kern w:val="0"/>
          <w:sz w:val="24"/>
          <w:szCs w:val="24"/>
        </w:rPr>
        <w:t>pRb</w:t>
      </w:r>
      <w:proofErr w:type="spellEnd"/>
      <w:r w:rsidRPr="00891DA8">
        <w:rPr>
          <w:rFonts w:ascii="微软雅黑" w:eastAsia="微软雅黑" w:hAnsi="微软雅黑" w:cs="宋体"/>
          <w:kern w:val="0"/>
          <w:sz w:val="24"/>
          <w:szCs w:val="24"/>
        </w:rPr>
        <w:t>低磷酸化作用，但I期研究显示存在多种剂量限制性毒性，包括高血糖、心律失常和肺功能障碍[ </w:t>
      </w:r>
      <w:hyperlink r:id="rId77" w:anchor="CR65" w:history="1">
        <w:r w:rsidRPr="00891DA8">
          <w:rPr>
            <w:rFonts w:ascii="微软雅黑" w:eastAsia="微软雅黑" w:hAnsi="微软雅黑" w:cs="宋体"/>
            <w:kern w:val="0"/>
            <w:sz w:val="24"/>
            <w:szCs w:val="24"/>
            <w:u w:val="single"/>
          </w:rPr>
          <w:t>65</w:t>
        </w:r>
      </w:hyperlink>
      <w:r w:rsidRPr="00891DA8">
        <w:rPr>
          <w:rFonts w:ascii="微软雅黑" w:eastAsia="微软雅黑" w:hAnsi="微软雅黑" w:cs="宋体"/>
          <w:kern w:val="0"/>
          <w:sz w:val="24"/>
          <w:szCs w:val="24"/>
        </w:rPr>
        <w:t> , </w:t>
      </w:r>
      <w:hyperlink r:id="rId78" w:anchor="CR66" w:history="1">
        <w:r w:rsidRPr="00891DA8">
          <w:rPr>
            <w:rFonts w:ascii="微软雅黑" w:eastAsia="微软雅黑" w:hAnsi="微软雅黑" w:cs="宋体"/>
            <w:kern w:val="0"/>
            <w:sz w:val="24"/>
            <w:szCs w:val="24"/>
            <w:u w:val="single"/>
          </w:rPr>
          <w:t>66</w:t>
        </w:r>
      </w:hyperlink>
      <w:r w:rsidRPr="00891DA8">
        <w:rPr>
          <w:rFonts w:ascii="微软雅黑" w:eastAsia="微软雅黑" w:hAnsi="微软雅黑" w:cs="宋体"/>
          <w:kern w:val="0"/>
          <w:sz w:val="24"/>
          <w:szCs w:val="24"/>
        </w:rPr>
        <w:t> ]。在乳腺癌中进行的II期研究结果并不理想[ </w:t>
      </w:r>
      <w:hyperlink r:id="rId79" w:anchor="CR67" w:history="1">
        <w:r w:rsidRPr="00891DA8">
          <w:rPr>
            <w:rFonts w:ascii="微软雅黑" w:eastAsia="微软雅黑" w:hAnsi="微软雅黑" w:cs="宋体"/>
            <w:kern w:val="0"/>
            <w:sz w:val="24"/>
            <w:szCs w:val="24"/>
            <w:u w:val="single"/>
          </w:rPr>
          <w:t>67</w:t>
        </w:r>
      </w:hyperlink>
      <w:r w:rsidRPr="00891DA8">
        <w:rPr>
          <w:rFonts w:ascii="微软雅黑" w:eastAsia="微软雅黑" w:hAnsi="微软雅黑" w:cs="宋体"/>
          <w:kern w:val="0"/>
          <w:sz w:val="24"/>
          <w:szCs w:val="24"/>
        </w:rPr>
        <w:t> ]。</w:t>
      </w:r>
    </w:p>
    <w:p w14:paraId="0FE8D855" w14:textId="77777777" w:rsidR="00891DA8" w:rsidRPr="00891DA8" w:rsidRDefault="00891DA8" w:rsidP="00891DA8">
      <w:pPr>
        <w:widowControl/>
        <w:spacing w:line="450" w:lineRule="atLeast"/>
        <w:outlineLvl w:val="2"/>
        <w:rPr>
          <w:rFonts w:ascii="微软雅黑" w:eastAsia="微软雅黑" w:hAnsi="微软雅黑" w:cs="宋体"/>
          <w:kern w:val="0"/>
          <w:sz w:val="32"/>
          <w:szCs w:val="32"/>
        </w:rPr>
      </w:pPr>
      <w:r w:rsidRPr="00891DA8">
        <w:rPr>
          <w:rFonts w:ascii="微软雅黑" w:eastAsia="微软雅黑" w:hAnsi="微软雅黑" w:cs="宋体"/>
          <w:kern w:val="0"/>
          <w:sz w:val="32"/>
          <w:szCs w:val="32"/>
        </w:rPr>
        <w:t>第二代 CDK 抑制剂</w:t>
      </w:r>
    </w:p>
    <w:p w14:paraId="72BFEB0D"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如前所述，直到最近，CDK抑制剂在临床疗效、安全性和耐受性方面都表现得差强人意。第一代抑制剂的主要问题之一是对靶激酶的特异性较低，这可以解释其不可预测且严重的副作用。此外，部分此类药物的给药方案也不尽如人意，通常采用静脉推注给药，而这种给药方式对于许多倍增时间</w:t>
      </w:r>
      <w:proofErr w:type="gramStart"/>
      <w:r w:rsidRPr="00891DA8">
        <w:rPr>
          <w:rFonts w:ascii="微软雅黑" w:eastAsia="微软雅黑" w:hAnsi="微软雅黑" w:cs="宋体"/>
          <w:kern w:val="0"/>
          <w:sz w:val="24"/>
          <w:szCs w:val="24"/>
        </w:rPr>
        <w:t>以天计的</w:t>
      </w:r>
      <w:proofErr w:type="gramEnd"/>
      <w:r w:rsidRPr="00891DA8">
        <w:rPr>
          <w:rFonts w:ascii="微软雅黑" w:eastAsia="微软雅黑" w:hAnsi="微软雅黑" w:cs="宋体"/>
          <w:kern w:val="0"/>
          <w:sz w:val="24"/>
          <w:szCs w:val="24"/>
        </w:rPr>
        <w:t>实体瘤类型来说可能不足。基于这些观察，所谓的第二代CDK抑制剂在20世纪90年代末和21世纪初被开发出来，这些抑制剂能够优先抑制特定的CDK亚型。最初的研究</w:t>
      </w:r>
      <w:r w:rsidRPr="00891DA8">
        <w:rPr>
          <w:rFonts w:ascii="微软雅黑" w:eastAsia="微软雅黑" w:hAnsi="微软雅黑" w:cs="宋体"/>
          <w:kern w:val="0"/>
          <w:sz w:val="24"/>
          <w:szCs w:val="24"/>
        </w:rPr>
        <w:lastRenderedPageBreak/>
        <w:t>主要集中在CDK2的抑制上，因为当时已有CDK2的X射线晶体结构（CDK4随后也被解析）[ </w:t>
      </w:r>
      <w:hyperlink r:id="rId80" w:anchor="CR68" w:history="1">
        <w:r w:rsidRPr="00891DA8">
          <w:rPr>
            <w:rFonts w:ascii="微软雅黑" w:eastAsia="微软雅黑" w:hAnsi="微软雅黑" w:cs="宋体"/>
            <w:kern w:val="0"/>
            <w:sz w:val="24"/>
            <w:szCs w:val="24"/>
            <w:u w:val="single"/>
          </w:rPr>
          <w:t>68</w:t>
        </w:r>
      </w:hyperlink>
      <w:r w:rsidRPr="00891DA8">
        <w:rPr>
          <w:rFonts w:ascii="微软雅黑" w:eastAsia="微软雅黑" w:hAnsi="微软雅黑" w:cs="宋体"/>
          <w:kern w:val="0"/>
          <w:sz w:val="24"/>
          <w:szCs w:val="24"/>
        </w:rPr>
        <w:t> ]。</w:t>
      </w:r>
    </w:p>
    <w:p w14:paraId="47A93813" w14:textId="77777777" w:rsidR="00891DA8" w:rsidRPr="00891DA8" w:rsidRDefault="00891DA8" w:rsidP="00891DA8">
      <w:pPr>
        <w:widowControl/>
        <w:spacing w:line="450" w:lineRule="atLeast"/>
        <w:outlineLvl w:val="2"/>
        <w:rPr>
          <w:rFonts w:ascii="微软雅黑" w:eastAsia="微软雅黑" w:hAnsi="微软雅黑" w:cs="宋体"/>
          <w:kern w:val="0"/>
          <w:sz w:val="32"/>
          <w:szCs w:val="32"/>
        </w:rPr>
      </w:pPr>
      <w:r w:rsidRPr="00891DA8">
        <w:rPr>
          <w:rFonts w:ascii="微软雅黑" w:eastAsia="微软雅黑" w:hAnsi="微软雅黑" w:cs="宋体"/>
          <w:kern w:val="0"/>
          <w:sz w:val="32"/>
          <w:szCs w:val="32"/>
        </w:rPr>
        <w:t>特异性 CDK4/6 抑制剂</w:t>
      </w:r>
    </w:p>
    <w:p w14:paraId="41D90F89"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近期，多种CDK4和CDK6特异性抑制剂已进入临床试验阶段（表 </w:t>
      </w:r>
      <w:hyperlink r:id="rId81" w:anchor="Tab1" w:history="1">
        <w:r w:rsidRPr="00891DA8">
          <w:rPr>
            <w:rFonts w:ascii="微软雅黑" w:eastAsia="微软雅黑" w:hAnsi="微软雅黑" w:cs="宋体"/>
            <w:kern w:val="0"/>
            <w:sz w:val="24"/>
            <w:szCs w:val="24"/>
            <w:u w:val="single"/>
          </w:rPr>
          <w:t>1</w:t>
        </w:r>
      </w:hyperlink>
      <w:r w:rsidRPr="00891DA8">
        <w:rPr>
          <w:rFonts w:ascii="微软雅黑" w:eastAsia="微软雅黑" w:hAnsi="微软雅黑" w:cs="宋体"/>
          <w:kern w:val="0"/>
          <w:sz w:val="24"/>
          <w:szCs w:val="24"/>
        </w:rPr>
        <w:t>）。帕博西尼（Palbociclib，PD 0332991；辉瑞公司）的临床开发进展最为迅速，已于2015年2月3日获得美国食品药品监督管理局（FDA）批准，与来曲</w:t>
      </w:r>
      <w:proofErr w:type="gramStart"/>
      <w:r w:rsidRPr="00891DA8">
        <w:rPr>
          <w:rFonts w:ascii="微软雅黑" w:eastAsia="微软雅黑" w:hAnsi="微软雅黑" w:cs="宋体"/>
          <w:kern w:val="0"/>
          <w:sz w:val="24"/>
          <w:szCs w:val="24"/>
        </w:rPr>
        <w:t>唑</w:t>
      </w:r>
      <w:proofErr w:type="gramEnd"/>
      <w:r w:rsidRPr="00891DA8">
        <w:rPr>
          <w:rFonts w:ascii="微软雅黑" w:eastAsia="微软雅黑" w:hAnsi="微软雅黑" w:cs="宋体"/>
          <w:kern w:val="0"/>
          <w:sz w:val="24"/>
          <w:szCs w:val="24"/>
        </w:rPr>
        <w:t xml:space="preserve">联合用于绝经后晚期ER+、HER2阴性乳腺癌的一线治疗。它是一种口服生物利用度高、效力强的CDK4/6抑制剂，体外激酶IC50值为0.01 </w:t>
      </w:r>
      <w:proofErr w:type="spellStart"/>
      <w:r w:rsidRPr="00891DA8">
        <w:rPr>
          <w:rFonts w:ascii="微软雅黑" w:eastAsia="微软雅黑" w:hAnsi="微软雅黑" w:cs="宋体"/>
          <w:kern w:val="0"/>
          <w:sz w:val="24"/>
          <w:szCs w:val="24"/>
        </w:rPr>
        <w:t>μM</w:t>
      </w:r>
      <w:proofErr w:type="spellEnd"/>
      <w:r w:rsidRPr="00891DA8">
        <w:rPr>
          <w:rFonts w:ascii="微软雅黑" w:eastAsia="微软雅黑" w:hAnsi="微软雅黑" w:cs="宋体"/>
          <w:kern w:val="0"/>
          <w:sz w:val="24"/>
          <w:szCs w:val="24"/>
        </w:rPr>
        <w:t xml:space="preserve">，并且在评估包括CDK2（IC50 &gt; 5 </w:t>
      </w:r>
      <w:proofErr w:type="spellStart"/>
      <w:r w:rsidRPr="00891DA8">
        <w:rPr>
          <w:rFonts w:ascii="微软雅黑" w:eastAsia="微软雅黑" w:hAnsi="微软雅黑" w:cs="宋体"/>
          <w:kern w:val="0"/>
          <w:sz w:val="24"/>
          <w:szCs w:val="24"/>
        </w:rPr>
        <w:t>μM</w:t>
      </w:r>
      <w:proofErr w:type="spellEnd"/>
      <w:r w:rsidRPr="00891DA8">
        <w:rPr>
          <w:rFonts w:ascii="微软雅黑" w:eastAsia="微软雅黑" w:hAnsi="微软雅黑" w:cs="宋体"/>
          <w:kern w:val="0"/>
          <w:sz w:val="24"/>
          <w:szCs w:val="24"/>
        </w:rPr>
        <w:t>）在内的其他36种激酶时具有很高的选择性[ </w:t>
      </w:r>
      <w:hyperlink r:id="rId82" w:anchor="CR69" w:history="1">
        <w:r w:rsidRPr="00891DA8">
          <w:rPr>
            <w:rFonts w:ascii="微软雅黑" w:eastAsia="微软雅黑" w:hAnsi="微软雅黑" w:cs="宋体"/>
            <w:kern w:val="0"/>
            <w:sz w:val="24"/>
            <w:szCs w:val="24"/>
            <w:u w:val="single"/>
          </w:rPr>
          <w:t>69</w:t>
        </w:r>
      </w:hyperlink>
      <w:r w:rsidRPr="00891DA8">
        <w:rPr>
          <w:rFonts w:ascii="微软雅黑" w:eastAsia="微软雅黑" w:hAnsi="微软雅黑" w:cs="宋体"/>
          <w:kern w:val="0"/>
          <w:sz w:val="24"/>
          <w:szCs w:val="24"/>
        </w:rPr>
        <w:t> ]。临床前研究表明，帕博西尼的作用机制与特异性靶向CDK4/6的药物非常相似。它能有效抑制肿瘤细胞增殖，并伴有纯粹的G1期阻滞、</w:t>
      </w:r>
      <w:proofErr w:type="spellStart"/>
      <w:r w:rsidRPr="00891DA8">
        <w:rPr>
          <w:rFonts w:ascii="微软雅黑" w:eastAsia="微软雅黑" w:hAnsi="微软雅黑" w:cs="宋体"/>
          <w:kern w:val="0"/>
          <w:sz w:val="24"/>
          <w:szCs w:val="24"/>
        </w:rPr>
        <w:t>pRb</w:t>
      </w:r>
      <w:proofErr w:type="spellEnd"/>
      <w:r w:rsidRPr="00891DA8">
        <w:rPr>
          <w:rFonts w:ascii="微软雅黑" w:eastAsia="微软雅黑" w:hAnsi="微软雅黑" w:cs="宋体"/>
          <w:kern w:val="0"/>
          <w:sz w:val="24"/>
          <w:szCs w:val="24"/>
        </w:rPr>
        <w:t>去磷酸化以及E2F依赖性基因表达的降低[ </w:t>
      </w:r>
      <w:hyperlink r:id="rId83" w:anchor="CR70" w:history="1">
        <w:r w:rsidRPr="00891DA8">
          <w:rPr>
            <w:rFonts w:ascii="微软雅黑" w:eastAsia="微软雅黑" w:hAnsi="微软雅黑" w:cs="宋体"/>
            <w:kern w:val="0"/>
            <w:sz w:val="24"/>
            <w:szCs w:val="24"/>
            <w:u w:val="single"/>
          </w:rPr>
          <w:t>70</w:t>
        </w:r>
      </w:hyperlink>
      <w:r w:rsidRPr="00891DA8">
        <w:rPr>
          <w:rFonts w:ascii="微软雅黑" w:eastAsia="微软雅黑" w:hAnsi="微软雅黑" w:cs="宋体"/>
          <w:kern w:val="0"/>
          <w:sz w:val="24"/>
          <w:szCs w:val="24"/>
        </w:rPr>
        <w:t> ]。帕博西尼靶向设计的进一步证据是，它在</w:t>
      </w:r>
      <w:proofErr w:type="spellStart"/>
      <w:r w:rsidRPr="00891DA8">
        <w:rPr>
          <w:rFonts w:ascii="微软雅黑" w:eastAsia="微软雅黑" w:hAnsi="微软雅黑" w:cs="宋体"/>
          <w:kern w:val="0"/>
          <w:sz w:val="24"/>
          <w:szCs w:val="24"/>
        </w:rPr>
        <w:t>pRb</w:t>
      </w:r>
      <w:proofErr w:type="spellEnd"/>
      <w:r w:rsidRPr="00891DA8">
        <w:rPr>
          <w:rFonts w:ascii="微软雅黑" w:eastAsia="微软雅黑" w:hAnsi="微软雅黑" w:cs="宋体"/>
          <w:kern w:val="0"/>
          <w:sz w:val="24"/>
          <w:szCs w:val="24"/>
        </w:rPr>
        <w:t>阴性肿瘤细胞系和异种移植模型中完全无效[ </w:t>
      </w:r>
      <w:hyperlink r:id="rId84" w:anchor="CR9" w:history="1">
        <w:r w:rsidRPr="00891DA8">
          <w:rPr>
            <w:rFonts w:ascii="微软雅黑" w:eastAsia="微软雅黑" w:hAnsi="微软雅黑" w:cs="宋体"/>
            <w:kern w:val="0"/>
            <w:sz w:val="24"/>
            <w:szCs w:val="24"/>
            <w:u w:val="single"/>
          </w:rPr>
          <w:t>9</w:t>
        </w:r>
      </w:hyperlink>
      <w:r w:rsidRPr="00891DA8">
        <w:rPr>
          <w:rFonts w:ascii="微软雅黑" w:eastAsia="微软雅黑" w:hAnsi="微软雅黑" w:cs="宋体"/>
          <w:kern w:val="0"/>
          <w:sz w:val="24"/>
          <w:szCs w:val="24"/>
        </w:rPr>
        <w:t> , </w:t>
      </w:r>
      <w:hyperlink r:id="rId85" w:anchor="CR60" w:history="1">
        <w:r w:rsidRPr="00891DA8">
          <w:rPr>
            <w:rFonts w:ascii="微软雅黑" w:eastAsia="微软雅黑" w:hAnsi="微软雅黑" w:cs="宋体"/>
            <w:kern w:val="0"/>
            <w:sz w:val="24"/>
            <w:szCs w:val="24"/>
            <w:u w:val="single"/>
          </w:rPr>
          <w:t>60</w:t>
        </w:r>
      </w:hyperlink>
      <w:r w:rsidRPr="00891DA8">
        <w:rPr>
          <w:rFonts w:ascii="微软雅黑" w:eastAsia="微软雅黑" w:hAnsi="微软雅黑" w:cs="宋体"/>
          <w:kern w:val="0"/>
          <w:sz w:val="24"/>
          <w:szCs w:val="24"/>
        </w:rPr>
        <w:t> , </w:t>
      </w:r>
      <w:hyperlink r:id="rId86" w:anchor="CR70" w:history="1">
        <w:r w:rsidRPr="00891DA8">
          <w:rPr>
            <w:rFonts w:ascii="微软雅黑" w:eastAsia="微软雅黑" w:hAnsi="微软雅黑" w:cs="宋体"/>
            <w:kern w:val="0"/>
            <w:sz w:val="24"/>
            <w:szCs w:val="24"/>
            <w:u w:val="single"/>
          </w:rPr>
          <w:t>70</w:t>
        </w:r>
      </w:hyperlink>
      <w:r w:rsidRPr="00891DA8">
        <w:rPr>
          <w:rFonts w:ascii="微软雅黑" w:eastAsia="微软雅黑" w:hAnsi="微软雅黑" w:cs="宋体"/>
          <w:kern w:val="0"/>
          <w:sz w:val="24"/>
          <w:szCs w:val="24"/>
        </w:rPr>
        <w:t> ]。在I期临床研究中，帕博西尼显示出极佳的生物利用度，不良反应通常为轻度至中度，主要剂量限制性毒性主要与骨髓抑制相关[ </w:t>
      </w:r>
      <w:hyperlink r:id="rId87" w:anchor="CR71" w:history="1">
        <w:r w:rsidRPr="00891DA8">
          <w:rPr>
            <w:rFonts w:ascii="微软雅黑" w:eastAsia="微软雅黑" w:hAnsi="微软雅黑" w:cs="宋体"/>
            <w:kern w:val="0"/>
            <w:sz w:val="24"/>
            <w:szCs w:val="24"/>
            <w:u w:val="single"/>
          </w:rPr>
          <w:t>71</w:t>
        </w:r>
      </w:hyperlink>
      <w:r w:rsidRPr="00891DA8">
        <w:rPr>
          <w:rFonts w:ascii="微软雅黑" w:eastAsia="微软雅黑" w:hAnsi="微软雅黑" w:cs="宋体"/>
          <w:kern w:val="0"/>
          <w:sz w:val="24"/>
          <w:szCs w:val="24"/>
        </w:rPr>
        <w:t> ]。</w:t>
      </w:r>
    </w:p>
    <w:p w14:paraId="3F35E46B" w14:textId="77777777" w:rsidR="00891DA8" w:rsidRPr="00891DA8" w:rsidRDefault="00891DA8" w:rsidP="00891DA8">
      <w:pPr>
        <w:widowControl/>
        <w:spacing w:line="450" w:lineRule="atLeast"/>
        <w:outlineLvl w:val="3"/>
        <w:rPr>
          <w:rFonts w:ascii="微软雅黑" w:eastAsia="微软雅黑" w:hAnsi="微软雅黑" w:cs="宋体"/>
          <w:kern w:val="0"/>
          <w:sz w:val="30"/>
          <w:szCs w:val="30"/>
        </w:rPr>
      </w:pPr>
      <w:r w:rsidRPr="00891DA8">
        <w:rPr>
          <w:rFonts w:ascii="微软雅黑" w:eastAsia="微软雅黑" w:hAnsi="微软雅黑" w:cs="宋体"/>
          <w:kern w:val="0"/>
          <w:sz w:val="30"/>
          <w:szCs w:val="30"/>
        </w:rPr>
        <w:t>表1。</w:t>
      </w:r>
    </w:p>
    <w:p w14:paraId="1188BB0F"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目前处于临床研发阶段的 CDK4/6 抑制剂</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517"/>
        <w:gridCol w:w="922"/>
        <w:gridCol w:w="1519"/>
        <w:gridCol w:w="3338"/>
      </w:tblGrid>
      <w:tr w:rsidR="00E217B9" w:rsidRPr="00891DA8" w14:paraId="4BF9EC12" w14:textId="77777777" w:rsidTr="00891DA8">
        <w:trPr>
          <w:tblHeader/>
          <w:tblCellSpacing w:w="15" w:type="dxa"/>
        </w:trPr>
        <w:tc>
          <w:tcPr>
            <w:tcW w:w="1496" w:type="pct"/>
            <w:tcMar>
              <w:top w:w="56" w:type="dxa"/>
              <w:left w:w="56" w:type="dxa"/>
              <w:bottom w:w="56" w:type="dxa"/>
              <w:right w:w="56" w:type="dxa"/>
            </w:tcMar>
            <w:hideMark/>
          </w:tcPr>
          <w:p w14:paraId="457CEE4A" w14:textId="77777777" w:rsidR="00891DA8" w:rsidRPr="00891DA8" w:rsidRDefault="00891DA8" w:rsidP="00891DA8">
            <w:pPr>
              <w:widowControl/>
              <w:rPr>
                <w:rFonts w:ascii="微软雅黑" w:eastAsia="微软雅黑" w:hAnsi="微软雅黑" w:cs="宋体"/>
                <w:b/>
                <w:bCs/>
                <w:kern w:val="0"/>
                <w:sz w:val="24"/>
                <w:szCs w:val="24"/>
              </w:rPr>
            </w:pPr>
            <w:r w:rsidRPr="00891DA8">
              <w:rPr>
                <w:rFonts w:ascii="微软雅黑" w:eastAsia="微软雅黑" w:hAnsi="微软雅黑" w:cs="宋体"/>
                <w:b/>
                <w:bCs/>
                <w:kern w:val="0"/>
                <w:sz w:val="24"/>
                <w:szCs w:val="24"/>
              </w:rPr>
              <w:t>化合物</w:t>
            </w:r>
          </w:p>
        </w:tc>
        <w:tc>
          <w:tcPr>
            <w:tcW w:w="540" w:type="pct"/>
            <w:tcMar>
              <w:top w:w="56" w:type="dxa"/>
              <w:left w:w="56" w:type="dxa"/>
              <w:bottom w:w="56" w:type="dxa"/>
              <w:right w:w="56" w:type="dxa"/>
            </w:tcMar>
            <w:hideMark/>
          </w:tcPr>
          <w:p w14:paraId="64CE5D6E" w14:textId="77777777" w:rsidR="00891DA8" w:rsidRPr="00891DA8" w:rsidRDefault="00891DA8" w:rsidP="00891DA8">
            <w:pPr>
              <w:widowControl/>
              <w:rPr>
                <w:rFonts w:ascii="微软雅黑" w:eastAsia="微软雅黑" w:hAnsi="微软雅黑" w:cs="宋体"/>
                <w:b/>
                <w:bCs/>
                <w:kern w:val="0"/>
                <w:sz w:val="24"/>
                <w:szCs w:val="24"/>
              </w:rPr>
            </w:pPr>
            <w:r w:rsidRPr="00891DA8">
              <w:rPr>
                <w:rFonts w:ascii="微软雅黑" w:eastAsia="微软雅黑" w:hAnsi="微软雅黑" w:cs="宋体"/>
                <w:b/>
                <w:bCs/>
                <w:kern w:val="0"/>
                <w:sz w:val="24"/>
                <w:szCs w:val="24"/>
              </w:rPr>
              <w:t>制造商</w:t>
            </w:r>
          </w:p>
        </w:tc>
        <w:tc>
          <w:tcPr>
            <w:tcW w:w="902" w:type="pct"/>
            <w:tcMar>
              <w:top w:w="56" w:type="dxa"/>
              <w:left w:w="56" w:type="dxa"/>
              <w:bottom w:w="56" w:type="dxa"/>
              <w:right w:w="56" w:type="dxa"/>
            </w:tcMar>
            <w:hideMark/>
          </w:tcPr>
          <w:p w14:paraId="5BE328EA" w14:textId="77777777" w:rsidR="00891DA8" w:rsidRPr="00891DA8" w:rsidRDefault="00891DA8" w:rsidP="00891DA8">
            <w:pPr>
              <w:widowControl/>
              <w:rPr>
                <w:rFonts w:ascii="微软雅黑" w:eastAsia="微软雅黑" w:hAnsi="微软雅黑" w:cs="宋体"/>
                <w:b/>
                <w:bCs/>
                <w:kern w:val="0"/>
                <w:sz w:val="24"/>
                <w:szCs w:val="24"/>
              </w:rPr>
            </w:pPr>
            <w:r w:rsidRPr="00891DA8">
              <w:rPr>
                <w:rFonts w:ascii="微软雅黑" w:eastAsia="微软雅黑" w:hAnsi="微软雅黑" w:cs="宋体"/>
                <w:b/>
                <w:bCs/>
                <w:kern w:val="0"/>
                <w:sz w:val="24"/>
                <w:szCs w:val="24"/>
              </w:rPr>
              <w:t>阶段</w:t>
            </w:r>
          </w:p>
        </w:tc>
        <w:tc>
          <w:tcPr>
            <w:tcW w:w="1994" w:type="pct"/>
            <w:tcMar>
              <w:top w:w="56" w:type="dxa"/>
              <w:left w:w="56" w:type="dxa"/>
              <w:bottom w:w="56" w:type="dxa"/>
              <w:right w:w="56" w:type="dxa"/>
            </w:tcMar>
            <w:hideMark/>
          </w:tcPr>
          <w:p w14:paraId="34A57EB0" w14:textId="77777777" w:rsidR="00891DA8" w:rsidRPr="00891DA8" w:rsidRDefault="00891DA8" w:rsidP="00891DA8">
            <w:pPr>
              <w:widowControl/>
              <w:rPr>
                <w:rFonts w:ascii="微软雅黑" w:eastAsia="微软雅黑" w:hAnsi="微软雅黑" w:cs="宋体"/>
                <w:b/>
                <w:bCs/>
                <w:kern w:val="0"/>
                <w:sz w:val="24"/>
                <w:szCs w:val="24"/>
              </w:rPr>
            </w:pPr>
            <w:r w:rsidRPr="00891DA8">
              <w:rPr>
                <w:rFonts w:ascii="微软雅黑" w:eastAsia="微软雅黑" w:hAnsi="微软雅黑" w:cs="宋体"/>
                <w:b/>
                <w:bCs/>
                <w:kern w:val="0"/>
                <w:sz w:val="24"/>
                <w:szCs w:val="24"/>
              </w:rPr>
              <w:t>CDK4/6体外抑制谱（IC50，</w:t>
            </w:r>
            <w:proofErr w:type="spellStart"/>
            <w:r w:rsidRPr="00891DA8">
              <w:rPr>
                <w:rFonts w:ascii="微软雅黑" w:eastAsia="微软雅黑" w:hAnsi="微软雅黑" w:cs="宋体"/>
                <w:b/>
                <w:bCs/>
                <w:kern w:val="0"/>
                <w:sz w:val="24"/>
                <w:szCs w:val="24"/>
              </w:rPr>
              <w:t>nM</w:t>
            </w:r>
            <w:proofErr w:type="spellEnd"/>
            <w:r w:rsidRPr="00891DA8">
              <w:rPr>
                <w:rFonts w:ascii="微软雅黑" w:eastAsia="微软雅黑" w:hAnsi="微软雅黑" w:cs="宋体"/>
                <w:b/>
                <w:bCs/>
                <w:kern w:val="0"/>
                <w:sz w:val="24"/>
                <w:szCs w:val="24"/>
              </w:rPr>
              <w:t>）</w:t>
            </w:r>
          </w:p>
        </w:tc>
      </w:tr>
      <w:tr w:rsidR="00E217B9" w:rsidRPr="00891DA8" w14:paraId="4ADA07B6" w14:textId="77777777" w:rsidTr="00891DA8">
        <w:trPr>
          <w:tblCellSpacing w:w="15" w:type="dxa"/>
        </w:trPr>
        <w:tc>
          <w:tcPr>
            <w:tcW w:w="1496" w:type="pct"/>
            <w:vMerge w:val="restart"/>
            <w:tcMar>
              <w:top w:w="56" w:type="dxa"/>
              <w:left w:w="56" w:type="dxa"/>
              <w:bottom w:w="56" w:type="dxa"/>
              <w:right w:w="56" w:type="dxa"/>
            </w:tcMar>
            <w:hideMark/>
          </w:tcPr>
          <w:p w14:paraId="4DE248FA"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帕博西尼（PD-0332991）</w:t>
            </w:r>
          </w:p>
        </w:tc>
        <w:tc>
          <w:tcPr>
            <w:tcW w:w="540" w:type="pct"/>
            <w:vMerge w:val="restart"/>
            <w:tcMar>
              <w:top w:w="56" w:type="dxa"/>
              <w:left w:w="56" w:type="dxa"/>
              <w:bottom w:w="56" w:type="dxa"/>
              <w:right w:w="56" w:type="dxa"/>
            </w:tcMar>
            <w:hideMark/>
          </w:tcPr>
          <w:p w14:paraId="7D1681DF"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辉瑞公司</w:t>
            </w:r>
          </w:p>
        </w:tc>
        <w:tc>
          <w:tcPr>
            <w:tcW w:w="902" w:type="pct"/>
            <w:vMerge w:val="restart"/>
            <w:tcMar>
              <w:top w:w="56" w:type="dxa"/>
              <w:left w:w="56" w:type="dxa"/>
              <w:bottom w:w="56" w:type="dxa"/>
              <w:right w:w="56" w:type="dxa"/>
            </w:tcMar>
            <w:hideMark/>
          </w:tcPr>
          <w:p w14:paraId="63814D28"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得到正式认可的</w:t>
            </w:r>
          </w:p>
        </w:tc>
        <w:tc>
          <w:tcPr>
            <w:tcW w:w="1994" w:type="pct"/>
            <w:tcMar>
              <w:top w:w="56" w:type="dxa"/>
              <w:left w:w="56" w:type="dxa"/>
              <w:bottom w:w="56" w:type="dxa"/>
              <w:right w:w="56" w:type="dxa"/>
            </w:tcMar>
            <w:hideMark/>
          </w:tcPr>
          <w:p w14:paraId="7279EF30"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CDK4（细胞周期蛋白D1）：11</w:t>
            </w:r>
          </w:p>
        </w:tc>
      </w:tr>
      <w:tr w:rsidR="00E217B9" w:rsidRPr="00891DA8" w14:paraId="28736800" w14:textId="77777777" w:rsidTr="00891DA8">
        <w:trPr>
          <w:tblCellSpacing w:w="15" w:type="dxa"/>
        </w:trPr>
        <w:tc>
          <w:tcPr>
            <w:tcW w:w="1496" w:type="pct"/>
            <w:vMerge/>
            <w:vAlign w:val="center"/>
            <w:hideMark/>
          </w:tcPr>
          <w:p w14:paraId="2966B3F3" w14:textId="77777777" w:rsidR="00891DA8" w:rsidRPr="00891DA8" w:rsidRDefault="00891DA8" w:rsidP="00891DA8">
            <w:pPr>
              <w:widowControl/>
              <w:rPr>
                <w:rFonts w:ascii="微软雅黑" w:eastAsia="微软雅黑" w:hAnsi="微软雅黑" w:cs="宋体"/>
                <w:kern w:val="0"/>
                <w:sz w:val="24"/>
                <w:szCs w:val="24"/>
              </w:rPr>
            </w:pPr>
          </w:p>
        </w:tc>
        <w:tc>
          <w:tcPr>
            <w:tcW w:w="540" w:type="pct"/>
            <w:vMerge/>
            <w:vAlign w:val="center"/>
            <w:hideMark/>
          </w:tcPr>
          <w:p w14:paraId="64123B28" w14:textId="77777777" w:rsidR="00891DA8" w:rsidRPr="00891DA8" w:rsidRDefault="00891DA8" w:rsidP="00891DA8">
            <w:pPr>
              <w:widowControl/>
              <w:rPr>
                <w:rFonts w:ascii="微软雅黑" w:eastAsia="微软雅黑" w:hAnsi="微软雅黑" w:cs="宋体"/>
                <w:kern w:val="0"/>
                <w:sz w:val="24"/>
                <w:szCs w:val="24"/>
              </w:rPr>
            </w:pPr>
          </w:p>
        </w:tc>
        <w:tc>
          <w:tcPr>
            <w:tcW w:w="902" w:type="pct"/>
            <w:vMerge/>
            <w:vAlign w:val="center"/>
            <w:hideMark/>
          </w:tcPr>
          <w:p w14:paraId="2A744B1E" w14:textId="77777777" w:rsidR="00891DA8" w:rsidRPr="00891DA8" w:rsidRDefault="00891DA8" w:rsidP="00891DA8">
            <w:pPr>
              <w:widowControl/>
              <w:rPr>
                <w:rFonts w:ascii="微软雅黑" w:eastAsia="微软雅黑" w:hAnsi="微软雅黑" w:cs="宋体"/>
                <w:kern w:val="0"/>
                <w:sz w:val="24"/>
                <w:szCs w:val="24"/>
              </w:rPr>
            </w:pPr>
          </w:p>
        </w:tc>
        <w:tc>
          <w:tcPr>
            <w:tcW w:w="1994" w:type="pct"/>
            <w:tcMar>
              <w:top w:w="56" w:type="dxa"/>
              <w:left w:w="56" w:type="dxa"/>
              <w:bottom w:w="56" w:type="dxa"/>
              <w:right w:w="56" w:type="dxa"/>
            </w:tcMar>
            <w:hideMark/>
          </w:tcPr>
          <w:p w14:paraId="4A7292B8"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CDK4（细胞周期蛋白D3）：9</w:t>
            </w:r>
          </w:p>
        </w:tc>
      </w:tr>
      <w:tr w:rsidR="00E217B9" w:rsidRPr="00891DA8" w14:paraId="3556893F" w14:textId="77777777" w:rsidTr="00891DA8">
        <w:trPr>
          <w:tblCellSpacing w:w="15" w:type="dxa"/>
        </w:trPr>
        <w:tc>
          <w:tcPr>
            <w:tcW w:w="1496" w:type="pct"/>
            <w:vMerge/>
            <w:vAlign w:val="center"/>
            <w:hideMark/>
          </w:tcPr>
          <w:p w14:paraId="6E698297" w14:textId="77777777" w:rsidR="00891DA8" w:rsidRPr="00891DA8" w:rsidRDefault="00891DA8" w:rsidP="00891DA8">
            <w:pPr>
              <w:widowControl/>
              <w:rPr>
                <w:rFonts w:ascii="微软雅黑" w:eastAsia="微软雅黑" w:hAnsi="微软雅黑" w:cs="宋体"/>
                <w:kern w:val="0"/>
                <w:sz w:val="24"/>
                <w:szCs w:val="24"/>
              </w:rPr>
            </w:pPr>
          </w:p>
        </w:tc>
        <w:tc>
          <w:tcPr>
            <w:tcW w:w="540" w:type="pct"/>
            <w:vMerge/>
            <w:vAlign w:val="center"/>
            <w:hideMark/>
          </w:tcPr>
          <w:p w14:paraId="60C3DCB4" w14:textId="77777777" w:rsidR="00891DA8" w:rsidRPr="00891DA8" w:rsidRDefault="00891DA8" w:rsidP="00891DA8">
            <w:pPr>
              <w:widowControl/>
              <w:rPr>
                <w:rFonts w:ascii="微软雅黑" w:eastAsia="微软雅黑" w:hAnsi="微软雅黑" w:cs="宋体"/>
                <w:kern w:val="0"/>
                <w:sz w:val="24"/>
                <w:szCs w:val="24"/>
              </w:rPr>
            </w:pPr>
          </w:p>
        </w:tc>
        <w:tc>
          <w:tcPr>
            <w:tcW w:w="902" w:type="pct"/>
            <w:vMerge/>
            <w:vAlign w:val="center"/>
            <w:hideMark/>
          </w:tcPr>
          <w:p w14:paraId="54F6DD5A" w14:textId="77777777" w:rsidR="00891DA8" w:rsidRPr="00891DA8" w:rsidRDefault="00891DA8" w:rsidP="00891DA8">
            <w:pPr>
              <w:widowControl/>
              <w:rPr>
                <w:rFonts w:ascii="微软雅黑" w:eastAsia="微软雅黑" w:hAnsi="微软雅黑" w:cs="宋体"/>
                <w:kern w:val="0"/>
                <w:sz w:val="24"/>
                <w:szCs w:val="24"/>
              </w:rPr>
            </w:pPr>
          </w:p>
        </w:tc>
        <w:tc>
          <w:tcPr>
            <w:tcW w:w="1994" w:type="pct"/>
            <w:tcMar>
              <w:top w:w="56" w:type="dxa"/>
              <w:left w:w="56" w:type="dxa"/>
              <w:bottom w:w="56" w:type="dxa"/>
              <w:right w:w="56" w:type="dxa"/>
            </w:tcMar>
            <w:hideMark/>
          </w:tcPr>
          <w:p w14:paraId="1D96981E"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CDK6（细胞周期蛋白D2）：15</w:t>
            </w:r>
          </w:p>
        </w:tc>
      </w:tr>
      <w:tr w:rsidR="00E217B9" w:rsidRPr="00891DA8" w14:paraId="664E9D55" w14:textId="77777777" w:rsidTr="00891DA8">
        <w:trPr>
          <w:tblCellSpacing w:w="15" w:type="dxa"/>
        </w:trPr>
        <w:tc>
          <w:tcPr>
            <w:tcW w:w="1496" w:type="pct"/>
            <w:vMerge w:val="restart"/>
            <w:tcMar>
              <w:top w:w="56" w:type="dxa"/>
              <w:left w:w="56" w:type="dxa"/>
              <w:bottom w:w="56" w:type="dxa"/>
              <w:right w:w="56" w:type="dxa"/>
            </w:tcMar>
            <w:hideMark/>
          </w:tcPr>
          <w:p w14:paraId="53DC0144"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瑞博西尼（LEE011）</w:t>
            </w:r>
          </w:p>
        </w:tc>
        <w:tc>
          <w:tcPr>
            <w:tcW w:w="540" w:type="pct"/>
            <w:vMerge w:val="restart"/>
            <w:tcMar>
              <w:top w:w="56" w:type="dxa"/>
              <w:left w:w="56" w:type="dxa"/>
              <w:bottom w:w="56" w:type="dxa"/>
              <w:right w:w="56" w:type="dxa"/>
            </w:tcMar>
            <w:hideMark/>
          </w:tcPr>
          <w:p w14:paraId="3A295D34"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诺华</w:t>
            </w:r>
          </w:p>
        </w:tc>
        <w:tc>
          <w:tcPr>
            <w:tcW w:w="902" w:type="pct"/>
            <w:vMerge w:val="restart"/>
            <w:tcMar>
              <w:top w:w="56" w:type="dxa"/>
              <w:left w:w="56" w:type="dxa"/>
              <w:bottom w:w="56" w:type="dxa"/>
              <w:right w:w="56" w:type="dxa"/>
            </w:tcMar>
            <w:hideMark/>
          </w:tcPr>
          <w:p w14:paraId="5FE96303"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三</w:t>
            </w:r>
          </w:p>
        </w:tc>
        <w:tc>
          <w:tcPr>
            <w:tcW w:w="1994" w:type="pct"/>
            <w:tcMar>
              <w:top w:w="56" w:type="dxa"/>
              <w:left w:w="56" w:type="dxa"/>
              <w:bottom w:w="56" w:type="dxa"/>
              <w:right w:w="56" w:type="dxa"/>
            </w:tcMar>
            <w:hideMark/>
          </w:tcPr>
          <w:p w14:paraId="1788631A"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CDK4（细胞周期蛋白D1）：10</w:t>
            </w:r>
          </w:p>
        </w:tc>
      </w:tr>
      <w:tr w:rsidR="00E217B9" w:rsidRPr="00891DA8" w14:paraId="23B14ABE" w14:textId="77777777" w:rsidTr="00891DA8">
        <w:trPr>
          <w:tblCellSpacing w:w="15" w:type="dxa"/>
        </w:trPr>
        <w:tc>
          <w:tcPr>
            <w:tcW w:w="1496" w:type="pct"/>
            <w:vMerge/>
            <w:vAlign w:val="center"/>
            <w:hideMark/>
          </w:tcPr>
          <w:p w14:paraId="70F6AB41" w14:textId="77777777" w:rsidR="00891DA8" w:rsidRPr="00891DA8" w:rsidRDefault="00891DA8" w:rsidP="00891DA8">
            <w:pPr>
              <w:widowControl/>
              <w:rPr>
                <w:rFonts w:ascii="微软雅黑" w:eastAsia="微软雅黑" w:hAnsi="微软雅黑" w:cs="宋体"/>
                <w:kern w:val="0"/>
                <w:sz w:val="24"/>
                <w:szCs w:val="24"/>
              </w:rPr>
            </w:pPr>
          </w:p>
        </w:tc>
        <w:tc>
          <w:tcPr>
            <w:tcW w:w="540" w:type="pct"/>
            <w:vMerge/>
            <w:vAlign w:val="center"/>
            <w:hideMark/>
          </w:tcPr>
          <w:p w14:paraId="4214D399" w14:textId="77777777" w:rsidR="00891DA8" w:rsidRPr="00891DA8" w:rsidRDefault="00891DA8" w:rsidP="00891DA8">
            <w:pPr>
              <w:widowControl/>
              <w:rPr>
                <w:rFonts w:ascii="微软雅黑" w:eastAsia="微软雅黑" w:hAnsi="微软雅黑" w:cs="宋体"/>
                <w:kern w:val="0"/>
                <w:sz w:val="24"/>
                <w:szCs w:val="24"/>
              </w:rPr>
            </w:pPr>
          </w:p>
        </w:tc>
        <w:tc>
          <w:tcPr>
            <w:tcW w:w="902" w:type="pct"/>
            <w:vMerge/>
            <w:vAlign w:val="center"/>
            <w:hideMark/>
          </w:tcPr>
          <w:p w14:paraId="34067F81" w14:textId="77777777" w:rsidR="00891DA8" w:rsidRPr="00891DA8" w:rsidRDefault="00891DA8" w:rsidP="00891DA8">
            <w:pPr>
              <w:widowControl/>
              <w:rPr>
                <w:rFonts w:ascii="微软雅黑" w:eastAsia="微软雅黑" w:hAnsi="微软雅黑" w:cs="宋体"/>
                <w:kern w:val="0"/>
                <w:sz w:val="24"/>
                <w:szCs w:val="24"/>
              </w:rPr>
            </w:pPr>
          </w:p>
        </w:tc>
        <w:tc>
          <w:tcPr>
            <w:tcW w:w="1994" w:type="pct"/>
            <w:tcMar>
              <w:top w:w="56" w:type="dxa"/>
              <w:left w:w="56" w:type="dxa"/>
              <w:bottom w:w="56" w:type="dxa"/>
              <w:right w:w="56" w:type="dxa"/>
            </w:tcMar>
            <w:hideMark/>
          </w:tcPr>
          <w:p w14:paraId="7856596B"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CDK6（细胞周期蛋白D2）：40</w:t>
            </w:r>
          </w:p>
        </w:tc>
      </w:tr>
      <w:tr w:rsidR="00E217B9" w:rsidRPr="00891DA8" w14:paraId="7D216A19" w14:textId="77777777" w:rsidTr="00891DA8">
        <w:trPr>
          <w:tblCellSpacing w:w="15" w:type="dxa"/>
        </w:trPr>
        <w:tc>
          <w:tcPr>
            <w:tcW w:w="1496" w:type="pct"/>
            <w:vMerge w:val="restart"/>
            <w:tcMar>
              <w:top w:w="56" w:type="dxa"/>
              <w:left w:w="56" w:type="dxa"/>
              <w:bottom w:w="56" w:type="dxa"/>
              <w:right w:w="56" w:type="dxa"/>
            </w:tcMar>
            <w:hideMark/>
          </w:tcPr>
          <w:p w14:paraId="638D3203"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阿贝西利（LY2835219）</w:t>
            </w:r>
          </w:p>
        </w:tc>
        <w:tc>
          <w:tcPr>
            <w:tcW w:w="540" w:type="pct"/>
            <w:vMerge w:val="restart"/>
            <w:tcMar>
              <w:top w:w="56" w:type="dxa"/>
              <w:left w:w="56" w:type="dxa"/>
              <w:bottom w:w="56" w:type="dxa"/>
              <w:right w:w="56" w:type="dxa"/>
            </w:tcMar>
            <w:hideMark/>
          </w:tcPr>
          <w:p w14:paraId="3AC498DF"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礼来</w:t>
            </w:r>
          </w:p>
        </w:tc>
        <w:tc>
          <w:tcPr>
            <w:tcW w:w="902" w:type="pct"/>
            <w:vMerge w:val="restart"/>
            <w:tcMar>
              <w:top w:w="56" w:type="dxa"/>
              <w:left w:w="56" w:type="dxa"/>
              <w:bottom w:w="56" w:type="dxa"/>
              <w:right w:w="56" w:type="dxa"/>
            </w:tcMar>
            <w:hideMark/>
          </w:tcPr>
          <w:p w14:paraId="23297F8D"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三</w:t>
            </w:r>
          </w:p>
        </w:tc>
        <w:tc>
          <w:tcPr>
            <w:tcW w:w="1994" w:type="pct"/>
            <w:tcMar>
              <w:top w:w="56" w:type="dxa"/>
              <w:left w:w="56" w:type="dxa"/>
              <w:bottom w:w="56" w:type="dxa"/>
              <w:right w:w="56" w:type="dxa"/>
            </w:tcMar>
            <w:hideMark/>
          </w:tcPr>
          <w:p w14:paraId="0A0F0437"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CDK4（细胞周期蛋白D1）：2</w:t>
            </w:r>
          </w:p>
        </w:tc>
      </w:tr>
      <w:tr w:rsidR="00E217B9" w:rsidRPr="00891DA8" w14:paraId="6F18C242" w14:textId="77777777" w:rsidTr="00891DA8">
        <w:trPr>
          <w:tblCellSpacing w:w="15" w:type="dxa"/>
        </w:trPr>
        <w:tc>
          <w:tcPr>
            <w:tcW w:w="1496" w:type="pct"/>
            <w:vMerge/>
            <w:vAlign w:val="center"/>
            <w:hideMark/>
          </w:tcPr>
          <w:p w14:paraId="05F04329" w14:textId="77777777" w:rsidR="00891DA8" w:rsidRPr="00891DA8" w:rsidRDefault="00891DA8" w:rsidP="00891DA8">
            <w:pPr>
              <w:widowControl/>
              <w:rPr>
                <w:rFonts w:ascii="微软雅黑" w:eastAsia="微软雅黑" w:hAnsi="微软雅黑" w:cs="宋体"/>
                <w:kern w:val="0"/>
                <w:sz w:val="24"/>
                <w:szCs w:val="24"/>
              </w:rPr>
            </w:pPr>
          </w:p>
        </w:tc>
        <w:tc>
          <w:tcPr>
            <w:tcW w:w="540" w:type="pct"/>
            <w:vMerge/>
            <w:vAlign w:val="center"/>
            <w:hideMark/>
          </w:tcPr>
          <w:p w14:paraId="6D4D3BF5" w14:textId="77777777" w:rsidR="00891DA8" w:rsidRPr="00891DA8" w:rsidRDefault="00891DA8" w:rsidP="00891DA8">
            <w:pPr>
              <w:widowControl/>
              <w:rPr>
                <w:rFonts w:ascii="微软雅黑" w:eastAsia="微软雅黑" w:hAnsi="微软雅黑" w:cs="宋体"/>
                <w:kern w:val="0"/>
                <w:sz w:val="24"/>
                <w:szCs w:val="24"/>
              </w:rPr>
            </w:pPr>
          </w:p>
        </w:tc>
        <w:tc>
          <w:tcPr>
            <w:tcW w:w="902" w:type="pct"/>
            <w:vMerge/>
            <w:vAlign w:val="center"/>
            <w:hideMark/>
          </w:tcPr>
          <w:p w14:paraId="47020B75" w14:textId="77777777" w:rsidR="00891DA8" w:rsidRPr="00891DA8" w:rsidRDefault="00891DA8" w:rsidP="00891DA8">
            <w:pPr>
              <w:widowControl/>
              <w:rPr>
                <w:rFonts w:ascii="微软雅黑" w:eastAsia="微软雅黑" w:hAnsi="微软雅黑" w:cs="宋体"/>
                <w:kern w:val="0"/>
                <w:sz w:val="24"/>
                <w:szCs w:val="24"/>
              </w:rPr>
            </w:pPr>
          </w:p>
        </w:tc>
        <w:tc>
          <w:tcPr>
            <w:tcW w:w="1994" w:type="pct"/>
            <w:tcMar>
              <w:top w:w="56" w:type="dxa"/>
              <w:left w:w="56" w:type="dxa"/>
              <w:bottom w:w="56" w:type="dxa"/>
              <w:right w:w="56" w:type="dxa"/>
            </w:tcMar>
            <w:hideMark/>
          </w:tcPr>
          <w:p w14:paraId="347E5F3F"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CDK6（细胞周期蛋白D1）：9.9</w:t>
            </w:r>
          </w:p>
        </w:tc>
      </w:tr>
    </w:tbl>
    <w:p w14:paraId="17E11CB8"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我们采用无偏筛选方法开展了临床前研究，旨在识别可能被帕博西尼抑制生长的乳腺癌类型以及药物反应的预测标志物。为此，我们评估了帕博西尼在大量</w:t>
      </w:r>
      <w:proofErr w:type="gramStart"/>
      <w:r w:rsidRPr="00891DA8">
        <w:rPr>
          <w:rFonts w:ascii="微软雅黑" w:eastAsia="微软雅黑" w:hAnsi="微软雅黑" w:cs="宋体"/>
          <w:kern w:val="0"/>
          <w:sz w:val="24"/>
          <w:szCs w:val="24"/>
        </w:rPr>
        <w:t>经分子</w:t>
      </w:r>
      <w:proofErr w:type="gramEnd"/>
      <w:r w:rsidRPr="00891DA8">
        <w:rPr>
          <w:rFonts w:ascii="微软雅黑" w:eastAsia="微软雅黑" w:hAnsi="微软雅黑" w:cs="宋体"/>
          <w:kern w:val="0"/>
          <w:sz w:val="24"/>
          <w:szCs w:val="24"/>
        </w:rPr>
        <w:t>鉴定的乳腺癌细胞系中的生长抑制作用。研究发现，代表管腔型、ER阳性或HER2扩增亚型的细胞系对帕博西尼抑制最为敏感，而非管</w:t>
      </w:r>
      <w:proofErr w:type="gramStart"/>
      <w:r w:rsidRPr="00891DA8">
        <w:rPr>
          <w:rFonts w:ascii="微软雅黑" w:eastAsia="微软雅黑" w:hAnsi="微软雅黑" w:cs="宋体"/>
          <w:kern w:val="0"/>
          <w:sz w:val="24"/>
          <w:szCs w:val="24"/>
        </w:rPr>
        <w:t>腔型亚</w:t>
      </w:r>
      <w:proofErr w:type="gramEnd"/>
      <w:r w:rsidRPr="00891DA8">
        <w:rPr>
          <w:rFonts w:ascii="微软雅黑" w:eastAsia="微软雅黑" w:hAnsi="微软雅黑" w:cs="宋体"/>
          <w:kern w:val="0"/>
          <w:sz w:val="24"/>
          <w:szCs w:val="24"/>
        </w:rPr>
        <w:t>型的细胞系则耐药性最强[ </w:t>
      </w:r>
      <w:hyperlink r:id="rId88" w:anchor="CR9" w:history="1">
        <w:r w:rsidRPr="00891DA8">
          <w:rPr>
            <w:rFonts w:ascii="微软雅黑" w:eastAsia="微软雅黑" w:hAnsi="微软雅黑" w:cs="宋体"/>
            <w:kern w:val="0"/>
            <w:sz w:val="24"/>
            <w:szCs w:val="24"/>
            <w:u w:val="single"/>
          </w:rPr>
          <w:t>9</w:t>
        </w:r>
      </w:hyperlink>
      <w:r w:rsidRPr="00891DA8">
        <w:rPr>
          <w:rFonts w:ascii="微软雅黑" w:eastAsia="微软雅黑" w:hAnsi="微软雅黑" w:cs="宋体"/>
          <w:kern w:val="0"/>
          <w:sz w:val="24"/>
          <w:szCs w:val="24"/>
        </w:rPr>
        <w:t> ]。此外，该研究还证实，在ER阳性和HER2扩增细胞模型中，</w:t>
      </w:r>
      <w:r w:rsidRPr="00891DA8">
        <w:rPr>
          <w:rFonts w:ascii="微软雅黑" w:eastAsia="微软雅黑" w:hAnsi="微软雅黑" w:cs="宋体"/>
          <w:kern w:val="0"/>
          <w:sz w:val="24"/>
          <w:szCs w:val="24"/>
        </w:rPr>
        <w:lastRenderedPageBreak/>
        <w:t>帕博西尼分别与他</w:t>
      </w:r>
      <w:proofErr w:type="gramStart"/>
      <w:r w:rsidRPr="00891DA8">
        <w:rPr>
          <w:rFonts w:ascii="微软雅黑" w:eastAsia="微软雅黑" w:hAnsi="微软雅黑" w:cs="宋体"/>
          <w:kern w:val="0"/>
          <w:sz w:val="24"/>
          <w:szCs w:val="24"/>
        </w:rPr>
        <w:t>莫昔芬或曲妥珠单抗具有</w:t>
      </w:r>
      <w:proofErr w:type="gramEnd"/>
      <w:r w:rsidRPr="00891DA8">
        <w:rPr>
          <w:rFonts w:ascii="微软雅黑" w:eastAsia="微软雅黑" w:hAnsi="微软雅黑" w:cs="宋体"/>
          <w:kern w:val="0"/>
          <w:sz w:val="24"/>
          <w:szCs w:val="24"/>
        </w:rPr>
        <w:t>一致的协同生长抑制活性。最后，该药物在获得性他</w:t>
      </w:r>
      <w:proofErr w:type="gramStart"/>
      <w:r w:rsidRPr="00891DA8">
        <w:rPr>
          <w:rFonts w:ascii="微软雅黑" w:eastAsia="微软雅黑" w:hAnsi="微软雅黑" w:cs="宋体"/>
          <w:kern w:val="0"/>
          <w:sz w:val="24"/>
          <w:szCs w:val="24"/>
        </w:rPr>
        <w:t>莫昔芬</w:t>
      </w:r>
      <w:proofErr w:type="gramEnd"/>
      <w:r w:rsidRPr="00891DA8">
        <w:rPr>
          <w:rFonts w:ascii="微软雅黑" w:eastAsia="微软雅黑" w:hAnsi="微软雅黑" w:cs="宋体"/>
          <w:kern w:val="0"/>
          <w:sz w:val="24"/>
          <w:szCs w:val="24"/>
        </w:rPr>
        <w:t>耐药模型中也显示出活性，提示其可能对激素耐药的ER阳性乳腺癌具有临床疗效。</w:t>
      </w:r>
    </w:p>
    <w:p w14:paraId="32178115"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这些数据用于支持帕博西尼联合来曲</w:t>
      </w:r>
      <w:proofErr w:type="gramStart"/>
      <w:r w:rsidRPr="00891DA8">
        <w:rPr>
          <w:rFonts w:ascii="微软雅黑" w:eastAsia="微软雅黑" w:hAnsi="微软雅黑" w:cs="宋体"/>
          <w:kern w:val="0"/>
          <w:sz w:val="24"/>
          <w:szCs w:val="24"/>
        </w:rPr>
        <w:t>唑</w:t>
      </w:r>
      <w:proofErr w:type="gramEnd"/>
      <w:r w:rsidRPr="00891DA8">
        <w:rPr>
          <w:rFonts w:ascii="微软雅黑" w:eastAsia="微软雅黑" w:hAnsi="微软雅黑" w:cs="宋体"/>
          <w:kern w:val="0"/>
          <w:sz w:val="24"/>
          <w:szCs w:val="24"/>
        </w:rPr>
        <w:t>一线治疗晚期ER+绝经后乳腺癌的I/II期临床研究。I期研究纳入了12例患者，旨在评估帕博西尼联合来曲</w:t>
      </w:r>
      <w:proofErr w:type="gramStart"/>
      <w:r w:rsidRPr="00891DA8">
        <w:rPr>
          <w:rFonts w:ascii="微软雅黑" w:eastAsia="微软雅黑" w:hAnsi="微软雅黑" w:cs="宋体"/>
          <w:kern w:val="0"/>
          <w:sz w:val="24"/>
          <w:szCs w:val="24"/>
        </w:rPr>
        <w:t>唑</w:t>
      </w:r>
      <w:proofErr w:type="gramEnd"/>
      <w:r w:rsidRPr="00891DA8">
        <w:rPr>
          <w:rFonts w:ascii="微软雅黑" w:eastAsia="微软雅黑" w:hAnsi="微软雅黑" w:cs="宋体"/>
          <w:kern w:val="0"/>
          <w:sz w:val="24"/>
          <w:szCs w:val="24"/>
        </w:rPr>
        <w:t>每日口服125 mg（3周用药/1周停药）的给药方案的安全性[ </w:t>
      </w:r>
      <w:hyperlink r:id="rId89" w:anchor="CR72" w:history="1">
        <w:r w:rsidRPr="00891DA8">
          <w:rPr>
            <w:rFonts w:ascii="微软雅黑" w:eastAsia="微软雅黑" w:hAnsi="微软雅黑" w:cs="宋体"/>
            <w:kern w:val="0"/>
            <w:sz w:val="24"/>
            <w:szCs w:val="24"/>
            <w:u w:val="single"/>
          </w:rPr>
          <w:t>72</w:t>
        </w:r>
      </w:hyperlink>
      <w:r w:rsidRPr="00891DA8">
        <w:rPr>
          <w:rFonts w:ascii="微软雅黑" w:eastAsia="微软雅黑" w:hAnsi="微软雅黑" w:cs="宋体"/>
          <w:kern w:val="0"/>
          <w:sz w:val="24"/>
          <w:szCs w:val="24"/>
        </w:rPr>
        <w:t> ]。研究期间未发生与治疗相关的严重不良事件，最常见的治疗期间出现的不良事件为白细胞减少症、中性粒细胞减少症和疲乏。然而，未发生中性粒细胞减少性发热，且帕博西尼与来曲</w:t>
      </w:r>
      <w:proofErr w:type="gramStart"/>
      <w:r w:rsidRPr="00891DA8">
        <w:rPr>
          <w:rFonts w:ascii="微软雅黑" w:eastAsia="微软雅黑" w:hAnsi="微软雅黑" w:cs="宋体"/>
          <w:kern w:val="0"/>
          <w:sz w:val="24"/>
          <w:szCs w:val="24"/>
        </w:rPr>
        <w:t>唑</w:t>
      </w:r>
      <w:proofErr w:type="gramEnd"/>
      <w:r w:rsidRPr="00891DA8">
        <w:rPr>
          <w:rFonts w:ascii="微软雅黑" w:eastAsia="微软雅黑" w:hAnsi="微软雅黑" w:cs="宋体"/>
          <w:kern w:val="0"/>
          <w:sz w:val="24"/>
          <w:szCs w:val="24"/>
        </w:rPr>
        <w:t>之间未发现剂量-剂量相互作用。</w:t>
      </w:r>
    </w:p>
    <w:p w14:paraId="4ABFCBFC"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这项II期研究是一项开放标签试验，旨在评估绝经后ER阳性晚期转移性乳腺癌一线治疗患者的疗效。研究的主要终点是无进展生存期（PFS），次要终点是安全性和总生存期。患者被随机分配接受来曲</w:t>
      </w:r>
      <w:proofErr w:type="gramStart"/>
      <w:r w:rsidRPr="00891DA8">
        <w:rPr>
          <w:rFonts w:ascii="微软雅黑" w:eastAsia="微软雅黑" w:hAnsi="微软雅黑" w:cs="宋体"/>
          <w:kern w:val="0"/>
          <w:sz w:val="24"/>
          <w:szCs w:val="24"/>
        </w:rPr>
        <w:t>唑</w:t>
      </w:r>
      <w:proofErr w:type="gramEnd"/>
      <w:r w:rsidRPr="00891DA8">
        <w:rPr>
          <w:rFonts w:ascii="微软雅黑" w:eastAsia="微软雅黑" w:hAnsi="微软雅黑" w:cs="宋体"/>
          <w:kern w:val="0"/>
          <w:sz w:val="24"/>
          <w:szCs w:val="24"/>
        </w:rPr>
        <w:t>单药治疗或来曲</w:t>
      </w:r>
      <w:proofErr w:type="gramStart"/>
      <w:r w:rsidRPr="00891DA8">
        <w:rPr>
          <w:rFonts w:ascii="微软雅黑" w:eastAsia="微软雅黑" w:hAnsi="微软雅黑" w:cs="宋体"/>
          <w:kern w:val="0"/>
          <w:sz w:val="24"/>
          <w:szCs w:val="24"/>
        </w:rPr>
        <w:t>唑</w:t>
      </w:r>
      <w:proofErr w:type="gramEnd"/>
      <w:r w:rsidRPr="00891DA8">
        <w:rPr>
          <w:rFonts w:ascii="微软雅黑" w:eastAsia="微软雅黑" w:hAnsi="微软雅黑" w:cs="宋体"/>
          <w:kern w:val="0"/>
          <w:sz w:val="24"/>
          <w:szCs w:val="24"/>
        </w:rPr>
        <w:t>联</w:t>
      </w:r>
      <w:proofErr w:type="gramStart"/>
      <w:r w:rsidRPr="00891DA8">
        <w:rPr>
          <w:rFonts w:ascii="微软雅黑" w:eastAsia="微软雅黑" w:hAnsi="微软雅黑" w:cs="宋体"/>
          <w:kern w:val="0"/>
          <w:sz w:val="24"/>
          <w:szCs w:val="24"/>
        </w:rPr>
        <w:t>合帕</w:t>
      </w:r>
      <w:proofErr w:type="gramEnd"/>
      <w:r w:rsidRPr="00891DA8">
        <w:rPr>
          <w:rFonts w:ascii="微软雅黑" w:eastAsia="微软雅黑" w:hAnsi="微软雅黑" w:cs="宋体"/>
          <w:kern w:val="0"/>
          <w:sz w:val="24"/>
          <w:szCs w:val="24"/>
        </w:rPr>
        <w:t>博西尼治疗。该研究分为两个部分，依次入组：第一部分要求患者肿瘤为ER阳性，这是入组的唯一生物标志物；第二部分入组的患者与第一部分相同，但除了ER阳性生物标志物外，还要求患者肿瘤存在CCND1（细胞周期蛋白D1）扩增（通过荧光原位杂交[FISH]检测）或CDKN2A（p16）缺失（通过FISH检测），作为筛选生物标志物。虽然临床前数据并未表明这些基因组标志物是增强疗效的必要条件，但第二部分研究旨在确定这些生物标志物的存在是否能进一步提高疗效患者的比例。</w:t>
      </w:r>
    </w:p>
    <w:p w14:paraId="3B0155B8"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lastRenderedPageBreak/>
        <w:t>第一部分的研究结果已于2012年在IMPAKT会议上发表[ </w:t>
      </w:r>
      <w:hyperlink r:id="rId90" w:anchor="CR73" w:history="1">
        <w:r w:rsidRPr="00891DA8">
          <w:rPr>
            <w:rFonts w:ascii="微软雅黑" w:eastAsia="微软雅黑" w:hAnsi="微软雅黑" w:cs="宋体"/>
            <w:kern w:val="0"/>
            <w:sz w:val="24"/>
            <w:szCs w:val="24"/>
            <w:u w:val="single"/>
          </w:rPr>
          <w:t>73</w:t>
        </w:r>
      </w:hyperlink>
      <w:r w:rsidRPr="00891DA8">
        <w:rPr>
          <w:rFonts w:ascii="微软雅黑" w:eastAsia="微软雅黑" w:hAnsi="微软雅黑" w:cs="宋体"/>
          <w:kern w:val="0"/>
          <w:sz w:val="24"/>
          <w:szCs w:val="24"/>
        </w:rPr>
        <w:t> ]。两组中约一半的女性患者此前未接受过任何新辅助或辅助全身治疗，但约三分之一的女性患者在早期乳腺癌治疗中接受过抗雌激素治疗。第一部分研究显示，患者的无进展生存期（PFS）显著改善，中位PFS从单用来曲</w:t>
      </w:r>
      <w:proofErr w:type="gramStart"/>
      <w:r w:rsidRPr="00891DA8">
        <w:rPr>
          <w:rFonts w:ascii="微软雅黑" w:eastAsia="微软雅黑" w:hAnsi="微软雅黑" w:cs="宋体"/>
          <w:kern w:val="0"/>
          <w:sz w:val="24"/>
          <w:szCs w:val="24"/>
        </w:rPr>
        <w:t>唑</w:t>
      </w:r>
      <w:proofErr w:type="gramEnd"/>
      <w:r w:rsidRPr="00891DA8">
        <w:rPr>
          <w:rFonts w:ascii="微软雅黑" w:eastAsia="微软雅黑" w:hAnsi="微软雅黑" w:cs="宋体"/>
          <w:kern w:val="0"/>
          <w:sz w:val="24"/>
          <w:szCs w:val="24"/>
        </w:rPr>
        <w:t>组的5.7个月延长至联合治疗组的18个月以上，风险比（HR）为0.35（95%置信区间[CI] 0.17–0.72，</w:t>
      </w:r>
      <w:r w:rsidRPr="00891DA8">
        <w:rPr>
          <w:rFonts w:ascii="微软雅黑" w:eastAsia="微软雅黑" w:hAnsi="微软雅黑" w:cs="宋体"/>
          <w:i/>
          <w:iCs/>
          <w:kern w:val="0"/>
          <w:sz w:val="24"/>
          <w:szCs w:val="24"/>
        </w:rPr>
        <w:t>P</w:t>
      </w:r>
      <w:r w:rsidRPr="00891DA8">
        <w:rPr>
          <w:rFonts w:ascii="微软雅黑" w:eastAsia="微软雅黑" w:hAnsi="微软雅黑" w:cs="宋体"/>
          <w:kern w:val="0"/>
          <w:sz w:val="24"/>
          <w:szCs w:val="24"/>
        </w:rPr>
        <w:t> </w:t>
      </w:r>
      <w:r w:rsidRPr="00891DA8">
        <w:rPr>
          <w:rFonts w:ascii="MS Gothic" w:eastAsia="MS Gothic" w:hAnsi="MS Gothic" w:cs="MS Gothic" w:hint="eastAsia"/>
          <w:kern w:val="0"/>
          <w:sz w:val="24"/>
          <w:szCs w:val="24"/>
        </w:rPr>
        <w:t> </w:t>
      </w:r>
      <w:r w:rsidRPr="00891DA8">
        <w:rPr>
          <w:rFonts w:ascii="微软雅黑" w:eastAsia="微软雅黑" w:hAnsi="微软雅黑" w:cs="宋体"/>
          <w:kern w:val="0"/>
          <w:sz w:val="24"/>
          <w:szCs w:val="24"/>
        </w:rPr>
        <w:t>= 0.06）。此外，在可测量病灶的患者中，客观缓解率从32%提高至52%，临床获益率从47%提高至76%。在帕博西尼组中，剂量减少和延迟给药较为常见，但最常见的治疗相关不良事件仍然是白细胞减少症、中性粒细胞减少症和疲乏，尽管未报告中性粒细胞减少性发热病例。对第一部分中的66例患者进行了CCND1扩增和p16缺失的回顾性生物标志物分析。尽管各组样本量较小，但无论是否存在这些生物标志物，各组的风险比（HR）均显示出一致的获益；生物标志物阳性组（n = 21）HR = 0.37（95% CI 0.10–1.40，</w:t>
      </w:r>
      <w:r w:rsidRPr="00891DA8">
        <w:rPr>
          <w:rFonts w:ascii="微软雅黑" w:eastAsia="微软雅黑" w:hAnsi="微软雅黑" w:cs="宋体"/>
          <w:i/>
          <w:iCs/>
          <w:kern w:val="0"/>
          <w:sz w:val="24"/>
          <w:szCs w:val="24"/>
        </w:rPr>
        <w:t>P</w:t>
      </w:r>
      <w:r w:rsidRPr="00891DA8">
        <w:rPr>
          <w:rFonts w:ascii="微软雅黑" w:eastAsia="微软雅黑" w:hAnsi="微软雅黑" w:cs="宋体"/>
          <w:kern w:val="0"/>
          <w:sz w:val="24"/>
          <w:szCs w:val="24"/>
        </w:rPr>
        <w:t> </w:t>
      </w:r>
      <w:r w:rsidRPr="00891DA8">
        <w:rPr>
          <w:rFonts w:ascii="MS Gothic" w:eastAsia="MS Gothic" w:hAnsi="MS Gothic" w:cs="MS Gothic" w:hint="eastAsia"/>
          <w:kern w:val="0"/>
          <w:sz w:val="24"/>
          <w:szCs w:val="24"/>
        </w:rPr>
        <w:t> </w:t>
      </w:r>
      <w:r w:rsidRPr="00891DA8">
        <w:rPr>
          <w:rFonts w:ascii="微软雅黑" w:eastAsia="微软雅黑" w:hAnsi="微软雅黑" w:cs="宋体"/>
          <w:kern w:val="0"/>
          <w:sz w:val="24"/>
          <w:szCs w:val="24"/>
        </w:rPr>
        <w:t>= 0.13），生物标志物阴性组（n = 25）HR = 0.19（95% CI 0.05–0.67，</w:t>
      </w:r>
      <w:r w:rsidRPr="00891DA8">
        <w:rPr>
          <w:rFonts w:ascii="微软雅黑" w:eastAsia="微软雅黑" w:hAnsi="微软雅黑" w:cs="宋体"/>
          <w:i/>
          <w:iCs/>
          <w:kern w:val="0"/>
          <w:sz w:val="24"/>
          <w:szCs w:val="24"/>
        </w:rPr>
        <w:t>P</w:t>
      </w:r>
      <w:r w:rsidRPr="00891DA8">
        <w:rPr>
          <w:rFonts w:ascii="微软雅黑" w:eastAsia="微软雅黑" w:hAnsi="微软雅黑" w:cs="宋体"/>
          <w:kern w:val="0"/>
          <w:sz w:val="24"/>
          <w:szCs w:val="24"/>
        </w:rPr>
        <w:t> </w:t>
      </w:r>
      <w:r w:rsidRPr="00891DA8">
        <w:rPr>
          <w:rFonts w:ascii="MS Gothic" w:eastAsia="MS Gothic" w:hAnsi="MS Gothic" w:cs="MS Gothic" w:hint="eastAsia"/>
          <w:kern w:val="0"/>
          <w:sz w:val="24"/>
          <w:szCs w:val="24"/>
        </w:rPr>
        <w:t> </w:t>
      </w:r>
      <w:r w:rsidRPr="00891DA8">
        <w:rPr>
          <w:rFonts w:ascii="微软雅黑" w:eastAsia="微软雅黑" w:hAnsi="微软雅黑" w:cs="宋体"/>
          <w:kern w:val="0"/>
          <w:sz w:val="24"/>
          <w:szCs w:val="24"/>
        </w:rPr>
        <w:t>&lt; 0.01），生物标志物未知组（n = 20）HR = 0.59（95% CI 0.11–3.08，</w:t>
      </w:r>
      <w:r w:rsidRPr="00891DA8">
        <w:rPr>
          <w:rFonts w:ascii="微软雅黑" w:eastAsia="微软雅黑" w:hAnsi="微软雅黑" w:cs="宋体"/>
          <w:i/>
          <w:iCs/>
          <w:kern w:val="0"/>
          <w:sz w:val="24"/>
          <w:szCs w:val="24"/>
        </w:rPr>
        <w:t>P</w:t>
      </w:r>
      <w:r w:rsidRPr="00891DA8">
        <w:rPr>
          <w:rFonts w:ascii="微软雅黑" w:eastAsia="微软雅黑" w:hAnsi="微软雅黑" w:cs="宋体"/>
          <w:kern w:val="0"/>
          <w:sz w:val="24"/>
          <w:szCs w:val="24"/>
        </w:rPr>
        <w:t> </w:t>
      </w:r>
      <w:r w:rsidRPr="00891DA8">
        <w:rPr>
          <w:rFonts w:ascii="MS Gothic" w:eastAsia="MS Gothic" w:hAnsi="MS Gothic" w:cs="MS Gothic" w:hint="eastAsia"/>
          <w:kern w:val="0"/>
          <w:sz w:val="24"/>
          <w:szCs w:val="24"/>
        </w:rPr>
        <w:t> </w:t>
      </w:r>
      <w:r w:rsidRPr="00891DA8">
        <w:rPr>
          <w:rFonts w:ascii="微软雅黑" w:eastAsia="微软雅黑" w:hAnsi="微软雅黑" w:cs="宋体"/>
          <w:kern w:val="0"/>
          <w:sz w:val="24"/>
          <w:szCs w:val="24"/>
        </w:rPr>
        <w:t>= 0.53）。这些数据支持临床前观察结果，即雌激素受体（ER）阳性可能是筛选可能从 CDK4/6 抑制剂治疗中获益的患者的最佳生物标志物。</w:t>
      </w:r>
    </w:p>
    <w:p w14:paraId="3D423F26"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一项基于最终无进展生存期（PFS）分析所需114例事件中50%的事件，对第一部分和第二部分进行合并的中期分析已在2012年圣安东尼奥乳腺癌研讨会上公布，最终结果已发表[ </w:t>
      </w:r>
      <w:hyperlink r:id="rId91" w:anchor="CR73" w:history="1">
        <w:r w:rsidRPr="00891DA8">
          <w:rPr>
            <w:rFonts w:ascii="微软雅黑" w:eastAsia="微软雅黑" w:hAnsi="微软雅黑" w:cs="宋体"/>
            <w:kern w:val="0"/>
            <w:sz w:val="24"/>
            <w:szCs w:val="24"/>
            <w:u w:val="single"/>
          </w:rPr>
          <w:t>73</w:t>
        </w:r>
      </w:hyperlink>
      <w:r w:rsidRPr="00891DA8">
        <w:rPr>
          <w:rFonts w:ascii="微软雅黑" w:eastAsia="微软雅黑" w:hAnsi="微软雅黑" w:cs="宋体"/>
          <w:kern w:val="0"/>
          <w:sz w:val="24"/>
          <w:szCs w:val="24"/>
        </w:rPr>
        <w:t> , </w:t>
      </w:r>
      <w:hyperlink r:id="rId92" w:anchor="CR74" w:history="1">
        <w:r w:rsidRPr="00891DA8">
          <w:rPr>
            <w:rFonts w:ascii="微软雅黑" w:eastAsia="微软雅黑" w:hAnsi="微软雅黑" w:cs="宋体"/>
            <w:kern w:val="0"/>
            <w:sz w:val="24"/>
            <w:szCs w:val="24"/>
            <w:u w:val="single"/>
          </w:rPr>
          <w:t>74</w:t>
        </w:r>
      </w:hyperlink>
      <w:r w:rsidRPr="00891DA8">
        <w:rPr>
          <w:rFonts w:ascii="微软雅黑" w:eastAsia="微软雅黑" w:hAnsi="微软雅黑" w:cs="宋体"/>
          <w:kern w:val="0"/>
          <w:sz w:val="24"/>
          <w:szCs w:val="24"/>
        </w:rPr>
        <w:t> ]。该分析纳入了165例患者，证实了第一部分中观察到的获益和安全性。具体而言，最终结果表明，单用来曲</w:t>
      </w:r>
      <w:proofErr w:type="gramStart"/>
      <w:r w:rsidRPr="00891DA8">
        <w:rPr>
          <w:rFonts w:ascii="微软雅黑" w:eastAsia="微软雅黑" w:hAnsi="微软雅黑" w:cs="宋体"/>
          <w:kern w:val="0"/>
          <w:sz w:val="24"/>
          <w:szCs w:val="24"/>
        </w:rPr>
        <w:t>唑</w:t>
      </w:r>
      <w:proofErr w:type="gramEnd"/>
      <w:r w:rsidRPr="00891DA8">
        <w:rPr>
          <w:rFonts w:ascii="微软雅黑" w:eastAsia="微软雅黑" w:hAnsi="微软雅黑" w:cs="宋体"/>
          <w:kern w:val="0"/>
          <w:sz w:val="24"/>
          <w:szCs w:val="24"/>
        </w:rPr>
        <w:t>组的中位PFS为10.2个月，而联合用药组为20.2个月（HR = 0.488 (95% CI 0.319–0.748, </w:t>
      </w:r>
      <w:r w:rsidRPr="00891DA8">
        <w:rPr>
          <w:rFonts w:ascii="微软雅黑" w:eastAsia="微软雅黑" w:hAnsi="微软雅黑" w:cs="宋体"/>
          <w:i/>
          <w:iCs/>
          <w:kern w:val="0"/>
          <w:sz w:val="24"/>
          <w:szCs w:val="24"/>
        </w:rPr>
        <w:t>P</w:t>
      </w:r>
      <w:r w:rsidRPr="00891DA8">
        <w:rPr>
          <w:rFonts w:ascii="微软雅黑" w:eastAsia="微软雅黑" w:hAnsi="微软雅黑" w:cs="宋体"/>
          <w:kern w:val="0"/>
          <w:sz w:val="24"/>
          <w:szCs w:val="24"/>
        </w:rPr>
        <w:t> </w:t>
      </w:r>
      <w:r w:rsidRPr="00891DA8">
        <w:rPr>
          <w:rFonts w:ascii="MS Gothic" w:eastAsia="MS Gothic" w:hAnsi="MS Gothic" w:cs="MS Gothic" w:hint="eastAsia"/>
          <w:kern w:val="0"/>
          <w:sz w:val="24"/>
          <w:szCs w:val="24"/>
        </w:rPr>
        <w:t> </w:t>
      </w:r>
      <w:r w:rsidRPr="00891DA8">
        <w:rPr>
          <w:rFonts w:ascii="微软雅黑" w:eastAsia="微软雅黑" w:hAnsi="微软雅黑" w:cs="宋体"/>
          <w:kern w:val="0"/>
          <w:sz w:val="24"/>
          <w:szCs w:val="24"/>
        </w:rPr>
        <w:lastRenderedPageBreak/>
        <w:t>&lt; 0.001)）。在队列1中，单用来曲</w:t>
      </w:r>
      <w:proofErr w:type="gramStart"/>
      <w:r w:rsidRPr="00891DA8">
        <w:rPr>
          <w:rFonts w:ascii="微软雅黑" w:eastAsia="微软雅黑" w:hAnsi="微软雅黑" w:cs="宋体"/>
          <w:kern w:val="0"/>
          <w:sz w:val="24"/>
          <w:szCs w:val="24"/>
        </w:rPr>
        <w:t>唑</w:t>
      </w:r>
      <w:proofErr w:type="gramEnd"/>
      <w:r w:rsidRPr="00891DA8">
        <w:rPr>
          <w:rFonts w:ascii="微软雅黑" w:eastAsia="微软雅黑" w:hAnsi="微软雅黑" w:cs="宋体"/>
          <w:kern w:val="0"/>
          <w:sz w:val="24"/>
          <w:szCs w:val="24"/>
        </w:rPr>
        <w:t>组的中位PFS为5.7个月，联合用药组为26.1个月；在队列2中，这两个数值分别为11.1个月和18.1个月。两组患者的风险比（HR）分别为0.299（组1）和0.508（组2），证实无论是否存在细胞周期蛋白D1扩增或p16表达，均能获益，提示本研究中获益的最重要决定因素是ER阳性。帕博西尼的加入使可测量病灶患者的客观缓解率从39%提高到54%，意向治疗人群的临床获益率（完全缓解、部分缓解和病情稳定&gt;6个月）从58%提高到81%。不良事件</w:t>
      </w:r>
      <w:proofErr w:type="gramStart"/>
      <w:r w:rsidRPr="00891DA8">
        <w:rPr>
          <w:rFonts w:ascii="微软雅黑" w:eastAsia="微软雅黑" w:hAnsi="微软雅黑" w:cs="宋体"/>
          <w:kern w:val="0"/>
          <w:sz w:val="24"/>
          <w:szCs w:val="24"/>
        </w:rPr>
        <w:t>谱基本</w:t>
      </w:r>
      <w:proofErr w:type="gramEnd"/>
      <w:r w:rsidRPr="00891DA8">
        <w:rPr>
          <w:rFonts w:ascii="微软雅黑" w:eastAsia="微软雅黑" w:hAnsi="微软雅黑" w:cs="宋体"/>
          <w:kern w:val="0"/>
          <w:sz w:val="24"/>
          <w:szCs w:val="24"/>
        </w:rPr>
        <w:t>保持不变。3级和4级中性粒细胞减少症的发生率分别为48%和6%，但未发生中性粒细胞减少症并发症（即发热性中性粒细胞减少症或严重感染）。中性粒细胞</w:t>
      </w:r>
      <w:proofErr w:type="gramStart"/>
      <w:r w:rsidRPr="00891DA8">
        <w:rPr>
          <w:rFonts w:ascii="微软雅黑" w:eastAsia="微软雅黑" w:hAnsi="微软雅黑" w:cs="宋体"/>
          <w:kern w:val="0"/>
          <w:sz w:val="24"/>
          <w:szCs w:val="24"/>
        </w:rPr>
        <w:t>减少症未出现</w:t>
      </w:r>
      <w:proofErr w:type="gramEnd"/>
      <w:r w:rsidRPr="00891DA8">
        <w:rPr>
          <w:rFonts w:ascii="微软雅黑" w:eastAsia="微软雅黑" w:hAnsi="微软雅黑" w:cs="宋体"/>
          <w:kern w:val="0"/>
          <w:sz w:val="24"/>
          <w:szCs w:val="24"/>
        </w:rPr>
        <w:t>严重并发症的原因可能是 CDK4/6 抑制剂对骨髓具有细胞抑制作用，与</w:t>
      </w:r>
      <w:r w:rsidRPr="00891DA8">
        <w:rPr>
          <w:rFonts w:ascii="MS Gothic" w:eastAsia="MS Gothic" w:hAnsi="MS Gothic" w:cs="MS Gothic" w:hint="eastAsia"/>
          <w:kern w:val="0"/>
          <w:sz w:val="24"/>
          <w:szCs w:val="24"/>
        </w:rPr>
        <w:t>​​</w:t>
      </w:r>
      <w:r w:rsidRPr="00891DA8">
        <w:rPr>
          <w:rFonts w:ascii="微软雅黑" w:eastAsia="微软雅黑" w:hAnsi="微软雅黑" w:cs="宋体"/>
          <w:kern w:val="0"/>
          <w:sz w:val="24"/>
          <w:szCs w:val="24"/>
        </w:rPr>
        <w:t>细胞毒性化疗相比，这种作用导致的中性粒细胞减少持续时间相对较短。此外，帕博西尼治疗未引起黏膜炎或皮肤毒性，而黏膜炎和皮肤毒性通常被认为是化疗相关性中性粒细胞减少症的感染源。临床前研究表明，CDK4/6 抑制剂可诱导造血干/祖细胞产生可逆的药理学静止状态，这与细胞毒性作用显著不同，并可能解释上述临床观察结果[ </w:t>
      </w:r>
      <w:hyperlink r:id="rId93" w:anchor="CR75" w:history="1">
        <w:r w:rsidRPr="00891DA8">
          <w:rPr>
            <w:rFonts w:ascii="微软雅黑" w:eastAsia="微软雅黑" w:hAnsi="微软雅黑" w:cs="宋体"/>
            <w:kern w:val="0"/>
            <w:sz w:val="24"/>
            <w:szCs w:val="24"/>
            <w:u w:val="single"/>
          </w:rPr>
          <w:t>75</w:t>
        </w:r>
      </w:hyperlink>
      <w:r w:rsidRPr="00891DA8">
        <w:rPr>
          <w:rFonts w:ascii="微软雅黑" w:eastAsia="微软雅黑" w:hAnsi="微软雅黑" w:cs="宋体"/>
          <w:kern w:val="0"/>
          <w:sz w:val="24"/>
          <w:szCs w:val="24"/>
        </w:rPr>
        <w:t> ]。</w:t>
      </w:r>
    </w:p>
    <w:p w14:paraId="317D5D56"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这项研究的安全性和有效性数据共同促成了帕博西尼获得美国FDA授予的“突破性疗法”认定，并于近期获得加速批准用于治疗晚期ER+乳腺癌[ </w:t>
      </w:r>
      <w:hyperlink r:id="rId94" w:anchor="CR76" w:history="1">
        <w:r w:rsidRPr="00891DA8">
          <w:rPr>
            <w:rFonts w:ascii="微软雅黑" w:eastAsia="微软雅黑" w:hAnsi="微软雅黑" w:cs="宋体"/>
            <w:kern w:val="0"/>
            <w:sz w:val="24"/>
            <w:szCs w:val="24"/>
            <w:u w:val="single"/>
          </w:rPr>
          <w:t>76</w:t>
        </w:r>
      </w:hyperlink>
      <w:r w:rsidRPr="00891DA8">
        <w:rPr>
          <w:rFonts w:ascii="微软雅黑" w:eastAsia="微软雅黑" w:hAnsi="微软雅黑" w:cs="宋体"/>
          <w:kern w:val="0"/>
          <w:sz w:val="24"/>
          <w:szCs w:val="24"/>
        </w:rPr>
        <w:t> , </w:t>
      </w:r>
      <w:hyperlink r:id="rId95" w:anchor="CR77" w:history="1">
        <w:r w:rsidRPr="00891DA8">
          <w:rPr>
            <w:rFonts w:ascii="微软雅黑" w:eastAsia="微软雅黑" w:hAnsi="微软雅黑" w:cs="宋体"/>
            <w:kern w:val="0"/>
            <w:sz w:val="24"/>
            <w:szCs w:val="24"/>
            <w:u w:val="single"/>
          </w:rPr>
          <w:t>77</w:t>
        </w:r>
      </w:hyperlink>
      <w:r w:rsidRPr="00891DA8">
        <w:rPr>
          <w:rFonts w:ascii="微软雅黑" w:eastAsia="微软雅黑" w:hAnsi="微软雅黑" w:cs="宋体"/>
          <w:kern w:val="0"/>
          <w:sz w:val="24"/>
          <w:szCs w:val="24"/>
        </w:rPr>
        <w:t> ]。一项旨在验证II期研究结果的III期双盲安慰剂对照研究已完成入组，结果待公布（PALOMA-2/TRIO-22，</w:t>
      </w:r>
      <w:r w:rsidRPr="00891DA8">
        <w:rPr>
          <w:rFonts w:ascii="微软雅黑" w:eastAsia="微软雅黑" w:hAnsi="微软雅黑" w:cs="宋体"/>
          <w:kern w:val="0"/>
          <w:sz w:val="24"/>
          <w:szCs w:val="24"/>
        </w:rPr>
        <w:fldChar w:fldCharType="begin"/>
      </w:r>
      <w:r w:rsidRPr="00891DA8">
        <w:rPr>
          <w:rFonts w:ascii="微软雅黑" w:eastAsia="微软雅黑" w:hAnsi="微软雅黑" w:cs="宋体"/>
          <w:kern w:val="0"/>
          <w:sz w:val="24"/>
          <w:szCs w:val="24"/>
        </w:rPr>
        <w:instrText xml:space="preserve"> HYPERLINK "https://clinicaltrials.gov/ct2/show/NCT01740427" \t "_blank" </w:instrText>
      </w:r>
      <w:r w:rsidRPr="00891DA8">
        <w:rPr>
          <w:rFonts w:ascii="微软雅黑" w:eastAsia="微软雅黑" w:hAnsi="微软雅黑" w:cs="宋体"/>
          <w:kern w:val="0"/>
          <w:sz w:val="24"/>
          <w:szCs w:val="24"/>
        </w:rPr>
        <w:fldChar w:fldCharType="separate"/>
      </w:r>
      <w:r w:rsidRPr="00891DA8">
        <w:rPr>
          <w:rFonts w:ascii="微软雅黑" w:eastAsia="微软雅黑" w:hAnsi="微软雅黑" w:cs="宋体"/>
          <w:kern w:val="0"/>
          <w:sz w:val="24"/>
          <w:szCs w:val="24"/>
          <w:u w:val="single"/>
        </w:rPr>
        <w:t>NCT01740427</w:t>
      </w:r>
      <w:r w:rsidRPr="00891DA8">
        <w:rPr>
          <w:rFonts w:ascii="微软雅黑" w:eastAsia="微软雅黑" w:hAnsi="微软雅黑" w:cs="宋体"/>
          <w:kern w:val="0"/>
          <w:sz w:val="24"/>
          <w:szCs w:val="24"/>
        </w:rPr>
        <w:fldChar w:fldCharType="end"/>
      </w:r>
      <w:r w:rsidRPr="00891DA8">
        <w:rPr>
          <w:rFonts w:ascii="微软雅黑" w:eastAsia="微软雅黑" w:hAnsi="微软雅黑" w:cs="宋体"/>
          <w:kern w:val="0"/>
          <w:sz w:val="24"/>
          <w:szCs w:val="24"/>
        </w:rPr>
        <w:t>）。PALOMA-3研究的结果近期已发表，再次证实帕博西尼联合内分泌治疗可显著改善无进展生存期（PFS）[ </w:t>
      </w:r>
      <w:hyperlink r:id="rId96" w:anchor="CR78" w:history="1">
        <w:r w:rsidRPr="00891DA8">
          <w:rPr>
            <w:rFonts w:ascii="微软雅黑" w:eastAsia="微软雅黑" w:hAnsi="微软雅黑" w:cs="宋体"/>
            <w:kern w:val="0"/>
            <w:sz w:val="24"/>
            <w:szCs w:val="24"/>
            <w:u w:val="single"/>
          </w:rPr>
          <w:t>78</w:t>
        </w:r>
      </w:hyperlink>
      <w:r w:rsidRPr="00891DA8">
        <w:rPr>
          <w:rFonts w:ascii="微软雅黑" w:eastAsia="微软雅黑" w:hAnsi="微软雅黑" w:cs="宋体"/>
          <w:kern w:val="0"/>
          <w:sz w:val="24"/>
          <w:szCs w:val="24"/>
        </w:rPr>
        <w:t> ]。在这项大型III期安慰剂对照双盲研究中，帕博西尼联合</w:t>
      </w:r>
      <w:proofErr w:type="gramStart"/>
      <w:r w:rsidRPr="00891DA8">
        <w:rPr>
          <w:rFonts w:ascii="微软雅黑" w:eastAsia="微软雅黑" w:hAnsi="微软雅黑" w:cs="宋体"/>
          <w:kern w:val="0"/>
          <w:sz w:val="24"/>
          <w:szCs w:val="24"/>
        </w:rPr>
        <w:t>氟维司群与氟维司群</w:t>
      </w:r>
      <w:proofErr w:type="gramEnd"/>
      <w:r w:rsidRPr="00891DA8">
        <w:rPr>
          <w:rFonts w:ascii="微软雅黑" w:eastAsia="微软雅黑" w:hAnsi="微软雅黑" w:cs="宋体"/>
          <w:kern w:val="0"/>
          <w:sz w:val="24"/>
          <w:szCs w:val="24"/>
        </w:rPr>
        <w:t>联合安慰剂进行了比较。研究结果显示，联合用药组的PFS延长了一倍。治疗组的</w:t>
      </w:r>
      <w:r w:rsidRPr="00891DA8">
        <w:rPr>
          <w:rFonts w:ascii="微软雅黑" w:eastAsia="微软雅黑" w:hAnsi="微软雅黑" w:cs="宋体"/>
          <w:kern w:val="0"/>
          <w:sz w:val="24"/>
          <w:szCs w:val="24"/>
        </w:rPr>
        <w:lastRenderedPageBreak/>
        <w:t xml:space="preserve">无进展生存期（PFS）为 9.2 </w:t>
      </w:r>
      <w:proofErr w:type="gramStart"/>
      <w:r w:rsidRPr="00891DA8">
        <w:rPr>
          <w:rFonts w:ascii="微软雅黑" w:eastAsia="微软雅黑" w:hAnsi="微软雅黑" w:cs="宋体"/>
          <w:kern w:val="0"/>
          <w:sz w:val="24"/>
          <w:szCs w:val="24"/>
        </w:rPr>
        <w:t>个</w:t>
      </w:r>
      <w:proofErr w:type="gramEnd"/>
      <w:r w:rsidRPr="00891DA8">
        <w:rPr>
          <w:rFonts w:ascii="微软雅黑" w:eastAsia="微软雅黑" w:hAnsi="微软雅黑" w:cs="宋体"/>
          <w:kern w:val="0"/>
          <w:sz w:val="24"/>
          <w:szCs w:val="24"/>
        </w:rPr>
        <w:t xml:space="preserve">月（95% CI 7.5–无法估计），而对照组为 3.8 </w:t>
      </w:r>
      <w:proofErr w:type="gramStart"/>
      <w:r w:rsidRPr="00891DA8">
        <w:rPr>
          <w:rFonts w:ascii="微软雅黑" w:eastAsia="微软雅黑" w:hAnsi="微软雅黑" w:cs="宋体"/>
          <w:kern w:val="0"/>
          <w:sz w:val="24"/>
          <w:szCs w:val="24"/>
        </w:rPr>
        <w:t>个</w:t>
      </w:r>
      <w:proofErr w:type="gramEnd"/>
      <w:r w:rsidRPr="00891DA8">
        <w:rPr>
          <w:rFonts w:ascii="微软雅黑" w:eastAsia="微软雅黑" w:hAnsi="微软雅黑" w:cs="宋体"/>
          <w:kern w:val="0"/>
          <w:sz w:val="24"/>
          <w:szCs w:val="24"/>
        </w:rPr>
        <w:t xml:space="preserve">月（95% CI 3.5–5.5）。与 PALOMA-1/TRIO18 和 PALOMA-2/TRIO22 研究不同，本研究纳入的患者群体内分泌治疗耐药性更高，要求晚期疾病患者在接受芳香化酶抑制剂治疗期间或治疗结束后 1 </w:t>
      </w:r>
      <w:proofErr w:type="gramStart"/>
      <w:r w:rsidRPr="00891DA8">
        <w:rPr>
          <w:rFonts w:ascii="微软雅黑" w:eastAsia="微软雅黑" w:hAnsi="微软雅黑" w:cs="宋体"/>
          <w:kern w:val="0"/>
          <w:sz w:val="24"/>
          <w:szCs w:val="24"/>
        </w:rPr>
        <w:t>个</w:t>
      </w:r>
      <w:proofErr w:type="gramEnd"/>
      <w:r w:rsidRPr="00891DA8">
        <w:rPr>
          <w:rFonts w:ascii="微软雅黑" w:eastAsia="微软雅黑" w:hAnsi="微软雅黑" w:cs="宋体"/>
          <w:kern w:val="0"/>
          <w:sz w:val="24"/>
          <w:szCs w:val="24"/>
        </w:rPr>
        <w:t xml:space="preserve">月内出现疾病进展，或辅助治疗患者在完成或停止治疗后 12 </w:t>
      </w:r>
      <w:proofErr w:type="gramStart"/>
      <w:r w:rsidRPr="00891DA8">
        <w:rPr>
          <w:rFonts w:ascii="微软雅黑" w:eastAsia="微软雅黑" w:hAnsi="微软雅黑" w:cs="宋体"/>
          <w:kern w:val="0"/>
          <w:sz w:val="24"/>
          <w:szCs w:val="24"/>
        </w:rPr>
        <w:t>个</w:t>
      </w:r>
      <w:proofErr w:type="gramEnd"/>
      <w:r w:rsidRPr="00891DA8">
        <w:rPr>
          <w:rFonts w:ascii="微软雅黑" w:eastAsia="微软雅黑" w:hAnsi="微软雅黑" w:cs="宋体"/>
          <w:kern w:val="0"/>
          <w:sz w:val="24"/>
          <w:szCs w:val="24"/>
        </w:rPr>
        <w:t>月内出现疾病进展。本研究还纳入了接受戈舍瑞林治疗的绝经前女性。安全性特征与 PALOMA-1/TRIO18 研究的结果非常相似。</w:t>
      </w:r>
    </w:p>
    <w:p w14:paraId="31727F7D"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帕博西尼单药治疗的疗效也在一项针对晚期、既往接受过大量治疗的乳腺癌患者的单臂II期临床试验中进行了评估[ </w:t>
      </w:r>
      <w:hyperlink r:id="rId97" w:anchor="CR79" w:history="1">
        <w:r w:rsidRPr="00891DA8">
          <w:rPr>
            <w:rFonts w:ascii="微软雅黑" w:eastAsia="微软雅黑" w:hAnsi="微软雅黑" w:cs="宋体"/>
            <w:kern w:val="0"/>
            <w:sz w:val="24"/>
            <w:szCs w:val="24"/>
            <w:u w:val="single"/>
          </w:rPr>
          <w:t>79</w:t>
        </w:r>
      </w:hyperlink>
      <w:r w:rsidRPr="00891DA8">
        <w:rPr>
          <w:rFonts w:ascii="微软雅黑" w:eastAsia="微软雅黑" w:hAnsi="微软雅黑" w:cs="宋体"/>
          <w:kern w:val="0"/>
          <w:sz w:val="24"/>
          <w:szCs w:val="24"/>
        </w:rPr>
        <w:t> ]。尽管该试验纳入的患者队列既往接受过大量治疗（中</w:t>
      </w:r>
      <w:proofErr w:type="gramStart"/>
      <w:r w:rsidRPr="00891DA8">
        <w:rPr>
          <w:rFonts w:ascii="微软雅黑" w:eastAsia="微软雅黑" w:hAnsi="微软雅黑" w:cs="宋体"/>
          <w:kern w:val="0"/>
          <w:sz w:val="24"/>
          <w:szCs w:val="24"/>
        </w:rPr>
        <w:t>位治疗</w:t>
      </w:r>
      <w:proofErr w:type="gramEnd"/>
      <w:r w:rsidRPr="00891DA8">
        <w:rPr>
          <w:rFonts w:ascii="微软雅黑" w:eastAsia="微软雅黑" w:hAnsi="微软雅黑" w:cs="宋体"/>
          <w:kern w:val="0"/>
          <w:sz w:val="24"/>
          <w:szCs w:val="24"/>
        </w:rPr>
        <w:t>线数为3），但</w:t>
      </w:r>
      <w:proofErr w:type="gramStart"/>
      <w:r w:rsidRPr="00891DA8">
        <w:rPr>
          <w:rFonts w:ascii="微软雅黑" w:eastAsia="微软雅黑" w:hAnsi="微软雅黑" w:cs="宋体"/>
          <w:kern w:val="0"/>
          <w:sz w:val="24"/>
          <w:szCs w:val="24"/>
        </w:rPr>
        <w:t>仍观察</w:t>
      </w:r>
      <w:proofErr w:type="gramEnd"/>
      <w:r w:rsidRPr="00891DA8">
        <w:rPr>
          <w:rFonts w:ascii="微软雅黑" w:eastAsia="微软雅黑" w:hAnsi="微软雅黑" w:cs="宋体"/>
          <w:kern w:val="0"/>
          <w:sz w:val="24"/>
          <w:szCs w:val="24"/>
        </w:rPr>
        <w:t>到了单药疗效（临床获益率为21%，疾病稳定超过6个月的患者比例为14%）。重要的是，正如临床前数据所示，这种疗效在ER阳性或HER2扩增的乳腺癌患者中均有观察到。骨髓抑制仍然是最常见的不良事件，46%的患者需要减少剂量，25%的患者需要暂停用药。</w:t>
      </w:r>
    </w:p>
    <w:p w14:paraId="1091B0AF"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 xml:space="preserve">除帕博西尼外，目前还有两种小分子 CDK4/6 抑制剂处于早期临床开发阶段。基于帕博西尼的经验，这两种药物的开发项目均已加快，直接从 I </w:t>
      </w:r>
      <w:proofErr w:type="gramStart"/>
      <w:r w:rsidRPr="00891DA8">
        <w:rPr>
          <w:rFonts w:ascii="微软雅黑" w:eastAsia="微软雅黑" w:hAnsi="微软雅黑" w:cs="宋体"/>
          <w:kern w:val="0"/>
          <w:sz w:val="24"/>
          <w:szCs w:val="24"/>
        </w:rPr>
        <w:t>期推进</w:t>
      </w:r>
      <w:proofErr w:type="gramEnd"/>
      <w:r w:rsidRPr="00891DA8">
        <w:rPr>
          <w:rFonts w:ascii="微软雅黑" w:eastAsia="微软雅黑" w:hAnsi="微软雅黑" w:cs="宋体"/>
          <w:kern w:val="0"/>
          <w:sz w:val="24"/>
          <w:szCs w:val="24"/>
        </w:rPr>
        <w:t>至 III 期。表 </w:t>
      </w:r>
      <w:hyperlink r:id="rId98" w:anchor="Tab1" w:history="1">
        <w:r w:rsidRPr="00891DA8">
          <w:rPr>
            <w:rFonts w:ascii="微软雅黑" w:eastAsia="微软雅黑" w:hAnsi="微软雅黑" w:cs="宋体"/>
            <w:kern w:val="0"/>
            <w:sz w:val="24"/>
            <w:szCs w:val="24"/>
            <w:u w:val="single"/>
          </w:rPr>
          <w:t>1</w:t>
        </w:r>
      </w:hyperlink>
      <w:r w:rsidRPr="00891DA8">
        <w:rPr>
          <w:rFonts w:ascii="微软雅黑" w:eastAsia="微软雅黑" w:hAnsi="微软雅黑" w:cs="宋体"/>
          <w:kern w:val="0"/>
          <w:sz w:val="24"/>
          <w:szCs w:val="24"/>
        </w:rPr>
        <w:t>和表</w:t>
      </w:r>
      <w:r w:rsidRPr="00891DA8">
        <w:rPr>
          <w:rFonts w:ascii="微软雅黑" w:eastAsia="微软雅黑" w:hAnsi="微软雅黑" w:cs="宋体"/>
          <w:kern w:val="0"/>
          <w:sz w:val="24"/>
          <w:szCs w:val="24"/>
        </w:rPr>
        <w:fldChar w:fldCharType="begin"/>
      </w:r>
      <w:r w:rsidRPr="00891DA8">
        <w:rPr>
          <w:rFonts w:ascii="微软雅黑" w:eastAsia="微软雅黑" w:hAnsi="微软雅黑" w:cs="宋体"/>
          <w:kern w:val="0"/>
          <w:sz w:val="24"/>
          <w:szCs w:val="24"/>
        </w:rPr>
        <w:instrText xml:space="preserve"> HYPERLINK "https://pmc.ncbi.nlm.nih.gov/articles/PMC4746893/" \l "Tab2" </w:instrText>
      </w:r>
      <w:r w:rsidRPr="00891DA8">
        <w:rPr>
          <w:rFonts w:ascii="微软雅黑" w:eastAsia="微软雅黑" w:hAnsi="微软雅黑" w:cs="宋体"/>
          <w:kern w:val="0"/>
          <w:sz w:val="24"/>
          <w:szCs w:val="24"/>
        </w:rPr>
        <w:fldChar w:fldCharType="separate"/>
      </w:r>
      <w:r w:rsidRPr="00891DA8">
        <w:rPr>
          <w:rFonts w:ascii="微软雅黑" w:eastAsia="微软雅黑" w:hAnsi="微软雅黑" w:cs="宋体"/>
          <w:kern w:val="0"/>
          <w:sz w:val="24"/>
          <w:szCs w:val="24"/>
          <w:u w:val="single"/>
        </w:rPr>
        <w:t>2</w:t>
      </w:r>
      <w:r w:rsidRPr="00891DA8">
        <w:rPr>
          <w:rFonts w:ascii="微软雅黑" w:eastAsia="微软雅黑" w:hAnsi="微软雅黑" w:cs="宋体"/>
          <w:kern w:val="0"/>
          <w:sz w:val="24"/>
          <w:szCs w:val="24"/>
        </w:rPr>
        <w:fldChar w:fldCharType="end"/>
      </w:r>
      <w:r w:rsidRPr="00891DA8">
        <w:rPr>
          <w:rFonts w:ascii="微软雅黑" w:eastAsia="微软雅黑" w:hAnsi="微软雅黑" w:cs="宋体"/>
          <w:kern w:val="0"/>
          <w:sz w:val="24"/>
          <w:szCs w:val="24"/>
        </w:rPr>
        <w:t>分别重点介绍了这两种药物及其在乳腺癌领域正在进行的临床试验。LY2835219（阿贝西利；礼来公司）在晚期恶性肿瘤患者中的 I 期临床试验数据已在 2013 年美国临床肿瘤学会 (ASCO) 年会上公布 [ </w:t>
      </w:r>
      <w:hyperlink r:id="rId99" w:anchor="CR80" w:history="1">
        <w:r w:rsidRPr="00891DA8">
          <w:rPr>
            <w:rFonts w:ascii="微软雅黑" w:eastAsia="微软雅黑" w:hAnsi="微软雅黑" w:cs="宋体"/>
            <w:kern w:val="0"/>
            <w:sz w:val="24"/>
            <w:szCs w:val="24"/>
            <w:u w:val="single"/>
          </w:rPr>
          <w:t>80</w:t>
        </w:r>
      </w:hyperlink>
      <w:r w:rsidRPr="00891DA8">
        <w:rPr>
          <w:rFonts w:ascii="微软雅黑" w:eastAsia="微软雅黑" w:hAnsi="微软雅黑" w:cs="宋体"/>
          <w:kern w:val="0"/>
          <w:sz w:val="24"/>
          <w:szCs w:val="24"/>
        </w:rPr>
        <w:t> ]。在这项剂量递增研究中，研究人员确定扩展阶段的剂量为每日两次，每次 150 mg 和 200 mg，持续给药，无需像帕博西尼那样设置给药间歇期。研究结论认为，该药物具有可接受的安全性，并观察到了早期临床疗效信号。此外，研究人员还公</w:t>
      </w:r>
      <w:r w:rsidRPr="00891DA8">
        <w:rPr>
          <w:rFonts w:ascii="微软雅黑" w:eastAsia="微软雅黑" w:hAnsi="微软雅黑" w:cs="宋体"/>
          <w:kern w:val="0"/>
          <w:sz w:val="24"/>
          <w:szCs w:val="24"/>
        </w:rPr>
        <w:lastRenderedPageBreak/>
        <w:t>布了晚期乳腺癌患者扩展队列的数据 [ </w:t>
      </w:r>
      <w:hyperlink r:id="rId100" w:anchor="CR81" w:history="1">
        <w:r w:rsidRPr="00891DA8">
          <w:rPr>
            <w:rFonts w:ascii="微软雅黑" w:eastAsia="微软雅黑" w:hAnsi="微软雅黑" w:cs="宋体"/>
            <w:kern w:val="0"/>
            <w:sz w:val="24"/>
            <w:szCs w:val="24"/>
            <w:u w:val="single"/>
          </w:rPr>
          <w:t>81</w:t>
        </w:r>
      </w:hyperlink>
      <w:r w:rsidRPr="00891DA8">
        <w:rPr>
          <w:rFonts w:ascii="微软雅黑" w:eastAsia="微软雅黑" w:hAnsi="微软雅黑" w:cs="宋体"/>
          <w:kern w:val="0"/>
          <w:sz w:val="24"/>
          <w:szCs w:val="24"/>
        </w:rPr>
        <w:t> , </w:t>
      </w:r>
      <w:hyperlink r:id="rId101" w:anchor="CR82" w:history="1">
        <w:r w:rsidRPr="00891DA8">
          <w:rPr>
            <w:rFonts w:ascii="微软雅黑" w:eastAsia="微软雅黑" w:hAnsi="微软雅黑" w:cs="宋体"/>
            <w:kern w:val="0"/>
            <w:sz w:val="24"/>
            <w:szCs w:val="24"/>
            <w:u w:val="single"/>
          </w:rPr>
          <w:t>82</w:t>
        </w:r>
      </w:hyperlink>
      <w:r w:rsidRPr="00891DA8">
        <w:rPr>
          <w:rFonts w:ascii="微软雅黑" w:eastAsia="微软雅黑" w:hAnsi="微软雅黑" w:cs="宋体"/>
          <w:kern w:val="0"/>
          <w:sz w:val="24"/>
          <w:szCs w:val="24"/>
        </w:rPr>
        <w:t> ]。本研究纳入两组患者，一组接受阿贝西利单药治疗，另一组接受阿贝西利联合</w:t>
      </w:r>
      <w:proofErr w:type="gramStart"/>
      <w:r w:rsidRPr="00891DA8">
        <w:rPr>
          <w:rFonts w:ascii="微软雅黑" w:eastAsia="微软雅黑" w:hAnsi="微软雅黑" w:cs="宋体"/>
          <w:kern w:val="0"/>
          <w:sz w:val="24"/>
          <w:szCs w:val="24"/>
        </w:rPr>
        <w:t>氟维司群治疗</w:t>
      </w:r>
      <w:proofErr w:type="gramEnd"/>
      <w:r w:rsidRPr="00891DA8">
        <w:rPr>
          <w:rFonts w:ascii="微软雅黑" w:eastAsia="微软雅黑" w:hAnsi="微软雅黑" w:cs="宋体"/>
          <w:kern w:val="0"/>
          <w:sz w:val="24"/>
          <w:szCs w:val="24"/>
        </w:rPr>
        <w:t>ER阳性乳腺癌。单药治疗组共纳入47例乳腺癌患者，涵盖所有亚型，但仅在ER阳性乳腺癌患者中观察到显著的单药疗效。该组患者既往治疗的中位数为7线（2-16线）。36例ER阳性乳腺癌患者的总缓解率为33%，疾病控制率为80.6%。ER</w:t>
      </w:r>
      <w:proofErr w:type="gramStart"/>
      <w:r w:rsidRPr="00891DA8">
        <w:rPr>
          <w:rFonts w:ascii="微软雅黑" w:eastAsia="微软雅黑" w:hAnsi="微软雅黑" w:cs="宋体"/>
          <w:kern w:val="0"/>
          <w:sz w:val="24"/>
          <w:szCs w:val="24"/>
        </w:rPr>
        <w:t>阳性组</w:t>
      </w:r>
      <w:proofErr w:type="gramEnd"/>
      <w:r w:rsidRPr="00891DA8">
        <w:rPr>
          <w:rFonts w:ascii="微软雅黑" w:eastAsia="微软雅黑" w:hAnsi="微软雅黑" w:cs="宋体"/>
          <w:kern w:val="0"/>
          <w:sz w:val="24"/>
          <w:szCs w:val="24"/>
        </w:rPr>
        <w:t>的中位无进展生存期（PFS）为8.8个月，而ER阴性组为1.1个月。联合治疗组纳入18例ER阳性转移性乳腺癌患者，采用阿贝西利联合</w:t>
      </w:r>
      <w:proofErr w:type="gramStart"/>
      <w:r w:rsidRPr="00891DA8">
        <w:rPr>
          <w:rFonts w:ascii="微软雅黑" w:eastAsia="微软雅黑" w:hAnsi="微软雅黑" w:cs="宋体"/>
          <w:kern w:val="0"/>
          <w:sz w:val="24"/>
          <w:szCs w:val="24"/>
        </w:rPr>
        <w:t>氟维司群</w:t>
      </w:r>
      <w:proofErr w:type="gramEnd"/>
      <w:r w:rsidRPr="00891DA8">
        <w:rPr>
          <w:rFonts w:ascii="微软雅黑" w:eastAsia="微软雅黑" w:hAnsi="微软雅黑" w:cs="宋体"/>
          <w:kern w:val="0"/>
          <w:sz w:val="24"/>
          <w:szCs w:val="24"/>
        </w:rPr>
        <w:t xml:space="preserve">治疗。患者每日口服阿贝西利200 mg，每12小时一次，持续给药。患者每月还接受 500 mg </w:t>
      </w:r>
      <w:proofErr w:type="gramStart"/>
      <w:r w:rsidRPr="00891DA8">
        <w:rPr>
          <w:rFonts w:ascii="微软雅黑" w:eastAsia="微软雅黑" w:hAnsi="微软雅黑" w:cs="宋体"/>
          <w:kern w:val="0"/>
          <w:sz w:val="24"/>
          <w:szCs w:val="24"/>
        </w:rPr>
        <w:t>氟维司群</w:t>
      </w:r>
      <w:proofErr w:type="gramEnd"/>
      <w:r w:rsidRPr="00891DA8">
        <w:rPr>
          <w:rFonts w:ascii="微软雅黑" w:eastAsia="微软雅黑" w:hAnsi="微软雅黑" w:cs="宋体"/>
          <w:kern w:val="0"/>
          <w:sz w:val="24"/>
          <w:szCs w:val="24"/>
        </w:rPr>
        <w:t>肌注。该队列患者既往接受的治疗方案中位数为四线。后一组患者的疾病控制率为 72.2%。与帕博西尼类似，所有级别中性粒细胞减少症的发生率为 40%，3/4 级病例的发生率为 21%。所有级别腹泻的发生率为 66%，其中 3 级病例仅占 6%，无 4 级病例。这种副作用似乎表明帕博西尼和阿贝西利之间存在一些差异。在 III 期乳腺癌研究中，剂量为每日 150 mg，每 12 小时一次，持续给药。</w:t>
      </w:r>
    </w:p>
    <w:p w14:paraId="4033EDFC" w14:textId="77777777" w:rsidR="00891DA8" w:rsidRPr="00891DA8" w:rsidRDefault="00891DA8" w:rsidP="00891DA8">
      <w:pPr>
        <w:widowControl/>
        <w:spacing w:line="450" w:lineRule="atLeast"/>
        <w:outlineLvl w:val="3"/>
        <w:rPr>
          <w:rFonts w:ascii="微软雅黑" w:eastAsia="微软雅黑" w:hAnsi="微软雅黑" w:cs="宋体"/>
          <w:kern w:val="0"/>
          <w:sz w:val="30"/>
          <w:szCs w:val="30"/>
        </w:rPr>
      </w:pPr>
      <w:r w:rsidRPr="00891DA8">
        <w:rPr>
          <w:rFonts w:ascii="微软雅黑" w:eastAsia="微软雅黑" w:hAnsi="微软雅黑" w:cs="宋体"/>
          <w:kern w:val="0"/>
          <w:sz w:val="30"/>
          <w:szCs w:val="30"/>
        </w:rPr>
        <w:t>表2。</w:t>
      </w:r>
    </w:p>
    <w:p w14:paraId="233DB02B"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目前已注册的针对乳腺癌的 CDK4/6 抑制剂临床研究</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564"/>
        <w:gridCol w:w="546"/>
        <w:gridCol w:w="929"/>
        <w:gridCol w:w="1027"/>
        <w:gridCol w:w="612"/>
        <w:gridCol w:w="536"/>
        <w:gridCol w:w="3082"/>
      </w:tblGrid>
      <w:tr w:rsidR="00E217B9" w:rsidRPr="00E217B9" w14:paraId="29103F49" w14:textId="77777777" w:rsidTr="00891DA8">
        <w:trPr>
          <w:tblHeader/>
          <w:tblCellSpacing w:w="15" w:type="dxa"/>
        </w:trPr>
        <w:tc>
          <w:tcPr>
            <w:tcW w:w="903" w:type="pct"/>
            <w:tcMar>
              <w:top w:w="56" w:type="dxa"/>
              <w:left w:w="56" w:type="dxa"/>
              <w:bottom w:w="56" w:type="dxa"/>
              <w:right w:w="56" w:type="dxa"/>
            </w:tcMar>
            <w:hideMark/>
          </w:tcPr>
          <w:p w14:paraId="109C3060" w14:textId="77777777" w:rsidR="00891DA8" w:rsidRPr="00891DA8" w:rsidRDefault="00891DA8" w:rsidP="00891DA8">
            <w:pPr>
              <w:widowControl/>
              <w:rPr>
                <w:rFonts w:ascii="微软雅黑" w:eastAsia="微软雅黑" w:hAnsi="微软雅黑" w:cs="宋体"/>
                <w:b/>
                <w:bCs/>
                <w:kern w:val="0"/>
                <w:sz w:val="24"/>
                <w:szCs w:val="24"/>
              </w:rPr>
            </w:pPr>
            <w:r w:rsidRPr="00891DA8">
              <w:rPr>
                <w:rFonts w:ascii="微软雅黑" w:eastAsia="微软雅黑" w:hAnsi="微软雅黑" w:cs="宋体"/>
                <w:b/>
                <w:bCs/>
                <w:kern w:val="0"/>
                <w:sz w:val="24"/>
                <w:szCs w:val="24"/>
              </w:rPr>
              <w:t>化合物</w:t>
            </w:r>
          </w:p>
        </w:tc>
        <w:tc>
          <w:tcPr>
            <w:tcW w:w="352" w:type="pct"/>
            <w:tcMar>
              <w:top w:w="56" w:type="dxa"/>
              <w:left w:w="56" w:type="dxa"/>
              <w:bottom w:w="56" w:type="dxa"/>
              <w:right w:w="56" w:type="dxa"/>
            </w:tcMar>
            <w:hideMark/>
          </w:tcPr>
          <w:p w14:paraId="52F882AE" w14:textId="77777777" w:rsidR="00891DA8" w:rsidRPr="00891DA8" w:rsidRDefault="00891DA8" w:rsidP="00891DA8">
            <w:pPr>
              <w:widowControl/>
              <w:rPr>
                <w:rFonts w:ascii="微软雅黑" w:eastAsia="微软雅黑" w:hAnsi="微软雅黑" w:cs="宋体"/>
                <w:b/>
                <w:bCs/>
                <w:kern w:val="0"/>
                <w:sz w:val="24"/>
                <w:szCs w:val="24"/>
              </w:rPr>
            </w:pPr>
            <w:r w:rsidRPr="00891DA8">
              <w:rPr>
                <w:rFonts w:ascii="微软雅黑" w:eastAsia="微软雅黑" w:hAnsi="微软雅黑" w:cs="宋体"/>
                <w:b/>
                <w:bCs/>
                <w:kern w:val="0"/>
                <w:sz w:val="24"/>
                <w:szCs w:val="24"/>
              </w:rPr>
              <w:t>环境</w:t>
            </w:r>
          </w:p>
        </w:tc>
        <w:tc>
          <w:tcPr>
            <w:tcW w:w="556" w:type="pct"/>
            <w:tcMar>
              <w:top w:w="56" w:type="dxa"/>
              <w:left w:w="56" w:type="dxa"/>
              <w:bottom w:w="56" w:type="dxa"/>
              <w:right w:w="56" w:type="dxa"/>
            </w:tcMar>
            <w:hideMark/>
          </w:tcPr>
          <w:p w14:paraId="22BA22B5" w14:textId="77777777" w:rsidR="00891DA8" w:rsidRPr="00891DA8" w:rsidRDefault="00891DA8" w:rsidP="00891DA8">
            <w:pPr>
              <w:widowControl/>
              <w:rPr>
                <w:rFonts w:ascii="微软雅黑" w:eastAsia="微软雅黑" w:hAnsi="微软雅黑" w:cs="宋体"/>
                <w:b/>
                <w:bCs/>
                <w:kern w:val="0"/>
                <w:sz w:val="24"/>
                <w:szCs w:val="24"/>
              </w:rPr>
            </w:pPr>
            <w:r w:rsidRPr="00891DA8">
              <w:rPr>
                <w:rFonts w:ascii="微软雅黑" w:eastAsia="微软雅黑" w:hAnsi="微软雅黑" w:cs="宋体"/>
                <w:b/>
                <w:bCs/>
                <w:kern w:val="0"/>
                <w:sz w:val="24"/>
                <w:szCs w:val="24"/>
              </w:rPr>
              <w:t>试验主要终点</w:t>
            </w:r>
          </w:p>
        </w:tc>
        <w:tc>
          <w:tcPr>
            <w:tcW w:w="805" w:type="pct"/>
            <w:tcMar>
              <w:top w:w="56" w:type="dxa"/>
              <w:left w:w="56" w:type="dxa"/>
              <w:bottom w:w="56" w:type="dxa"/>
              <w:right w:w="56" w:type="dxa"/>
            </w:tcMar>
            <w:hideMark/>
          </w:tcPr>
          <w:p w14:paraId="59D236E5" w14:textId="77777777" w:rsidR="00891DA8" w:rsidRPr="00891DA8" w:rsidRDefault="00891DA8" w:rsidP="00891DA8">
            <w:pPr>
              <w:widowControl/>
              <w:rPr>
                <w:rFonts w:ascii="微软雅黑" w:eastAsia="微软雅黑" w:hAnsi="微软雅黑" w:cs="宋体"/>
                <w:b/>
                <w:bCs/>
                <w:kern w:val="0"/>
                <w:sz w:val="24"/>
                <w:szCs w:val="24"/>
              </w:rPr>
            </w:pPr>
            <w:r w:rsidRPr="00891DA8">
              <w:rPr>
                <w:rFonts w:ascii="微软雅黑" w:eastAsia="微软雅黑" w:hAnsi="微软雅黑" w:cs="宋体"/>
                <w:b/>
                <w:bCs/>
                <w:kern w:val="0"/>
                <w:sz w:val="24"/>
                <w:szCs w:val="24"/>
              </w:rPr>
              <w:t>组合</w:t>
            </w:r>
          </w:p>
        </w:tc>
        <w:tc>
          <w:tcPr>
            <w:tcW w:w="306" w:type="pct"/>
            <w:tcMar>
              <w:top w:w="56" w:type="dxa"/>
              <w:left w:w="56" w:type="dxa"/>
              <w:bottom w:w="56" w:type="dxa"/>
              <w:right w:w="56" w:type="dxa"/>
            </w:tcMar>
            <w:hideMark/>
          </w:tcPr>
          <w:p w14:paraId="7090D16B" w14:textId="77777777" w:rsidR="00891DA8" w:rsidRPr="00891DA8" w:rsidRDefault="00891DA8" w:rsidP="00891DA8">
            <w:pPr>
              <w:widowControl/>
              <w:rPr>
                <w:rFonts w:ascii="微软雅黑" w:eastAsia="微软雅黑" w:hAnsi="微软雅黑" w:cs="宋体"/>
                <w:b/>
                <w:bCs/>
                <w:kern w:val="0"/>
                <w:sz w:val="24"/>
                <w:szCs w:val="24"/>
              </w:rPr>
            </w:pPr>
            <w:r w:rsidRPr="00891DA8">
              <w:rPr>
                <w:rFonts w:ascii="微软雅黑" w:eastAsia="微软雅黑" w:hAnsi="微软雅黑" w:cs="宋体"/>
                <w:b/>
                <w:bCs/>
                <w:kern w:val="0"/>
                <w:sz w:val="24"/>
                <w:szCs w:val="24"/>
              </w:rPr>
              <w:t>N</w:t>
            </w:r>
          </w:p>
        </w:tc>
        <w:tc>
          <w:tcPr>
            <w:tcW w:w="270" w:type="pct"/>
            <w:tcMar>
              <w:top w:w="56" w:type="dxa"/>
              <w:left w:w="56" w:type="dxa"/>
              <w:bottom w:w="56" w:type="dxa"/>
              <w:right w:w="56" w:type="dxa"/>
            </w:tcMar>
            <w:hideMark/>
          </w:tcPr>
          <w:p w14:paraId="7EBEFB17" w14:textId="77777777" w:rsidR="00891DA8" w:rsidRPr="00891DA8" w:rsidRDefault="00891DA8" w:rsidP="00891DA8">
            <w:pPr>
              <w:widowControl/>
              <w:rPr>
                <w:rFonts w:ascii="微软雅黑" w:eastAsia="微软雅黑" w:hAnsi="微软雅黑" w:cs="宋体"/>
                <w:b/>
                <w:bCs/>
                <w:kern w:val="0"/>
                <w:sz w:val="24"/>
                <w:szCs w:val="24"/>
              </w:rPr>
            </w:pPr>
            <w:r w:rsidRPr="00891DA8">
              <w:rPr>
                <w:rFonts w:ascii="微软雅黑" w:eastAsia="微软雅黑" w:hAnsi="微软雅黑" w:cs="宋体"/>
                <w:b/>
                <w:bCs/>
                <w:kern w:val="0"/>
                <w:sz w:val="24"/>
                <w:szCs w:val="24"/>
              </w:rPr>
              <w:t>阶段</w:t>
            </w:r>
          </w:p>
        </w:tc>
        <w:tc>
          <w:tcPr>
            <w:tcW w:w="1698" w:type="pct"/>
            <w:tcMar>
              <w:top w:w="56" w:type="dxa"/>
              <w:left w:w="56" w:type="dxa"/>
              <w:bottom w:w="56" w:type="dxa"/>
              <w:right w:w="56" w:type="dxa"/>
            </w:tcMar>
            <w:hideMark/>
          </w:tcPr>
          <w:p w14:paraId="7FB3A00E" w14:textId="77777777" w:rsidR="00891DA8" w:rsidRPr="00891DA8" w:rsidRDefault="00891DA8" w:rsidP="00891DA8">
            <w:pPr>
              <w:widowControl/>
              <w:rPr>
                <w:rFonts w:ascii="微软雅黑" w:eastAsia="微软雅黑" w:hAnsi="微软雅黑" w:cs="宋体"/>
                <w:b/>
                <w:bCs/>
                <w:kern w:val="0"/>
                <w:sz w:val="24"/>
                <w:szCs w:val="24"/>
              </w:rPr>
            </w:pPr>
            <w:r w:rsidRPr="00891DA8">
              <w:rPr>
                <w:rFonts w:ascii="微软雅黑" w:eastAsia="微软雅黑" w:hAnsi="微软雅黑" w:cs="宋体"/>
                <w:b/>
                <w:bCs/>
                <w:kern w:val="0"/>
                <w:sz w:val="24"/>
                <w:szCs w:val="24"/>
              </w:rPr>
              <w:t>ClinicalTrials.gov 标识符</w:t>
            </w:r>
          </w:p>
        </w:tc>
      </w:tr>
      <w:tr w:rsidR="00E217B9" w:rsidRPr="00E217B9" w14:paraId="53851B1E" w14:textId="77777777" w:rsidTr="00891DA8">
        <w:trPr>
          <w:tblCellSpacing w:w="15" w:type="dxa"/>
        </w:trPr>
        <w:tc>
          <w:tcPr>
            <w:tcW w:w="903" w:type="pct"/>
            <w:tcMar>
              <w:top w:w="56" w:type="dxa"/>
              <w:left w:w="56" w:type="dxa"/>
              <w:bottom w:w="56" w:type="dxa"/>
              <w:right w:w="56" w:type="dxa"/>
            </w:tcMar>
            <w:hideMark/>
          </w:tcPr>
          <w:p w14:paraId="6F589348"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帕博西尼（PD-0332991）</w:t>
            </w:r>
          </w:p>
        </w:tc>
        <w:tc>
          <w:tcPr>
            <w:tcW w:w="352" w:type="pct"/>
            <w:tcMar>
              <w:top w:w="56" w:type="dxa"/>
              <w:left w:w="56" w:type="dxa"/>
              <w:bottom w:w="56" w:type="dxa"/>
              <w:right w:w="56" w:type="dxa"/>
            </w:tcMar>
            <w:hideMark/>
          </w:tcPr>
          <w:p w14:paraId="3417211A"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一线转</w:t>
            </w:r>
            <w:r w:rsidRPr="00891DA8">
              <w:rPr>
                <w:rFonts w:ascii="微软雅黑" w:eastAsia="微软雅黑" w:hAnsi="微软雅黑" w:cs="宋体"/>
                <w:kern w:val="0"/>
                <w:sz w:val="24"/>
                <w:szCs w:val="24"/>
              </w:rPr>
              <w:lastRenderedPageBreak/>
              <w:t>移性治疗</w:t>
            </w:r>
          </w:p>
        </w:tc>
        <w:tc>
          <w:tcPr>
            <w:tcW w:w="556" w:type="pct"/>
            <w:tcMar>
              <w:top w:w="56" w:type="dxa"/>
              <w:left w:w="56" w:type="dxa"/>
              <w:bottom w:w="56" w:type="dxa"/>
              <w:right w:w="56" w:type="dxa"/>
            </w:tcMar>
            <w:hideMark/>
          </w:tcPr>
          <w:p w14:paraId="765DA44E"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lastRenderedPageBreak/>
              <w:t>PFS</w:t>
            </w:r>
          </w:p>
        </w:tc>
        <w:tc>
          <w:tcPr>
            <w:tcW w:w="805" w:type="pct"/>
            <w:tcMar>
              <w:top w:w="56" w:type="dxa"/>
              <w:left w:w="56" w:type="dxa"/>
              <w:bottom w:w="56" w:type="dxa"/>
              <w:right w:w="56" w:type="dxa"/>
            </w:tcMar>
            <w:hideMark/>
          </w:tcPr>
          <w:p w14:paraId="01753794"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来曲</w:t>
            </w:r>
            <w:proofErr w:type="gramStart"/>
            <w:r w:rsidRPr="00891DA8">
              <w:rPr>
                <w:rFonts w:ascii="微软雅黑" w:eastAsia="微软雅黑" w:hAnsi="微软雅黑" w:cs="宋体"/>
                <w:kern w:val="0"/>
                <w:sz w:val="24"/>
                <w:szCs w:val="24"/>
              </w:rPr>
              <w:t>唑</w:t>
            </w:r>
            <w:proofErr w:type="gramEnd"/>
          </w:p>
        </w:tc>
        <w:tc>
          <w:tcPr>
            <w:tcW w:w="306" w:type="pct"/>
            <w:tcMar>
              <w:top w:w="56" w:type="dxa"/>
              <w:left w:w="56" w:type="dxa"/>
              <w:bottom w:w="56" w:type="dxa"/>
              <w:right w:w="56" w:type="dxa"/>
            </w:tcMar>
            <w:hideMark/>
          </w:tcPr>
          <w:p w14:paraId="08E1EA55"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450</w:t>
            </w:r>
          </w:p>
        </w:tc>
        <w:tc>
          <w:tcPr>
            <w:tcW w:w="270" w:type="pct"/>
            <w:tcMar>
              <w:top w:w="56" w:type="dxa"/>
              <w:left w:w="56" w:type="dxa"/>
              <w:bottom w:w="56" w:type="dxa"/>
              <w:right w:w="56" w:type="dxa"/>
            </w:tcMar>
            <w:hideMark/>
          </w:tcPr>
          <w:p w14:paraId="5DE76FE2"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三</w:t>
            </w:r>
          </w:p>
        </w:tc>
        <w:tc>
          <w:tcPr>
            <w:tcW w:w="1698" w:type="pct"/>
            <w:tcMar>
              <w:top w:w="56" w:type="dxa"/>
              <w:left w:w="56" w:type="dxa"/>
              <w:bottom w:w="56" w:type="dxa"/>
              <w:right w:w="56" w:type="dxa"/>
            </w:tcMar>
            <w:hideMark/>
          </w:tcPr>
          <w:p w14:paraId="12BC0E81" w14:textId="77777777" w:rsidR="00891DA8" w:rsidRPr="00891DA8" w:rsidRDefault="00891DA8" w:rsidP="00891DA8">
            <w:pPr>
              <w:widowControl/>
              <w:rPr>
                <w:rFonts w:ascii="微软雅黑" w:eastAsia="微软雅黑" w:hAnsi="微软雅黑" w:cs="宋体"/>
                <w:kern w:val="0"/>
                <w:sz w:val="24"/>
                <w:szCs w:val="24"/>
              </w:rPr>
            </w:pPr>
            <w:hyperlink r:id="rId102" w:tgtFrame="_blank" w:history="1">
              <w:r w:rsidRPr="00891DA8">
                <w:rPr>
                  <w:rFonts w:ascii="微软雅黑" w:eastAsia="微软雅黑" w:hAnsi="微软雅黑" w:cs="宋体"/>
                  <w:kern w:val="0"/>
                  <w:sz w:val="24"/>
                  <w:szCs w:val="24"/>
                  <w:u w:val="single"/>
                </w:rPr>
                <w:t>NCT01740427</w:t>
              </w:r>
            </w:hyperlink>
            <w:r w:rsidRPr="00891DA8">
              <w:rPr>
                <w:rFonts w:ascii="微软雅黑" w:eastAsia="微软雅黑" w:hAnsi="微软雅黑" w:cs="宋体"/>
                <w:kern w:val="0"/>
                <w:sz w:val="24"/>
                <w:szCs w:val="24"/>
              </w:rPr>
              <w:t> (PALOMA-2)</w:t>
            </w:r>
          </w:p>
        </w:tc>
      </w:tr>
      <w:tr w:rsidR="00E217B9" w:rsidRPr="00E217B9" w14:paraId="3FE8E70F" w14:textId="77777777" w:rsidTr="00891DA8">
        <w:trPr>
          <w:tblCellSpacing w:w="15" w:type="dxa"/>
        </w:trPr>
        <w:tc>
          <w:tcPr>
            <w:tcW w:w="903" w:type="pct"/>
            <w:tcMar>
              <w:top w:w="56" w:type="dxa"/>
              <w:left w:w="56" w:type="dxa"/>
              <w:bottom w:w="56" w:type="dxa"/>
              <w:right w:w="56" w:type="dxa"/>
            </w:tcMar>
            <w:hideMark/>
          </w:tcPr>
          <w:p w14:paraId="346E26D7" w14:textId="77777777" w:rsidR="00891DA8" w:rsidRPr="00891DA8" w:rsidRDefault="00891DA8" w:rsidP="00891DA8">
            <w:pPr>
              <w:widowControl/>
              <w:rPr>
                <w:rFonts w:ascii="微软雅黑" w:eastAsia="微软雅黑" w:hAnsi="微软雅黑" w:cs="宋体"/>
                <w:kern w:val="0"/>
                <w:sz w:val="24"/>
                <w:szCs w:val="24"/>
              </w:rPr>
            </w:pPr>
          </w:p>
        </w:tc>
        <w:tc>
          <w:tcPr>
            <w:tcW w:w="352" w:type="pct"/>
            <w:tcMar>
              <w:top w:w="56" w:type="dxa"/>
              <w:left w:w="56" w:type="dxa"/>
              <w:bottom w:w="56" w:type="dxa"/>
              <w:right w:w="56" w:type="dxa"/>
            </w:tcMar>
            <w:hideMark/>
          </w:tcPr>
          <w:p w14:paraId="00D4D0E3"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转移性</w:t>
            </w:r>
          </w:p>
        </w:tc>
        <w:tc>
          <w:tcPr>
            <w:tcW w:w="556" w:type="pct"/>
            <w:tcMar>
              <w:top w:w="56" w:type="dxa"/>
              <w:left w:w="56" w:type="dxa"/>
              <w:bottom w:w="56" w:type="dxa"/>
              <w:right w:w="56" w:type="dxa"/>
            </w:tcMar>
            <w:hideMark/>
          </w:tcPr>
          <w:p w14:paraId="7F5E5294"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PFS</w:t>
            </w:r>
          </w:p>
        </w:tc>
        <w:tc>
          <w:tcPr>
            <w:tcW w:w="805" w:type="pct"/>
            <w:tcMar>
              <w:top w:w="56" w:type="dxa"/>
              <w:left w:w="56" w:type="dxa"/>
              <w:bottom w:w="56" w:type="dxa"/>
              <w:right w:w="56" w:type="dxa"/>
            </w:tcMar>
            <w:hideMark/>
          </w:tcPr>
          <w:p w14:paraId="6092E7DC" w14:textId="77777777" w:rsidR="00891DA8" w:rsidRPr="00891DA8" w:rsidRDefault="00891DA8" w:rsidP="00891DA8">
            <w:pPr>
              <w:widowControl/>
              <w:rPr>
                <w:rFonts w:ascii="微软雅黑" w:eastAsia="微软雅黑" w:hAnsi="微软雅黑" w:cs="宋体"/>
                <w:kern w:val="0"/>
                <w:sz w:val="24"/>
                <w:szCs w:val="24"/>
              </w:rPr>
            </w:pPr>
            <w:proofErr w:type="gramStart"/>
            <w:r w:rsidRPr="00891DA8">
              <w:rPr>
                <w:rFonts w:ascii="微软雅黑" w:eastAsia="微软雅黑" w:hAnsi="微软雅黑" w:cs="宋体"/>
                <w:kern w:val="0"/>
                <w:sz w:val="24"/>
                <w:szCs w:val="24"/>
              </w:rPr>
              <w:t>氟维司群</w:t>
            </w:r>
            <w:proofErr w:type="gramEnd"/>
          </w:p>
        </w:tc>
        <w:tc>
          <w:tcPr>
            <w:tcW w:w="306" w:type="pct"/>
            <w:tcMar>
              <w:top w:w="56" w:type="dxa"/>
              <w:left w:w="56" w:type="dxa"/>
              <w:bottom w:w="56" w:type="dxa"/>
              <w:right w:w="56" w:type="dxa"/>
            </w:tcMar>
            <w:hideMark/>
          </w:tcPr>
          <w:p w14:paraId="7ED5BE1B"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417</w:t>
            </w:r>
          </w:p>
        </w:tc>
        <w:tc>
          <w:tcPr>
            <w:tcW w:w="270" w:type="pct"/>
            <w:tcMar>
              <w:top w:w="56" w:type="dxa"/>
              <w:left w:w="56" w:type="dxa"/>
              <w:bottom w:w="56" w:type="dxa"/>
              <w:right w:w="56" w:type="dxa"/>
            </w:tcMar>
            <w:hideMark/>
          </w:tcPr>
          <w:p w14:paraId="68EB142F"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三</w:t>
            </w:r>
          </w:p>
        </w:tc>
        <w:tc>
          <w:tcPr>
            <w:tcW w:w="1698" w:type="pct"/>
            <w:tcMar>
              <w:top w:w="56" w:type="dxa"/>
              <w:left w:w="56" w:type="dxa"/>
              <w:bottom w:w="56" w:type="dxa"/>
              <w:right w:w="56" w:type="dxa"/>
            </w:tcMar>
            <w:hideMark/>
          </w:tcPr>
          <w:p w14:paraId="1D722B03" w14:textId="77777777" w:rsidR="00891DA8" w:rsidRPr="00891DA8" w:rsidRDefault="00891DA8" w:rsidP="00891DA8">
            <w:pPr>
              <w:widowControl/>
              <w:rPr>
                <w:rFonts w:ascii="微软雅黑" w:eastAsia="微软雅黑" w:hAnsi="微软雅黑" w:cs="宋体"/>
                <w:kern w:val="0"/>
                <w:sz w:val="24"/>
                <w:szCs w:val="24"/>
              </w:rPr>
            </w:pPr>
            <w:hyperlink r:id="rId103" w:tgtFrame="_blank" w:history="1">
              <w:r w:rsidRPr="00891DA8">
                <w:rPr>
                  <w:rFonts w:ascii="微软雅黑" w:eastAsia="微软雅黑" w:hAnsi="微软雅黑" w:cs="宋体"/>
                  <w:kern w:val="0"/>
                  <w:sz w:val="24"/>
                  <w:szCs w:val="24"/>
                  <w:u w:val="single"/>
                </w:rPr>
                <w:t>NCT01942135</w:t>
              </w:r>
            </w:hyperlink>
            <w:r w:rsidRPr="00891DA8">
              <w:rPr>
                <w:rFonts w:ascii="微软雅黑" w:eastAsia="微软雅黑" w:hAnsi="微软雅黑" w:cs="宋体"/>
                <w:kern w:val="0"/>
                <w:sz w:val="24"/>
                <w:szCs w:val="24"/>
              </w:rPr>
              <w:t> (PALOMA-3)</w:t>
            </w:r>
          </w:p>
        </w:tc>
      </w:tr>
      <w:tr w:rsidR="00E217B9" w:rsidRPr="00E217B9" w14:paraId="4EBF9C3F" w14:textId="77777777" w:rsidTr="00891DA8">
        <w:trPr>
          <w:tblCellSpacing w:w="15" w:type="dxa"/>
        </w:trPr>
        <w:tc>
          <w:tcPr>
            <w:tcW w:w="903" w:type="pct"/>
            <w:tcMar>
              <w:top w:w="56" w:type="dxa"/>
              <w:left w:w="56" w:type="dxa"/>
              <w:bottom w:w="56" w:type="dxa"/>
              <w:right w:w="56" w:type="dxa"/>
            </w:tcMar>
            <w:hideMark/>
          </w:tcPr>
          <w:p w14:paraId="64F50389" w14:textId="77777777" w:rsidR="00891DA8" w:rsidRPr="00891DA8" w:rsidRDefault="00891DA8" w:rsidP="00891DA8">
            <w:pPr>
              <w:widowControl/>
              <w:rPr>
                <w:rFonts w:ascii="微软雅黑" w:eastAsia="微软雅黑" w:hAnsi="微软雅黑" w:cs="宋体"/>
                <w:kern w:val="0"/>
                <w:sz w:val="24"/>
                <w:szCs w:val="24"/>
              </w:rPr>
            </w:pPr>
          </w:p>
        </w:tc>
        <w:tc>
          <w:tcPr>
            <w:tcW w:w="352" w:type="pct"/>
            <w:tcMar>
              <w:top w:w="56" w:type="dxa"/>
              <w:left w:w="56" w:type="dxa"/>
              <w:bottom w:w="56" w:type="dxa"/>
              <w:right w:w="56" w:type="dxa"/>
            </w:tcMar>
            <w:hideMark/>
          </w:tcPr>
          <w:p w14:paraId="26959DDA"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高风险辅助治疗</w:t>
            </w:r>
          </w:p>
        </w:tc>
        <w:tc>
          <w:tcPr>
            <w:tcW w:w="556" w:type="pct"/>
            <w:tcMar>
              <w:top w:w="56" w:type="dxa"/>
              <w:left w:w="56" w:type="dxa"/>
              <w:bottom w:w="56" w:type="dxa"/>
              <w:right w:w="56" w:type="dxa"/>
            </w:tcMar>
            <w:hideMark/>
          </w:tcPr>
          <w:p w14:paraId="54D56A11" w14:textId="77777777" w:rsidR="00891DA8" w:rsidRPr="00891DA8" w:rsidRDefault="00891DA8" w:rsidP="00891DA8">
            <w:pPr>
              <w:widowControl/>
              <w:rPr>
                <w:rFonts w:ascii="微软雅黑" w:eastAsia="微软雅黑" w:hAnsi="微软雅黑" w:cs="宋体"/>
                <w:kern w:val="0"/>
                <w:sz w:val="24"/>
                <w:szCs w:val="24"/>
              </w:rPr>
            </w:pPr>
            <w:proofErr w:type="spellStart"/>
            <w:r w:rsidRPr="00891DA8">
              <w:rPr>
                <w:rFonts w:ascii="微软雅黑" w:eastAsia="微软雅黑" w:hAnsi="微软雅黑" w:cs="宋体"/>
                <w:kern w:val="0"/>
                <w:sz w:val="24"/>
                <w:szCs w:val="24"/>
              </w:rPr>
              <w:t>iDFI</w:t>
            </w:r>
            <w:proofErr w:type="spellEnd"/>
          </w:p>
        </w:tc>
        <w:tc>
          <w:tcPr>
            <w:tcW w:w="805" w:type="pct"/>
            <w:tcMar>
              <w:top w:w="56" w:type="dxa"/>
              <w:left w:w="56" w:type="dxa"/>
              <w:bottom w:w="56" w:type="dxa"/>
              <w:right w:w="56" w:type="dxa"/>
            </w:tcMar>
            <w:hideMark/>
          </w:tcPr>
          <w:p w14:paraId="1A52FF05"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抗激素</w:t>
            </w:r>
          </w:p>
        </w:tc>
        <w:tc>
          <w:tcPr>
            <w:tcW w:w="306" w:type="pct"/>
            <w:tcMar>
              <w:top w:w="56" w:type="dxa"/>
              <w:left w:w="56" w:type="dxa"/>
              <w:bottom w:w="56" w:type="dxa"/>
              <w:right w:w="56" w:type="dxa"/>
            </w:tcMar>
            <w:hideMark/>
          </w:tcPr>
          <w:p w14:paraId="7D0E2B6B"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800</w:t>
            </w:r>
          </w:p>
        </w:tc>
        <w:tc>
          <w:tcPr>
            <w:tcW w:w="270" w:type="pct"/>
            <w:tcMar>
              <w:top w:w="56" w:type="dxa"/>
              <w:left w:w="56" w:type="dxa"/>
              <w:bottom w:w="56" w:type="dxa"/>
              <w:right w:w="56" w:type="dxa"/>
            </w:tcMar>
            <w:hideMark/>
          </w:tcPr>
          <w:p w14:paraId="23A4A873"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三</w:t>
            </w:r>
          </w:p>
        </w:tc>
        <w:tc>
          <w:tcPr>
            <w:tcW w:w="1698" w:type="pct"/>
            <w:tcMar>
              <w:top w:w="56" w:type="dxa"/>
              <w:left w:w="56" w:type="dxa"/>
              <w:bottom w:w="56" w:type="dxa"/>
              <w:right w:w="56" w:type="dxa"/>
            </w:tcMar>
            <w:hideMark/>
          </w:tcPr>
          <w:p w14:paraId="7EDF11ED" w14:textId="77777777" w:rsidR="00891DA8" w:rsidRPr="00891DA8" w:rsidRDefault="00891DA8" w:rsidP="00891DA8">
            <w:pPr>
              <w:widowControl/>
              <w:rPr>
                <w:rFonts w:ascii="微软雅黑" w:eastAsia="微软雅黑" w:hAnsi="微软雅黑" w:cs="宋体"/>
                <w:kern w:val="0"/>
                <w:sz w:val="24"/>
                <w:szCs w:val="24"/>
              </w:rPr>
            </w:pPr>
            <w:hyperlink r:id="rId104" w:tgtFrame="_blank" w:history="1">
              <w:r w:rsidRPr="00891DA8">
                <w:rPr>
                  <w:rFonts w:ascii="微软雅黑" w:eastAsia="微软雅黑" w:hAnsi="微软雅黑" w:cs="宋体"/>
                  <w:kern w:val="0"/>
                  <w:sz w:val="24"/>
                  <w:szCs w:val="24"/>
                  <w:u w:val="single"/>
                </w:rPr>
                <w:t>NCT01864746</w:t>
              </w:r>
            </w:hyperlink>
            <w:r w:rsidRPr="00891DA8">
              <w:rPr>
                <w:rFonts w:ascii="微软雅黑" w:eastAsia="微软雅黑" w:hAnsi="微软雅黑" w:cs="宋体"/>
                <w:kern w:val="0"/>
                <w:sz w:val="24"/>
                <w:szCs w:val="24"/>
              </w:rPr>
              <w:t> (PENELOPE-B)</w:t>
            </w:r>
          </w:p>
        </w:tc>
      </w:tr>
      <w:tr w:rsidR="00E217B9" w:rsidRPr="00E217B9" w14:paraId="07BF3207" w14:textId="77777777" w:rsidTr="00891DA8">
        <w:trPr>
          <w:tblCellSpacing w:w="15" w:type="dxa"/>
        </w:trPr>
        <w:tc>
          <w:tcPr>
            <w:tcW w:w="903" w:type="pct"/>
            <w:tcMar>
              <w:top w:w="56" w:type="dxa"/>
              <w:left w:w="56" w:type="dxa"/>
              <w:bottom w:w="56" w:type="dxa"/>
              <w:right w:w="56" w:type="dxa"/>
            </w:tcMar>
            <w:hideMark/>
          </w:tcPr>
          <w:p w14:paraId="27D9ED23" w14:textId="77777777" w:rsidR="00891DA8" w:rsidRPr="00891DA8" w:rsidRDefault="00891DA8" w:rsidP="00891DA8">
            <w:pPr>
              <w:widowControl/>
              <w:rPr>
                <w:rFonts w:ascii="微软雅黑" w:eastAsia="微软雅黑" w:hAnsi="微软雅黑" w:cs="宋体"/>
                <w:kern w:val="0"/>
                <w:sz w:val="24"/>
                <w:szCs w:val="24"/>
              </w:rPr>
            </w:pPr>
          </w:p>
        </w:tc>
        <w:tc>
          <w:tcPr>
            <w:tcW w:w="352" w:type="pct"/>
            <w:tcMar>
              <w:top w:w="56" w:type="dxa"/>
              <w:left w:w="56" w:type="dxa"/>
              <w:bottom w:w="56" w:type="dxa"/>
              <w:right w:w="56" w:type="dxa"/>
            </w:tcMar>
            <w:hideMark/>
          </w:tcPr>
          <w:p w14:paraId="6E6B1FCB"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新辅助</w:t>
            </w:r>
            <w:r w:rsidRPr="00891DA8">
              <w:rPr>
                <w:rFonts w:ascii="微软雅黑" w:eastAsia="微软雅黑" w:hAnsi="微软雅黑" w:cs="宋体"/>
                <w:kern w:val="0"/>
                <w:sz w:val="24"/>
                <w:szCs w:val="24"/>
              </w:rPr>
              <w:lastRenderedPageBreak/>
              <w:t>疗法</w:t>
            </w:r>
          </w:p>
        </w:tc>
        <w:tc>
          <w:tcPr>
            <w:tcW w:w="556" w:type="pct"/>
            <w:tcMar>
              <w:top w:w="56" w:type="dxa"/>
              <w:left w:w="56" w:type="dxa"/>
              <w:bottom w:w="56" w:type="dxa"/>
              <w:right w:w="56" w:type="dxa"/>
            </w:tcMar>
            <w:hideMark/>
          </w:tcPr>
          <w:p w14:paraId="1EAFA4E9" w14:textId="77777777" w:rsidR="00891DA8" w:rsidRPr="00891DA8" w:rsidRDefault="00891DA8" w:rsidP="00891DA8">
            <w:pPr>
              <w:widowControl/>
              <w:rPr>
                <w:rFonts w:ascii="微软雅黑" w:eastAsia="微软雅黑" w:hAnsi="微软雅黑" w:cs="宋体"/>
                <w:kern w:val="0"/>
                <w:sz w:val="24"/>
                <w:szCs w:val="24"/>
              </w:rPr>
            </w:pPr>
            <w:proofErr w:type="spellStart"/>
            <w:r w:rsidRPr="00891DA8">
              <w:rPr>
                <w:rFonts w:ascii="微软雅黑" w:eastAsia="微软雅黑" w:hAnsi="微软雅黑" w:cs="宋体"/>
                <w:kern w:val="0"/>
                <w:sz w:val="24"/>
                <w:szCs w:val="24"/>
              </w:rPr>
              <w:lastRenderedPageBreak/>
              <w:t>pCR</w:t>
            </w:r>
            <w:proofErr w:type="spellEnd"/>
          </w:p>
        </w:tc>
        <w:tc>
          <w:tcPr>
            <w:tcW w:w="805" w:type="pct"/>
            <w:tcMar>
              <w:top w:w="56" w:type="dxa"/>
              <w:left w:w="56" w:type="dxa"/>
              <w:bottom w:w="56" w:type="dxa"/>
              <w:right w:w="56" w:type="dxa"/>
            </w:tcMar>
            <w:hideMark/>
          </w:tcPr>
          <w:p w14:paraId="5356435A"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阿那曲</w:t>
            </w:r>
            <w:proofErr w:type="gramStart"/>
            <w:r w:rsidRPr="00891DA8">
              <w:rPr>
                <w:rFonts w:ascii="微软雅黑" w:eastAsia="微软雅黑" w:hAnsi="微软雅黑" w:cs="宋体"/>
                <w:kern w:val="0"/>
                <w:sz w:val="24"/>
                <w:szCs w:val="24"/>
              </w:rPr>
              <w:t>唑</w:t>
            </w:r>
            <w:proofErr w:type="gramEnd"/>
          </w:p>
        </w:tc>
        <w:tc>
          <w:tcPr>
            <w:tcW w:w="306" w:type="pct"/>
            <w:tcMar>
              <w:top w:w="56" w:type="dxa"/>
              <w:left w:w="56" w:type="dxa"/>
              <w:bottom w:w="56" w:type="dxa"/>
              <w:right w:w="56" w:type="dxa"/>
            </w:tcMar>
            <w:hideMark/>
          </w:tcPr>
          <w:p w14:paraId="2F62C331"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29</w:t>
            </w:r>
          </w:p>
        </w:tc>
        <w:tc>
          <w:tcPr>
            <w:tcW w:w="270" w:type="pct"/>
            <w:tcMar>
              <w:top w:w="56" w:type="dxa"/>
              <w:left w:w="56" w:type="dxa"/>
              <w:bottom w:w="56" w:type="dxa"/>
              <w:right w:w="56" w:type="dxa"/>
            </w:tcMar>
            <w:hideMark/>
          </w:tcPr>
          <w:p w14:paraId="7AE6ED10"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二</w:t>
            </w:r>
          </w:p>
        </w:tc>
        <w:tc>
          <w:tcPr>
            <w:tcW w:w="1698" w:type="pct"/>
            <w:tcMar>
              <w:top w:w="56" w:type="dxa"/>
              <w:left w:w="56" w:type="dxa"/>
              <w:bottom w:w="56" w:type="dxa"/>
              <w:right w:w="56" w:type="dxa"/>
            </w:tcMar>
            <w:hideMark/>
          </w:tcPr>
          <w:p w14:paraId="08217CD8" w14:textId="77777777" w:rsidR="00891DA8" w:rsidRPr="00891DA8" w:rsidRDefault="00891DA8" w:rsidP="00891DA8">
            <w:pPr>
              <w:widowControl/>
              <w:rPr>
                <w:rFonts w:ascii="微软雅黑" w:eastAsia="微软雅黑" w:hAnsi="微软雅黑" w:cs="宋体"/>
                <w:kern w:val="0"/>
                <w:sz w:val="24"/>
                <w:szCs w:val="24"/>
              </w:rPr>
            </w:pPr>
            <w:hyperlink r:id="rId105" w:tgtFrame="_blank" w:history="1">
              <w:r w:rsidRPr="00891DA8">
                <w:rPr>
                  <w:rFonts w:ascii="微软雅黑" w:eastAsia="微软雅黑" w:hAnsi="微软雅黑" w:cs="宋体"/>
                  <w:kern w:val="0"/>
                  <w:sz w:val="24"/>
                  <w:szCs w:val="24"/>
                  <w:u w:val="single"/>
                </w:rPr>
                <w:t>NCT01723774</w:t>
              </w:r>
            </w:hyperlink>
          </w:p>
        </w:tc>
      </w:tr>
      <w:tr w:rsidR="00E217B9" w:rsidRPr="00E217B9" w14:paraId="46E63B62" w14:textId="77777777" w:rsidTr="00891DA8">
        <w:trPr>
          <w:tblCellSpacing w:w="15" w:type="dxa"/>
        </w:trPr>
        <w:tc>
          <w:tcPr>
            <w:tcW w:w="903" w:type="pct"/>
            <w:tcMar>
              <w:top w:w="56" w:type="dxa"/>
              <w:left w:w="56" w:type="dxa"/>
              <w:bottom w:w="56" w:type="dxa"/>
              <w:right w:w="56" w:type="dxa"/>
            </w:tcMar>
            <w:hideMark/>
          </w:tcPr>
          <w:p w14:paraId="4CEEFBED" w14:textId="77777777" w:rsidR="00891DA8" w:rsidRPr="00891DA8" w:rsidRDefault="00891DA8" w:rsidP="00891DA8">
            <w:pPr>
              <w:widowControl/>
              <w:rPr>
                <w:rFonts w:ascii="微软雅黑" w:eastAsia="微软雅黑" w:hAnsi="微软雅黑" w:cs="宋体"/>
                <w:kern w:val="0"/>
                <w:sz w:val="24"/>
                <w:szCs w:val="24"/>
              </w:rPr>
            </w:pPr>
          </w:p>
        </w:tc>
        <w:tc>
          <w:tcPr>
            <w:tcW w:w="352" w:type="pct"/>
            <w:tcMar>
              <w:top w:w="56" w:type="dxa"/>
              <w:left w:w="56" w:type="dxa"/>
              <w:bottom w:w="56" w:type="dxa"/>
              <w:right w:w="56" w:type="dxa"/>
            </w:tcMar>
            <w:hideMark/>
          </w:tcPr>
          <w:p w14:paraId="07439495"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术前</w:t>
            </w:r>
          </w:p>
        </w:tc>
        <w:tc>
          <w:tcPr>
            <w:tcW w:w="556" w:type="pct"/>
            <w:tcMar>
              <w:top w:w="56" w:type="dxa"/>
              <w:left w:w="56" w:type="dxa"/>
              <w:bottom w:w="56" w:type="dxa"/>
              <w:right w:w="56" w:type="dxa"/>
            </w:tcMar>
            <w:hideMark/>
          </w:tcPr>
          <w:p w14:paraId="46A7D7AB"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俄勒冈州</w:t>
            </w:r>
          </w:p>
        </w:tc>
        <w:tc>
          <w:tcPr>
            <w:tcW w:w="805" w:type="pct"/>
            <w:tcMar>
              <w:top w:w="56" w:type="dxa"/>
              <w:left w:w="56" w:type="dxa"/>
              <w:bottom w:w="56" w:type="dxa"/>
              <w:right w:w="56" w:type="dxa"/>
            </w:tcMar>
            <w:hideMark/>
          </w:tcPr>
          <w:p w14:paraId="30099629"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来曲</w:t>
            </w:r>
            <w:proofErr w:type="gramStart"/>
            <w:r w:rsidRPr="00891DA8">
              <w:rPr>
                <w:rFonts w:ascii="微软雅黑" w:eastAsia="微软雅黑" w:hAnsi="微软雅黑" w:cs="宋体"/>
                <w:kern w:val="0"/>
                <w:sz w:val="24"/>
                <w:szCs w:val="24"/>
              </w:rPr>
              <w:t>唑</w:t>
            </w:r>
            <w:proofErr w:type="gramEnd"/>
          </w:p>
        </w:tc>
        <w:tc>
          <w:tcPr>
            <w:tcW w:w="306" w:type="pct"/>
            <w:tcMar>
              <w:top w:w="56" w:type="dxa"/>
              <w:left w:w="56" w:type="dxa"/>
              <w:bottom w:w="56" w:type="dxa"/>
              <w:right w:w="56" w:type="dxa"/>
            </w:tcMar>
            <w:hideMark/>
          </w:tcPr>
          <w:p w14:paraId="7AD270F7"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45</w:t>
            </w:r>
          </w:p>
        </w:tc>
        <w:tc>
          <w:tcPr>
            <w:tcW w:w="270" w:type="pct"/>
            <w:tcMar>
              <w:top w:w="56" w:type="dxa"/>
              <w:left w:w="56" w:type="dxa"/>
              <w:bottom w:w="56" w:type="dxa"/>
              <w:right w:w="56" w:type="dxa"/>
            </w:tcMar>
            <w:hideMark/>
          </w:tcPr>
          <w:p w14:paraId="7644BE45"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二</w:t>
            </w:r>
          </w:p>
        </w:tc>
        <w:tc>
          <w:tcPr>
            <w:tcW w:w="1698" w:type="pct"/>
            <w:tcMar>
              <w:top w:w="56" w:type="dxa"/>
              <w:left w:w="56" w:type="dxa"/>
              <w:bottom w:w="56" w:type="dxa"/>
              <w:right w:w="56" w:type="dxa"/>
            </w:tcMar>
            <w:hideMark/>
          </w:tcPr>
          <w:p w14:paraId="464457B9" w14:textId="77777777" w:rsidR="00891DA8" w:rsidRPr="00891DA8" w:rsidRDefault="00891DA8" w:rsidP="00891DA8">
            <w:pPr>
              <w:widowControl/>
              <w:rPr>
                <w:rFonts w:ascii="微软雅黑" w:eastAsia="微软雅黑" w:hAnsi="微软雅黑" w:cs="宋体"/>
                <w:kern w:val="0"/>
                <w:sz w:val="24"/>
                <w:szCs w:val="24"/>
              </w:rPr>
            </w:pPr>
            <w:hyperlink r:id="rId106" w:tgtFrame="_blank" w:history="1">
              <w:r w:rsidRPr="00891DA8">
                <w:rPr>
                  <w:rFonts w:ascii="微软雅黑" w:eastAsia="微软雅黑" w:hAnsi="微软雅黑" w:cs="宋体"/>
                  <w:kern w:val="0"/>
                  <w:sz w:val="24"/>
                  <w:szCs w:val="24"/>
                  <w:u w:val="single"/>
                </w:rPr>
                <w:t>NCT01709370</w:t>
              </w:r>
            </w:hyperlink>
          </w:p>
        </w:tc>
      </w:tr>
      <w:tr w:rsidR="00E217B9" w:rsidRPr="00E217B9" w14:paraId="226BA1FD" w14:textId="77777777" w:rsidTr="00891DA8">
        <w:trPr>
          <w:tblCellSpacing w:w="15" w:type="dxa"/>
        </w:trPr>
        <w:tc>
          <w:tcPr>
            <w:tcW w:w="903" w:type="pct"/>
            <w:tcMar>
              <w:top w:w="56" w:type="dxa"/>
              <w:left w:w="56" w:type="dxa"/>
              <w:bottom w:w="56" w:type="dxa"/>
              <w:right w:w="56" w:type="dxa"/>
            </w:tcMar>
            <w:hideMark/>
          </w:tcPr>
          <w:p w14:paraId="0980FD04" w14:textId="77777777" w:rsidR="00891DA8" w:rsidRPr="00891DA8" w:rsidRDefault="00891DA8" w:rsidP="00891DA8">
            <w:pPr>
              <w:widowControl/>
              <w:rPr>
                <w:rFonts w:ascii="微软雅黑" w:eastAsia="微软雅黑" w:hAnsi="微软雅黑" w:cs="宋体"/>
                <w:kern w:val="0"/>
                <w:sz w:val="24"/>
                <w:szCs w:val="24"/>
              </w:rPr>
            </w:pPr>
          </w:p>
        </w:tc>
        <w:tc>
          <w:tcPr>
            <w:tcW w:w="352" w:type="pct"/>
            <w:tcMar>
              <w:top w:w="56" w:type="dxa"/>
              <w:left w:w="56" w:type="dxa"/>
              <w:bottom w:w="56" w:type="dxa"/>
              <w:right w:w="56" w:type="dxa"/>
            </w:tcMar>
            <w:hideMark/>
          </w:tcPr>
          <w:p w14:paraId="347730D6"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转移性</w:t>
            </w:r>
          </w:p>
        </w:tc>
        <w:tc>
          <w:tcPr>
            <w:tcW w:w="556" w:type="pct"/>
            <w:tcMar>
              <w:top w:w="56" w:type="dxa"/>
              <w:left w:w="56" w:type="dxa"/>
              <w:bottom w:w="56" w:type="dxa"/>
              <w:right w:w="56" w:type="dxa"/>
            </w:tcMar>
            <w:hideMark/>
          </w:tcPr>
          <w:p w14:paraId="5B9945ED"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MTD</w:t>
            </w:r>
          </w:p>
        </w:tc>
        <w:tc>
          <w:tcPr>
            <w:tcW w:w="805" w:type="pct"/>
            <w:tcMar>
              <w:top w:w="56" w:type="dxa"/>
              <w:left w:w="56" w:type="dxa"/>
              <w:bottom w:w="56" w:type="dxa"/>
              <w:right w:w="56" w:type="dxa"/>
            </w:tcMar>
            <w:hideMark/>
          </w:tcPr>
          <w:p w14:paraId="221C7A2E"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紫杉醇</w:t>
            </w:r>
          </w:p>
        </w:tc>
        <w:tc>
          <w:tcPr>
            <w:tcW w:w="306" w:type="pct"/>
            <w:tcMar>
              <w:top w:w="56" w:type="dxa"/>
              <w:left w:w="56" w:type="dxa"/>
              <w:bottom w:w="56" w:type="dxa"/>
              <w:right w:w="56" w:type="dxa"/>
            </w:tcMar>
            <w:hideMark/>
          </w:tcPr>
          <w:p w14:paraId="3987EB76"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20</w:t>
            </w:r>
          </w:p>
        </w:tc>
        <w:tc>
          <w:tcPr>
            <w:tcW w:w="270" w:type="pct"/>
            <w:tcMar>
              <w:top w:w="56" w:type="dxa"/>
              <w:left w:w="56" w:type="dxa"/>
              <w:bottom w:w="56" w:type="dxa"/>
              <w:right w:w="56" w:type="dxa"/>
            </w:tcMar>
            <w:hideMark/>
          </w:tcPr>
          <w:p w14:paraId="2E60E2EA"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我</w:t>
            </w:r>
          </w:p>
        </w:tc>
        <w:tc>
          <w:tcPr>
            <w:tcW w:w="1698" w:type="pct"/>
            <w:tcMar>
              <w:top w:w="56" w:type="dxa"/>
              <w:left w:w="56" w:type="dxa"/>
              <w:bottom w:w="56" w:type="dxa"/>
              <w:right w:w="56" w:type="dxa"/>
            </w:tcMar>
            <w:hideMark/>
          </w:tcPr>
          <w:p w14:paraId="55EDE4B4" w14:textId="77777777" w:rsidR="00891DA8" w:rsidRPr="00891DA8" w:rsidRDefault="00891DA8" w:rsidP="00891DA8">
            <w:pPr>
              <w:widowControl/>
              <w:rPr>
                <w:rFonts w:ascii="微软雅黑" w:eastAsia="微软雅黑" w:hAnsi="微软雅黑" w:cs="宋体"/>
                <w:kern w:val="0"/>
                <w:sz w:val="24"/>
                <w:szCs w:val="24"/>
              </w:rPr>
            </w:pPr>
            <w:hyperlink r:id="rId107" w:tgtFrame="_blank" w:history="1">
              <w:r w:rsidRPr="00891DA8">
                <w:rPr>
                  <w:rFonts w:ascii="微软雅黑" w:eastAsia="微软雅黑" w:hAnsi="微软雅黑" w:cs="宋体"/>
                  <w:kern w:val="0"/>
                  <w:sz w:val="24"/>
                  <w:szCs w:val="24"/>
                  <w:u w:val="single"/>
                </w:rPr>
                <w:t>NCT01320592</w:t>
              </w:r>
            </w:hyperlink>
          </w:p>
        </w:tc>
      </w:tr>
      <w:tr w:rsidR="00E217B9" w:rsidRPr="00E217B9" w14:paraId="07F4E2AF" w14:textId="77777777" w:rsidTr="00891DA8">
        <w:trPr>
          <w:tblCellSpacing w:w="15" w:type="dxa"/>
        </w:trPr>
        <w:tc>
          <w:tcPr>
            <w:tcW w:w="903" w:type="pct"/>
            <w:tcMar>
              <w:top w:w="56" w:type="dxa"/>
              <w:left w:w="56" w:type="dxa"/>
              <w:bottom w:w="56" w:type="dxa"/>
              <w:right w:w="56" w:type="dxa"/>
            </w:tcMar>
            <w:hideMark/>
          </w:tcPr>
          <w:p w14:paraId="16321D29" w14:textId="77777777" w:rsidR="00891DA8" w:rsidRPr="00891DA8" w:rsidRDefault="00891DA8" w:rsidP="00891DA8">
            <w:pPr>
              <w:widowControl/>
              <w:rPr>
                <w:rFonts w:ascii="微软雅黑" w:eastAsia="微软雅黑" w:hAnsi="微软雅黑" w:cs="宋体"/>
                <w:kern w:val="0"/>
                <w:sz w:val="24"/>
                <w:szCs w:val="24"/>
              </w:rPr>
            </w:pPr>
          </w:p>
        </w:tc>
        <w:tc>
          <w:tcPr>
            <w:tcW w:w="352" w:type="pct"/>
            <w:tcMar>
              <w:top w:w="56" w:type="dxa"/>
              <w:left w:w="56" w:type="dxa"/>
              <w:bottom w:w="56" w:type="dxa"/>
              <w:right w:w="56" w:type="dxa"/>
            </w:tcMar>
            <w:hideMark/>
          </w:tcPr>
          <w:p w14:paraId="1B9574DB"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新辅助疗法</w:t>
            </w:r>
          </w:p>
        </w:tc>
        <w:tc>
          <w:tcPr>
            <w:tcW w:w="556" w:type="pct"/>
            <w:tcMar>
              <w:top w:w="56" w:type="dxa"/>
              <w:left w:w="56" w:type="dxa"/>
              <w:bottom w:w="56" w:type="dxa"/>
              <w:right w:w="56" w:type="dxa"/>
            </w:tcMar>
            <w:hideMark/>
          </w:tcPr>
          <w:p w14:paraId="4FB0A98F"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 xml:space="preserve">生物标志物 </w:t>
            </w:r>
            <w:proofErr w:type="spellStart"/>
            <w:r w:rsidRPr="00891DA8">
              <w:rPr>
                <w:rFonts w:ascii="微软雅黑" w:eastAsia="微软雅黑" w:hAnsi="微软雅黑" w:cs="宋体"/>
                <w:kern w:val="0"/>
                <w:sz w:val="24"/>
                <w:szCs w:val="24"/>
              </w:rPr>
              <w:t>cCR</w:t>
            </w:r>
            <w:proofErr w:type="spellEnd"/>
          </w:p>
        </w:tc>
        <w:tc>
          <w:tcPr>
            <w:tcW w:w="805" w:type="pct"/>
            <w:tcMar>
              <w:top w:w="56" w:type="dxa"/>
              <w:left w:w="56" w:type="dxa"/>
              <w:bottom w:w="56" w:type="dxa"/>
              <w:right w:w="56" w:type="dxa"/>
            </w:tcMar>
            <w:hideMark/>
          </w:tcPr>
          <w:p w14:paraId="4765AF09"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来曲</w:t>
            </w:r>
            <w:proofErr w:type="gramStart"/>
            <w:r w:rsidRPr="00891DA8">
              <w:rPr>
                <w:rFonts w:ascii="微软雅黑" w:eastAsia="微软雅黑" w:hAnsi="微软雅黑" w:cs="宋体"/>
                <w:kern w:val="0"/>
                <w:sz w:val="24"/>
                <w:szCs w:val="24"/>
              </w:rPr>
              <w:t>唑</w:t>
            </w:r>
            <w:proofErr w:type="gramEnd"/>
          </w:p>
        </w:tc>
        <w:tc>
          <w:tcPr>
            <w:tcW w:w="306" w:type="pct"/>
            <w:tcMar>
              <w:top w:w="56" w:type="dxa"/>
              <w:left w:w="56" w:type="dxa"/>
              <w:bottom w:w="56" w:type="dxa"/>
              <w:right w:w="56" w:type="dxa"/>
            </w:tcMar>
            <w:hideMark/>
          </w:tcPr>
          <w:p w14:paraId="22F8CF2D"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306</w:t>
            </w:r>
          </w:p>
        </w:tc>
        <w:tc>
          <w:tcPr>
            <w:tcW w:w="270" w:type="pct"/>
            <w:tcMar>
              <w:top w:w="56" w:type="dxa"/>
              <w:left w:w="56" w:type="dxa"/>
              <w:bottom w:w="56" w:type="dxa"/>
              <w:right w:w="56" w:type="dxa"/>
            </w:tcMar>
            <w:hideMark/>
          </w:tcPr>
          <w:p w14:paraId="3E30C232"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二</w:t>
            </w:r>
          </w:p>
        </w:tc>
        <w:tc>
          <w:tcPr>
            <w:tcW w:w="1698" w:type="pct"/>
            <w:tcMar>
              <w:top w:w="56" w:type="dxa"/>
              <w:left w:w="56" w:type="dxa"/>
              <w:bottom w:w="56" w:type="dxa"/>
              <w:right w:w="56" w:type="dxa"/>
            </w:tcMar>
            <w:hideMark/>
          </w:tcPr>
          <w:p w14:paraId="6F96D1A0" w14:textId="77777777" w:rsidR="00891DA8" w:rsidRPr="00891DA8" w:rsidRDefault="00891DA8" w:rsidP="00891DA8">
            <w:pPr>
              <w:widowControl/>
              <w:rPr>
                <w:rFonts w:ascii="微软雅黑" w:eastAsia="微软雅黑" w:hAnsi="微软雅黑" w:cs="宋体"/>
                <w:kern w:val="0"/>
                <w:sz w:val="24"/>
                <w:szCs w:val="24"/>
              </w:rPr>
            </w:pPr>
            <w:hyperlink r:id="rId108" w:tgtFrame="_blank" w:history="1">
              <w:r w:rsidRPr="00891DA8">
                <w:rPr>
                  <w:rFonts w:ascii="微软雅黑" w:eastAsia="微软雅黑" w:hAnsi="微软雅黑" w:cs="宋体"/>
                  <w:kern w:val="0"/>
                  <w:sz w:val="24"/>
                  <w:szCs w:val="24"/>
                  <w:u w:val="single"/>
                </w:rPr>
                <w:t>NCT02296801</w:t>
              </w:r>
            </w:hyperlink>
            <w:r w:rsidRPr="00891DA8">
              <w:rPr>
                <w:rFonts w:ascii="微软雅黑" w:eastAsia="微软雅黑" w:hAnsi="微软雅黑" w:cs="宋体"/>
                <w:kern w:val="0"/>
                <w:sz w:val="24"/>
                <w:szCs w:val="24"/>
              </w:rPr>
              <w:t>（托盘）</w:t>
            </w:r>
          </w:p>
        </w:tc>
      </w:tr>
      <w:tr w:rsidR="00E217B9" w:rsidRPr="00E217B9" w14:paraId="0F0325B7" w14:textId="77777777" w:rsidTr="00891DA8">
        <w:trPr>
          <w:tblCellSpacing w:w="15" w:type="dxa"/>
        </w:trPr>
        <w:tc>
          <w:tcPr>
            <w:tcW w:w="903" w:type="pct"/>
            <w:tcMar>
              <w:top w:w="56" w:type="dxa"/>
              <w:left w:w="56" w:type="dxa"/>
              <w:bottom w:w="56" w:type="dxa"/>
              <w:right w:w="56" w:type="dxa"/>
            </w:tcMar>
            <w:hideMark/>
          </w:tcPr>
          <w:p w14:paraId="58A91B48" w14:textId="77777777" w:rsidR="00891DA8" w:rsidRPr="00891DA8" w:rsidRDefault="00891DA8" w:rsidP="00891DA8">
            <w:pPr>
              <w:widowControl/>
              <w:rPr>
                <w:rFonts w:ascii="微软雅黑" w:eastAsia="微软雅黑" w:hAnsi="微软雅黑" w:cs="宋体"/>
                <w:kern w:val="0"/>
                <w:sz w:val="24"/>
                <w:szCs w:val="24"/>
              </w:rPr>
            </w:pPr>
          </w:p>
        </w:tc>
        <w:tc>
          <w:tcPr>
            <w:tcW w:w="352" w:type="pct"/>
            <w:tcMar>
              <w:top w:w="56" w:type="dxa"/>
              <w:left w:w="56" w:type="dxa"/>
              <w:bottom w:w="56" w:type="dxa"/>
              <w:right w:w="56" w:type="dxa"/>
            </w:tcMar>
            <w:hideMark/>
          </w:tcPr>
          <w:p w14:paraId="6A886C79"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转移性</w:t>
            </w:r>
          </w:p>
        </w:tc>
        <w:tc>
          <w:tcPr>
            <w:tcW w:w="556" w:type="pct"/>
            <w:tcMar>
              <w:top w:w="56" w:type="dxa"/>
              <w:left w:w="56" w:type="dxa"/>
              <w:bottom w:w="56" w:type="dxa"/>
              <w:right w:w="56" w:type="dxa"/>
            </w:tcMar>
            <w:hideMark/>
          </w:tcPr>
          <w:p w14:paraId="0EB65D90"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PFS</w:t>
            </w:r>
          </w:p>
        </w:tc>
        <w:tc>
          <w:tcPr>
            <w:tcW w:w="805" w:type="pct"/>
            <w:tcMar>
              <w:top w:w="56" w:type="dxa"/>
              <w:left w:w="56" w:type="dxa"/>
              <w:bottom w:w="56" w:type="dxa"/>
              <w:right w:w="56" w:type="dxa"/>
            </w:tcMar>
            <w:hideMark/>
          </w:tcPr>
          <w:p w14:paraId="05301D9B"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依西美坦与</w:t>
            </w:r>
            <w:proofErr w:type="gramStart"/>
            <w:r w:rsidRPr="00891DA8">
              <w:rPr>
                <w:rFonts w:ascii="微软雅黑" w:eastAsia="微软雅黑" w:hAnsi="微软雅黑" w:cs="宋体"/>
                <w:kern w:val="0"/>
                <w:sz w:val="24"/>
                <w:szCs w:val="24"/>
              </w:rPr>
              <w:t>卡培他滨</w:t>
            </w:r>
            <w:proofErr w:type="gramEnd"/>
          </w:p>
        </w:tc>
        <w:tc>
          <w:tcPr>
            <w:tcW w:w="306" w:type="pct"/>
            <w:tcMar>
              <w:top w:w="56" w:type="dxa"/>
              <w:left w:w="56" w:type="dxa"/>
              <w:bottom w:w="56" w:type="dxa"/>
              <w:right w:w="56" w:type="dxa"/>
            </w:tcMar>
            <w:hideMark/>
          </w:tcPr>
          <w:p w14:paraId="21EC70F1"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348</w:t>
            </w:r>
          </w:p>
        </w:tc>
        <w:tc>
          <w:tcPr>
            <w:tcW w:w="270" w:type="pct"/>
            <w:tcMar>
              <w:top w:w="56" w:type="dxa"/>
              <w:left w:w="56" w:type="dxa"/>
              <w:bottom w:w="56" w:type="dxa"/>
              <w:right w:w="56" w:type="dxa"/>
            </w:tcMar>
            <w:hideMark/>
          </w:tcPr>
          <w:p w14:paraId="06B598C8"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三</w:t>
            </w:r>
          </w:p>
        </w:tc>
        <w:tc>
          <w:tcPr>
            <w:tcW w:w="1698" w:type="pct"/>
            <w:tcMar>
              <w:top w:w="56" w:type="dxa"/>
              <w:left w:w="56" w:type="dxa"/>
              <w:bottom w:w="56" w:type="dxa"/>
              <w:right w:w="56" w:type="dxa"/>
            </w:tcMar>
            <w:hideMark/>
          </w:tcPr>
          <w:p w14:paraId="7FB2F237" w14:textId="77777777" w:rsidR="00891DA8" w:rsidRPr="00891DA8" w:rsidRDefault="00891DA8" w:rsidP="00891DA8">
            <w:pPr>
              <w:widowControl/>
              <w:rPr>
                <w:rFonts w:ascii="微软雅黑" w:eastAsia="微软雅黑" w:hAnsi="微软雅黑" w:cs="宋体"/>
                <w:kern w:val="0"/>
                <w:sz w:val="24"/>
                <w:szCs w:val="24"/>
              </w:rPr>
            </w:pPr>
            <w:hyperlink r:id="rId109" w:tgtFrame="_blank" w:history="1">
              <w:r w:rsidRPr="00891DA8">
                <w:rPr>
                  <w:rFonts w:ascii="微软雅黑" w:eastAsia="微软雅黑" w:hAnsi="微软雅黑" w:cs="宋体"/>
                  <w:kern w:val="0"/>
                  <w:sz w:val="24"/>
                  <w:szCs w:val="24"/>
                  <w:u w:val="single"/>
                </w:rPr>
                <w:t>NCT02028507</w:t>
              </w:r>
            </w:hyperlink>
            <w:r w:rsidRPr="00891DA8">
              <w:rPr>
                <w:rFonts w:ascii="微软雅黑" w:eastAsia="微软雅黑" w:hAnsi="微软雅黑" w:cs="宋体"/>
                <w:kern w:val="0"/>
                <w:sz w:val="24"/>
                <w:szCs w:val="24"/>
              </w:rPr>
              <w:t> (PEARL)</w:t>
            </w:r>
          </w:p>
        </w:tc>
      </w:tr>
      <w:tr w:rsidR="00E217B9" w:rsidRPr="00E217B9" w14:paraId="246B6C81" w14:textId="77777777" w:rsidTr="00891DA8">
        <w:trPr>
          <w:tblCellSpacing w:w="15" w:type="dxa"/>
        </w:trPr>
        <w:tc>
          <w:tcPr>
            <w:tcW w:w="903" w:type="pct"/>
            <w:tcMar>
              <w:top w:w="56" w:type="dxa"/>
              <w:left w:w="56" w:type="dxa"/>
              <w:bottom w:w="56" w:type="dxa"/>
              <w:right w:w="56" w:type="dxa"/>
            </w:tcMar>
            <w:hideMark/>
          </w:tcPr>
          <w:p w14:paraId="06CA892B" w14:textId="77777777" w:rsidR="00891DA8" w:rsidRPr="00891DA8" w:rsidRDefault="00891DA8" w:rsidP="00891DA8">
            <w:pPr>
              <w:widowControl/>
              <w:rPr>
                <w:rFonts w:ascii="微软雅黑" w:eastAsia="微软雅黑" w:hAnsi="微软雅黑" w:cs="宋体"/>
                <w:kern w:val="0"/>
                <w:sz w:val="24"/>
                <w:szCs w:val="24"/>
              </w:rPr>
            </w:pPr>
          </w:p>
        </w:tc>
        <w:tc>
          <w:tcPr>
            <w:tcW w:w="352" w:type="pct"/>
            <w:tcMar>
              <w:top w:w="56" w:type="dxa"/>
              <w:left w:w="56" w:type="dxa"/>
              <w:bottom w:w="56" w:type="dxa"/>
              <w:right w:w="56" w:type="dxa"/>
            </w:tcMar>
            <w:hideMark/>
          </w:tcPr>
          <w:p w14:paraId="22FCE621"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佐剂</w:t>
            </w:r>
          </w:p>
        </w:tc>
        <w:tc>
          <w:tcPr>
            <w:tcW w:w="556" w:type="pct"/>
            <w:tcMar>
              <w:top w:w="56" w:type="dxa"/>
              <w:left w:w="56" w:type="dxa"/>
              <w:bottom w:w="56" w:type="dxa"/>
              <w:right w:w="56" w:type="dxa"/>
            </w:tcMar>
            <w:hideMark/>
          </w:tcPr>
          <w:p w14:paraId="5B15399B"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停止治疗</w:t>
            </w:r>
          </w:p>
        </w:tc>
        <w:tc>
          <w:tcPr>
            <w:tcW w:w="805" w:type="pct"/>
            <w:tcMar>
              <w:top w:w="56" w:type="dxa"/>
              <w:left w:w="56" w:type="dxa"/>
              <w:bottom w:w="56" w:type="dxa"/>
              <w:right w:w="56" w:type="dxa"/>
            </w:tcMar>
            <w:hideMark/>
          </w:tcPr>
          <w:p w14:paraId="584FE34C"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来曲</w:t>
            </w:r>
            <w:proofErr w:type="gramStart"/>
            <w:r w:rsidRPr="00891DA8">
              <w:rPr>
                <w:rFonts w:ascii="微软雅黑" w:eastAsia="微软雅黑" w:hAnsi="微软雅黑" w:cs="宋体"/>
                <w:kern w:val="0"/>
                <w:sz w:val="24"/>
                <w:szCs w:val="24"/>
              </w:rPr>
              <w:t>唑</w:t>
            </w:r>
            <w:proofErr w:type="gramEnd"/>
          </w:p>
        </w:tc>
        <w:tc>
          <w:tcPr>
            <w:tcW w:w="306" w:type="pct"/>
            <w:tcMar>
              <w:top w:w="56" w:type="dxa"/>
              <w:left w:w="56" w:type="dxa"/>
              <w:bottom w:w="56" w:type="dxa"/>
              <w:right w:w="56" w:type="dxa"/>
            </w:tcMar>
            <w:hideMark/>
          </w:tcPr>
          <w:p w14:paraId="0BCFBB58"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160</w:t>
            </w:r>
          </w:p>
        </w:tc>
        <w:tc>
          <w:tcPr>
            <w:tcW w:w="270" w:type="pct"/>
            <w:tcMar>
              <w:top w:w="56" w:type="dxa"/>
              <w:left w:w="56" w:type="dxa"/>
              <w:bottom w:w="56" w:type="dxa"/>
              <w:right w:w="56" w:type="dxa"/>
            </w:tcMar>
            <w:hideMark/>
          </w:tcPr>
          <w:p w14:paraId="3B52E58D"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二</w:t>
            </w:r>
          </w:p>
        </w:tc>
        <w:tc>
          <w:tcPr>
            <w:tcW w:w="1698" w:type="pct"/>
            <w:tcMar>
              <w:top w:w="56" w:type="dxa"/>
              <w:left w:w="56" w:type="dxa"/>
              <w:bottom w:w="56" w:type="dxa"/>
              <w:right w:w="56" w:type="dxa"/>
            </w:tcMar>
            <w:hideMark/>
          </w:tcPr>
          <w:p w14:paraId="763D301B" w14:textId="77777777" w:rsidR="00891DA8" w:rsidRPr="00891DA8" w:rsidRDefault="00891DA8" w:rsidP="00891DA8">
            <w:pPr>
              <w:widowControl/>
              <w:rPr>
                <w:rFonts w:ascii="微软雅黑" w:eastAsia="微软雅黑" w:hAnsi="微软雅黑" w:cs="宋体"/>
                <w:kern w:val="0"/>
                <w:sz w:val="24"/>
                <w:szCs w:val="24"/>
              </w:rPr>
            </w:pPr>
            <w:hyperlink r:id="rId110" w:tgtFrame="_blank" w:history="1">
              <w:r w:rsidRPr="00891DA8">
                <w:rPr>
                  <w:rFonts w:ascii="微软雅黑" w:eastAsia="微软雅黑" w:hAnsi="微软雅黑" w:cs="宋体"/>
                  <w:kern w:val="0"/>
                  <w:sz w:val="24"/>
                  <w:szCs w:val="24"/>
                  <w:u w:val="single"/>
                </w:rPr>
                <w:t>NCT02028507</w:t>
              </w:r>
            </w:hyperlink>
          </w:p>
        </w:tc>
      </w:tr>
      <w:tr w:rsidR="00E217B9" w:rsidRPr="00E217B9" w14:paraId="4D337A29" w14:textId="77777777" w:rsidTr="00891DA8">
        <w:trPr>
          <w:tblCellSpacing w:w="15" w:type="dxa"/>
        </w:trPr>
        <w:tc>
          <w:tcPr>
            <w:tcW w:w="903" w:type="pct"/>
            <w:tcMar>
              <w:top w:w="56" w:type="dxa"/>
              <w:left w:w="56" w:type="dxa"/>
              <w:bottom w:w="56" w:type="dxa"/>
              <w:right w:w="56" w:type="dxa"/>
            </w:tcMar>
            <w:hideMark/>
          </w:tcPr>
          <w:p w14:paraId="482E4B88" w14:textId="77777777" w:rsidR="00891DA8" w:rsidRPr="00891DA8" w:rsidRDefault="00891DA8" w:rsidP="00891DA8">
            <w:pPr>
              <w:widowControl/>
              <w:rPr>
                <w:rFonts w:ascii="微软雅黑" w:eastAsia="微软雅黑" w:hAnsi="微软雅黑" w:cs="宋体"/>
                <w:kern w:val="0"/>
                <w:sz w:val="24"/>
                <w:szCs w:val="24"/>
              </w:rPr>
            </w:pPr>
          </w:p>
        </w:tc>
        <w:tc>
          <w:tcPr>
            <w:tcW w:w="352" w:type="pct"/>
            <w:tcMar>
              <w:top w:w="56" w:type="dxa"/>
              <w:left w:w="56" w:type="dxa"/>
              <w:bottom w:w="56" w:type="dxa"/>
              <w:right w:w="56" w:type="dxa"/>
            </w:tcMar>
            <w:hideMark/>
          </w:tcPr>
          <w:p w14:paraId="331482DD"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转移性</w:t>
            </w:r>
          </w:p>
        </w:tc>
        <w:tc>
          <w:tcPr>
            <w:tcW w:w="556" w:type="pct"/>
            <w:tcMar>
              <w:top w:w="56" w:type="dxa"/>
              <w:left w:w="56" w:type="dxa"/>
              <w:bottom w:w="56" w:type="dxa"/>
              <w:right w:w="56" w:type="dxa"/>
            </w:tcMar>
            <w:hideMark/>
          </w:tcPr>
          <w:p w14:paraId="34ED25B0"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剂量/毒性</w:t>
            </w:r>
          </w:p>
        </w:tc>
        <w:tc>
          <w:tcPr>
            <w:tcW w:w="805" w:type="pct"/>
            <w:tcMar>
              <w:top w:w="56" w:type="dxa"/>
              <w:left w:w="56" w:type="dxa"/>
              <w:bottom w:w="56" w:type="dxa"/>
              <w:right w:w="56" w:type="dxa"/>
            </w:tcMar>
            <w:hideMark/>
          </w:tcPr>
          <w:p w14:paraId="08CB9CC5"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TDM-1</w:t>
            </w:r>
          </w:p>
        </w:tc>
        <w:tc>
          <w:tcPr>
            <w:tcW w:w="306" w:type="pct"/>
            <w:tcMar>
              <w:top w:w="56" w:type="dxa"/>
              <w:left w:w="56" w:type="dxa"/>
              <w:bottom w:w="56" w:type="dxa"/>
              <w:right w:w="56" w:type="dxa"/>
            </w:tcMar>
            <w:hideMark/>
          </w:tcPr>
          <w:p w14:paraId="0649DE27"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17</w:t>
            </w:r>
          </w:p>
        </w:tc>
        <w:tc>
          <w:tcPr>
            <w:tcW w:w="270" w:type="pct"/>
            <w:tcMar>
              <w:top w:w="56" w:type="dxa"/>
              <w:left w:w="56" w:type="dxa"/>
              <w:bottom w:w="56" w:type="dxa"/>
              <w:right w:w="56" w:type="dxa"/>
            </w:tcMar>
            <w:hideMark/>
          </w:tcPr>
          <w:p w14:paraId="5ADC3491"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磅</w:t>
            </w:r>
          </w:p>
        </w:tc>
        <w:tc>
          <w:tcPr>
            <w:tcW w:w="1698" w:type="pct"/>
            <w:tcMar>
              <w:top w:w="56" w:type="dxa"/>
              <w:left w:w="56" w:type="dxa"/>
              <w:bottom w:w="56" w:type="dxa"/>
              <w:right w:w="56" w:type="dxa"/>
            </w:tcMar>
            <w:hideMark/>
          </w:tcPr>
          <w:p w14:paraId="4CD97392" w14:textId="77777777" w:rsidR="00891DA8" w:rsidRPr="00891DA8" w:rsidRDefault="00891DA8" w:rsidP="00891DA8">
            <w:pPr>
              <w:widowControl/>
              <w:rPr>
                <w:rFonts w:ascii="微软雅黑" w:eastAsia="微软雅黑" w:hAnsi="微软雅黑" w:cs="宋体"/>
                <w:kern w:val="0"/>
                <w:sz w:val="24"/>
                <w:szCs w:val="24"/>
              </w:rPr>
            </w:pPr>
            <w:hyperlink r:id="rId111" w:tgtFrame="_blank" w:history="1">
              <w:r w:rsidRPr="00891DA8">
                <w:rPr>
                  <w:rFonts w:ascii="微软雅黑" w:eastAsia="微软雅黑" w:hAnsi="微软雅黑" w:cs="宋体"/>
                  <w:kern w:val="0"/>
                  <w:sz w:val="24"/>
                  <w:szCs w:val="24"/>
                  <w:u w:val="single"/>
                </w:rPr>
                <w:t>NCT01976169</w:t>
              </w:r>
            </w:hyperlink>
          </w:p>
        </w:tc>
      </w:tr>
      <w:tr w:rsidR="00E217B9" w:rsidRPr="00E217B9" w14:paraId="78271F83" w14:textId="77777777" w:rsidTr="00891DA8">
        <w:trPr>
          <w:tblCellSpacing w:w="15" w:type="dxa"/>
        </w:trPr>
        <w:tc>
          <w:tcPr>
            <w:tcW w:w="903" w:type="pct"/>
            <w:tcMar>
              <w:top w:w="56" w:type="dxa"/>
              <w:left w:w="56" w:type="dxa"/>
              <w:bottom w:w="56" w:type="dxa"/>
              <w:right w:w="56" w:type="dxa"/>
            </w:tcMar>
            <w:hideMark/>
          </w:tcPr>
          <w:p w14:paraId="4AE253BB" w14:textId="77777777" w:rsidR="00891DA8" w:rsidRPr="00891DA8" w:rsidRDefault="00891DA8" w:rsidP="00891DA8">
            <w:pPr>
              <w:widowControl/>
              <w:rPr>
                <w:rFonts w:ascii="微软雅黑" w:eastAsia="微软雅黑" w:hAnsi="微软雅黑" w:cs="宋体"/>
                <w:kern w:val="0"/>
                <w:sz w:val="24"/>
                <w:szCs w:val="24"/>
              </w:rPr>
            </w:pPr>
          </w:p>
        </w:tc>
        <w:tc>
          <w:tcPr>
            <w:tcW w:w="352" w:type="pct"/>
            <w:tcMar>
              <w:top w:w="56" w:type="dxa"/>
              <w:left w:w="56" w:type="dxa"/>
              <w:bottom w:w="56" w:type="dxa"/>
              <w:right w:w="56" w:type="dxa"/>
            </w:tcMar>
            <w:hideMark/>
          </w:tcPr>
          <w:p w14:paraId="67B308CB"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新辅助治疗</w:t>
            </w:r>
          </w:p>
        </w:tc>
        <w:tc>
          <w:tcPr>
            <w:tcW w:w="556" w:type="pct"/>
            <w:tcMar>
              <w:top w:w="56" w:type="dxa"/>
              <w:left w:w="56" w:type="dxa"/>
              <w:bottom w:w="56" w:type="dxa"/>
              <w:right w:w="56" w:type="dxa"/>
            </w:tcMar>
            <w:hideMark/>
          </w:tcPr>
          <w:p w14:paraId="5A65481C"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皇家挑战者班加罗尔</w:t>
            </w:r>
          </w:p>
        </w:tc>
        <w:tc>
          <w:tcPr>
            <w:tcW w:w="805" w:type="pct"/>
            <w:tcMar>
              <w:top w:w="56" w:type="dxa"/>
              <w:left w:w="56" w:type="dxa"/>
              <w:bottom w:w="56" w:type="dxa"/>
              <w:right w:w="56" w:type="dxa"/>
            </w:tcMar>
            <w:hideMark/>
          </w:tcPr>
          <w:p w14:paraId="7A8C3761"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来曲</w:t>
            </w:r>
            <w:proofErr w:type="gramStart"/>
            <w:r w:rsidRPr="00891DA8">
              <w:rPr>
                <w:rFonts w:ascii="微软雅黑" w:eastAsia="微软雅黑" w:hAnsi="微软雅黑" w:cs="宋体"/>
                <w:kern w:val="0"/>
                <w:sz w:val="24"/>
                <w:szCs w:val="24"/>
              </w:rPr>
              <w:t>唑</w:t>
            </w:r>
            <w:proofErr w:type="gramEnd"/>
            <w:r w:rsidRPr="00891DA8">
              <w:rPr>
                <w:rFonts w:ascii="微软雅黑" w:eastAsia="微软雅黑" w:hAnsi="微软雅黑" w:cs="宋体"/>
                <w:kern w:val="0"/>
                <w:sz w:val="24"/>
                <w:szCs w:val="24"/>
              </w:rPr>
              <w:t>与 FEC-3 对比</w:t>
            </w:r>
          </w:p>
        </w:tc>
        <w:tc>
          <w:tcPr>
            <w:tcW w:w="306" w:type="pct"/>
            <w:tcMar>
              <w:top w:w="56" w:type="dxa"/>
              <w:left w:w="56" w:type="dxa"/>
              <w:bottom w:w="56" w:type="dxa"/>
              <w:right w:w="56" w:type="dxa"/>
            </w:tcMar>
            <w:hideMark/>
          </w:tcPr>
          <w:p w14:paraId="703582F0"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132</w:t>
            </w:r>
          </w:p>
        </w:tc>
        <w:tc>
          <w:tcPr>
            <w:tcW w:w="270" w:type="pct"/>
            <w:tcMar>
              <w:top w:w="56" w:type="dxa"/>
              <w:left w:w="56" w:type="dxa"/>
              <w:bottom w:w="56" w:type="dxa"/>
              <w:right w:w="56" w:type="dxa"/>
            </w:tcMar>
            <w:hideMark/>
          </w:tcPr>
          <w:p w14:paraId="4FED3762"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二</w:t>
            </w:r>
          </w:p>
        </w:tc>
        <w:tc>
          <w:tcPr>
            <w:tcW w:w="1698" w:type="pct"/>
            <w:tcMar>
              <w:top w:w="56" w:type="dxa"/>
              <w:left w:w="56" w:type="dxa"/>
              <w:bottom w:w="56" w:type="dxa"/>
              <w:right w:w="56" w:type="dxa"/>
            </w:tcMar>
            <w:hideMark/>
          </w:tcPr>
          <w:p w14:paraId="5A7290BA"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NCT02400569 (</w:t>
            </w:r>
            <w:proofErr w:type="spellStart"/>
            <w:r w:rsidRPr="00891DA8">
              <w:rPr>
                <w:rFonts w:ascii="微软雅黑" w:eastAsia="微软雅黑" w:hAnsi="微软雅黑" w:cs="宋体"/>
                <w:kern w:val="0"/>
                <w:sz w:val="24"/>
                <w:szCs w:val="24"/>
              </w:rPr>
              <w:t>NeoPAL</w:t>
            </w:r>
            <w:proofErr w:type="spellEnd"/>
            <w:r w:rsidRPr="00891DA8">
              <w:rPr>
                <w:rFonts w:ascii="微软雅黑" w:eastAsia="微软雅黑" w:hAnsi="微软雅黑" w:cs="宋体"/>
                <w:kern w:val="0"/>
                <w:sz w:val="24"/>
                <w:szCs w:val="24"/>
              </w:rPr>
              <w:t>)</w:t>
            </w:r>
          </w:p>
        </w:tc>
      </w:tr>
      <w:tr w:rsidR="00E217B9" w:rsidRPr="00E217B9" w14:paraId="792AD5F8" w14:textId="77777777" w:rsidTr="00891DA8">
        <w:trPr>
          <w:tblCellSpacing w:w="15" w:type="dxa"/>
        </w:trPr>
        <w:tc>
          <w:tcPr>
            <w:tcW w:w="903" w:type="pct"/>
            <w:tcMar>
              <w:top w:w="56" w:type="dxa"/>
              <w:left w:w="56" w:type="dxa"/>
              <w:bottom w:w="56" w:type="dxa"/>
              <w:right w:w="56" w:type="dxa"/>
            </w:tcMar>
            <w:hideMark/>
          </w:tcPr>
          <w:p w14:paraId="0FF0CCAB" w14:textId="77777777" w:rsidR="00891DA8" w:rsidRPr="00891DA8" w:rsidRDefault="00891DA8" w:rsidP="00891DA8">
            <w:pPr>
              <w:widowControl/>
              <w:rPr>
                <w:rFonts w:ascii="微软雅黑" w:eastAsia="微软雅黑" w:hAnsi="微软雅黑" w:cs="宋体"/>
                <w:kern w:val="0"/>
                <w:sz w:val="24"/>
                <w:szCs w:val="24"/>
              </w:rPr>
            </w:pPr>
          </w:p>
        </w:tc>
        <w:tc>
          <w:tcPr>
            <w:tcW w:w="352" w:type="pct"/>
            <w:tcMar>
              <w:top w:w="56" w:type="dxa"/>
              <w:left w:w="56" w:type="dxa"/>
              <w:bottom w:w="56" w:type="dxa"/>
              <w:right w:w="56" w:type="dxa"/>
            </w:tcMar>
            <w:hideMark/>
          </w:tcPr>
          <w:p w14:paraId="23E87B23"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佐剂</w:t>
            </w:r>
          </w:p>
        </w:tc>
        <w:tc>
          <w:tcPr>
            <w:tcW w:w="556" w:type="pct"/>
            <w:tcMar>
              <w:top w:w="56" w:type="dxa"/>
              <w:left w:w="56" w:type="dxa"/>
              <w:bottom w:w="56" w:type="dxa"/>
              <w:right w:w="56" w:type="dxa"/>
            </w:tcMar>
            <w:hideMark/>
          </w:tcPr>
          <w:p w14:paraId="28C8BE57" w14:textId="77777777" w:rsidR="00891DA8" w:rsidRPr="00891DA8" w:rsidRDefault="00891DA8" w:rsidP="00891DA8">
            <w:pPr>
              <w:widowControl/>
              <w:rPr>
                <w:rFonts w:ascii="微软雅黑" w:eastAsia="微软雅黑" w:hAnsi="微软雅黑" w:cs="宋体"/>
                <w:kern w:val="0"/>
                <w:sz w:val="24"/>
                <w:szCs w:val="24"/>
              </w:rPr>
            </w:pPr>
            <w:proofErr w:type="spellStart"/>
            <w:r w:rsidRPr="00891DA8">
              <w:rPr>
                <w:rFonts w:ascii="微软雅黑" w:eastAsia="微软雅黑" w:hAnsi="微软雅黑" w:cs="宋体"/>
                <w:kern w:val="0"/>
                <w:sz w:val="24"/>
                <w:szCs w:val="24"/>
              </w:rPr>
              <w:t>iDFS</w:t>
            </w:r>
            <w:proofErr w:type="spellEnd"/>
          </w:p>
        </w:tc>
        <w:tc>
          <w:tcPr>
            <w:tcW w:w="805" w:type="pct"/>
            <w:tcMar>
              <w:top w:w="56" w:type="dxa"/>
              <w:left w:w="56" w:type="dxa"/>
              <w:bottom w:w="56" w:type="dxa"/>
              <w:right w:w="56" w:type="dxa"/>
            </w:tcMar>
            <w:hideMark/>
          </w:tcPr>
          <w:p w14:paraId="383AD42A"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卫星</w:t>
            </w:r>
          </w:p>
        </w:tc>
        <w:tc>
          <w:tcPr>
            <w:tcW w:w="306" w:type="pct"/>
            <w:tcMar>
              <w:top w:w="56" w:type="dxa"/>
              <w:left w:w="56" w:type="dxa"/>
              <w:bottom w:w="56" w:type="dxa"/>
              <w:right w:w="56" w:type="dxa"/>
            </w:tcMar>
            <w:hideMark/>
          </w:tcPr>
          <w:p w14:paraId="43EA30D1"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4600</w:t>
            </w:r>
          </w:p>
        </w:tc>
        <w:tc>
          <w:tcPr>
            <w:tcW w:w="270" w:type="pct"/>
            <w:tcMar>
              <w:top w:w="56" w:type="dxa"/>
              <w:left w:w="56" w:type="dxa"/>
              <w:bottom w:w="56" w:type="dxa"/>
              <w:right w:w="56" w:type="dxa"/>
            </w:tcMar>
            <w:hideMark/>
          </w:tcPr>
          <w:p w14:paraId="0A5F8870"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三</w:t>
            </w:r>
          </w:p>
        </w:tc>
        <w:tc>
          <w:tcPr>
            <w:tcW w:w="1698" w:type="pct"/>
            <w:tcMar>
              <w:top w:w="56" w:type="dxa"/>
              <w:left w:w="56" w:type="dxa"/>
              <w:bottom w:w="56" w:type="dxa"/>
              <w:right w:w="56" w:type="dxa"/>
            </w:tcMar>
            <w:hideMark/>
          </w:tcPr>
          <w:p w14:paraId="0E01E13F" w14:textId="77777777" w:rsidR="00891DA8" w:rsidRPr="00891DA8" w:rsidRDefault="00891DA8" w:rsidP="00891DA8">
            <w:pPr>
              <w:widowControl/>
              <w:rPr>
                <w:rFonts w:ascii="微软雅黑" w:eastAsia="微软雅黑" w:hAnsi="微软雅黑" w:cs="宋体"/>
                <w:kern w:val="0"/>
                <w:sz w:val="24"/>
                <w:szCs w:val="24"/>
              </w:rPr>
            </w:pPr>
            <w:hyperlink r:id="rId112" w:tgtFrame="_blank" w:history="1">
              <w:r w:rsidRPr="00891DA8">
                <w:rPr>
                  <w:rFonts w:ascii="微软雅黑" w:eastAsia="微软雅黑" w:hAnsi="微软雅黑" w:cs="宋体"/>
                  <w:kern w:val="0"/>
                  <w:sz w:val="24"/>
                  <w:szCs w:val="24"/>
                  <w:u w:val="single"/>
                </w:rPr>
                <w:t>NCT02513394</w:t>
              </w:r>
            </w:hyperlink>
            <w:r w:rsidRPr="00891DA8">
              <w:rPr>
                <w:rFonts w:ascii="微软雅黑" w:eastAsia="微软雅黑" w:hAnsi="微软雅黑" w:cs="宋体"/>
                <w:kern w:val="0"/>
                <w:sz w:val="24"/>
                <w:szCs w:val="24"/>
              </w:rPr>
              <w:t> (PALLAS)</w:t>
            </w:r>
          </w:p>
        </w:tc>
      </w:tr>
      <w:tr w:rsidR="00E217B9" w:rsidRPr="00E217B9" w14:paraId="33E549DC" w14:textId="77777777" w:rsidTr="00891DA8">
        <w:trPr>
          <w:tblCellSpacing w:w="15" w:type="dxa"/>
        </w:trPr>
        <w:tc>
          <w:tcPr>
            <w:tcW w:w="903" w:type="pct"/>
            <w:tcMar>
              <w:top w:w="56" w:type="dxa"/>
              <w:left w:w="56" w:type="dxa"/>
              <w:bottom w:w="56" w:type="dxa"/>
              <w:right w:w="56" w:type="dxa"/>
            </w:tcMar>
            <w:hideMark/>
          </w:tcPr>
          <w:p w14:paraId="7B5F921C"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瑞博西尼（LEE011）</w:t>
            </w:r>
          </w:p>
        </w:tc>
        <w:tc>
          <w:tcPr>
            <w:tcW w:w="352" w:type="pct"/>
            <w:tcMar>
              <w:top w:w="56" w:type="dxa"/>
              <w:left w:w="56" w:type="dxa"/>
              <w:bottom w:w="56" w:type="dxa"/>
              <w:right w:w="56" w:type="dxa"/>
            </w:tcMar>
            <w:hideMark/>
          </w:tcPr>
          <w:p w14:paraId="1C7548AA"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一线转移性治疗</w:t>
            </w:r>
          </w:p>
        </w:tc>
        <w:tc>
          <w:tcPr>
            <w:tcW w:w="556" w:type="pct"/>
            <w:tcMar>
              <w:top w:w="56" w:type="dxa"/>
              <w:left w:w="56" w:type="dxa"/>
              <w:bottom w:w="56" w:type="dxa"/>
              <w:right w:w="56" w:type="dxa"/>
            </w:tcMar>
            <w:hideMark/>
          </w:tcPr>
          <w:p w14:paraId="5A716B69"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PFS</w:t>
            </w:r>
          </w:p>
        </w:tc>
        <w:tc>
          <w:tcPr>
            <w:tcW w:w="805" w:type="pct"/>
            <w:tcMar>
              <w:top w:w="56" w:type="dxa"/>
              <w:left w:w="56" w:type="dxa"/>
              <w:bottom w:w="56" w:type="dxa"/>
              <w:right w:w="56" w:type="dxa"/>
            </w:tcMar>
            <w:hideMark/>
          </w:tcPr>
          <w:p w14:paraId="4C328A30"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来曲</w:t>
            </w:r>
            <w:proofErr w:type="gramStart"/>
            <w:r w:rsidRPr="00891DA8">
              <w:rPr>
                <w:rFonts w:ascii="微软雅黑" w:eastAsia="微软雅黑" w:hAnsi="微软雅黑" w:cs="宋体"/>
                <w:kern w:val="0"/>
                <w:sz w:val="24"/>
                <w:szCs w:val="24"/>
              </w:rPr>
              <w:t>唑</w:t>
            </w:r>
            <w:proofErr w:type="gramEnd"/>
          </w:p>
        </w:tc>
        <w:tc>
          <w:tcPr>
            <w:tcW w:w="306" w:type="pct"/>
            <w:tcMar>
              <w:top w:w="56" w:type="dxa"/>
              <w:left w:w="56" w:type="dxa"/>
              <w:bottom w:w="56" w:type="dxa"/>
              <w:right w:w="56" w:type="dxa"/>
            </w:tcMar>
            <w:hideMark/>
          </w:tcPr>
          <w:p w14:paraId="49EC349F"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450</w:t>
            </w:r>
          </w:p>
        </w:tc>
        <w:tc>
          <w:tcPr>
            <w:tcW w:w="270" w:type="pct"/>
            <w:tcMar>
              <w:top w:w="56" w:type="dxa"/>
              <w:left w:w="56" w:type="dxa"/>
              <w:bottom w:w="56" w:type="dxa"/>
              <w:right w:w="56" w:type="dxa"/>
            </w:tcMar>
            <w:hideMark/>
          </w:tcPr>
          <w:p w14:paraId="05AB81CB"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三</w:t>
            </w:r>
          </w:p>
        </w:tc>
        <w:tc>
          <w:tcPr>
            <w:tcW w:w="1698" w:type="pct"/>
            <w:tcMar>
              <w:top w:w="56" w:type="dxa"/>
              <w:left w:w="56" w:type="dxa"/>
              <w:bottom w:w="56" w:type="dxa"/>
              <w:right w:w="56" w:type="dxa"/>
            </w:tcMar>
            <w:hideMark/>
          </w:tcPr>
          <w:p w14:paraId="1F9F0DE8" w14:textId="77777777" w:rsidR="00891DA8" w:rsidRPr="00891DA8" w:rsidRDefault="00891DA8" w:rsidP="00891DA8">
            <w:pPr>
              <w:widowControl/>
              <w:rPr>
                <w:rFonts w:ascii="微软雅黑" w:eastAsia="微软雅黑" w:hAnsi="微软雅黑" w:cs="宋体"/>
                <w:kern w:val="0"/>
                <w:sz w:val="24"/>
                <w:szCs w:val="24"/>
              </w:rPr>
            </w:pPr>
            <w:hyperlink r:id="rId113" w:tgtFrame="_blank" w:history="1">
              <w:r w:rsidRPr="00891DA8">
                <w:rPr>
                  <w:rFonts w:ascii="微软雅黑" w:eastAsia="微软雅黑" w:hAnsi="微软雅黑" w:cs="宋体"/>
                  <w:kern w:val="0"/>
                  <w:sz w:val="24"/>
                  <w:szCs w:val="24"/>
                  <w:u w:val="single"/>
                </w:rPr>
                <w:t>NCT01958021</w:t>
              </w:r>
            </w:hyperlink>
          </w:p>
        </w:tc>
      </w:tr>
      <w:tr w:rsidR="00E217B9" w:rsidRPr="00E217B9" w14:paraId="648BE322" w14:textId="77777777" w:rsidTr="00891DA8">
        <w:trPr>
          <w:tblCellSpacing w:w="15" w:type="dxa"/>
        </w:trPr>
        <w:tc>
          <w:tcPr>
            <w:tcW w:w="903" w:type="pct"/>
            <w:tcMar>
              <w:top w:w="56" w:type="dxa"/>
              <w:left w:w="56" w:type="dxa"/>
              <w:bottom w:w="56" w:type="dxa"/>
              <w:right w:w="56" w:type="dxa"/>
            </w:tcMar>
            <w:hideMark/>
          </w:tcPr>
          <w:p w14:paraId="7E4F48D2" w14:textId="77777777" w:rsidR="00891DA8" w:rsidRPr="00891DA8" w:rsidRDefault="00891DA8" w:rsidP="00891DA8">
            <w:pPr>
              <w:widowControl/>
              <w:rPr>
                <w:rFonts w:ascii="微软雅黑" w:eastAsia="微软雅黑" w:hAnsi="微软雅黑" w:cs="宋体"/>
                <w:kern w:val="0"/>
                <w:sz w:val="24"/>
                <w:szCs w:val="24"/>
              </w:rPr>
            </w:pPr>
          </w:p>
        </w:tc>
        <w:tc>
          <w:tcPr>
            <w:tcW w:w="352" w:type="pct"/>
            <w:tcMar>
              <w:top w:w="56" w:type="dxa"/>
              <w:left w:w="56" w:type="dxa"/>
              <w:bottom w:w="56" w:type="dxa"/>
              <w:right w:w="56" w:type="dxa"/>
            </w:tcMar>
            <w:hideMark/>
          </w:tcPr>
          <w:p w14:paraId="42A9A091"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术前</w:t>
            </w:r>
          </w:p>
        </w:tc>
        <w:tc>
          <w:tcPr>
            <w:tcW w:w="556" w:type="pct"/>
            <w:tcMar>
              <w:top w:w="56" w:type="dxa"/>
              <w:left w:w="56" w:type="dxa"/>
              <w:bottom w:w="56" w:type="dxa"/>
              <w:right w:w="56" w:type="dxa"/>
            </w:tcMar>
            <w:hideMark/>
          </w:tcPr>
          <w:p w14:paraId="0081B352"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PD</w:t>
            </w:r>
          </w:p>
        </w:tc>
        <w:tc>
          <w:tcPr>
            <w:tcW w:w="805" w:type="pct"/>
            <w:tcMar>
              <w:top w:w="56" w:type="dxa"/>
              <w:left w:w="56" w:type="dxa"/>
              <w:bottom w:w="56" w:type="dxa"/>
              <w:right w:w="56" w:type="dxa"/>
            </w:tcMar>
            <w:hideMark/>
          </w:tcPr>
          <w:p w14:paraId="0AC8FFB3"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来曲</w:t>
            </w:r>
            <w:proofErr w:type="gramStart"/>
            <w:r w:rsidRPr="00891DA8">
              <w:rPr>
                <w:rFonts w:ascii="微软雅黑" w:eastAsia="微软雅黑" w:hAnsi="微软雅黑" w:cs="宋体"/>
                <w:kern w:val="0"/>
                <w:sz w:val="24"/>
                <w:szCs w:val="24"/>
              </w:rPr>
              <w:t>唑</w:t>
            </w:r>
            <w:proofErr w:type="gramEnd"/>
          </w:p>
        </w:tc>
        <w:tc>
          <w:tcPr>
            <w:tcW w:w="306" w:type="pct"/>
            <w:tcMar>
              <w:top w:w="56" w:type="dxa"/>
              <w:left w:w="56" w:type="dxa"/>
              <w:bottom w:w="56" w:type="dxa"/>
              <w:right w:w="56" w:type="dxa"/>
            </w:tcMar>
            <w:hideMark/>
          </w:tcPr>
          <w:p w14:paraId="5C061E43"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120</w:t>
            </w:r>
          </w:p>
        </w:tc>
        <w:tc>
          <w:tcPr>
            <w:tcW w:w="270" w:type="pct"/>
            <w:tcMar>
              <w:top w:w="56" w:type="dxa"/>
              <w:left w:w="56" w:type="dxa"/>
              <w:bottom w:w="56" w:type="dxa"/>
              <w:right w:w="56" w:type="dxa"/>
            </w:tcMar>
            <w:hideMark/>
          </w:tcPr>
          <w:p w14:paraId="71C3EA6F"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二</w:t>
            </w:r>
          </w:p>
        </w:tc>
        <w:tc>
          <w:tcPr>
            <w:tcW w:w="1698" w:type="pct"/>
            <w:tcMar>
              <w:top w:w="56" w:type="dxa"/>
              <w:left w:w="56" w:type="dxa"/>
              <w:bottom w:w="56" w:type="dxa"/>
              <w:right w:w="56" w:type="dxa"/>
            </w:tcMar>
            <w:hideMark/>
          </w:tcPr>
          <w:p w14:paraId="040590AD" w14:textId="77777777" w:rsidR="00891DA8" w:rsidRPr="00891DA8" w:rsidRDefault="00891DA8" w:rsidP="00891DA8">
            <w:pPr>
              <w:widowControl/>
              <w:rPr>
                <w:rFonts w:ascii="微软雅黑" w:eastAsia="微软雅黑" w:hAnsi="微软雅黑" w:cs="宋体"/>
                <w:kern w:val="0"/>
                <w:sz w:val="24"/>
                <w:szCs w:val="24"/>
              </w:rPr>
            </w:pPr>
            <w:hyperlink r:id="rId114" w:tgtFrame="_blank" w:history="1">
              <w:r w:rsidRPr="00891DA8">
                <w:rPr>
                  <w:rFonts w:ascii="微软雅黑" w:eastAsia="微软雅黑" w:hAnsi="微软雅黑" w:cs="宋体"/>
                  <w:kern w:val="0"/>
                  <w:sz w:val="24"/>
                  <w:szCs w:val="24"/>
                  <w:u w:val="single"/>
                </w:rPr>
                <w:t>NCT01919229</w:t>
              </w:r>
            </w:hyperlink>
            <w:r w:rsidRPr="00891DA8">
              <w:rPr>
                <w:rFonts w:ascii="微软雅黑" w:eastAsia="微软雅黑" w:hAnsi="微软雅黑" w:cs="宋体"/>
                <w:kern w:val="0"/>
                <w:sz w:val="24"/>
                <w:szCs w:val="24"/>
              </w:rPr>
              <w:t> (MONALEESA-1)</w:t>
            </w:r>
          </w:p>
        </w:tc>
      </w:tr>
      <w:tr w:rsidR="00E217B9" w:rsidRPr="00E217B9" w14:paraId="735CC7FC" w14:textId="77777777" w:rsidTr="00891DA8">
        <w:trPr>
          <w:tblCellSpacing w:w="15" w:type="dxa"/>
        </w:trPr>
        <w:tc>
          <w:tcPr>
            <w:tcW w:w="903" w:type="pct"/>
            <w:tcMar>
              <w:top w:w="56" w:type="dxa"/>
              <w:left w:w="56" w:type="dxa"/>
              <w:bottom w:w="56" w:type="dxa"/>
              <w:right w:w="56" w:type="dxa"/>
            </w:tcMar>
            <w:hideMark/>
          </w:tcPr>
          <w:p w14:paraId="65958895" w14:textId="77777777" w:rsidR="00891DA8" w:rsidRPr="00891DA8" w:rsidRDefault="00891DA8" w:rsidP="00891DA8">
            <w:pPr>
              <w:widowControl/>
              <w:rPr>
                <w:rFonts w:ascii="微软雅黑" w:eastAsia="微软雅黑" w:hAnsi="微软雅黑" w:cs="宋体"/>
                <w:kern w:val="0"/>
                <w:sz w:val="24"/>
                <w:szCs w:val="24"/>
              </w:rPr>
            </w:pPr>
          </w:p>
        </w:tc>
        <w:tc>
          <w:tcPr>
            <w:tcW w:w="352" w:type="pct"/>
            <w:tcMar>
              <w:top w:w="56" w:type="dxa"/>
              <w:left w:w="56" w:type="dxa"/>
              <w:bottom w:w="56" w:type="dxa"/>
              <w:right w:w="56" w:type="dxa"/>
            </w:tcMar>
            <w:hideMark/>
          </w:tcPr>
          <w:p w14:paraId="34A5B849"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转移性</w:t>
            </w:r>
          </w:p>
        </w:tc>
        <w:tc>
          <w:tcPr>
            <w:tcW w:w="556" w:type="pct"/>
            <w:tcMar>
              <w:top w:w="56" w:type="dxa"/>
              <w:left w:w="56" w:type="dxa"/>
              <w:bottom w:w="56" w:type="dxa"/>
              <w:right w:w="56" w:type="dxa"/>
            </w:tcMar>
            <w:hideMark/>
          </w:tcPr>
          <w:p w14:paraId="549BA189"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DLT、PFS</w:t>
            </w:r>
          </w:p>
        </w:tc>
        <w:tc>
          <w:tcPr>
            <w:tcW w:w="805" w:type="pct"/>
            <w:tcMar>
              <w:top w:w="56" w:type="dxa"/>
              <w:left w:w="56" w:type="dxa"/>
              <w:bottom w:w="56" w:type="dxa"/>
              <w:right w:w="56" w:type="dxa"/>
            </w:tcMar>
            <w:hideMark/>
          </w:tcPr>
          <w:p w14:paraId="7190D683"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BYL719，来曲</w:t>
            </w:r>
            <w:proofErr w:type="gramStart"/>
            <w:r w:rsidRPr="00891DA8">
              <w:rPr>
                <w:rFonts w:ascii="微软雅黑" w:eastAsia="微软雅黑" w:hAnsi="微软雅黑" w:cs="宋体"/>
                <w:kern w:val="0"/>
                <w:sz w:val="24"/>
                <w:szCs w:val="24"/>
              </w:rPr>
              <w:t>唑</w:t>
            </w:r>
            <w:proofErr w:type="gramEnd"/>
          </w:p>
        </w:tc>
        <w:tc>
          <w:tcPr>
            <w:tcW w:w="306" w:type="pct"/>
            <w:tcMar>
              <w:top w:w="56" w:type="dxa"/>
              <w:left w:w="56" w:type="dxa"/>
              <w:bottom w:w="56" w:type="dxa"/>
              <w:right w:w="56" w:type="dxa"/>
            </w:tcMar>
            <w:hideMark/>
          </w:tcPr>
          <w:p w14:paraId="5C82664F"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300</w:t>
            </w:r>
          </w:p>
        </w:tc>
        <w:tc>
          <w:tcPr>
            <w:tcW w:w="270" w:type="pct"/>
            <w:tcMar>
              <w:top w:w="56" w:type="dxa"/>
              <w:left w:w="56" w:type="dxa"/>
              <w:bottom w:w="56" w:type="dxa"/>
              <w:right w:w="56" w:type="dxa"/>
            </w:tcMar>
            <w:hideMark/>
          </w:tcPr>
          <w:p w14:paraId="119BD552" w14:textId="77777777" w:rsidR="00891DA8" w:rsidRPr="00891DA8" w:rsidRDefault="00891DA8" w:rsidP="00891DA8">
            <w:pPr>
              <w:widowControl/>
              <w:rPr>
                <w:rFonts w:ascii="微软雅黑" w:eastAsia="微软雅黑" w:hAnsi="微软雅黑" w:cs="宋体"/>
                <w:kern w:val="0"/>
                <w:sz w:val="24"/>
                <w:szCs w:val="24"/>
              </w:rPr>
            </w:pPr>
            <w:proofErr w:type="gramStart"/>
            <w:r w:rsidRPr="00891DA8">
              <w:rPr>
                <w:rFonts w:ascii="微软雅黑" w:eastAsia="微软雅黑" w:hAnsi="微软雅黑" w:cs="宋体"/>
                <w:kern w:val="0"/>
                <w:sz w:val="24"/>
                <w:szCs w:val="24"/>
              </w:rPr>
              <w:t>一</w:t>
            </w:r>
            <w:proofErr w:type="gramEnd"/>
            <w:r w:rsidRPr="00891DA8">
              <w:rPr>
                <w:rFonts w:ascii="微软雅黑" w:eastAsia="微软雅黑" w:hAnsi="微软雅黑" w:cs="宋体"/>
                <w:kern w:val="0"/>
                <w:sz w:val="24"/>
                <w:szCs w:val="24"/>
              </w:rPr>
              <w:t>/二</w:t>
            </w:r>
          </w:p>
        </w:tc>
        <w:tc>
          <w:tcPr>
            <w:tcW w:w="1698" w:type="pct"/>
            <w:tcMar>
              <w:top w:w="56" w:type="dxa"/>
              <w:left w:w="56" w:type="dxa"/>
              <w:bottom w:w="56" w:type="dxa"/>
              <w:right w:w="56" w:type="dxa"/>
            </w:tcMar>
            <w:hideMark/>
          </w:tcPr>
          <w:p w14:paraId="22535E7E" w14:textId="77777777" w:rsidR="00891DA8" w:rsidRPr="00891DA8" w:rsidRDefault="00891DA8" w:rsidP="00891DA8">
            <w:pPr>
              <w:widowControl/>
              <w:rPr>
                <w:rFonts w:ascii="微软雅黑" w:eastAsia="微软雅黑" w:hAnsi="微软雅黑" w:cs="宋体"/>
                <w:kern w:val="0"/>
                <w:sz w:val="24"/>
                <w:szCs w:val="24"/>
              </w:rPr>
            </w:pPr>
            <w:hyperlink r:id="rId115" w:tgtFrame="_blank" w:history="1">
              <w:r w:rsidRPr="00891DA8">
                <w:rPr>
                  <w:rFonts w:ascii="微软雅黑" w:eastAsia="微软雅黑" w:hAnsi="微软雅黑" w:cs="宋体"/>
                  <w:kern w:val="0"/>
                  <w:sz w:val="24"/>
                  <w:szCs w:val="24"/>
                  <w:u w:val="single"/>
                </w:rPr>
                <w:t>NCT01872260</w:t>
              </w:r>
            </w:hyperlink>
          </w:p>
        </w:tc>
      </w:tr>
      <w:tr w:rsidR="00E217B9" w:rsidRPr="00E217B9" w14:paraId="404B214E" w14:textId="77777777" w:rsidTr="00891DA8">
        <w:trPr>
          <w:tblCellSpacing w:w="15" w:type="dxa"/>
        </w:trPr>
        <w:tc>
          <w:tcPr>
            <w:tcW w:w="903" w:type="pct"/>
            <w:tcMar>
              <w:top w:w="56" w:type="dxa"/>
              <w:left w:w="56" w:type="dxa"/>
              <w:bottom w:w="56" w:type="dxa"/>
              <w:right w:w="56" w:type="dxa"/>
            </w:tcMar>
            <w:hideMark/>
          </w:tcPr>
          <w:p w14:paraId="497101F0" w14:textId="77777777" w:rsidR="00891DA8" w:rsidRPr="00891DA8" w:rsidRDefault="00891DA8" w:rsidP="00891DA8">
            <w:pPr>
              <w:widowControl/>
              <w:rPr>
                <w:rFonts w:ascii="微软雅黑" w:eastAsia="微软雅黑" w:hAnsi="微软雅黑" w:cs="宋体"/>
                <w:kern w:val="0"/>
                <w:sz w:val="24"/>
                <w:szCs w:val="24"/>
              </w:rPr>
            </w:pPr>
          </w:p>
        </w:tc>
        <w:tc>
          <w:tcPr>
            <w:tcW w:w="352" w:type="pct"/>
            <w:tcMar>
              <w:top w:w="56" w:type="dxa"/>
              <w:left w:w="56" w:type="dxa"/>
              <w:bottom w:w="56" w:type="dxa"/>
              <w:right w:w="56" w:type="dxa"/>
            </w:tcMar>
            <w:hideMark/>
          </w:tcPr>
          <w:p w14:paraId="0F64238A"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转移性</w:t>
            </w:r>
          </w:p>
        </w:tc>
        <w:tc>
          <w:tcPr>
            <w:tcW w:w="556" w:type="pct"/>
            <w:tcMar>
              <w:top w:w="56" w:type="dxa"/>
              <w:left w:w="56" w:type="dxa"/>
              <w:bottom w:w="56" w:type="dxa"/>
              <w:right w:w="56" w:type="dxa"/>
            </w:tcMar>
            <w:hideMark/>
          </w:tcPr>
          <w:p w14:paraId="0FB42653"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DLT、PFS</w:t>
            </w:r>
          </w:p>
        </w:tc>
        <w:tc>
          <w:tcPr>
            <w:tcW w:w="805" w:type="pct"/>
            <w:tcMar>
              <w:top w:w="56" w:type="dxa"/>
              <w:left w:w="56" w:type="dxa"/>
              <w:bottom w:w="56" w:type="dxa"/>
              <w:right w:w="56" w:type="dxa"/>
            </w:tcMar>
            <w:hideMark/>
          </w:tcPr>
          <w:p w14:paraId="0D2EF2AE"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依西美坦，依维莫司</w:t>
            </w:r>
          </w:p>
        </w:tc>
        <w:tc>
          <w:tcPr>
            <w:tcW w:w="306" w:type="pct"/>
            <w:tcMar>
              <w:top w:w="56" w:type="dxa"/>
              <w:left w:w="56" w:type="dxa"/>
              <w:bottom w:w="56" w:type="dxa"/>
              <w:right w:w="56" w:type="dxa"/>
            </w:tcMar>
            <w:hideMark/>
          </w:tcPr>
          <w:p w14:paraId="5D20BD59"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185</w:t>
            </w:r>
          </w:p>
        </w:tc>
        <w:tc>
          <w:tcPr>
            <w:tcW w:w="270" w:type="pct"/>
            <w:tcMar>
              <w:top w:w="56" w:type="dxa"/>
              <w:left w:w="56" w:type="dxa"/>
              <w:bottom w:w="56" w:type="dxa"/>
              <w:right w:w="56" w:type="dxa"/>
            </w:tcMar>
            <w:hideMark/>
          </w:tcPr>
          <w:p w14:paraId="4C0CEBC1" w14:textId="77777777" w:rsidR="00891DA8" w:rsidRPr="00891DA8" w:rsidRDefault="00891DA8" w:rsidP="00891DA8">
            <w:pPr>
              <w:widowControl/>
              <w:rPr>
                <w:rFonts w:ascii="微软雅黑" w:eastAsia="微软雅黑" w:hAnsi="微软雅黑" w:cs="宋体"/>
                <w:kern w:val="0"/>
                <w:sz w:val="24"/>
                <w:szCs w:val="24"/>
              </w:rPr>
            </w:pPr>
            <w:proofErr w:type="spellStart"/>
            <w:r w:rsidRPr="00891DA8">
              <w:rPr>
                <w:rFonts w:ascii="微软雅黑" w:eastAsia="微软雅黑" w:hAnsi="微软雅黑" w:cs="宋体"/>
                <w:kern w:val="0"/>
                <w:sz w:val="24"/>
                <w:szCs w:val="24"/>
              </w:rPr>
              <w:t>Ib</w:t>
            </w:r>
            <w:proofErr w:type="spellEnd"/>
            <w:r w:rsidRPr="00891DA8">
              <w:rPr>
                <w:rFonts w:ascii="微软雅黑" w:eastAsia="微软雅黑" w:hAnsi="微软雅黑" w:cs="宋体"/>
                <w:kern w:val="0"/>
                <w:sz w:val="24"/>
                <w:szCs w:val="24"/>
              </w:rPr>
              <w:t>/II</w:t>
            </w:r>
          </w:p>
        </w:tc>
        <w:tc>
          <w:tcPr>
            <w:tcW w:w="1698" w:type="pct"/>
            <w:tcMar>
              <w:top w:w="56" w:type="dxa"/>
              <w:left w:w="56" w:type="dxa"/>
              <w:bottom w:w="56" w:type="dxa"/>
              <w:right w:w="56" w:type="dxa"/>
            </w:tcMar>
            <w:hideMark/>
          </w:tcPr>
          <w:p w14:paraId="26BD1E96" w14:textId="77777777" w:rsidR="00891DA8" w:rsidRPr="00891DA8" w:rsidRDefault="00891DA8" w:rsidP="00891DA8">
            <w:pPr>
              <w:widowControl/>
              <w:rPr>
                <w:rFonts w:ascii="微软雅黑" w:eastAsia="微软雅黑" w:hAnsi="微软雅黑" w:cs="宋体"/>
                <w:kern w:val="0"/>
                <w:sz w:val="24"/>
                <w:szCs w:val="24"/>
              </w:rPr>
            </w:pPr>
            <w:hyperlink r:id="rId116" w:tgtFrame="_blank" w:history="1">
              <w:r w:rsidRPr="00891DA8">
                <w:rPr>
                  <w:rFonts w:ascii="微软雅黑" w:eastAsia="微软雅黑" w:hAnsi="微软雅黑" w:cs="宋体"/>
                  <w:kern w:val="0"/>
                  <w:sz w:val="24"/>
                  <w:szCs w:val="24"/>
                  <w:u w:val="single"/>
                </w:rPr>
                <w:t>NCT01857193</w:t>
              </w:r>
            </w:hyperlink>
          </w:p>
        </w:tc>
      </w:tr>
      <w:tr w:rsidR="00E217B9" w:rsidRPr="00E217B9" w14:paraId="1FEB5B69" w14:textId="77777777" w:rsidTr="00891DA8">
        <w:trPr>
          <w:tblCellSpacing w:w="15" w:type="dxa"/>
        </w:trPr>
        <w:tc>
          <w:tcPr>
            <w:tcW w:w="903" w:type="pct"/>
            <w:tcMar>
              <w:top w:w="56" w:type="dxa"/>
              <w:left w:w="56" w:type="dxa"/>
              <w:bottom w:w="56" w:type="dxa"/>
              <w:right w:w="56" w:type="dxa"/>
            </w:tcMar>
            <w:hideMark/>
          </w:tcPr>
          <w:p w14:paraId="1D498BBF" w14:textId="77777777" w:rsidR="00891DA8" w:rsidRPr="00891DA8" w:rsidRDefault="00891DA8" w:rsidP="00891DA8">
            <w:pPr>
              <w:widowControl/>
              <w:rPr>
                <w:rFonts w:ascii="微软雅黑" w:eastAsia="微软雅黑" w:hAnsi="微软雅黑" w:cs="宋体"/>
                <w:kern w:val="0"/>
                <w:sz w:val="24"/>
                <w:szCs w:val="24"/>
              </w:rPr>
            </w:pPr>
          </w:p>
        </w:tc>
        <w:tc>
          <w:tcPr>
            <w:tcW w:w="352" w:type="pct"/>
            <w:tcMar>
              <w:top w:w="56" w:type="dxa"/>
              <w:left w:w="56" w:type="dxa"/>
              <w:bottom w:w="56" w:type="dxa"/>
              <w:right w:w="56" w:type="dxa"/>
            </w:tcMar>
            <w:hideMark/>
          </w:tcPr>
          <w:p w14:paraId="2982F322"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转移性</w:t>
            </w:r>
          </w:p>
        </w:tc>
        <w:tc>
          <w:tcPr>
            <w:tcW w:w="556" w:type="pct"/>
            <w:tcMar>
              <w:top w:w="56" w:type="dxa"/>
              <w:left w:w="56" w:type="dxa"/>
              <w:bottom w:w="56" w:type="dxa"/>
              <w:right w:w="56" w:type="dxa"/>
            </w:tcMar>
            <w:hideMark/>
          </w:tcPr>
          <w:p w14:paraId="1FB6238A"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PFS</w:t>
            </w:r>
          </w:p>
        </w:tc>
        <w:tc>
          <w:tcPr>
            <w:tcW w:w="805" w:type="pct"/>
            <w:tcMar>
              <w:top w:w="56" w:type="dxa"/>
              <w:left w:w="56" w:type="dxa"/>
              <w:bottom w:w="56" w:type="dxa"/>
              <w:right w:w="56" w:type="dxa"/>
            </w:tcMar>
            <w:hideMark/>
          </w:tcPr>
          <w:p w14:paraId="297E23D9"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来曲</w:t>
            </w:r>
            <w:proofErr w:type="gramStart"/>
            <w:r w:rsidRPr="00891DA8">
              <w:rPr>
                <w:rFonts w:ascii="微软雅黑" w:eastAsia="微软雅黑" w:hAnsi="微软雅黑" w:cs="宋体"/>
                <w:kern w:val="0"/>
                <w:sz w:val="24"/>
                <w:szCs w:val="24"/>
              </w:rPr>
              <w:t>唑</w:t>
            </w:r>
            <w:proofErr w:type="gramEnd"/>
          </w:p>
        </w:tc>
        <w:tc>
          <w:tcPr>
            <w:tcW w:w="306" w:type="pct"/>
            <w:tcMar>
              <w:top w:w="56" w:type="dxa"/>
              <w:left w:w="56" w:type="dxa"/>
              <w:bottom w:w="56" w:type="dxa"/>
              <w:right w:w="56" w:type="dxa"/>
            </w:tcMar>
            <w:hideMark/>
          </w:tcPr>
          <w:p w14:paraId="673216F1"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650</w:t>
            </w:r>
          </w:p>
        </w:tc>
        <w:tc>
          <w:tcPr>
            <w:tcW w:w="270" w:type="pct"/>
            <w:tcMar>
              <w:top w:w="56" w:type="dxa"/>
              <w:left w:w="56" w:type="dxa"/>
              <w:bottom w:w="56" w:type="dxa"/>
              <w:right w:w="56" w:type="dxa"/>
            </w:tcMar>
            <w:hideMark/>
          </w:tcPr>
          <w:p w14:paraId="07A716F6"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三</w:t>
            </w:r>
          </w:p>
        </w:tc>
        <w:tc>
          <w:tcPr>
            <w:tcW w:w="1698" w:type="pct"/>
            <w:tcMar>
              <w:top w:w="56" w:type="dxa"/>
              <w:left w:w="56" w:type="dxa"/>
              <w:bottom w:w="56" w:type="dxa"/>
              <w:right w:w="56" w:type="dxa"/>
            </w:tcMar>
            <w:hideMark/>
          </w:tcPr>
          <w:p w14:paraId="30289510" w14:textId="77777777" w:rsidR="00891DA8" w:rsidRPr="00891DA8" w:rsidRDefault="00891DA8" w:rsidP="00891DA8">
            <w:pPr>
              <w:widowControl/>
              <w:rPr>
                <w:rFonts w:ascii="微软雅黑" w:eastAsia="微软雅黑" w:hAnsi="微软雅黑" w:cs="宋体"/>
                <w:kern w:val="0"/>
                <w:sz w:val="24"/>
                <w:szCs w:val="24"/>
              </w:rPr>
            </w:pPr>
            <w:hyperlink r:id="rId117" w:tgtFrame="_blank" w:history="1">
              <w:r w:rsidRPr="00891DA8">
                <w:rPr>
                  <w:rFonts w:ascii="微软雅黑" w:eastAsia="微软雅黑" w:hAnsi="微软雅黑" w:cs="宋体"/>
                  <w:kern w:val="0"/>
                  <w:sz w:val="24"/>
                  <w:szCs w:val="24"/>
                  <w:u w:val="single"/>
                </w:rPr>
                <w:t>NCT01958021</w:t>
              </w:r>
            </w:hyperlink>
            <w:r w:rsidRPr="00891DA8">
              <w:rPr>
                <w:rFonts w:ascii="微软雅黑" w:eastAsia="微软雅黑" w:hAnsi="微软雅黑" w:cs="宋体"/>
                <w:kern w:val="0"/>
                <w:sz w:val="24"/>
                <w:szCs w:val="24"/>
              </w:rPr>
              <w:t> (MONALEESA-2)</w:t>
            </w:r>
          </w:p>
        </w:tc>
      </w:tr>
      <w:tr w:rsidR="00E217B9" w:rsidRPr="00E217B9" w14:paraId="4793EFCE" w14:textId="77777777" w:rsidTr="00891DA8">
        <w:trPr>
          <w:tblCellSpacing w:w="15" w:type="dxa"/>
        </w:trPr>
        <w:tc>
          <w:tcPr>
            <w:tcW w:w="903" w:type="pct"/>
            <w:tcMar>
              <w:top w:w="56" w:type="dxa"/>
              <w:left w:w="56" w:type="dxa"/>
              <w:bottom w:w="56" w:type="dxa"/>
              <w:right w:w="56" w:type="dxa"/>
            </w:tcMar>
            <w:hideMark/>
          </w:tcPr>
          <w:p w14:paraId="231E8165" w14:textId="77777777" w:rsidR="00891DA8" w:rsidRPr="00891DA8" w:rsidRDefault="00891DA8" w:rsidP="00891DA8">
            <w:pPr>
              <w:widowControl/>
              <w:rPr>
                <w:rFonts w:ascii="微软雅黑" w:eastAsia="微软雅黑" w:hAnsi="微软雅黑" w:cs="宋体"/>
                <w:kern w:val="0"/>
                <w:sz w:val="24"/>
                <w:szCs w:val="24"/>
              </w:rPr>
            </w:pPr>
          </w:p>
        </w:tc>
        <w:tc>
          <w:tcPr>
            <w:tcW w:w="352" w:type="pct"/>
            <w:tcMar>
              <w:top w:w="56" w:type="dxa"/>
              <w:left w:w="56" w:type="dxa"/>
              <w:bottom w:w="56" w:type="dxa"/>
              <w:right w:w="56" w:type="dxa"/>
            </w:tcMar>
            <w:hideMark/>
          </w:tcPr>
          <w:p w14:paraId="6456C6A6"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转移性</w:t>
            </w:r>
          </w:p>
        </w:tc>
        <w:tc>
          <w:tcPr>
            <w:tcW w:w="556" w:type="pct"/>
            <w:tcMar>
              <w:top w:w="56" w:type="dxa"/>
              <w:left w:w="56" w:type="dxa"/>
              <w:bottom w:w="56" w:type="dxa"/>
              <w:right w:w="56" w:type="dxa"/>
            </w:tcMar>
            <w:hideMark/>
          </w:tcPr>
          <w:p w14:paraId="700FA8AA"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分布式账本技术</w:t>
            </w:r>
          </w:p>
        </w:tc>
        <w:tc>
          <w:tcPr>
            <w:tcW w:w="805" w:type="pct"/>
            <w:tcMar>
              <w:top w:w="56" w:type="dxa"/>
              <w:left w:w="56" w:type="dxa"/>
              <w:bottom w:w="56" w:type="dxa"/>
              <w:right w:w="56" w:type="dxa"/>
            </w:tcMar>
            <w:hideMark/>
          </w:tcPr>
          <w:p w14:paraId="23C68436"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来曲</w:t>
            </w:r>
            <w:proofErr w:type="gramStart"/>
            <w:r w:rsidRPr="00891DA8">
              <w:rPr>
                <w:rFonts w:ascii="微软雅黑" w:eastAsia="微软雅黑" w:hAnsi="微软雅黑" w:cs="宋体"/>
                <w:kern w:val="0"/>
                <w:sz w:val="24"/>
                <w:szCs w:val="24"/>
              </w:rPr>
              <w:t>唑</w:t>
            </w:r>
            <w:proofErr w:type="gramEnd"/>
            <w:r w:rsidRPr="00891DA8">
              <w:rPr>
                <w:rFonts w:ascii="微软雅黑" w:eastAsia="微软雅黑" w:hAnsi="微软雅黑" w:cs="宋体"/>
                <w:kern w:val="0"/>
                <w:sz w:val="24"/>
                <w:szCs w:val="24"/>
              </w:rPr>
              <w:t>，布帕利西布</w:t>
            </w:r>
          </w:p>
        </w:tc>
        <w:tc>
          <w:tcPr>
            <w:tcW w:w="306" w:type="pct"/>
            <w:tcMar>
              <w:top w:w="56" w:type="dxa"/>
              <w:left w:w="56" w:type="dxa"/>
              <w:bottom w:w="56" w:type="dxa"/>
              <w:right w:w="56" w:type="dxa"/>
            </w:tcMar>
            <w:hideMark/>
          </w:tcPr>
          <w:p w14:paraId="11CAC83D"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13</w:t>
            </w:r>
          </w:p>
        </w:tc>
        <w:tc>
          <w:tcPr>
            <w:tcW w:w="270" w:type="pct"/>
            <w:tcMar>
              <w:top w:w="56" w:type="dxa"/>
              <w:left w:w="56" w:type="dxa"/>
              <w:bottom w:w="56" w:type="dxa"/>
              <w:right w:w="56" w:type="dxa"/>
            </w:tcMar>
            <w:hideMark/>
          </w:tcPr>
          <w:p w14:paraId="2B707D9D"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我</w:t>
            </w:r>
          </w:p>
        </w:tc>
        <w:tc>
          <w:tcPr>
            <w:tcW w:w="1698" w:type="pct"/>
            <w:tcMar>
              <w:top w:w="56" w:type="dxa"/>
              <w:left w:w="56" w:type="dxa"/>
              <w:bottom w:w="56" w:type="dxa"/>
              <w:right w:w="56" w:type="dxa"/>
            </w:tcMar>
            <w:hideMark/>
          </w:tcPr>
          <w:p w14:paraId="158FC562" w14:textId="77777777" w:rsidR="00891DA8" w:rsidRPr="00891DA8" w:rsidRDefault="00891DA8" w:rsidP="00891DA8">
            <w:pPr>
              <w:widowControl/>
              <w:rPr>
                <w:rFonts w:ascii="微软雅黑" w:eastAsia="微软雅黑" w:hAnsi="微软雅黑" w:cs="宋体"/>
                <w:kern w:val="0"/>
                <w:sz w:val="24"/>
                <w:szCs w:val="24"/>
              </w:rPr>
            </w:pPr>
            <w:hyperlink r:id="rId118" w:tgtFrame="_blank" w:history="1">
              <w:r w:rsidRPr="00891DA8">
                <w:rPr>
                  <w:rFonts w:ascii="微软雅黑" w:eastAsia="微软雅黑" w:hAnsi="微软雅黑" w:cs="宋体"/>
                  <w:kern w:val="0"/>
                  <w:sz w:val="24"/>
                  <w:szCs w:val="24"/>
                  <w:u w:val="single"/>
                </w:rPr>
                <w:t>NCT02154776</w:t>
              </w:r>
            </w:hyperlink>
          </w:p>
        </w:tc>
      </w:tr>
      <w:tr w:rsidR="00E217B9" w:rsidRPr="00E217B9" w14:paraId="224CFA87" w14:textId="77777777" w:rsidTr="00891DA8">
        <w:trPr>
          <w:tblCellSpacing w:w="15" w:type="dxa"/>
        </w:trPr>
        <w:tc>
          <w:tcPr>
            <w:tcW w:w="903" w:type="pct"/>
            <w:tcMar>
              <w:top w:w="56" w:type="dxa"/>
              <w:left w:w="56" w:type="dxa"/>
              <w:bottom w:w="56" w:type="dxa"/>
              <w:right w:w="56" w:type="dxa"/>
            </w:tcMar>
            <w:hideMark/>
          </w:tcPr>
          <w:p w14:paraId="11639C50" w14:textId="77777777" w:rsidR="00891DA8" w:rsidRPr="00891DA8" w:rsidRDefault="00891DA8" w:rsidP="00891DA8">
            <w:pPr>
              <w:widowControl/>
              <w:rPr>
                <w:rFonts w:ascii="微软雅黑" w:eastAsia="微软雅黑" w:hAnsi="微软雅黑" w:cs="宋体"/>
                <w:kern w:val="0"/>
                <w:sz w:val="24"/>
                <w:szCs w:val="24"/>
              </w:rPr>
            </w:pPr>
          </w:p>
        </w:tc>
        <w:tc>
          <w:tcPr>
            <w:tcW w:w="352" w:type="pct"/>
            <w:tcMar>
              <w:top w:w="56" w:type="dxa"/>
              <w:left w:w="56" w:type="dxa"/>
              <w:bottom w:w="56" w:type="dxa"/>
              <w:right w:w="56" w:type="dxa"/>
            </w:tcMar>
            <w:hideMark/>
          </w:tcPr>
          <w:p w14:paraId="357060CF"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转移性（</w:t>
            </w:r>
            <w:r w:rsidRPr="00891DA8">
              <w:rPr>
                <w:rFonts w:ascii="微软雅黑" w:eastAsia="微软雅黑" w:hAnsi="微软雅黑" w:cs="宋体"/>
                <w:kern w:val="0"/>
                <w:sz w:val="24"/>
                <w:szCs w:val="24"/>
              </w:rPr>
              <w:lastRenderedPageBreak/>
              <w:t>绝经前）</w:t>
            </w:r>
          </w:p>
        </w:tc>
        <w:tc>
          <w:tcPr>
            <w:tcW w:w="556" w:type="pct"/>
            <w:tcMar>
              <w:top w:w="56" w:type="dxa"/>
              <w:left w:w="56" w:type="dxa"/>
              <w:bottom w:w="56" w:type="dxa"/>
              <w:right w:w="56" w:type="dxa"/>
            </w:tcMar>
            <w:hideMark/>
          </w:tcPr>
          <w:p w14:paraId="333EC46F"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lastRenderedPageBreak/>
              <w:t>PFS</w:t>
            </w:r>
          </w:p>
        </w:tc>
        <w:tc>
          <w:tcPr>
            <w:tcW w:w="805" w:type="pct"/>
            <w:tcMar>
              <w:top w:w="56" w:type="dxa"/>
              <w:left w:w="56" w:type="dxa"/>
              <w:bottom w:w="56" w:type="dxa"/>
              <w:right w:w="56" w:type="dxa"/>
            </w:tcMar>
            <w:hideMark/>
          </w:tcPr>
          <w:p w14:paraId="0A02AAFF"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他</w:t>
            </w:r>
            <w:proofErr w:type="gramStart"/>
            <w:r w:rsidRPr="00891DA8">
              <w:rPr>
                <w:rFonts w:ascii="微软雅黑" w:eastAsia="微软雅黑" w:hAnsi="微软雅黑" w:cs="宋体"/>
                <w:kern w:val="0"/>
                <w:sz w:val="24"/>
                <w:szCs w:val="24"/>
              </w:rPr>
              <w:t>莫昔芬</w:t>
            </w:r>
            <w:proofErr w:type="gramEnd"/>
            <w:r w:rsidRPr="00891DA8">
              <w:rPr>
                <w:rFonts w:ascii="微软雅黑" w:eastAsia="微软雅黑" w:hAnsi="微软雅黑" w:cs="宋体"/>
                <w:kern w:val="0"/>
                <w:sz w:val="24"/>
                <w:szCs w:val="24"/>
              </w:rPr>
              <w:t>、非</w:t>
            </w:r>
            <w:proofErr w:type="gramStart"/>
            <w:r w:rsidRPr="00891DA8">
              <w:rPr>
                <w:rFonts w:ascii="微软雅黑" w:eastAsia="微软雅黑" w:hAnsi="微软雅黑" w:cs="宋体"/>
                <w:kern w:val="0"/>
                <w:sz w:val="24"/>
                <w:szCs w:val="24"/>
              </w:rPr>
              <w:t>甾</w:t>
            </w:r>
            <w:proofErr w:type="gramEnd"/>
            <w:r w:rsidRPr="00891DA8">
              <w:rPr>
                <w:rFonts w:ascii="微软雅黑" w:eastAsia="微软雅黑" w:hAnsi="微软雅黑" w:cs="宋体"/>
                <w:kern w:val="0"/>
                <w:sz w:val="24"/>
                <w:szCs w:val="24"/>
              </w:rPr>
              <w:t>体抗炎药</w:t>
            </w:r>
          </w:p>
        </w:tc>
        <w:tc>
          <w:tcPr>
            <w:tcW w:w="306" w:type="pct"/>
            <w:tcMar>
              <w:top w:w="56" w:type="dxa"/>
              <w:left w:w="56" w:type="dxa"/>
              <w:bottom w:w="56" w:type="dxa"/>
              <w:right w:w="56" w:type="dxa"/>
            </w:tcMar>
            <w:hideMark/>
          </w:tcPr>
          <w:p w14:paraId="2366B5DB"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660</w:t>
            </w:r>
          </w:p>
        </w:tc>
        <w:tc>
          <w:tcPr>
            <w:tcW w:w="270" w:type="pct"/>
            <w:tcMar>
              <w:top w:w="56" w:type="dxa"/>
              <w:left w:w="56" w:type="dxa"/>
              <w:bottom w:w="56" w:type="dxa"/>
              <w:right w:w="56" w:type="dxa"/>
            </w:tcMar>
            <w:hideMark/>
          </w:tcPr>
          <w:p w14:paraId="365B5565"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三</w:t>
            </w:r>
          </w:p>
        </w:tc>
        <w:tc>
          <w:tcPr>
            <w:tcW w:w="1698" w:type="pct"/>
            <w:tcMar>
              <w:top w:w="56" w:type="dxa"/>
              <w:left w:w="56" w:type="dxa"/>
              <w:bottom w:w="56" w:type="dxa"/>
              <w:right w:w="56" w:type="dxa"/>
            </w:tcMar>
            <w:hideMark/>
          </w:tcPr>
          <w:p w14:paraId="68E7DE6D"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NCT2278120 (MONALEESA-7)</w:t>
            </w:r>
          </w:p>
        </w:tc>
      </w:tr>
      <w:tr w:rsidR="00E217B9" w:rsidRPr="00E217B9" w14:paraId="3403D5CA" w14:textId="77777777" w:rsidTr="00891DA8">
        <w:trPr>
          <w:tblCellSpacing w:w="15" w:type="dxa"/>
        </w:trPr>
        <w:tc>
          <w:tcPr>
            <w:tcW w:w="903" w:type="pct"/>
            <w:tcMar>
              <w:top w:w="56" w:type="dxa"/>
              <w:left w:w="56" w:type="dxa"/>
              <w:bottom w:w="56" w:type="dxa"/>
              <w:right w:w="56" w:type="dxa"/>
            </w:tcMar>
            <w:hideMark/>
          </w:tcPr>
          <w:p w14:paraId="7E33DB57" w14:textId="77777777" w:rsidR="00891DA8" w:rsidRPr="00891DA8" w:rsidRDefault="00891DA8" w:rsidP="00891DA8">
            <w:pPr>
              <w:widowControl/>
              <w:rPr>
                <w:rFonts w:ascii="微软雅黑" w:eastAsia="微软雅黑" w:hAnsi="微软雅黑" w:cs="宋体"/>
                <w:kern w:val="0"/>
                <w:sz w:val="24"/>
                <w:szCs w:val="24"/>
              </w:rPr>
            </w:pPr>
          </w:p>
        </w:tc>
        <w:tc>
          <w:tcPr>
            <w:tcW w:w="352" w:type="pct"/>
            <w:tcMar>
              <w:top w:w="56" w:type="dxa"/>
              <w:left w:w="56" w:type="dxa"/>
              <w:bottom w:w="56" w:type="dxa"/>
              <w:right w:w="56" w:type="dxa"/>
            </w:tcMar>
            <w:hideMark/>
          </w:tcPr>
          <w:p w14:paraId="267291B1"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转移性</w:t>
            </w:r>
          </w:p>
        </w:tc>
        <w:tc>
          <w:tcPr>
            <w:tcW w:w="556" w:type="pct"/>
            <w:tcMar>
              <w:top w:w="56" w:type="dxa"/>
              <w:left w:w="56" w:type="dxa"/>
              <w:bottom w:w="56" w:type="dxa"/>
              <w:right w:w="56" w:type="dxa"/>
            </w:tcMar>
            <w:hideMark/>
          </w:tcPr>
          <w:p w14:paraId="144BFB29"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DLT/PFS</w:t>
            </w:r>
          </w:p>
        </w:tc>
        <w:tc>
          <w:tcPr>
            <w:tcW w:w="805" w:type="pct"/>
            <w:tcMar>
              <w:top w:w="56" w:type="dxa"/>
              <w:left w:w="56" w:type="dxa"/>
              <w:bottom w:w="56" w:type="dxa"/>
              <w:right w:w="56" w:type="dxa"/>
            </w:tcMar>
            <w:hideMark/>
          </w:tcPr>
          <w:p w14:paraId="41EF0ECA"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BYL719</w:t>
            </w:r>
            <w:r w:rsidRPr="00891DA8">
              <w:rPr>
                <w:rFonts w:ascii="微软雅黑" w:eastAsia="微软雅黑" w:hAnsi="微软雅黑" w:cs="宋体"/>
                <w:kern w:val="0"/>
                <w:sz w:val="24"/>
                <w:szCs w:val="24"/>
                <w:vertAlign w:val="superscript"/>
              </w:rPr>
              <w:t>或</w:t>
            </w:r>
            <w:r w:rsidRPr="00891DA8">
              <w:rPr>
                <w:rFonts w:ascii="微软雅黑" w:eastAsia="微软雅黑" w:hAnsi="微软雅黑" w:cs="宋体"/>
                <w:kern w:val="0"/>
                <w:sz w:val="24"/>
                <w:szCs w:val="24"/>
              </w:rPr>
              <w:t>BKM120</w:t>
            </w:r>
          </w:p>
        </w:tc>
        <w:tc>
          <w:tcPr>
            <w:tcW w:w="306" w:type="pct"/>
            <w:tcMar>
              <w:top w:w="56" w:type="dxa"/>
              <w:left w:w="56" w:type="dxa"/>
              <w:bottom w:w="56" w:type="dxa"/>
              <w:right w:w="56" w:type="dxa"/>
            </w:tcMar>
            <w:hideMark/>
          </w:tcPr>
          <w:p w14:paraId="0B172C62"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216</w:t>
            </w:r>
          </w:p>
        </w:tc>
        <w:tc>
          <w:tcPr>
            <w:tcW w:w="270" w:type="pct"/>
            <w:tcMar>
              <w:top w:w="56" w:type="dxa"/>
              <w:left w:w="56" w:type="dxa"/>
              <w:bottom w:w="56" w:type="dxa"/>
              <w:right w:w="56" w:type="dxa"/>
            </w:tcMar>
            <w:hideMark/>
          </w:tcPr>
          <w:p w14:paraId="130E6CA4" w14:textId="77777777" w:rsidR="00891DA8" w:rsidRPr="00891DA8" w:rsidRDefault="00891DA8" w:rsidP="00891DA8">
            <w:pPr>
              <w:widowControl/>
              <w:rPr>
                <w:rFonts w:ascii="微软雅黑" w:eastAsia="微软雅黑" w:hAnsi="微软雅黑" w:cs="宋体"/>
                <w:kern w:val="0"/>
                <w:sz w:val="24"/>
                <w:szCs w:val="24"/>
              </w:rPr>
            </w:pPr>
            <w:proofErr w:type="gramStart"/>
            <w:r w:rsidRPr="00891DA8">
              <w:rPr>
                <w:rFonts w:ascii="微软雅黑" w:eastAsia="微软雅黑" w:hAnsi="微软雅黑" w:cs="宋体"/>
                <w:kern w:val="0"/>
                <w:sz w:val="24"/>
                <w:szCs w:val="24"/>
              </w:rPr>
              <w:t>一</w:t>
            </w:r>
            <w:proofErr w:type="gramEnd"/>
            <w:r w:rsidRPr="00891DA8">
              <w:rPr>
                <w:rFonts w:ascii="微软雅黑" w:eastAsia="微软雅黑" w:hAnsi="微软雅黑" w:cs="宋体"/>
                <w:kern w:val="0"/>
                <w:sz w:val="24"/>
                <w:szCs w:val="24"/>
              </w:rPr>
              <w:t>/二</w:t>
            </w:r>
          </w:p>
        </w:tc>
        <w:tc>
          <w:tcPr>
            <w:tcW w:w="1698" w:type="pct"/>
            <w:tcMar>
              <w:top w:w="56" w:type="dxa"/>
              <w:left w:w="56" w:type="dxa"/>
              <w:bottom w:w="56" w:type="dxa"/>
              <w:right w:w="56" w:type="dxa"/>
            </w:tcMar>
            <w:hideMark/>
          </w:tcPr>
          <w:p w14:paraId="2B6A9C88" w14:textId="77777777" w:rsidR="00891DA8" w:rsidRPr="00891DA8" w:rsidRDefault="00891DA8" w:rsidP="00891DA8">
            <w:pPr>
              <w:widowControl/>
              <w:rPr>
                <w:rFonts w:ascii="微软雅黑" w:eastAsia="微软雅黑" w:hAnsi="微软雅黑" w:cs="宋体"/>
                <w:kern w:val="0"/>
                <w:sz w:val="24"/>
                <w:szCs w:val="24"/>
              </w:rPr>
            </w:pPr>
            <w:hyperlink r:id="rId119" w:tgtFrame="_blank" w:history="1">
              <w:r w:rsidRPr="00891DA8">
                <w:rPr>
                  <w:rFonts w:ascii="微软雅黑" w:eastAsia="微软雅黑" w:hAnsi="微软雅黑" w:cs="宋体"/>
                  <w:kern w:val="0"/>
                  <w:sz w:val="24"/>
                  <w:szCs w:val="24"/>
                  <w:u w:val="single"/>
                </w:rPr>
                <w:t>NCT01872260</w:t>
              </w:r>
            </w:hyperlink>
          </w:p>
        </w:tc>
      </w:tr>
      <w:tr w:rsidR="00E217B9" w:rsidRPr="00E217B9" w14:paraId="52E35BB9" w14:textId="77777777" w:rsidTr="00891DA8">
        <w:trPr>
          <w:tblCellSpacing w:w="15" w:type="dxa"/>
        </w:trPr>
        <w:tc>
          <w:tcPr>
            <w:tcW w:w="903" w:type="pct"/>
            <w:tcMar>
              <w:top w:w="56" w:type="dxa"/>
              <w:left w:w="56" w:type="dxa"/>
              <w:bottom w:w="56" w:type="dxa"/>
              <w:right w:w="56" w:type="dxa"/>
            </w:tcMar>
            <w:hideMark/>
          </w:tcPr>
          <w:p w14:paraId="122D6BB2" w14:textId="77777777" w:rsidR="00891DA8" w:rsidRPr="00891DA8" w:rsidRDefault="00891DA8" w:rsidP="00891DA8">
            <w:pPr>
              <w:widowControl/>
              <w:rPr>
                <w:rFonts w:ascii="微软雅黑" w:eastAsia="微软雅黑" w:hAnsi="微软雅黑" w:cs="宋体"/>
                <w:kern w:val="0"/>
                <w:sz w:val="24"/>
                <w:szCs w:val="24"/>
              </w:rPr>
            </w:pPr>
          </w:p>
        </w:tc>
        <w:tc>
          <w:tcPr>
            <w:tcW w:w="352" w:type="pct"/>
            <w:tcMar>
              <w:top w:w="56" w:type="dxa"/>
              <w:left w:w="56" w:type="dxa"/>
              <w:bottom w:w="56" w:type="dxa"/>
              <w:right w:w="56" w:type="dxa"/>
            </w:tcMar>
            <w:hideMark/>
          </w:tcPr>
          <w:p w14:paraId="73893FD0"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转移性</w:t>
            </w:r>
          </w:p>
        </w:tc>
        <w:tc>
          <w:tcPr>
            <w:tcW w:w="556" w:type="pct"/>
            <w:tcMar>
              <w:top w:w="56" w:type="dxa"/>
              <w:left w:w="56" w:type="dxa"/>
              <w:bottom w:w="56" w:type="dxa"/>
              <w:right w:w="56" w:type="dxa"/>
            </w:tcMar>
            <w:hideMark/>
          </w:tcPr>
          <w:p w14:paraId="7361F895"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PFS</w:t>
            </w:r>
          </w:p>
        </w:tc>
        <w:tc>
          <w:tcPr>
            <w:tcW w:w="805" w:type="pct"/>
            <w:tcMar>
              <w:top w:w="56" w:type="dxa"/>
              <w:left w:w="56" w:type="dxa"/>
              <w:bottom w:w="56" w:type="dxa"/>
              <w:right w:w="56" w:type="dxa"/>
            </w:tcMar>
            <w:hideMark/>
          </w:tcPr>
          <w:p w14:paraId="108A6D3C" w14:textId="77777777" w:rsidR="00891DA8" w:rsidRPr="00891DA8" w:rsidRDefault="00891DA8" w:rsidP="00891DA8">
            <w:pPr>
              <w:widowControl/>
              <w:rPr>
                <w:rFonts w:ascii="微软雅黑" w:eastAsia="微软雅黑" w:hAnsi="微软雅黑" w:cs="宋体"/>
                <w:kern w:val="0"/>
                <w:sz w:val="24"/>
                <w:szCs w:val="24"/>
              </w:rPr>
            </w:pPr>
            <w:proofErr w:type="gramStart"/>
            <w:r w:rsidRPr="00891DA8">
              <w:rPr>
                <w:rFonts w:ascii="微软雅黑" w:eastAsia="微软雅黑" w:hAnsi="微软雅黑" w:cs="宋体"/>
                <w:kern w:val="0"/>
                <w:sz w:val="24"/>
                <w:szCs w:val="24"/>
              </w:rPr>
              <w:t>氟维司群</w:t>
            </w:r>
            <w:proofErr w:type="gramEnd"/>
          </w:p>
        </w:tc>
        <w:tc>
          <w:tcPr>
            <w:tcW w:w="306" w:type="pct"/>
            <w:tcMar>
              <w:top w:w="56" w:type="dxa"/>
              <w:left w:w="56" w:type="dxa"/>
              <w:bottom w:w="56" w:type="dxa"/>
              <w:right w:w="56" w:type="dxa"/>
            </w:tcMar>
            <w:hideMark/>
          </w:tcPr>
          <w:p w14:paraId="298D4913"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660</w:t>
            </w:r>
          </w:p>
        </w:tc>
        <w:tc>
          <w:tcPr>
            <w:tcW w:w="270" w:type="pct"/>
            <w:tcMar>
              <w:top w:w="56" w:type="dxa"/>
              <w:left w:w="56" w:type="dxa"/>
              <w:bottom w:w="56" w:type="dxa"/>
              <w:right w:w="56" w:type="dxa"/>
            </w:tcMar>
            <w:hideMark/>
          </w:tcPr>
          <w:p w14:paraId="2C39332C"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三</w:t>
            </w:r>
          </w:p>
        </w:tc>
        <w:tc>
          <w:tcPr>
            <w:tcW w:w="1698" w:type="pct"/>
            <w:tcMar>
              <w:top w:w="56" w:type="dxa"/>
              <w:left w:w="56" w:type="dxa"/>
              <w:bottom w:w="56" w:type="dxa"/>
              <w:right w:w="56" w:type="dxa"/>
            </w:tcMar>
            <w:hideMark/>
          </w:tcPr>
          <w:p w14:paraId="296CED96" w14:textId="77777777" w:rsidR="00891DA8" w:rsidRPr="00891DA8" w:rsidRDefault="00891DA8" w:rsidP="00891DA8">
            <w:pPr>
              <w:widowControl/>
              <w:rPr>
                <w:rFonts w:ascii="微软雅黑" w:eastAsia="微软雅黑" w:hAnsi="微软雅黑" w:cs="宋体"/>
                <w:kern w:val="0"/>
                <w:sz w:val="24"/>
                <w:szCs w:val="24"/>
              </w:rPr>
            </w:pPr>
            <w:hyperlink r:id="rId120" w:tgtFrame="_blank" w:history="1">
              <w:r w:rsidRPr="00891DA8">
                <w:rPr>
                  <w:rFonts w:ascii="微软雅黑" w:eastAsia="微软雅黑" w:hAnsi="微软雅黑" w:cs="宋体"/>
                  <w:kern w:val="0"/>
                  <w:sz w:val="24"/>
                  <w:szCs w:val="24"/>
                  <w:u w:val="single"/>
                </w:rPr>
                <w:t>NCT02422615</w:t>
              </w:r>
            </w:hyperlink>
            <w:r w:rsidRPr="00891DA8">
              <w:rPr>
                <w:rFonts w:ascii="微软雅黑" w:eastAsia="微软雅黑" w:hAnsi="微软雅黑" w:cs="宋体"/>
                <w:kern w:val="0"/>
                <w:sz w:val="24"/>
                <w:szCs w:val="24"/>
              </w:rPr>
              <w:t> (MONALEESA-3)</w:t>
            </w:r>
          </w:p>
        </w:tc>
      </w:tr>
      <w:tr w:rsidR="00E217B9" w:rsidRPr="00E217B9" w14:paraId="7464D234" w14:textId="77777777" w:rsidTr="00891DA8">
        <w:trPr>
          <w:tblCellSpacing w:w="15" w:type="dxa"/>
        </w:trPr>
        <w:tc>
          <w:tcPr>
            <w:tcW w:w="903" w:type="pct"/>
            <w:tcMar>
              <w:top w:w="56" w:type="dxa"/>
              <w:left w:w="56" w:type="dxa"/>
              <w:bottom w:w="56" w:type="dxa"/>
              <w:right w:w="56" w:type="dxa"/>
            </w:tcMar>
            <w:hideMark/>
          </w:tcPr>
          <w:p w14:paraId="7742A5F0"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阿贝西利（LY2835219）</w:t>
            </w:r>
          </w:p>
        </w:tc>
        <w:tc>
          <w:tcPr>
            <w:tcW w:w="352" w:type="pct"/>
            <w:tcMar>
              <w:top w:w="56" w:type="dxa"/>
              <w:left w:w="56" w:type="dxa"/>
              <w:bottom w:w="56" w:type="dxa"/>
              <w:right w:w="56" w:type="dxa"/>
            </w:tcMar>
            <w:hideMark/>
          </w:tcPr>
          <w:p w14:paraId="52E4F14E"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新辅助治疗</w:t>
            </w:r>
          </w:p>
        </w:tc>
        <w:tc>
          <w:tcPr>
            <w:tcW w:w="556" w:type="pct"/>
            <w:tcMar>
              <w:top w:w="56" w:type="dxa"/>
              <w:left w:w="56" w:type="dxa"/>
              <w:bottom w:w="56" w:type="dxa"/>
              <w:right w:w="56" w:type="dxa"/>
            </w:tcMar>
            <w:hideMark/>
          </w:tcPr>
          <w:p w14:paraId="340A26C3"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生物标志物</w:t>
            </w:r>
          </w:p>
        </w:tc>
        <w:tc>
          <w:tcPr>
            <w:tcW w:w="805" w:type="pct"/>
            <w:tcMar>
              <w:top w:w="56" w:type="dxa"/>
              <w:left w:w="56" w:type="dxa"/>
              <w:bottom w:w="56" w:type="dxa"/>
              <w:right w:w="56" w:type="dxa"/>
            </w:tcMar>
            <w:hideMark/>
          </w:tcPr>
          <w:p w14:paraId="047DD020"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阿那曲</w:t>
            </w:r>
            <w:proofErr w:type="gramStart"/>
            <w:r w:rsidRPr="00891DA8">
              <w:rPr>
                <w:rFonts w:ascii="微软雅黑" w:eastAsia="微软雅黑" w:hAnsi="微软雅黑" w:cs="宋体"/>
                <w:kern w:val="0"/>
                <w:sz w:val="24"/>
                <w:szCs w:val="24"/>
              </w:rPr>
              <w:t>唑</w:t>
            </w:r>
            <w:proofErr w:type="gramEnd"/>
          </w:p>
        </w:tc>
        <w:tc>
          <w:tcPr>
            <w:tcW w:w="306" w:type="pct"/>
            <w:tcMar>
              <w:top w:w="56" w:type="dxa"/>
              <w:left w:w="56" w:type="dxa"/>
              <w:bottom w:w="56" w:type="dxa"/>
              <w:right w:w="56" w:type="dxa"/>
            </w:tcMar>
            <w:hideMark/>
          </w:tcPr>
          <w:p w14:paraId="69A60176"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220</w:t>
            </w:r>
          </w:p>
        </w:tc>
        <w:tc>
          <w:tcPr>
            <w:tcW w:w="270" w:type="pct"/>
            <w:tcMar>
              <w:top w:w="56" w:type="dxa"/>
              <w:left w:w="56" w:type="dxa"/>
              <w:bottom w:w="56" w:type="dxa"/>
              <w:right w:w="56" w:type="dxa"/>
            </w:tcMar>
            <w:hideMark/>
          </w:tcPr>
          <w:p w14:paraId="209301A8"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二</w:t>
            </w:r>
          </w:p>
        </w:tc>
        <w:tc>
          <w:tcPr>
            <w:tcW w:w="1698" w:type="pct"/>
            <w:tcMar>
              <w:top w:w="56" w:type="dxa"/>
              <w:left w:w="56" w:type="dxa"/>
              <w:bottom w:w="56" w:type="dxa"/>
              <w:right w:w="56" w:type="dxa"/>
            </w:tcMar>
            <w:hideMark/>
          </w:tcPr>
          <w:p w14:paraId="42B35230" w14:textId="77777777" w:rsidR="00891DA8" w:rsidRPr="00891DA8" w:rsidRDefault="00891DA8" w:rsidP="00891DA8">
            <w:pPr>
              <w:widowControl/>
              <w:rPr>
                <w:rFonts w:ascii="微软雅黑" w:eastAsia="微软雅黑" w:hAnsi="微软雅黑" w:cs="宋体"/>
                <w:kern w:val="0"/>
                <w:sz w:val="24"/>
                <w:szCs w:val="24"/>
              </w:rPr>
            </w:pPr>
            <w:hyperlink r:id="rId121" w:tgtFrame="_blank" w:history="1">
              <w:r w:rsidRPr="00891DA8">
                <w:rPr>
                  <w:rFonts w:ascii="微软雅黑" w:eastAsia="微软雅黑" w:hAnsi="微软雅黑" w:cs="宋体"/>
                  <w:kern w:val="0"/>
                  <w:sz w:val="24"/>
                  <w:szCs w:val="24"/>
                  <w:u w:val="single"/>
                </w:rPr>
                <w:t>NCT02441946</w:t>
              </w:r>
            </w:hyperlink>
            <w:r w:rsidRPr="00891DA8">
              <w:rPr>
                <w:rFonts w:ascii="微软雅黑" w:eastAsia="微软雅黑" w:hAnsi="微软雅黑" w:cs="宋体"/>
                <w:kern w:val="0"/>
                <w:sz w:val="24"/>
                <w:szCs w:val="24"/>
              </w:rPr>
              <w:t> (</w:t>
            </w:r>
            <w:proofErr w:type="spellStart"/>
            <w:r w:rsidRPr="00891DA8">
              <w:rPr>
                <w:rFonts w:ascii="微软雅黑" w:eastAsia="微软雅黑" w:hAnsi="微软雅黑" w:cs="宋体"/>
                <w:kern w:val="0"/>
                <w:sz w:val="24"/>
                <w:szCs w:val="24"/>
              </w:rPr>
              <w:t>NeoMONARCH</w:t>
            </w:r>
            <w:proofErr w:type="spellEnd"/>
            <w:r w:rsidRPr="00891DA8">
              <w:rPr>
                <w:rFonts w:ascii="微软雅黑" w:eastAsia="微软雅黑" w:hAnsi="微软雅黑" w:cs="宋体"/>
                <w:kern w:val="0"/>
                <w:sz w:val="24"/>
                <w:szCs w:val="24"/>
              </w:rPr>
              <w:t>)</w:t>
            </w:r>
          </w:p>
        </w:tc>
      </w:tr>
      <w:tr w:rsidR="00E217B9" w:rsidRPr="00E217B9" w14:paraId="0B9810BA" w14:textId="77777777" w:rsidTr="00891DA8">
        <w:trPr>
          <w:tblCellSpacing w:w="15" w:type="dxa"/>
        </w:trPr>
        <w:tc>
          <w:tcPr>
            <w:tcW w:w="903" w:type="pct"/>
            <w:tcMar>
              <w:top w:w="56" w:type="dxa"/>
              <w:left w:w="56" w:type="dxa"/>
              <w:bottom w:w="56" w:type="dxa"/>
              <w:right w:w="56" w:type="dxa"/>
            </w:tcMar>
            <w:hideMark/>
          </w:tcPr>
          <w:p w14:paraId="5AE0FBC4" w14:textId="77777777" w:rsidR="00891DA8" w:rsidRPr="00891DA8" w:rsidRDefault="00891DA8" w:rsidP="00891DA8">
            <w:pPr>
              <w:widowControl/>
              <w:rPr>
                <w:rFonts w:ascii="微软雅黑" w:eastAsia="微软雅黑" w:hAnsi="微软雅黑" w:cs="宋体"/>
                <w:kern w:val="0"/>
                <w:sz w:val="24"/>
                <w:szCs w:val="24"/>
              </w:rPr>
            </w:pPr>
          </w:p>
        </w:tc>
        <w:tc>
          <w:tcPr>
            <w:tcW w:w="352" w:type="pct"/>
            <w:tcMar>
              <w:top w:w="56" w:type="dxa"/>
              <w:left w:w="56" w:type="dxa"/>
              <w:bottom w:w="56" w:type="dxa"/>
              <w:right w:w="56" w:type="dxa"/>
            </w:tcMar>
            <w:hideMark/>
          </w:tcPr>
          <w:p w14:paraId="0427772E"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脑转移</w:t>
            </w:r>
          </w:p>
        </w:tc>
        <w:tc>
          <w:tcPr>
            <w:tcW w:w="556" w:type="pct"/>
            <w:tcMar>
              <w:top w:w="56" w:type="dxa"/>
              <w:left w:w="56" w:type="dxa"/>
              <w:bottom w:w="56" w:type="dxa"/>
              <w:right w:w="56" w:type="dxa"/>
            </w:tcMar>
            <w:hideMark/>
          </w:tcPr>
          <w:p w14:paraId="7913E58A"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回复</w:t>
            </w:r>
          </w:p>
        </w:tc>
        <w:tc>
          <w:tcPr>
            <w:tcW w:w="805" w:type="pct"/>
            <w:tcMar>
              <w:top w:w="56" w:type="dxa"/>
              <w:left w:w="56" w:type="dxa"/>
              <w:bottom w:w="56" w:type="dxa"/>
              <w:right w:w="56" w:type="dxa"/>
            </w:tcMar>
            <w:hideMark/>
          </w:tcPr>
          <w:p w14:paraId="0B59EA6E"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单代理</w:t>
            </w:r>
          </w:p>
        </w:tc>
        <w:tc>
          <w:tcPr>
            <w:tcW w:w="306" w:type="pct"/>
            <w:tcMar>
              <w:top w:w="56" w:type="dxa"/>
              <w:left w:w="56" w:type="dxa"/>
              <w:bottom w:w="56" w:type="dxa"/>
              <w:right w:w="56" w:type="dxa"/>
            </w:tcMar>
            <w:hideMark/>
          </w:tcPr>
          <w:p w14:paraId="138324DA"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120</w:t>
            </w:r>
          </w:p>
        </w:tc>
        <w:tc>
          <w:tcPr>
            <w:tcW w:w="270" w:type="pct"/>
            <w:tcMar>
              <w:top w:w="56" w:type="dxa"/>
              <w:left w:w="56" w:type="dxa"/>
              <w:bottom w:w="56" w:type="dxa"/>
              <w:right w:w="56" w:type="dxa"/>
            </w:tcMar>
            <w:hideMark/>
          </w:tcPr>
          <w:p w14:paraId="29297D16"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二</w:t>
            </w:r>
          </w:p>
        </w:tc>
        <w:tc>
          <w:tcPr>
            <w:tcW w:w="1698" w:type="pct"/>
            <w:tcMar>
              <w:top w:w="56" w:type="dxa"/>
              <w:left w:w="56" w:type="dxa"/>
              <w:bottom w:w="56" w:type="dxa"/>
              <w:right w:w="56" w:type="dxa"/>
            </w:tcMar>
            <w:hideMark/>
          </w:tcPr>
          <w:p w14:paraId="37B0902E" w14:textId="77777777" w:rsidR="00891DA8" w:rsidRPr="00891DA8" w:rsidRDefault="00891DA8" w:rsidP="00891DA8">
            <w:pPr>
              <w:widowControl/>
              <w:rPr>
                <w:rFonts w:ascii="微软雅黑" w:eastAsia="微软雅黑" w:hAnsi="微软雅黑" w:cs="宋体"/>
                <w:kern w:val="0"/>
                <w:sz w:val="24"/>
                <w:szCs w:val="24"/>
              </w:rPr>
            </w:pPr>
            <w:hyperlink r:id="rId122" w:tgtFrame="_blank" w:history="1">
              <w:r w:rsidRPr="00891DA8">
                <w:rPr>
                  <w:rFonts w:ascii="微软雅黑" w:eastAsia="微软雅黑" w:hAnsi="微软雅黑" w:cs="宋体"/>
                  <w:kern w:val="0"/>
                  <w:sz w:val="24"/>
                  <w:szCs w:val="24"/>
                  <w:u w:val="single"/>
                </w:rPr>
                <w:t>NCT02308020</w:t>
              </w:r>
            </w:hyperlink>
          </w:p>
        </w:tc>
      </w:tr>
      <w:tr w:rsidR="00E217B9" w:rsidRPr="00E217B9" w14:paraId="697DEB3C" w14:textId="77777777" w:rsidTr="00891DA8">
        <w:trPr>
          <w:tblCellSpacing w:w="15" w:type="dxa"/>
        </w:trPr>
        <w:tc>
          <w:tcPr>
            <w:tcW w:w="903" w:type="pct"/>
            <w:tcMar>
              <w:top w:w="56" w:type="dxa"/>
              <w:left w:w="56" w:type="dxa"/>
              <w:bottom w:w="56" w:type="dxa"/>
              <w:right w:w="56" w:type="dxa"/>
            </w:tcMar>
            <w:hideMark/>
          </w:tcPr>
          <w:p w14:paraId="63C66524" w14:textId="77777777" w:rsidR="00891DA8" w:rsidRPr="00891DA8" w:rsidRDefault="00891DA8" w:rsidP="00891DA8">
            <w:pPr>
              <w:widowControl/>
              <w:rPr>
                <w:rFonts w:ascii="微软雅黑" w:eastAsia="微软雅黑" w:hAnsi="微软雅黑" w:cs="宋体"/>
                <w:kern w:val="0"/>
                <w:sz w:val="24"/>
                <w:szCs w:val="24"/>
              </w:rPr>
            </w:pPr>
          </w:p>
        </w:tc>
        <w:tc>
          <w:tcPr>
            <w:tcW w:w="352" w:type="pct"/>
            <w:tcMar>
              <w:top w:w="56" w:type="dxa"/>
              <w:left w:w="56" w:type="dxa"/>
              <w:bottom w:w="56" w:type="dxa"/>
              <w:right w:w="56" w:type="dxa"/>
            </w:tcMar>
            <w:hideMark/>
          </w:tcPr>
          <w:p w14:paraId="4D231169"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转移性</w:t>
            </w:r>
          </w:p>
        </w:tc>
        <w:tc>
          <w:tcPr>
            <w:tcW w:w="556" w:type="pct"/>
            <w:tcMar>
              <w:top w:w="56" w:type="dxa"/>
              <w:left w:w="56" w:type="dxa"/>
              <w:bottom w:w="56" w:type="dxa"/>
              <w:right w:w="56" w:type="dxa"/>
            </w:tcMar>
            <w:hideMark/>
          </w:tcPr>
          <w:p w14:paraId="555FC23C"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PFS</w:t>
            </w:r>
          </w:p>
        </w:tc>
        <w:tc>
          <w:tcPr>
            <w:tcW w:w="805" w:type="pct"/>
            <w:tcMar>
              <w:top w:w="56" w:type="dxa"/>
              <w:left w:w="56" w:type="dxa"/>
              <w:bottom w:w="56" w:type="dxa"/>
              <w:right w:w="56" w:type="dxa"/>
            </w:tcMar>
            <w:hideMark/>
          </w:tcPr>
          <w:p w14:paraId="55AB5083"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NSAI</w:t>
            </w:r>
          </w:p>
        </w:tc>
        <w:tc>
          <w:tcPr>
            <w:tcW w:w="306" w:type="pct"/>
            <w:tcMar>
              <w:top w:w="56" w:type="dxa"/>
              <w:left w:w="56" w:type="dxa"/>
              <w:bottom w:w="56" w:type="dxa"/>
              <w:right w:w="56" w:type="dxa"/>
            </w:tcMar>
            <w:hideMark/>
          </w:tcPr>
          <w:p w14:paraId="283C8DD4"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450</w:t>
            </w:r>
          </w:p>
        </w:tc>
        <w:tc>
          <w:tcPr>
            <w:tcW w:w="270" w:type="pct"/>
            <w:tcMar>
              <w:top w:w="56" w:type="dxa"/>
              <w:left w:w="56" w:type="dxa"/>
              <w:bottom w:w="56" w:type="dxa"/>
              <w:right w:w="56" w:type="dxa"/>
            </w:tcMar>
            <w:hideMark/>
          </w:tcPr>
          <w:p w14:paraId="3619C87F"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三</w:t>
            </w:r>
          </w:p>
        </w:tc>
        <w:tc>
          <w:tcPr>
            <w:tcW w:w="1698" w:type="pct"/>
            <w:tcMar>
              <w:top w:w="56" w:type="dxa"/>
              <w:left w:w="56" w:type="dxa"/>
              <w:bottom w:w="56" w:type="dxa"/>
              <w:right w:w="56" w:type="dxa"/>
            </w:tcMar>
            <w:hideMark/>
          </w:tcPr>
          <w:p w14:paraId="162D78BF" w14:textId="77777777" w:rsidR="00891DA8" w:rsidRPr="00891DA8" w:rsidRDefault="00891DA8" w:rsidP="00891DA8">
            <w:pPr>
              <w:widowControl/>
              <w:rPr>
                <w:rFonts w:ascii="微软雅黑" w:eastAsia="微软雅黑" w:hAnsi="微软雅黑" w:cs="宋体"/>
                <w:kern w:val="0"/>
                <w:sz w:val="24"/>
                <w:szCs w:val="24"/>
              </w:rPr>
            </w:pPr>
            <w:hyperlink r:id="rId123" w:tgtFrame="_blank" w:history="1">
              <w:r w:rsidRPr="00891DA8">
                <w:rPr>
                  <w:rFonts w:ascii="微软雅黑" w:eastAsia="微软雅黑" w:hAnsi="微软雅黑" w:cs="宋体"/>
                  <w:kern w:val="0"/>
                  <w:sz w:val="24"/>
                  <w:szCs w:val="24"/>
                  <w:u w:val="single"/>
                </w:rPr>
                <w:t>NCT02246621</w:t>
              </w:r>
            </w:hyperlink>
            <w:r w:rsidRPr="00891DA8">
              <w:rPr>
                <w:rFonts w:ascii="微软雅黑" w:eastAsia="微软雅黑" w:hAnsi="微软雅黑" w:cs="宋体"/>
                <w:kern w:val="0"/>
                <w:sz w:val="24"/>
                <w:szCs w:val="24"/>
              </w:rPr>
              <w:t> (MONARCH-3)</w:t>
            </w:r>
          </w:p>
        </w:tc>
      </w:tr>
      <w:tr w:rsidR="00E217B9" w:rsidRPr="00E217B9" w14:paraId="680B6E66" w14:textId="77777777" w:rsidTr="00891DA8">
        <w:trPr>
          <w:tblCellSpacing w:w="15" w:type="dxa"/>
        </w:trPr>
        <w:tc>
          <w:tcPr>
            <w:tcW w:w="903" w:type="pct"/>
            <w:tcMar>
              <w:top w:w="56" w:type="dxa"/>
              <w:left w:w="56" w:type="dxa"/>
              <w:bottom w:w="56" w:type="dxa"/>
              <w:right w:w="56" w:type="dxa"/>
            </w:tcMar>
            <w:hideMark/>
          </w:tcPr>
          <w:p w14:paraId="1EB65150" w14:textId="77777777" w:rsidR="00891DA8" w:rsidRPr="00891DA8" w:rsidRDefault="00891DA8" w:rsidP="00891DA8">
            <w:pPr>
              <w:widowControl/>
              <w:rPr>
                <w:rFonts w:ascii="微软雅黑" w:eastAsia="微软雅黑" w:hAnsi="微软雅黑" w:cs="宋体"/>
                <w:kern w:val="0"/>
                <w:sz w:val="24"/>
                <w:szCs w:val="24"/>
              </w:rPr>
            </w:pPr>
          </w:p>
        </w:tc>
        <w:tc>
          <w:tcPr>
            <w:tcW w:w="352" w:type="pct"/>
            <w:tcMar>
              <w:top w:w="56" w:type="dxa"/>
              <w:left w:w="56" w:type="dxa"/>
              <w:bottom w:w="56" w:type="dxa"/>
              <w:right w:w="56" w:type="dxa"/>
            </w:tcMar>
            <w:hideMark/>
          </w:tcPr>
          <w:p w14:paraId="535A2ED9"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转移性</w:t>
            </w:r>
          </w:p>
        </w:tc>
        <w:tc>
          <w:tcPr>
            <w:tcW w:w="556" w:type="pct"/>
            <w:tcMar>
              <w:top w:w="56" w:type="dxa"/>
              <w:left w:w="56" w:type="dxa"/>
              <w:bottom w:w="56" w:type="dxa"/>
              <w:right w:w="56" w:type="dxa"/>
            </w:tcMar>
            <w:hideMark/>
          </w:tcPr>
          <w:p w14:paraId="45C40AEE"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回复</w:t>
            </w:r>
          </w:p>
        </w:tc>
        <w:tc>
          <w:tcPr>
            <w:tcW w:w="805" w:type="pct"/>
            <w:tcMar>
              <w:top w:w="56" w:type="dxa"/>
              <w:left w:w="56" w:type="dxa"/>
              <w:bottom w:w="56" w:type="dxa"/>
              <w:right w:w="56" w:type="dxa"/>
            </w:tcMar>
            <w:hideMark/>
          </w:tcPr>
          <w:p w14:paraId="0CE42CF9"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单代理</w:t>
            </w:r>
          </w:p>
        </w:tc>
        <w:tc>
          <w:tcPr>
            <w:tcW w:w="306" w:type="pct"/>
            <w:tcMar>
              <w:top w:w="56" w:type="dxa"/>
              <w:left w:w="56" w:type="dxa"/>
              <w:bottom w:w="56" w:type="dxa"/>
              <w:right w:w="56" w:type="dxa"/>
            </w:tcMar>
            <w:hideMark/>
          </w:tcPr>
          <w:p w14:paraId="289DFE23"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128</w:t>
            </w:r>
          </w:p>
        </w:tc>
        <w:tc>
          <w:tcPr>
            <w:tcW w:w="270" w:type="pct"/>
            <w:tcMar>
              <w:top w:w="56" w:type="dxa"/>
              <w:left w:w="56" w:type="dxa"/>
              <w:bottom w:w="56" w:type="dxa"/>
              <w:right w:w="56" w:type="dxa"/>
            </w:tcMar>
            <w:hideMark/>
          </w:tcPr>
          <w:p w14:paraId="502B4899"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二</w:t>
            </w:r>
          </w:p>
        </w:tc>
        <w:tc>
          <w:tcPr>
            <w:tcW w:w="1698" w:type="pct"/>
            <w:tcMar>
              <w:top w:w="56" w:type="dxa"/>
              <w:left w:w="56" w:type="dxa"/>
              <w:bottom w:w="56" w:type="dxa"/>
              <w:right w:w="56" w:type="dxa"/>
            </w:tcMar>
            <w:hideMark/>
          </w:tcPr>
          <w:p w14:paraId="278D0527"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NCT021024490 (MONARCH-1)</w:t>
            </w:r>
          </w:p>
        </w:tc>
      </w:tr>
      <w:tr w:rsidR="00E217B9" w:rsidRPr="00E217B9" w14:paraId="31BEBE06" w14:textId="77777777" w:rsidTr="00891DA8">
        <w:trPr>
          <w:tblCellSpacing w:w="15" w:type="dxa"/>
        </w:trPr>
        <w:tc>
          <w:tcPr>
            <w:tcW w:w="903" w:type="pct"/>
            <w:tcMar>
              <w:top w:w="56" w:type="dxa"/>
              <w:left w:w="56" w:type="dxa"/>
              <w:bottom w:w="56" w:type="dxa"/>
              <w:right w:w="56" w:type="dxa"/>
            </w:tcMar>
            <w:hideMark/>
          </w:tcPr>
          <w:p w14:paraId="199738F7" w14:textId="77777777" w:rsidR="00891DA8" w:rsidRPr="00891DA8" w:rsidRDefault="00891DA8" w:rsidP="00891DA8">
            <w:pPr>
              <w:widowControl/>
              <w:rPr>
                <w:rFonts w:ascii="微软雅黑" w:eastAsia="微软雅黑" w:hAnsi="微软雅黑" w:cs="宋体"/>
                <w:kern w:val="0"/>
                <w:sz w:val="24"/>
                <w:szCs w:val="24"/>
              </w:rPr>
            </w:pPr>
          </w:p>
        </w:tc>
        <w:tc>
          <w:tcPr>
            <w:tcW w:w="352" w:type="pct"/>
            <w:tcMar>
              <w:top w:w="56" w:type="dxa"/>
              <w:left w:w="56" w:type="dxa"/>
              <w:bottom w:w="56" w:type="dxa"/>
              <w:right w:w="56" w:type="dxa"/>
            </w:tcMar>
            <w:hideMark/>
          </w:tcPr>
          <w:p w14:paraId="59712383"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转移性</w:t>
            </w:r>
          </w:p>
        </w:tc>
        <w:tc>
          <w:tcPr>
            <w:tcW w:w="556" w:type="pct"/>
            <w:tcMar>
              <w:top w:w="56" w:type="dxa"/>
              <w:left w:w="56" w:type="dxa"/>
              <w:bottom w:w="56" w:type="dxa"/>
              <w:right w:w="56" w:type="dxa"/>
            </w:tcMar>
            <w:hideMark/>
          </w:tcPr>
          <w:p w14:paraId="646C32E0"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PFS</w:t>
            </w:r>
          </w:p>
        </w:tc>
        <w:tc>
          <w:tcPr>
            <w:tcW w:w="805" w:type="pct"/>
            <w:tcMar>
              <w:top w:w="56" w:type="dxa"/>
              <w:left w:w="56" w:type="dxa"/>
              <w:bottom w:w="56" w:type="dxa"/>
              <w:right w:w="56" w:type="dxa"/>
            </w:tcMar>
            <w:hideMark/>
          </w:tcPr>
          <w:p w14:paraId="25E8B6DC" w14:textId="77777777" w:rsidR="00891DA8" w:rsidRPr="00891DA8" w:rsidRDefault="00891DA8" w:rsidP="00891DA8">
            <w:pPr>
              <w:widowControl/>
              <w:rPr>
                <w:rFonts w:ascii="微软雅黑" w:eastAsia="微软雅黑" w:hAnsi="微软雅黑" w:cs="宋体"/>
                <w:kern w:val="0"/>
                <w:sz w:val="24"/>
                <w:szCs w:val="24"/>
              </w:rPr>
            </w:pPr>
            <w:proofErr w:type="gramStart"/>
            <w:r w:rsidRPr="00891DA8">
              <w:rPr>
                <w:rFonts w:ascii="微软雅黑" w:eastAsia="微软雅黑" w:hAnsi="微软雅黑" w:cs="宋体"/>
                <w:kern w:val="0"/>
                <w:sz w:val="24"/>
                <w:szCs w:val="24"/>
              </w:rPr>
              <w:t>氟维司群</w:t>
            </w:r>
            <w:proofErr w:type="gramEnd"/>
          </w:p>
        </w:tc>
        <w:tc>
          <w:tcPr>
            <w:tcW w:w="306" w:type="pct"/>
            <w:tcMar>
              <w:top w:w="56" w:type="dxa"/>
              <w:left w:w="56" w:type="dxa"/>
              <w:bottom w:w="56" w:type="dxa"/>
              <w:right w:w="56" w:type="dxa"/>
            </w:tcMar>
            <w:hideMark/>
          </w:tcPr>
          <w:p w14:paraId="6BBBD695"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630</w:t>
            </w:r>
          </w:p>
        </w:tc>
        <w:tc>
          <w:tcPr>
            <w:tcW w:w="270" w:type="pct"/>
            <w:tcMar>
              <w:top w:w="56" w:type="dxa"/>
              <w:left w:w="56" w:type="dxa"/>
              <w:bottom w:w="56" w:type="dxa"/>
              <w:right w:w="56" w:type="dxa"/>
            </w:tcMar>
            <w:hideMark/>
          </w:tcPr>
          <w:p w14:paraId="202408F8"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三</w:t>
            </w:r>
          </w:p>
        </w:tc>
        <w:tc>
          <w:tcPr>
            <w:tcW w:w="1698" w:type="pct"/>
            <w:tcMar>
              <w:top w:w="56" w:type="dxa"/>
              <w:left w:w="56" w:type="dxa"/>
              <w:bottom w:w="56" w:type="dxa"/>
              <w:right w:w="56" w:type="dxa"/>
            </w:tcMar>
            <w:hideMark/>
          </w:tcPr>
          <w:p w14:paraId="2178C8DE" w14:textId="77777777" w:rsidR="00891DA8" w:rsidRPr="00891DA8" w:rsidRDefault="00891DA8" w:rsidP="00891DA8">
            <w:pPr>
              <w:widowControl/>
              <w:rPr>
                <w:rFonts w:ascii="微软雅黑" w:eastAsia="微软雅黑" w:hAnsi="微软雅黑" w:cs="宋体"/>
                <w:kern w:val="0"/>
                <w:sz w:val="24"/>
                <w:szCs w:val="24"/>
              </w:rPr>
            </w:pPr>
            <w:hyperlink r:id="rId124" w:tgtFrame="_blank" w:history="1">
              <w:r w:rsidRPr="00891DA8">
                <w:rPr>
                  <w:rFonts w:ascii="微软雅黑" w:eastAsia="微软雅黑" w:hAnsi="微软雅黑" w:cs="宋体"/>
                  <w:kern w:val="0"/>
                  <w:sz w:val="24"/>
                  <w:szCs w:val="24"/>
                  <w:u w:val="single"/>
                </w:rPr>
                <w:t>NCT02107703</w:t>
              </w:r>
            </w:hyperlink>
            <w:r w:rsidRPr="00891DA8">
              <w:rPr>
                <w:rFonts w:ascii="微软雅黑" w:eastAsia="微软雅黑" w:hAnsi="微软雅黑" w:cs="宋体"/>
                <w:kern w:val="0"/>
                <w:sz w:val="24"/>
                <w:szCs w:val="24"/>
              </w:rPr>
              <w:t> (MONARCH-2)</w:t>
            </w:r>
          </w:p>
        </w:tc>
      </w:tr>
      <w:tr w:rsidR="00E217B9" w:rsidRPr="00E217B9" w14:paraId="11F2A1F6" w14:textId="77777777" w:rsidTr="00891DA8">
        <w:trPr>
          <w:tblCellSpacing w:w="15" w:type="dxa"/>
        </w:trPr>
        <w:tc>
          <w:tcPr>
            <w:tcW w:w="903" w:type="pct"/>
            <w:tcMar>
              <w:top w:w="56" w:type="dxa"/>
              <w:left w:w="56" w:type="dxa"/>
              <w:bottom w:w="56" w:type="dxa"/>
              <w:right w:w="56" w:type="dxa"/>
            </w:tcMar>
            <w:hideMark/>
          </w:tcPr>
          <w:p w14:paraId="7D8CA9B1" w14:textId="77777777" w:rsidR="00891DA8" w:rsidRPr="00891DA8" w:rsidRDefault="00891DA8" w:rsidP="00891DA8">
            <w:pPr>
              <w:widowControl/>
              <w:rPr>
                <w:rFonts w:ascii="微软雅黑" w:eastAsia="微软雅黑" w:hAnsi="微软雅黑" w:cs="宋体"/>
                <w:kern w:val="0"/>
                <w:sz w:val="24"/>
                <w:szCs w:val="24"/>
              </w:rPr>
            </w:pPr>
          </w:p>
        </w:tc>
        <w:tc>
          <w:tcPr>
            <w:tcW w:w="352" w:type="pct"/>
            <w:tcMar>
              <w:top w:w="56" w:type="dxa"/>
              <w:left w:w="56" w:type="dxa"/>
              <w:bottom w:w="56" w:type="dxa"/>
              <w:right w:w="56" w:type="dxa"/>
            </w:tcMar>
            <w:hideMark/>
          </w:tcPr>
          <w:p w14:paraId="1856F060"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转移性</w:t>
            </w:r>
          </w:p>
        </w:tc>
        <w:tc>
          <w:tcPr>
            <w:tcW w:w="556" w:type="pct"/>
            <w:tcMar>
              <w:top w:w="56" w:type="dxa"/>
              <w:left w:w="56" w:type="dxa"/>
              <w:bottom w:w="56" w:type="dxa"/>
              <w:right w:w="56" w:type="dxa"/>
            </w:tcMar>
            <w:hideMark/>
          </w:tcPr>
          <w:p w14:paraId="5A505D21"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PFS</w:t>
            </w:r>
          </w:p>
        </w:tc>
        <w:tc>
          <w:tcPr>
            <w:tcW w:w="805" w:type="pct"/>
            <w:tcMar>
              <w:top w:w="56" w:type="dxa"/>
              <w:left w:w="56" w:type="dxa"/>
              <w:bottom w:w="56" w:type="dxa"/>
              <w:right w:w="56" w:type="dxa"/>
            </w:tcMar>
            <w:hideMark/>
          </w:tcPr>
          <w:p w14:paraId="5811950D"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NSAI、他</w:t>
            </w:r>
            <w:proofErr w:type="gramStart"/>
            <w:r w:rsidRPr="00891DA8">
              <w:rPr>
                <w:rFonts w:ascii="微软雅黑" w:eastAsia="微软雅黑" w:hAnsi="微软雅黑" w:cs="宋体"/>
                <w:kern w:val="0"/>
                <w:sz w:val="24"/>
                <w:szCs w:val="24"/>
              </w:rPr>
              <w:t>莫昔芬</w:t>
            </w:r>
            <w:proofErr w:type="gramEnd"/>
            <w:r w:rsidRPr="00891DA8">
              <w:rPr>
                <w:rFonts w:ascii="微软雅黑" w:eastAsia="微软雅黑" w:hAnsi="微软雅黑" w:cs="宋体"/>
                <w:kern w:val="0"/>
                <w:sz w:val="24"/>
                <w:szCs w:val="24"/>
              </w:rPr>
              <w:t>、依西美坦、依维莫司、</w:t>
            </w:r>
            <w:proofErr w:type="gramStart"/>
            <w:r w:rsidRPr="00891DA8">
              <w:rPr>
                <w:rFonts w:ascii="微软雅黑" w:eastAsia="微软雅黑" w:hAnsi="微软雅黑" w:cs="宋体"/>
                <w:kern w:val="0"/>
                <w:sz w:val="24"/>
                <w:szCs w:val="24"/>
              </w:rPr>
              <w:t>曲妥珠单</w:t>
            </w:r>
            <w:proofErr w:type="gramEnd"/>
            <w:r w:rsidRPr="00891DA8">
              <w:rPr>
                <w:rFonts w:ascii="微软雅黑" w:eastAsia="微软雅黑" w:hAnsi="微软雅黑" w:cs="宋体"/>
                <w:kern w:val="0"/>
                <w:sz w:val="24"/>
                <w:szCs w:val="24"/>
              </w:rPr>
              <w:t>抗</w:t>
            </w:r>
          </w:p>
        </w:tc>
        <w:tc>
          <w:tcPr>
            <w:tcW w:w="306" w:type="pct"/>
            <w:tcMar>
              <w:top w:w="56" w:type="dxa"/>
              <w:left w:w="56" w:type="dxa"/>
              <w:bottom w:w="56" w:type="dxa"/>
              <w:right w:w="56" w:type="dxa"/>
            </w:tcMar>
            <w:hideMark/>
          </w:tcPr>
          <w:p w14:paraId="358FFA4D"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102</w:t>
            </w:r>
          </w:p>
        </w:tc>
        <w:tc>
          <w:tcPr>
            <w:tcW w:w="270" w:type="pct"/>
            <w:tcMar>
              <w:top w:w="56" w:type="dxa"/>
              <w:left w:w="56" w:type="dxa"/>
              <w:bottom w:w="56" w:type="dxa"/>
              <w:right w:w="56" w:type="dxa"/>
            </w:tcMar>
            <w:hideMark/>
          </w:tcPr>
          <w:p w14:paraId="6F8228FF"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rPr>
              <w:t>我</w:t>
            </w:r>
          </w:p>
        </w:tc>
        <w:tc>
          <w:tcPr>
            <w:tcW w:w="1698" w:type="pct"/>
            <w:tcMar>
              <w:top w:w="56" w:type="dxa"/>
              <w:left w:w="56" w:type="dxa"/>
              <w:bottom w:w="56" w:type="dxa"/>
              <w:right w:w="56" w:type="dxa"/>
            </w:tcMar>
            <w:hideMark/>
          </w:tcPr>
          <w:p w14:paraId="6F6BB459" w14:textId="77777777" w:rsidR="00891DA8" w:rsidRPr="00891DA8" w:rsidRDefault="00891DA8" w:rsidP="00891DA8">
            <w:pPr>
              <w:widowControl/>
              <w:rPr>
                <w:rFonts w:ascii="微软雅黑" w:eastAsia="微软雅黑" w:hAnsi="微软雅黑" w:cs="宋体"/>
                <w:kern w:val="0"/>
                <w:sz w:val="24"/>
                <w:szCs w:val="24"/>
              </w:rPr>
            </w:pPr>
            <w:hyperlink r:id="rId125" w:tgtFrame="_blank" w:history="1">
              <w:r w:rsidRPr="00891DA8">
                <w:rPr>
                  <w:rFonts w:ascii="微软雅黑" w:eastAsia="微软雅黑" w:hAnsi="微软雅黑" w:cs="宋体"/>
                  <w:kern w:val="0"/>
                  <w:sz w:val="24"/>
                  <w:szCs w:val="24"/>
                  <w:u w:val="single"/>
                </w:rPr>
                <w:t>NCT02057133</w:t>
              </w:r>
            </w:hyperlink>
          </w:p>
        </w:tc>
      </w:tr>
    </w:tbl>
    <w:p w14:paraId="30225B2D" w14:textId="77777777" w:rsidR="00891DA8" w:rsidRPr="00891DA8" w:rsidRDefault="00891DA8" w:rsidP="00891DA8">
      <w:pPr>
        <w:widowControl/>
        <w:rPr>
          <w:rFonts w:ascii="微软雅黑" w:eastAsia="微软雅黑" w:hAnsi="微软雅黑" w:cs="宋体"/>
          <w:kern w:val="0"/>
          <w:sz w:val="24"/>
          <w:szCs w:val="24"/>
        </w:rPr>
      </w:pPr>
      <w:r w:rsidRPr="00891DA8">
        <w:rPr>
          <w:rFonts w:ascii="微软雅黑" w:eastAsia="微软雅黑" w:hAnsi="微软雅黑" w:cs="宋体"/>
          <w:kern w:val="0"/>
          <w:sz w:val="24"/>
          <w:szCs w:val="24"/>
          <w:vertAlign w:val="superscript"/>
        </w:rPr>
        <w:t>BYL719</w:t>
      </w:r>
      <w:r w:rsidRPr="00891DA8">
        <w:rPr>
          <w:rFonts w:ascii="微软雅黑" w:eastAsia="微软雅黑" w:hAnsi="微软雅黑" w:cs="宋体"/>
          <w:kern w:val="0"/>
          <w:sz w:val="24"/>
          <w:szCs w:val="24"/>
        </w:rPr>
        <w:t>（诺华公司）是一种磷脂酰肌醇3-激酶α特异性抑制剂。</w:t>
      </w:r>
      <w:proofErr w:type="spellStart"/>
      <w:r w:rsidRPr="00891DA8">
        <w:rPr>
          <w:rFonts w:ascii="微软雅黑" w:eastAsia="微软雅黑" w:hAnsi="微软雅黑" w:cs="宋体"/>
          <w:kern w:val="0"/>
          <w:sz w:val="24"/>
          <w:szCs w:val="24"/>
        </w:rPr>
        <w:t>cCR</w:t>
      </w:r>
      <w:proofErr w:type="spellEnd"/>
      <w:r w:rsidRPr="00891DA8">
        <w:rPr>
          <w:rFonts w:ascii="微软雅黑" w:eastAsia="微软雅黑" w:hAnsi="微软雅黑" w:cs="宋体"/>
          <w:kern w:val="0"/>
          <w:sz w:val="24"/>
          <w:szCs w:val="24"/>
        </w:rPr>
        <w:t> </w:t>
      </w:r>
      <w:r w:rsidRPr="00891DA8">
        <w:rPr>
          <w:rFonts w:ascii="微软雅黑" w:eastAsia="微软雅黑" w:hAnsi="微软雅黑" w:cs="宋体"/>
          <w:i/>
          <w:iCs/>
          <w:kern w:val="0"/>
          <w:sz w:val="24"/>
          <w:szCs w:val="24"/>
        </w:rPr>
        <w:t>：</w:t>
      </w:r>
      <w:r w:rsidRPr="00891DA8">
        <w:rPr>
          <w:rFonts w:ascii="微软雅黑" w:eastAsia="微软雅黑" w:hAnsi="微软雅黑" w:cs="宋体"/>
          <w:kern w:val="0"/>
          <w:sz w:val="24"/>
          <w:szCs w:val="24"/>
        </w:rPr>
        <w:t>临床完全缓解；</w:t>
      </w:r>
      <w:r w:rsidRPr="00891DA8">
        <w:rPr>
          <w:rFonts w:ascii="微软雅黑" w:eastAsia="微软雅黑" w:hAnsi="微软雅黑" w:cs="宋体"/>
          <w:i/>
          <w:iCs/>
          <w:kern w:val="0"/>
          <w:sz w:val="24"/>
          <w:szCs w:val="24"/>
        </w:rPr>
        <w:t>DLT：</w:t>
      </w:r>
      <w:r w:rsidRPr="00891DA8">
        <w:rPr>
          <w:rFonts w:ascii="微软雅黑" w:eastAsia="微软雅黑" w:hAnsi="微软雅黑" w:cs="宋体"/>
          <w:kern w:val="0"/>
          <w:sz w:val="24"/>
          <w:szCs w:val="24"/>
        </w:rPr>
        <w:t>剂量限制性毒性；</w:t>
      </w:r>
      <w:r w:rsidRPr="00891DA8">
        <w:rPr>
          <w:rFonts w:ascii="微软雅黑" w:eastAsia="微软雅黑" w:hAnsi="微软雅黑" w:cs="宋体"/>
          <w:i/>
          <w:iCs/>
          <w:kern w:val="0"/>
          <w:sz w:val="24"/>
          <w:szCs w:val="24"/>
        </w:rPr>
        <w:t>FEC：</w:t>
      </w:r>
      <w:r w:rsidRPr="00891DA8">
        <w:rPr>
          <w:rFonts w:ascii="微软雅黑" w:eastAsia="微软雅黑" w:hAnsi="微软雅黑" w:cs="宋体"/>
          <w:kern w:val="0"/>
          <w:sz w:val="24"/>
          <w:szCs w:val="24"/>
        </w:rPr>
        <w:t> 5-氟尿嘧啶、</w:t>
      </w:r>
      <w:proofErr w:type="gramStart"/>
      <w:r w:rsidRPr="00891DA8">
        <w:rPr>
          <w:rFonts w:ascii="微软雅黑" w:eastAsia="微软雅黑" w:hAnsi="微软雅黑" w:cs="宋体"/>
          <w:kern w:val="0"/>
          <w:sz w:val="24"/>
          <w:szCs w:val="24"/>
        </w:rPr>
        <w:t>表柔比</w:t>
      </w:r>
      <w:proofErr w:type="gramEnd"/>
      <w:r w:rsidRPr="00891DA8">
        <w:rPr>
          <w:rFonts w:ascii="微软雅黑" w:eastAsia="微软雅黑" w:hAnsi="微软雅黑" w:cs="宋体"/>
          <w:kern w:val="0"/>
          <w:sz w:val="24"/>
          <w:szCs w:val="24"/>
        </w:rPr>
        <w:t>星、环磷酰胺；</w:t>
      </w:r>
      <w:proofErr w:type="spellStart"/>
      <w:r w:rsidRPr="00891DA8">
        <w:rPr>
          <w:rFonts w:ascii="微软雅黑" w:eastAsia="微软雅黑" w:hAnsi="微软雅黑" w:cs="宋体"/>
          <w:i/>
          <w:iCs/>
          <w:kern w:val="0"/>
          <w:sz w:val="24"/>
          <w:szCs w:val="24"/>
        </w:rPr>
        <w:t>iDFS</w:t>
      </w:r>
      <w:proofErr w:type="spellEnd"/>
      <w:r w:rsidRPr="00891DA8">
        <w:rPr>
          <w:rFonts w:ascii="微软雅黑" w:eastAsia="微软雅黑" w:hAnsi="微软雅黑" w:cs="宋体"/>
          <w:i/>
          <w:iCs/>
          <w:kern w:val="0"/>
          <w:sz w:val="24"/>
          <w:szCs w:val="24"/>
        </w:rPr>
        <w:t>：</w:t>
      </w:r>
      <w:r w:rsidRPr="00891DA8">
        <w:rPr>
          <w:rFonts w:ascii="微软雅黑" w:eastAsia="微软雅黑" w:hAnsi="微软雅黑" w:cs="宋体"/>
          <w:kern w:val="0"/>
          <w:sz w:val="24"/>
          <w:szCs w:val="24"/>
        </w:rPr>
        <w:t>无侵袭性疾病间隔；</w:t>
      </w:r>
      <w:r w:rsidRPr="00891DA8">
        <w:rPr>
          <w:rFonts w:ascii="微软雅黑" w:eastAsia="微软雅黑" w:hAnsi="微软雅黑" w:cs="宋体"/>
          <w:i/>
          <w:iCs/>
          <w:kern w:val="0"/>
          <w:sz w:val="24"/>
          <w:szCs w:val="24"/>
        </w:rPr>
        <w:t>MTD：</w:t>
      </w:r>
      <w:r w:rsidRPr="00891DA8">
        <w:rPr>
          <w:rFonts w:ascii="微软雅黑" w:eastAsia="微软雅黑" w:hAnsi="微软雅黑" w:cs="宋体"/>
          <w:kern w:val="0"/>
          <w:sz w:val="24"/>
          <w:szCs w:val="24"/>
        </w:rPr>
        <w:t>最大耐受</w:t>
      </w:r>
      <w:r w:rsidRPr="00891DA8">
        <w:rPr>
          <w:rFonts w:ascii="MS Gothic" w:eastAsia="MS Gothic" w:hAnsi="MS Gothic" w:cs="MS Gothic" w:hint="eastAsia"/>
          <w:kern w:val="0"/>
          <w:sz w:val="24"/>
          <w:szCs w:val="24"/>
        </w:rPr>
        <w:t>​​</w:t>
      </w:r>
      <w:r w:rsidRPr="00891DA8">
        <w:rPr>
          <w:rFonts w:ascii="微软雅黑" w:eastAsia="微软雅黑" w:hAnsi="微软雅黑" w:cs="宋体"/>
          <w:kern w:val="0"/>
          <w:sz w:val="24"/>
          <w:szCs w:val="24"/>
        </w:rPr>
        <w:t>剂量；</w:t>
      </w:r>
      <w:r w:rsidRPr="00891DA8">
        <w:rPr>
          <w:rFonts w:ascii="微软雅黑" w:eastAsia="微软雅黑" w:hAnsi="微软雅黑" w:cs="宋体"/>
          <w:i/>
          <w:iCs/>
          <w:kern w:val="0"/>
          <w:sz w:val="24"/>
          <w:szCs w:val="24"/>
        </w:rPr>
        <w:t>NSAI：</w:t>
      </w:r>
      <w:r w:rsidRPr="00891DA8">
        <w:rPr>
          <w:rFonts w:ascii="微软雅黑" w:eastAsia="微软雅黑" w:hAnsi="微软雅黑" w:cs="宋体"/>
          <w:kern w:val="0"/>
          <w:sz w:val="24"/>
          <w:szCs w:val="24"/>
        </w:rPr>
        <w:t>非</w:t>
      </w:r>
      <w:proofErr w:type="gramStart"/>
      <w:r w:rsidRPr="00891DA8">
        <w:rPr>
          <w:rFonts w:ascii="微软雅黑" w:eastAsia="微软雅黑" w:hAnsi="微软雅黑" w:cs="宋体"/>
          <w:kern w:val="0"/>
          <w:sz w:val="24"/>
          <w:szCs w:val="24"/>
        </w:rPr>
        <w:t>甾</w:t>
      </w:r>
      <w:proofErr w:type="gramEnd"/>
      <w:r w:rsidRPr="00891DA8">
        <w:rPr>
          <w:rFonts w:ascii="微软雅黑" w:eastAsia="微软雅黑" w:hAnsi="微软雅黑" w:cs="宋体"/>
          <w:kern w:val="0"/>
          <w:sz w:val="24"/>
          <w:szCs w:val="24"/>
        </w:rPr>
        <w:t>体类芳香化酶抑制剂；</w:t>
      </w:r>
      <w:r w:rsidRPr="00891DA8">
        <w:rPr>
          <w:rFonts w:ascii="微软雅黑" w:eastAsia="微软雅黑" w:hAnsi="微软雅黑" w:cs="宋体"/>
          <w:i/>
          <w:iCs/>
          <w:kern w:val="0"/>
          <w:sz w:val="24"/>
          <w:szCs w:val="24"/>
        </w:rPr>
        <w:lastRenderedPageBreak/>
        <w:t>ORR：</w:t>
      </w:r>
      <w:r w:rsidRPr="00891DA8">
        <w:rPr>
          <w:rFonts w:ascii="微软雅黑" w:eastAsia="微软雅黑" w:hAnsi="微软雅黑" w:cs="宋体"/>
          <w:kern w:val="0"/>
          <w:sz w:val="24"/>
          <w:szCs w:val="24"/>
        </w:rPr>
        <w:t>客观缓解率；</w:t>
      </w:r>
      <w:proofErr w:type="spellStart"/>
      <w:r w:rsidRPr="00891DA8">
        <w:rPr>
          <w:rFonts w:ascii="微软雅黑" w:eastAsia="微软雅黑" w:hAnsi="微软雅黑" w:cs="宋体"/>
          <w:i/>
          <w:iCs/>
          <w:kern w:val="0"/>
          <w:sz w:val="24"/>
          <w:szCs w:val="24"/>
        </w:rPr>
        <w:t>pCR</w:t>
      </w:r>
      <w:proofErr w:type="spellEnd"/>
      <w:r w:rsidRPr="00891DA8">
        <w:rPr>
          <w:rFonts w:ascii="微软雅黑" w:eastAsia="微软雅黑" w:hAnsi="微软雅黑" w:cs="宋体"/>
          <w:i/>
          <w:iCs/>
          <w:kern w:val="0"/>
          <w:sz w:val="24"/>
          <w:szCs w:val="24"/>
        </w:rPr>
        <w:t>：</w:t>
      </w:r>
      <w:r w:rsidRPr="00891DA8">
        <w:rPr>
          <w:rFonts w:ascii="微软雅黑" w:eastAsia="微软雅黑" w:hAnsi="微软雅黑" w:cs="宋体"/>
          <w:kern w:val="0"/>
          <w:sz w:val="24"/>
          <w:szCs w:val="24"/>
        </w:rPr>
        <w:t>病理完全缓解率；</w:t>
      </w:r>
      <w:r w:rsidRPr="00891DA8">
        <w:rPr>
          <w:rFonts w:ascii="微软雅黑" w:eastAsia="微软雅黑" w:hAnsi="微软雅黑" w:cs="宋体"/>
          <w:i/>
          <w:iCs/>
          <w:kern w:val="0"/>
          <w:sz w:val="24"/>
          <w:szCs w:val="24"/>
        </w:rPr>
        <w:t>PD</w:t>
      </w:r>
      <w:r w:rsidRPr="00891DA8">
        <w:rPr>
          <w:rFonts w:ascii="微软雅黑" w:eastAsia="微软雅黑" w:hAnsi="微软雅黑" w:cs="宋体"/>
          <w:kern w:val="0"/>
          <w:sz w:val="24"/>
          <w:szCs w:val="24"/>
        </w:rPr>
        <w:t>：药效学；</w:t>
      </w:r>
      <w:r w:rsidRPr="00891DA8">
        <w:rPr>
          <w:rFonts w:ascii="微软雅黑" w:eastAsia="微软雅黑" w:hAnsi="微软雅黑" w:cs="宋体"/>
          <w:i/>
          <w:iCs/>
          <w:kern w:val="0"/>
          <w:sz w:val="24"/>
          <w:szCs w:val="24"/>
        </w:rPr>
        <w:t>PFS</w:t>
      </w:r>
      <w:r w:rsidRPr="00891DA8">
        <w:rPr>
          <w:rFonts w:ascii="微软雅黑" w:eastAsia="微软雅黑" w:hAnsi="微软雅黑" w:cs="宋体"/>
          <w:kern w:val="0"/>
          <w:sz w:val="24"/>
          <w:szCs w:val="24"/>
        </w:rPr>
        <w:t> ：无进展生存期；</w:t>
      </w:r>
      <w:r w:rsidRPr="00891DA8">
        <w:rPr>
          <w:rFonts w:ascii="微软雅黑" w:eastAsia="微软雅黑" w:hAnsi="微软雅黑" w:cs="宋体"/>
          <w:i/>
          <w:iCs/>
          <w:kern w:val="0"/>
          <w:sz w:val="24"/>
          <w:szCs w:val="24"/>
        </w:rPr>
        <w:t>RCB：</w:t>
      </w:r>
      <w:r w:rsidRPr="00891DA8">
        <w:rPr>
          <w:rFonts w:ascii="微软雅黑" w:eastAsia="微软雅黑" w:hAnsi="微软雅黑" w:cs="宋体"/>
          <w:kern w:val="0"/>
          <w:sz w:val="24"/>
          <w:szCs w:val="24"/>
        </w:rPr>
        <w:t>残余肿瘤负荷；</w:t>
      </w:r>
      <w:r w:rsidRPr="00891DA8">
        <w:rPr>
          <w:rFonts w:ascii="微软雅黑" w:eastAsia="微软雅黑" w:hAnsi="微软雅黑" w:cs="宋体"/>
          <w:i/>
          <w:iCs/>
          <w:kern w:val="0"/>
          <w:sz w:val="24"/>
          <w:szCs w:val="24"/>
        </w:rPr>
        <w:t>SAT：</w:t>
      </w:r>
      <w:r w:rsidRPr="00891DA8">
        <w:rPr>
          <w:rFonts w:ascii="微软雅黑" w:eastAsia="微软雅黑" w:hAnsi="微软雅黑" w:cs="宋体"/>
          <w:kern w:val="0"/>
          <w:sz w:val="24"/>
          <w:szCs w:val="24"/>
        </w:rPr>
        <w:t>标准辅助治疗；</w:t>
      </w:r>
      <w:r w:rsidRPr="00891DA8">
        <w:rPr>
          <w:rFonts w:ascii="微软雅黑" w:eastAsia="微软雅黑" w:hAnsi="微软雅黑" w:cs="宋体"/>
          <w:i/>
          <w:iCs/>
          <w:kern w:val="0"/>
          <w:sz w:val="24"/>
          <w:szCs w:val="24"/>
        </w:rPr>
        <w:t>TDM-1：</w:t>
      </w:r>
      <w:r w:rsidRPr="00891DA8">
        <w:rPr>
          <w:rFonts w:ascii="微软雅黑" w:eastAsia="微软雅黑" w:hAnsi="微软雅黑" w:cs="宋体"/>
          <w:kern w:val="0"/>
          <w:sz w:val="24"/>
          <w:szCs w:val="24"/>
        </w:rPr>
        <w:t> ado-</w:t>
      </w:r>
      <w:proofErr w:type="gramStart"/>
      <w:r w:rsidRPr="00891DA8">
        <w:rPr>
          <w:rFonts w:ascii="微软雅黑" w:eastAsia="微软雅黑" w:hAnsi="微软雅黑" w:cs="宋体"/>
          <w:kern w:val="0"/>
          <w:sz w:val="24"/>
          <w:szCs w:val="24"/>
        </w:rPr>
        <w:t>曲妥珠单</w:t>
      </w:r>
      <w:proofErr w:type="gramEnd"/>
      <w:r w:rsidRPr="00891DA8">
        <w:rPr>
          <w:rFonts w:ascii="微软雅黑" w:eastAsia="微软雅黑" w:hAnsi="微软雅黑" w:cs="宋体"/>
          <w:kern w:val="0"/>
          <w:sz w:val="24"/>
          <w:szCs w:val="24"/>
        </w:rPr>
        <w:t>抗-</w:t>
      </w:r>
      <w:proofErr w:type="gramStart"/>
      <w:r w:rsidRPr="00891DA8">
        <w:rPr>
          <w:rFonts w:ascii="微软雅黑" w:eastAsia="微软雅黑" w:hAnsi="微软雅黑" w:cs="宋体"/>
          <w:kern w:val="0"/>
          <w:sz w:val="24"/>
          <w:szCs w:val="24"/>
        </w:rPr>
        <w:t>美坦新</w:t>
      </w:r>
      <w:proofErr w:type="gramEnd"/>
    </w:p>
    <w:p w14:paraId="31108FA9"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与帕博西尼（</w:t>
      </w:r>
      <w:proofErr w:type="spellStart"/>
      <w:r w:rsidRPr="00891DA8">
        <w:rPr>
          <w:rFonts w:ascii="微软雅黑" w:eastAsia="微软雅黑" w:hAnsi="微软雅黑" w:cs="宋体"/>
          <w:kern w:val="0"/>
          <w:sz w:val="24"/>
          <w:szCs w:val="24"/>
        </w:rPr>
        <w:t>palbociclib</w:t>
      </w:r>
      <w:proofErr w:type="spellEnd"/>
      <w:r w:rsidRPr="00891DA8">
        <w:rPr>
          <w:rFonts w:ascii="微软雅黑" w:eastAsia="微软雅黑" w:hAnsi="微软雅黑" w:cs="宋体"/>
          <w:kern w:val="0"/>
          <w:sz w:val="24"/>
          <w:szCs w:val="24"/>
        </w:rPr>
        <w:t>）类似，LEE011（利博西尼；诺华公司）的给药方案为每日600毫克，用药3周，停药1周。目前已公布的乳腺癌数据有限。在一项针对晚期</w:t>
      </w:r>
      <w:proofErr w:type="spellStart"/>
      <w:r w:rsidRPr="00891DA8">
        <w:rPr>
          <w:rFonts w:ascii="微软雅黑" w:eastAsia="微软雅黑" w:hAnsi="微软雅黑" w:cs="宋体"/>
          <w:kern w:val="0"/>
          <w:sz w:val="24"/>
          <w:szCs w:val="24"/>
        </w:rPr>
        <w:t>pRb</w:t>
      </w:r>
      <w:proofErr w:type="spellEnd"/>
      <w:r w:rsidRPr="00891DA8">
        <w:rPr>
          <w:rFonts w:ascii="微软雅黑" w:eastAsia="微软雅黑" w:hAnsi="微软雅黑" w:cs="宋体"/>
          <w:kern w:val="0"/>
          <w:sz w:val="24"/>
          <w:szCs w:val="24"/>
        </w:rPr>
        <w:t>阳性实体瘤的大型I期研究中，单药治疗在乳腺癌患者中观察到了疗效[ </w:t>
      </w:r>
      <w:hyperlink r:id="rId126" w:anchor="CR83" w:history="1">
        <w:r w:rsidRPr="00891DA8">
          <w:rPr>
            <w:rFonts w:ascii="微软雅黑" w:eastAsia="微软雅黑" w:hAnsi="微软雅黑" w:cs="宋体"/>
            <w:kern w:val="0"/>
            <w:sz w:val="24"/>
            <w:szCs w:val="24"/>
            <w:u w:val="single"/>
          </w:rPr>
          <w:t>83</w:t>
        </w:r>
      </w:hyperlink>
      <w:r w:rsidRPr="00891DA8">
        <w:rPr>
          <w:rFonts w:ascii="微软雅黑" w:eastAsia="微软雅黑" w:hAnsi="微软雅黑" w:cs="宋体"/>
          <w:kern w:val="0"/>
          <w:sz w:val="24"/>
          <w:szCs w:val="24"/>
        </w:rPr>
        <w:t> ]。在推荐的扩展剂量下，最常见的3/4级毒性反应为中性粒细胞减少症（26%）、白细胞减少症（16%）和淋巴细胞减少症（16%）。LEE011目前正在进行更深入的乳腺癌和其他癌症研究。此外，它还在评估与p110α特异性磷脂酰肌醇3-激酶抑制剂阿培利西布（BYL719）和来曲</w:t>
      </w:r>
      <w:proofErr w:type="gramStart"/>
      <w:r w:rsidRPr="00891DA8">
        <w:rPr>
          <w:rFonts w:ascii="微软雅黑" w:eastAsia="微软雅黑" w:hAnsi="微软雅黑" w:cs="宋体"/>
          <w:kern w:val="0"/>
          <w:sz w:val="24"/>
          <w:szCs w:val="24"/>
        </w:rPr>
        <w:t>唑</w:t>
      </w:r>
      <w:proofErr w:type="gramEnd"/>
      <w:r w:rsidRPr="00891DA8">
        <w:rPr>
          <w:rFonts w:ascii="微软雅黑" w:eastAsia="微软雅黑" w:hAnsi="微软雅黑" w:cs="宋体"/>
          <w:kern w:val="0"/>
          <w:sz w:val="24"/>
          <w:szCs w:val="24"/>
        </w:rPr>
        <w:t>联合用药，以及与依维莫司和依西美坦联合用药的疗效。人们正翘首以盼这两种化合物的更成熟数据。</w:t>
      </w:r>
    </w:p>
    <w:p w14:paraId="636416B7" w14:textId="77777777" w:rsidR="00891DA8" w:rsidRPr="00891DA8" w:rsidRDefault="00891DA8" w:rsidP="00891DA8">
      <w:pPr>
        <w:widowControl/>
        <w:pBdr>
          <w:bottom w:val="single" w:sz="6" w:space="0" w:color="97B1C8"/>
        </w:pBdr>
        <w:spacing w:line="450" w:lineRule="atLeast"/>
        <w:outlineLvl w:val="1"/>
        <w:rPr>
          <w:rFonts w:ascii="微软雅黑" w:eastAsia="微软雅黑" w:hAnsi="微软雅黑" w:cs="宋体"/>
          <w:kern w:val="0"/>
          <w:sz w:val="34"/>
          <w:szCs w:val="34"/>
        </w:rPr>
      </w:pPr>
      <w:r w:rsidRPr="00891DA8">
        <w:rPr>
          <w:rFonts w:ascii="微软雅黑" w:eastAsia="微软雅黑" w:hAnsi="微软雅黑" w:cs="宋体"/>
          <w:kern w:val="0"/>
          <w:sz w:val="34"/>
          <w:szCs w:val="34"/>
        </w:rPr>
        <w:t>结论</w:t>
      </w:r>
    </w:p>
    <w:p w14:paraId="11C85FE5" w14:textId="77777777" w:rsidR="00891DA8" w:rsidRPr="00891DA8" w:rsidRDefault="00891DA8" w:rsidP="00891DA8">
      <w:pPr>
        <w:widowControl/>
        <w:spacing w:before="450"/>
        <w:rPr>
          <w:rFonts w:ascii="微软雅黑" w:eastAsia="微软雅黑" w:hAnsi="微软雅黑" w:cs="宋体"/>
          <w:kern w:val="0"/>
          <w:sz w:val="24"/>
          <w:szCs w:val="24"/>
        </w:rPr>
      </w:pPr>
      <w:r w:rsidRPr="00891DA8">
        <w:rPr>
          <w:rFonts w:ascii="微软雅黑" w:eastAsia="微软雅黑" w:hAnsi="微软雅黑" w:cs="宋体"/>
          <w:kern w:val="0"/>
          <w:sz w:val="24"/>
          <w:szCs w:val="24"/>
        </w:rPr>
        <w:t>从基础科学研究到最终的临床试验，有效靶向细胞周期的转化之路漫长而艰辛。这一过程面临的挑战显而易见，包括：识别最相关的生物靶点、开发针对这些靶点的有效临床级抑制剂，以及最终确定适合临床开发的目标人群。临床前研究发现，帕博西尼（PD-0332991）在代表ER+和HER2扩增亚组的细胞系模型中具有优先活性，这一发现促成了ER+乳腺癌II期疗效/安全性方面令人鼓舞的数据。虽然单药治疗在这些亚型的既往接受过大量治疗的患者中也显示出疗效，但帕博西尼与来曲</w:t>
      </w:r>
      <w:proofErr w:type="gramStart"/>
      <w:r w:rsidRPr="00891DA8">
        <w:rPr>
          <w:rFonts w:ascii="微软雅黑" w:eastAsia="微软雅黑" w:hAnsi="微软雅黑" w:cs="宋体"/>
          <w:kern w:val="0"/>
          <w:sz w:val="24"/>
          <w:szCs w:val="24"/>
        </w:rPr>
        <w:t>唑</w:t>
      </w:r>
      <w:proofErr w:type="gramEnd"/>
      <w:r w:rsidRPr="00891DA8">
        <w:rPr>
          <w:rFonts w:ascii="微软雅黑" w:eastAsia="微软雅黑" w:hAnsi="微软雅黑" w:cs="宋体"/>
          <w:kern w:val="0"/>
          <w:sz w:val="24"/>
          <w:szCs w:val="24"/>
        </w:rPr>
        <w:t xml:space="preserve">联合用于绝经后乳腺癌一线治疗的数据，已将细胞周期蛋白：CDK：RB信号复合物的基本生物学机制推到了癌症新疗法研究的前沿。目前，多种 </w:t>
      </w:r>
      <w:r w:rsidRPr="00891DA8">
        <w:rPr>
          <w:rFonts w:ascii="微软雅黑" w:eastAsia="微软雅黑" w:hAnsi="微软雅黑" w:cs="宋体"/>
          <w:kern w:val="0"/>
          <w:sz w:val="24"/>
          <w:szCs w:val="24"/>
        </w:rPr>
        <w:lastRenderedPageBreak/>
        <w:t>CDK4/6 抑制剂正处于临床开发阶段，未来还将开展更多研究，探索其与其</w:t>
      </w:r>
      <w:proofErr w:type="gramStart"/>
      <w:r w:rsidRPr="00891DA8">
        <w:rPr>
          <w:rFonts w:ascii="微软雅黑" w:eastAsia="微软雅黑" w:hAnsi="微软雅黑" w:cs="宋体"/>
          <w:kern w:val="0"/>
          <w:sz w:val="24"/>
          <w:szCs w:val="24"/>
        </w:rPr>
        <w:t>他分子靶向药物</w:t>
      </w:r>
      <w:proofErr w:type="gramEnd"/>
      <w:r w:rsidRPr="00891DA8">
        <w:rPr>
          <w:rFonts w:ascii="微软雅黑" w:eastAsia="微软雅黑" w:hAnsi="微软雅黑" w:cs="宋体"/>
          <w:kern w:val="0"/>
          <w:sz w:val="24"/>
          <w:szCs w:val="24"/>
        </w:rPr>
        <w:t>的最佳联合用药方案，并探索其在其他乳腺癌治疗中的应用。鉴于 CDK4/6 抑制剂与</w:t>
      </w:r>
      <w:proofErr w:type="gramStart"/>
      <w:r w:rsidRPr="00891DA8">
        <w:rPr>
          <w:rFonts w:ascii="微软雅黑" w:eastAsia="微软雅黑" w:hAnsi="微软雅黑" w:cs="宋体"/>
          <w:kern w:val="0"/>
          <w:sz w:val="24"/>
          <w:szCs w:val="24"/>
        </w:rPr>
        <w:t>曲妥珠单抗具有</w:t>
      </w:r>
      <w:proofErr w:type="gramEnd"/>
      <w:r w:rsidRPr="00891DA8">
        <w:rPr>
          <w:rFonts w:ascii="微软雅黑" w:eastAsia="微软雅黑" w:hAnsi="微软雅黑" w:cs="宋体"/>
          <w:kern w:val="0"/>
          <w:sz w:val="24"/>
          <w:szCs w:val="24"/>
        </w:rPr>
        <w:t>协同作用[ </w:t>
      </w:r>
      <w:hyperlink r:id="rId127" w:anchor="CR8" w:history="1">
        <w:r w:rsidRPr="00891DA8">
          <w:rPr>
            <w:rFonts w:ascii="微软雅黑" w:eastAsia="微软雅黑" w:hAnsi="微软雅黑" w:cs="宋体"/>
            <w:kern w:val="0"/>
            <w:sz w:val="24"/>
            <w:szCs w:val="24"/>
            <w:u w:val="single"/>
          </w:rPr>
          <w:t>8</w:t>
        </w:r>
      </w:hyperlink>
      <w:r w:rsidRPr="00891DA8">
        <w:rPr>
          <w:rFonts w:ascii="微软雅黑" w:eastAsia="微软雅黑" w:hAnsi="微软雅黑" w:cs="宋体"/>
          <w:kern w:val="0"/>
          <w:sz w:val="24"/>
          <w:szCs w:val="24"/>
        </w:rPr>
        <w:t> ]，针对 HER2 扩增型乳腺癌的 CDK4/6 靶</w:t>
      </w:r>
      <w:proofErr w:type="gramStart"/>
      <w:r w:rsidRPr="00891DA8">
        <w:rPr>
          <w:rFonts w:ascii="微软雅黑" w:eastAsia="微软雅黑" w:hAnsi="微软雅黑" w:cs="宋体"/>
          <w:kern w:val="0"/>
          <w:sz w:val="24"/>
          <w:szCs w:val="24"/>
        </w:rPr>
        <w:t>向治疗</w:t>
      </w:r>
      <w:proofErr w:type="gramEnd"/>
      <w:r w:rsidRPr="00891DA8">
        <w:rPr>
          <w:rFonts w:ascii="微软雅黑" w:eastAsia="微软雅黑" w:hAnsi="微软雅黑" w:cs="宋体"/>
          <w:kern w:val="0"/>
          <w:sz w:val="24"/>
          <w:szCs w:val="24"/>
        </w:rPr>
        <w:t>仍然是一个非常合理的目标。正在进行和计划中的组织样本采集研究将进一步指导这些研发策略。此外，随着经验的积累，识别任何可能存在的 CDK4/6 抑制剂耐药机制对于深入理解该通路以及如何改进其治疗方法至关重要。考虑到类固醇激素和肽类生长因子信号通路之间的相互作用及其与 CDK 生物学的交叉，我们对 CDK4/6 抑制剂耐药性的理解很可能会加深我们对这些信号通路潜在生物学机制的认识。最终，如果在乳腺癌中得到验证，我们假设，在适当的选择生物标志物下，其他肿瘤类型的患者亚组可能会从 CDK4/6 抑制中受益。</w:t>
      </w:r>
    </w:p>
    <w:p w14:paraId="2E63768E" w14:textId="77777777" w:rsidR="00C76C4D" w:rsidRPr="00E217B9" w:rsidRDefault="00C76C4D" w:rsidP="00891DA8">
      <w:pPr>
        <w:rPr>
          <w:rFonts w:ascii="微软雅黑" w:eastAsia="微软雅黑" w:hAnsi="微软雅黑"/>
        </w:rPr>
      </w:pPr>
    </w:p>
    <w:sectPr w:rsidR="00C76C4D" w:rsidRPr="00E217B9">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EF2F60"/>
    <w:multiLevelType w:val="multilevel"/>
    <w:tmpl w:val="45BA7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C4D"/>
    <w:rsid w:val="00891DA8"/>
    <w:rsid w:val="00C76C4D"/>
    <w:rsid w:val="00E217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8B868"/>
  <w15:chartTrackingRefBased/>
  <w15:docId w15:val="{F3DEB89A-AB8A-442A-83EC-B9FE08B95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891DA8"/>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891DA8"/>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0"/>
    <w:uiPriority w:val="9"/>
    <w:qFormat/>
    <w:rsid w:val="00891DA8"/>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0"/>
    <w:uiPriority w:val="9"/>
    <w:qFormat/>
    <w:rsid w:val="00891DA8"/>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91DA8"/>
    <w:rPr>
      <w:rFonts w:ascii="宋体" w:eastAsia="宋体" w:hAnsi="宋体" w:cs="宋体"/>
      <w:b/>
      <w:bCs/>
      <w:kern w:val="36"/>
      <w:sz w:val="48"/>
      <w:szCs w:val="48"/>
    </w:rPr>
  </w:style>
  <w:style w:type="character" w:customStyle="1" w:styleId="20">
    <w:name w:val="标题 2 字符"/>
    <w:basedOn w:val="a0"/>
    <w:link w:val="2"/>
    <w:uiPriority w:val="9"/>
    <w:rsid w:val="00891DA8"/>
    <w:rPr>
      <w:rFonts w:ascii="宋体" w:eastAsia="宋体" w:hAnsi="宋体" w:cs="宋体"/>
      <w:b/>
      <w:bCs/>
      <w:kern w:val="0"/>
      <w:sz w:val="36"/>
      <w:szCs w:val="36"/>
    </w:rPr>
  </w:style>
  <w:style w:type="character" w:customStyle="1" w:styleId="30">
    <w:name w:val="标题 3 字符"/>
    <w:basedOn w:val="a0"/>
    <w:link w:val="3"/>
    <w:uiPriority w:val="9"/>
    <w:rsid w:val="00891DA8"/>
    <w:rPr>
      <w:rFonts w:ascii="宋体" w:eastAsia="宋体" w:hAnsi="宋体" w:cs="宋体"/>
      <w:b/>
      <w:bCs/>
      <w:kern w:val="0"/>
      <w:sz w:val="27"/>
      <w:szCs w:val="27"/>
    </w:rPr>
  </w:style>
  <w:style w:type="character" w:customStyle="1" w:styleId="40">
    <w:name w:val="标题 4 字符"/>
    <w:basedOn w:val="a0"/>
    <w:link w:val="4"/>
    <w:uiPriority w:val="9"/>
    <w:rsid w:val="00891DA8"/>
    <w:rPr>
      <w:rFonts w:ascii="宋体" w:eastAsia="宋体" w:hAnsi="宋体" w:cs="宋体"/>
      <w:b/>
      <w:bCs/>
      <w:kern w:val="0"/>
      <w:sz w:val="24"/>
      <w:szCs w:val="24"/>
    </w:rPr>
  </w:style>
  <w:style w:type="paragraph" w:customStyle="1" w:styleId="msonormal0">
    <w:name w:val="msonormal"/>
    <w:basedOn w:val="a"/>
    <w:rsid w:val="00891DA8"/>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semiHidden/>
    <w:unhideWhenUsed/>
    <w:rsid w:val="00891DA8"/>
    <w:rPr>
      <w:color w:val="0000FF"/>
      <w:u w:val="single"/>
    </w:rPr>
  </w:style>
  <w:style w:type="character" w:styleId="a4">
    <w:name w:val="FollowedHyperlink"/>
    <w:basedOn w:val="a0"/>
    <w:uiPriority w:val="99"/>
    <w:semiHidden/>
    <w:unhideWhenUsed/>
    <w:rsid w:val="00891DA8"/>
    <w:rPr>
      <w:color w:val="800080"/>
      <w:u w:val="single"/>
    </w:rPr>
  </w:style>
  <w:style w:type="character" w:customStyle="1" w:styleId="name">
    <w:name w:val="name"/>
    <w:basedOn w:val="a0"/>
    <w:rsid w:val="00891DA8"/>
  </w:style>
  <w:style w:type="paragraph" w:styleId="a5">
    <w:name w:val="Normal (Web)"/>
    <w:basedOn w:val="a"/>
    <w:uiPriority w:val="99"/>
    <w:semiHidden/>
    <w:unhideWhenUsed/>
    <w:rsid w:val="00891DA8"/>
    <w:pPr>
      <w:widowControl/>
      <w:spacing w:before="100" w:beforeAutospacing="1" w:after="100" w:afterAutospacing="1"/>
      <w:jc w:val="left"/>
    </w:pPr>
    <w:rPr>
      <w:rFonts w:ascii="宋体" w:eastAsia="宋体" w:hAnsi="宋体" w:cs="宋体"/>
      <w:kern w:val="0"/>
      <w:sz w:val="24"/>
      <w:szCs w:val="24"/>
    </w:rPr>
  </w:style>
  <w:style w:type="character" w:styleId="a6">
    <w:name w:val="Emphasis"/>
    <w:basedOn w:val="a0"/>
    <w:uiPriority w:val="20"/>
    <w:qFormat/>
    <w:rsid w:val="00891DA8"/>
    <w:rPr>
      <w:i/>
      <w:iCs/>
    </w:rPr>
  </w:style>
  <w:style w:type="paragraph" w:customStyle="1" w:styleId="img-box">
    <w:name w:val="img-box"/>
    <w:basedOn w:val="a"/>
    <w:rsid w:val="00891DA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2645026">
      <w:bodyDiv w:val="1"/>
      <w:marLeft w:val="0"/>
      <w:marRight w:val="0"/>
      <w:marTop w:val="0"/>
      <w:marBottom w:val="0"/>
      <w:divBdr>
        <w:top w:val="none" w:sz="0" w:space="0" w:color="auto"/>
        <w:left w:val="none" w:sz="0" w:space="0" w:color="auto"/>
        <w:bottom w:val="none" w:sz="0" w:space="0" w:color="auto"/>
        <w:right w:val="none" w:sz="0" w:space="0" w:color="auto"/>
      </w:divBdr>
      <w:divsChild>
        <w:div w:id="187135494">
          <w:marLeft w:val="0"/>
          <w:marRight w:val="0"/>
          <w:marTop w:val="0"/>
          <w:marBottom w:val="0"/>
          <w:divBdr>
            <w:top w:val="none" w:sz="0" w:space="0" w:color="auto"/>
            <w:left w:val="none" w:sz="0" w:space="0" w:color="auto"/>
            <w:bottom w:val="none" w:sz="0" w:space="0" w:color="auto"/>
            <w:right w:val="none" w:sz="0" w:space="0" w:color="auto"/>
          </w:divBdr>
          <w:divsChild>
            <w:div w:id="1476605765">
              <w:marLeft w:val="0"/>
              <w:marRight w:val="0"/>
              <w:marTop w:val="225"/>
              <w:marBottom w:val="0"/>
              <w:divBdr>
                <w:top w:val="none" w:sz="0" w:space="0" w:color="auto"/>
                <w:left w:val="none" w:sz="0" w:space="0" w:color="auto"/>
                <w:bottom w:val="none" w:sz="0" w:space="0" w:color="auto"/>
                <w:right w:val="none" w:sz="0" w:space="0" w:color="auto"/>
              </w:divBdr>
            </w:div>
            <w:div w:id="360859710">
              <w:marLeft w:val="0"/>
              <w:marRight w:val="0"/>
              <w:marTop w:val="0"/>
              <w:marBottom w:val="0"/>
              <w:divBdr>
                <w:top w:val="none" w:sz="0" w:space="0" w:color="auto"/>
                <w:left w:val="none" w:sz="0" w:space="0" w:color="auto"/>
                <w:bottom w:val="none" w:sz="0" w:space="0" w:color="auto"/>
                <w:right w:val="none" w:sz="0" w:space="0" w:color="auto"/>
              </w:divBdr>
            </w:div>
          </w:divsChild>
        </w:div>
        <w:div w:id="1635451119">
          <w:marLeft w:val="0"/>
          <w:marRight w:val="0"/>
          <w:marTop w:val="450"/>
          <w:marBottom w:val="0"/>
          <w:divBdr>
            <w:top w:val="none" w:sz="0" w:space="0" w:color="auto"/>
            <w:left w:val="none" w:sz="0" w:space="0" w:color="auto"/>
            <w:bottom w:val="none" w:sz="0" w:space="0" w:color="auto"/>
            <w:right w:val="none" w:sz="0" w:space="0" w:color="auto"/>
          </w:divBdr>
        </w:div>
        <w:div w:id="1212232929">
          <w:marLeft w:val="0"/>
          <w:marRight w:val="0"/>
          <w:marTop w:val="450"/>
          <w:marBottom w:val="0"/>
          <w:divBdr>
            <w:top w:val="none" w:sz="0" w:space="0" w:color="auto"/>
            <w:left w:val="none" w:sz="0" w:space="0" w:color="auto"/>
            <w:bottom w:val="none" w:sz="0" w:space="0" w:color="auto"/>
            <w:right w:val="none" w:sz="0" w:space="0" w:color="auto"/>
          </w:divBdr>
        </w:div>
        <w:div w:id="1416970701">
          <w:marLeft w:val="0"/>
          <w:marRight w:val="0"/>
          <w:marTop w:val="450"/>
          <w:marBottom w:val="0"/>
          <w:divBdr>
            <w:top w:val="none" w:sz="0" w:space="0" w:color="auto"/>
            <w:left w:val="none" w:sz="0" w:space="0" w:color="auto"/>
            <w:bottom w:val="none" w:sz="0" w:space="0" w:color="auto"/>
            <w:right w:val="none" w:sz="0" w:space="0" w:color="auto"/>
          </w:divBdr>
        </w:div>
        <w:div w:id="1722903665">
          <w:marLeft w:val="0"/>
          <w:marRight w:val="0"/>
          <w:marTop w:val="450"/>
          <w:marBottom w:val="0"/>
          <w:divBdr>
            <w:top w:val="none" w:sz="0" w:space="0" w:color="auto"/>
            <w:left w:val="none" w:sz="0" w:space="0" w:color="auto"/>
            <w:bottom w:val="none" w:sz="0" w:space="0" w:color="auto"/>
            <w:right w:val="none" w:sz="0" w:space="0" w:color="auto"/>
          </w:divBdr>
        </w:div>
        <w:div w:id="1381712006">
          <w:marLeft w:val="0"/>
          <w:marRight w:val="0"/>
          <w:marTop w:val="450"/>
          <w:marBottom w:val="0"/>
          <w:divBdr>
            <w:top w:val="none" w:sz="0" w:space="0" w:color="auto"/>
            <w:left w:val="none" w:sz="0" w:space="0" w:color="auto"/>
            <w:bottom w:val="none" w:sz="0" w:space="0" w:color="auto"/>
            <w:right w:val="none" w:sz="0" w:space="0" w:color="auto"/>
          </w:divBdr>
        </w:div>
        <w:div w:id="26759255">
          <w:marLeft w:val="0"/>
          <w:marRight w:val="0"/>
          <w:marTop w:val="450"/>
          <w:marBottom w:val="0"/>
          <w:divBdr>
            <w:top w:val="none" w:sz="0" w:space="0" w:color="auto"/>
            <w:left w:val="none" w:sz="0" w:space="0" w:color="auto"/>
            <w:bottom w:val="none" w:sz="0" w:space="0" w:color="auto"/>
            <w:right w:val="none" w:sz="0" w:space="0" w:color="auto"/>
          </w:divBdr>
        </w:div>
        <w:div w:id="959145356">
          <w:marLeft w:val="0"/>
          <w:marRight w:val="0"/>
          <w:marTop w:val="450"/>
          <w:marBottom w:val="0"/>
          <w:divBdr>
            <w:top w:val="none" w:sz="0" w:space="0" w:color="auto"/>
            <w:left w:val="none" w:sz="0" w:space="0" w:color="auto"/>
            <w:bottom w:val="none" w:sz="0" w:space="0" w:color="auto"/>
            <w:right w:val="none" w:sz="0" w:space="0" w:color="auto"/>
          </w:divBdr>
        </w:div>
        <w:div w:id="656081403">
          <w:marLeft w:val="0"/>
          <w:marRight w:val="0"/>
          <w:marTop w:val="450"/>
          <w:marBottom w:val="0"/>
          <w:divBdr>
            <w:top w:val="none" w:sz="0" w:space="0" w:color="auto"/>
            <w:left w:val="none" w:sz="0" w:space="0" w:color="auto"/>
            <w:bottom w:val="none" w:sz="0" w:space="0" w:color="auto"/>
            <w:right w:val="none" w:sz="0" w:space="0" w:color="auto"/>
          </w:divBdr>
          <w:divsChild>
            <w:div w:id="1684477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clinicaltrials.gov/ct2/show/NCT01958021" TargetMode="External"/><Relationship Id="rId21" Type="http://schemas.openxmlformats.org/officeDocument/2006/relationships/hyperlink" Target="https://pmc.ncbi.nlm.nih.gov/articles/PMC4746893/" TargetMode="External"/><Relationship Id="rId42" Type="http://schemas.openxmlformats.org/officeDocument/2006/relationships/hyperlink" Target="https://pmc.ncbi.nlm.nih.gov/articles/PMC4746893/" TargetMode="External"/><Relationship Id="rId47" Type="http://schemas.openxmlformats.org/officeDocument/2006/relationships/hyperlink" Target="https://pmc.ncbi.nlm.nih.gov/articles/PMC4746893/" TargetMode="External"/><Relationship Id="rId63" Type="http://schemas.openxmlformats.org/officeDocument/2006/relationships/hyperlink" Target="https://pmc.ncbi.nlm.nih.gov/articles/PMC4746893/" TargetMode="External"/><Relationship Id="rId68" Type="http://schemas.openxmlformats.org/officeDocument/2006/relationships/hyperlink" Target="https://pmc.ncbi.nlm.nih.gov/articles/PMC4746893/" TargetMode="External"/><Relationship Id="rId84" Type="http://schemas.openxmlformats.org/officeDocument/2006/relationships/hyperlink" Target="https://pmc.ncbi.nlm.nih.gov/articles/PMC4746893/" TargetMode="External"/><Relationship Id="rId89" Type="http://schemas.openxmlformats.org/officeDocument/2006/relationships/hyperlink" Target="https://pmc.ncbi.nlm.nih.gov/articles/PMC4746893/" TargetMode="External"/><Relationship Id="rId112" Type="http://schemas.openxmlformats.org/officeDocument/2006/relationships/hyperlink" Target="https://clinicaltrials.gov/ct2/show/NCT02513394" TargetMode="External"/><Relationship Id="rId16" Type="http://schemas.openxmlformats.org/officeDocument/2006/relationships/hyperlink" Target="https://pmc.ncbi.nlm.nih.gov/articles/PMC4746893/" TargetMode="External"/><Relationship Id="rId107" Type="http://schemas.openxmlformats.org/officeDocument/2006/relationships/hyperlink" Target="https://clinicaltrials.gov/ct2/show/NCT01320592" TargetMode="External"/><Relationship Id="rId11" Type="http://schemas.openxmlformats.org/officeDocument/2006/relationships/hyperlink" Target="https://pmc.ncbi.nlm.nih.gov/articles/PMC4746893/" TargetMode="External"/><Relationship Id="rId32" Type="http://schemas.openxmlformats.org/officeDocument/2006/relationships/hyperlink" Target="https://pmc.ncbi.nlm.nih.gov/articles/PMC4746893/" TargetMode="External"/><Relationship Id="rId37" Type="http://schemas.openxmlformats.org/officeDocument/2006/relationships/hyperlink" Target="https://pmc.ncbi.nlm.nih.gov/articles/PMC4746893/" TargetMode="External"/><Relationship Id="rId53" Type="http://schemas.openxmlformats.org/officeDocument/2006/relationships/hyperlink" Target="https://pmc.ncbi.nlm.nih.gov/articles/PMC4746893/" TargetMode="External"/><Relationship Id="rId58" Type="http://schemas.openxmlformats.org/officeDocument/2006/relationships/hyperlink" Target="https://pmc.ncbi.nlm.nih.gov/articles/PMC4746893/" TargetMode="External"/><Relationship Id="rId74" Type="http://schemas.openxmlformats.org/officeDocument/2006/relationships/hyperlink" Target="https://pmc.ncbi.nlm.nih.gov/articles/PMC4746893/" TargetMode="External"/><Relationship Id="rId79" Type="http://schemas.openxmlformats.org/officeDocument/2006/relationships/hyperlink" Target="https://pmc.ncbi.nlm.nih.gov/articles/PMC4746893/" TargetMode="External"/><Relationship Id="rId102" Type="http://schemas.openxmlformats.org/officeDocument/2006/relationships/hyperlink" Target="https://clinicaltrials.gov/ct2/show/NCT01740427" TargetMode="External"/><Relationship Id="rId123" Type="http://schemas.openxmlformats.org/officeDocument/2006/relationships/hyperlink" Target="https://clinicaltrials.gov/ct2/show/NCT02246621" TargetMode="External"/><Relationship Id="rId128" Type="http://schemas.openxmlformats.org/officeDocument/2006/relationships/fontTable" Target="fontTable.xml"/><Relationship Id="rId5" Type="http://schemas.openxmlformats.org/officeDocument/2006/relationships/hyperlink" Target="https://pmc.ncbi.nlm.nih.gov/articles/PMC4746893/" TargetMode="External"/><Relationship Id="rId90" Type="http://schemas.openxmlformats.org/officeDocument/2006/relationships/hyperlink" Target="https://pmc.ncbi.nlm.nih.gov/articles/PMC4746893/" TargetMode="External"/><Relationship Id="rId95" Type="http://schemas.openxmlformats.org/officeDocument/2006/relationships/hyperlink" Target="https://pmc.ncbi.nlm.nih.gov/articles/PMC4746893/" TargetMode="External"/><Relationship Id="rId22" Type="http://schemas.openxmlformats.org/officeDocument/2006/relationships/hyperlink" Target="https://pmc.ncbi.nlm.nih.gov/articles/PMC4746893/" TargetMode="External"/><Relationship Id="rId27" Type="http://schemas.openxmlformats.org/officeDocument/2006/relationships/hyperlink" Target="https://pmc.ncbi.nlm.nih.gov/articles/PMC4746893/" TargetMode="External"/><Relationship Id="rId43" Type="http://schemas.openxmlformats.org/officeDocument/2006/relationships/hyperlink" Target="https://pmc.ncbi.nlm.nih.gov/articles/PMC4746893/" TargetMode="External"/><Relationship Id="rId48" Type="http://schemas.openxmlformats.org/officeDocument/2006/relationships/hyperlink" Target="https://pmc.ncbi.nlm.nih.gov/articles/PMC4746893/" TargetMode="External"/><Relationship Id="rId64" Type="http://schemas.openxmlformats.org/officeDocument/2006/relationships/hyperlink" Target="https://pmc.ncbi.nlm.nih.gov/articles/PMC4746893/" TargetMode="External"/><Relationship Id="rId69" Type="http://schemas.openxmlformats.org/officeDocument/2006/relationships/hyperlink" Target="https://pmc.ncbi.nlm.nih.gov/articles/PMC4746893/" TargetMode="External"/><Relationship Id="rId113" Type="http://schemas.openxmlformats.org/officeDocument/2006/relationships/hyperlink" Target="https://clinicaltrials.gov/ct2/show/NCT01958021" TargetMode="External"/><Relationship Id="rId118" Type="http://schemas.openxmlformats.org/officeDocument/2006/relationships/hyperlink" Target="https://clinicaltrials.gov/ct2/show/NCT02154776" TargetMode="External"/><Relationship Id="rId80" Type="http://schemas.openxmlformats.org/officeDocument/2006/relationships/hyperlink" Target="https://pmc.ncbi.nlm.nih.gov/articles/PMC4746893/" TargetMode="External"/><Relationship Id="rId85" Type="http://schemas.openxmlformats.org/officeDocument/2006/relationships/hyperlink" Target="https://pmc.ncbi.nlm.nih.gov/articles/PMC4746893/" TargetMode="External"/><Relationship Id="rId12" Type="http://schemas.openxmlformats.org/officeDocument/2006/relationships/hyperlink" Target="https://pmc.ncbi.nlm.nih.gov/articles/PMC4746893/" TargetMode="External"/><Relationship Id="rId17" Type="http://schemas.openxmlformats.org/officeDocument/2006/relationships/hyperlink" Target="https://pmc.ncbi.nlm.nih.gov/articles/PMC4746893/" TargetMode="External"/><Relationship Id="rId33" Type="http://schemas.openxmlformats.org/officeDocument/2006/relationships/hyperlink" Target="https://pmc.ncbi.nlm.nih.gov/articles/PMC4746893/" TargetMode="External"/><Relationship Id="rId38" Type="http://schemas.openxmlformats.org/officeDocument/2006/relationships/hyperlink" Target="https://pmc.ncbi.nlm.nih.gov/articles/PMC4746893/" TargetMode="External"/><Relationship Id="rId59" Type="http://schemas.openxmlformats.org/officeDocument/2006/relationships/hyperlink" Target="https://pmc.ncbi.nlm.nih.gov/articles/PMC4746893/" TargetMode="External"/><Relationship Id="rId103" Type="http://schemas.openxmlformats.org/officeDocument/2006/relationships/hyperlink" Target="https://clinicaltrials.gov/ct2/show/NCT01942135" TargetMode="External"/><Relationship Id="rId108" Type="http://schemas.openxmlformats.org/officeDocument/2006/relationships/hyperlink" Target="https://clinicaltrials.gov/ct2/show/NCT02296801" TargetMode="External"/><Relationship Id="rId124" Type="http://schemas.openxmlformats.org/officeDocument/2006/relationships/hyperlink" Target="https://clinicaltrials.gov/ct2/show/NCT02107703" TargetMode="External"/><Relationship Id="rId129" Type="http://schemas.openxmlformats.org/officeDocument/2006/relationships/theme" Target="theme/theme1.xml"/><Relationship Id="rId54" Type="http://schemas.openxmlformats.org/officeDocument/2006/relationships/hyperlink" Target="https://pmc.ncbi.nlm.nih.gov/articles/PMC4746893/" TargetMode="External"/><Relationship Id="rId70" Type="http://schemas.openxmlformats.org/officeDocument/2006/relationships/hyperlink" Target="https://pmc.ncbi.nlm.nih.gov/articles/PMC4746893/" TargetMode="External"/><Relationship Id="rId75" Type="http://schemas.openxmlformats.org/officeDocument/2006/relationships/hyperlink" Target="https://pmc.ncbi.nlm.nih.gov/articles/PMC4746893/" TargetMode="External"/><Relationship Id="rId91" Type="http://schemas.openxmlformats.org/officeDocument/2006/relationships/hyperlink" Target="https://pmc.ncbi.nlm.nih.gov/articles/PMC4746893/" TargetMode="External"/><Relationship Id="rId96" Type="http://schemas.openxmlformats.org/officeDocument/2006/relationships/hyperlink" Target="https://pmc.ncbi.nlm.nih.gov/articles/PMC4746893/" TargetMode="External"/><Relationship Id="rId1" Type="http://schemas.openxmlformats.org/officeDocument/2006/relationships/numbering" Target="numbering.xml"/><Relationship Id="rId6" Type="http://schemas.openxmlformats.org/officeDocument/2006/relationships/hyperlink" Target="https://pmc.ncbi.nlm.nih.gov/articles/PMC4746893/" TargetMode="External"/><Relationship Id="rId23" Type="http://schemas.openxmlformats.org/officeDocument/2006/relationships/hyperlink" Target="https://pmc.ncbi.nlm.nih.gov/articles/PMC4746893/" TargetMode="External"/><Relationship Id="rId28" Type="http://schemas.openxmlformats.org/officeDocument/2006/relationships/hyperlink" Target="https://pmc.ncbi.nlm.nih.gov/articles/PMC4746893/" TargetMode="External"/><Relationship Id="rId49" Type="http://schemas.openxmlformats.org/officeDocument/2006/relationships/hyperlink" Target="https://pmc.ncbi.nlm.nih.gov/articles/PMC4746893/" TargetMode="External"/><Relationship Id="rId114" Type="http://schemas.openxmlformats.org/officeDocument/2006/relationships/hyperlink" Target="https://clinicaltrials.gov/ct2/show/NCT01919229" TargetMode="External"/><Relationship Id="rId119" Type="http://schemas.openxmlformats.org/officeDocument/2006/relationships/hyperlink" Target="https://clinicaltrials.gov/ct2/show/NCT01872260" TargetMode="External"/><Relationship Id="rId44" Type="http://schemas.openxmlformats.org/officeDocument/2006/relationships/hyperlink" Target="https://pmc.ncbi.nlm.nih.gov/articles/PMC4746893/" TargetMode="External"/><Relationship Id="rId60" Type="http://schemas.openxmlformats.org/officeDocument/2006/relationships/hyperlink" Target="https://pmc.ncbi.nlm.nih.gov/articles/PMC4746893/" TargetMode="External"/><Relationship Id="rId65" Type="http://schemas.openxmlformats.org/officeDocument/2006/relationships/hyperlink" Target="https://pmc.ncbi.nlm.nih.gov/articles/PMC4746893/" TargetMode="External"/><Relationship Id="rId81" Type="http://schemas.openxmlformats.org/officeDocument/2006/relationships/hyperlink" Target="https://pmc.ncbi.nlm.nih.gov/articles/PMC4746893/" TargetMode="External"/><Relationship Id="rId86" Type="http://schemas.openxmlformats.org/officeDocument/2006/relationships/hyperlink" Target="https://pmc.ncbi.nlm.nih.gov/articles/PMC4746893/" TargetMode="External"/><Relationship Id="rId13" Type="http://schemas.openxmlformats.org/officeDocument/2006/relationships/hyperlink" Target="https://pmc.ncbi.nlm.nih.gov/articles/PMC4746893/" TargetMode="External"/><Relationship Id="rId18" Type="http://schemas.openxmlformats.org/officeDocument/2006/relationships/hyperlink" Target="https://pmc.ncbi.nlm.nih.gov/articles/PMC4746893/" TargetMode="External"/><Relationship Id="rId39" Type="http://schemas.openxmlformats.org/officeDocument/2006/relationships/hyperlink" Target="https://pmc.ncbi.nlm.nih.gov/articles/PMC4746893/" TargetMode="External"/><Relationship Id="rId109" Type="http://schemas.openxmlformats.org/officeDocument/2006/relationships/hyperlink" Target="https://clinicaltrials.gov/ct2/show/NCT02028507" TargetMode="External"/><Relationship Id="rId34" Type="http://schemas.openxmlformats.org/officeDocument/2006/relationships/hyperlink" Target="https://pmc.ncbi.nlm.nih.gov/articles/PMC4746893/" TargetMode="External"/><Relationship Id="rId50" Type="http://schemas.openxmlformats.org/officeDocument/2006/relationships/hyperlink" Target="https://pmc.ncbi.nlm.nih.gov/articles/PMC4746893/" TargetMode="External"/><Relationship Id="rId55" Type="http://schemas.openxmlformats.org/officeDocument/2006/relationships/hyperlink" Target="https://pmc.ncbi.nlm.nih.gov/articles/PMC4746893/" TargetMode="External"/><Relationship Id="rId76" Type="http://schemas.openxmlformats.org/officeDocument/2006/relationships/hyperlink" Target="https://pmc.ncbi.nlm.nih.gov/articles/PMC4746893/" TargetMode="External"/><Relationship Id="rId97" Type="http://schemas.openxmlformats.org/officeDocument/2006/relationships/hyperlink" Target="https://pmc.ncbi.nlm.nih.gov/articles/PMC4746893/" TargetMode="External"/><Relationship Id="rId104" Type="http://schemas.openxmlformats.org/officeDocument/2006/relationships/hyperlink" Target="https://clinicaltrials.gov/ct2/show/NCT01864746" TargetMode="External"/><Relationship Id="rId120" Type="http://schemas.openxmlformats.org/officeDocument/2006/relationships/hyperlink" Target="https://clinicaltrials.gov/ct2/show/NCT02422615" TargetMode="External"/><Relationship Id="rId125" Type="http://schemas.openxmlformats.org/officeDocument/2006/relationships/hyperlink" Target="https://clinicaltrials.gov/ct2/show/NCT02057133" TargetMode="External"/><Relationship Id="rId7" Type="http://schemas.openxmlformats.org/officeDocument/2006/relationships/hyperlink" Target="https://pmc.ncbi.nlm.nih.gov/articles/PMC4746893/" TargetMode="External"/><Relationship Id="rId71" Type="http://schemas.openxmlformats.org/officeDocument/2006/relationships/hyperlink" Target="https://pmc.ncbi.nlm.nih.gov/articles/PMC4746893/" TargetMode="External"/><Relationship Id="rId92" Type="http://schemas.openxmlformats.org/officeDocument/2006/relationships/hyperlink" Target="https://pmc.ncbi.nlm.nih.gov/articles/PMC4746893/" TargetMode="External"/><Relationship Id="rId2" Type="http://schemas.openxmlformats.org/officeDocument/2006/relationships/styles" Target="styles.xml"/><Relationship Id="rId29" Type="http://schemas.openxmlformats.org/officeDocument/2006/relationships/hyperlink" Target="https://pmc.ncbi.nlm.nih.gov/articles/PMC4746893/" TargetMode="External"/><Relationship Id="rId24" Type="http://schemas.openxmlformats.org/officeDocument/2006/relationships/image" Target="media/image1.jpeg"/><Relationship Id="rId40" Type="http://schemas.openxmlformats.org/officeDocument/2006/relationships/hyperlink" Target="https://pmc.ncbi.nlm.nih.gov/articles/PMC4746893/" TargetMode="External"/><Relationship Id="rId45" Type="http://schemas.openxmlformats.org/officeDocument/2006/relationships/hyperlink" Target="https://pmc.ncbi.nlm.nih.gov/articles/PMC4746893/" TargetMode="External"/><Relationship Id="rId66" Type="http://schemas.openxmlformats.org/officeDocument/2006/relationships/hyperlink" Target="https://pmc.ncbi.nlm.nih.gov/articles/PMC4746893/" TargetMode="External"/><Relationship Id="rId87" Type="http://schemas.openxmlformats.org/officeDocument/2006/relationships/hyperlink" Target="https://pmc.ncbi.nlm.nih.gov/articles/PMC4746893/" TargetMode="External"/><Relationship Id="rId110" Type="http://schemas.openxmlformats.org/officeDocument/2006/relationships/hyperlink" Target="https://clinicaltrials.gov/ct2/show/NCT02028507" TargetMode="External"/><Relationship Id="rId115" Type="http://schemas.openxmlformats.org/officeDocument/2006/relationships/hyperlink" Target="https://clinicaltrials.gov/ct2/show/NCT01872260" TargetMode="External"/><Relationship Id="rId61" Type="http://schemas.openxmlformats.org/officeDocument/2006/relationships/hyperlink" Target="https://pmc.ncbi.nlm.nih.gov/articles/PMC4746893/" TargetMode="External"/><Relationship Id="rId82" Type="http://schemas.openxmlformats.org/officeDocument/2006/relationships/hyperlink" Target="https://pmc.ncbi.nlm.nih.gov/articles/PMC4746893/" TargetMode="External"/><Relationship Id="rId19" Type="http://schemas.openxmlformats.org/officeDocument/2006/relationships/hyperlink" Target="https://pmc.ncbi.nlm.nih.gov/articles/PMC4746893/" TargetMode="External"/><Relationship Id="rId14" Type="http://schemas.openxmlformats.org/officeDocument/2006/relationships/hyperlink" Target="https://pmc.ncbi.nlm.nih.gov/articles/PMC4746893/" TargetMode="External"/><Relationship Id="rId30" Type="http://schemas.openxmlformats.org/officeDocument/2006/relationships/hyperlink" Target="https://pmc.ncbi.nlm.nih.gov/articles/PMC4746893/" TargetMode="External"/><Relationship Id="rId35" Type="http://schemas.openxmlformats.org/officeDocument/2006/relationships/hyperlink" Target="https://pmc.ncbi.nlm.nih.gov/articles/PMC4746893/" TargetMode="External"/><Relationship Id="rId56" Type="http://schemas.openxmlformats.org/officeDocument/2006/relationships/hyperlink" Target="https://pmc.ncbi.nlm.nih.gov/articles/PMC4746893/" TargetMode="External"/><Relationship Id="rId77" Type="http://schemas.openxmlformats.org/officeDocument/2006/relationships/hyperlink" Target="https://pmc.ncbi.nlm.nih.gov/articles/PMC4746893/" TargetMode="External"/><Relationship Id="rId100" Type="http://schemas.openxmlformats.org/officeDocument/2006/relationships/hyperlink" Target="https://pmc.ncbi.nlm.nih.gov/articles/PMC4746893/" TargetMode="External"/><Relationship Id="rId105" Type="http://schemas.openxmlformats.org/officeDocument/2006/relationships/hyperlink" Target="https://clinicaltrials.gov/ct2/show/NCT01723774" TargetMode="External"/><Relationship Id="rId126" Type="http://schemas.openxmlformats.org/officeDocument/2006/relationships/hyperlink" Target="https://pmc.ncbi.nlm.nih.gov/articles/PMC4746893/" TargetMode="External"/><Relationship Id="rId8" Type="http://schemas.openxmlformats.org/officeDocument/2006/relationships/hyperlink" Target="https://pmc.ncbi.nlm.nih.gov/articles/PMC4746893/" TargetMode="External"/><Relationship Id="rId51" Type="http://schemas.openxmlformats.org/officeDocument/2006/relationships/hyperlink" Target="https://pmc.ncbi.nlm.nih.gov/articles/PMC4746893/" TargetMode="External"/><Relationship Id="rId72" Type="http://schemas.openxmlformats.org/officeDocument/2006/relationships/hyperlink" Target="https://pmc.ncbi.nlm.nih.gov/articles/PMC4746893/" TargetMode="External"/><Relationship Id="rId93" Type="http://schemas.openxmlformats.org/officeDocument/2006/relationships/hyperlink" Target="https://pmc.ncbi.nlm.nih.gov/articles/PMC4746893/" TargetMode="External"/><Relationship Id="rId98" Type="http://schemas.openxmlformats.org/officeDocument/2006/relationships/hyperlink" Target="https://pmc.ncbi.nlm.nih.gov/articles/PMC4746893/" TargetMode="External"/><Relationship Id="rId121" Type="http://schemas.openxmlformats.org/officeDocument/2006/relationships/hyperlink" Target="https://clinicaltrials.gov/ct2/show/NCT02441946" TargetMode="External"/><Relationship Id="rId3" Type="http://schemas.openxmlformats.org/officeDocument/2006/relationships/settings" Target="settings.xml"/><Relationship Id="rId25" Type="http://schemas.openxmlformats.org/officeDocument/2006/relationships/hyperlink" Target="https://pmc.ncbi.nlm.nih.gov/articles/PMC4746893/" TargetMode="External"/><Relationship Id="rId46" Type="http://schemas.openxmlformats.org/officeDocument/2006/relationships/hyperlink" Target="https://pmc.ncbi.nlm.nih.gov/articles/PMC4746893/" TargetMode="External"/><Relationship Id="rId67" Type="http://schemas.openxmlformats.org/officeDocument/2006/relationships/hyperlink" Target="https://pmc.ncbi.nlm.nih.gov/articles/PMC4746893/" TargetMode="External"/><Relationship Id="rId116" Type="http://schemas.openxmlformats.org/officeDocument/2006/relationships/hyperlink" Target="https://clinicaltrials.gov/ct2/show/NCT01857193" TargetMode="External"/><Relationship Id="rId20" Type="http://schemas.openxmlformats.org/officeDocument/2006/relationships/hyperlink" Target="https://pmc.ncbi.nlm.nih.gov/articles/PMC4746893/" TargetMode="External"/><Relationship Id="rId41" Type="http://schemas.openxmlformats.org/officeDocument/2006/relationships/hyperlink" Target="https://pmc.ncbi.nlm.nih.gov/articles/PMC4746893/" TargetMode="External"/><Relationship Id="rId62" Type="http://schemas.openxmlformats.org/officeDocument/2006/relationships/hyperlink" Target="https://pmc.ncbi.nlm.nih.gov/articles/PMC4746893/" TargetMode="External"/><Relationship Id="rId83" Type="http://schemas.openxmlformats.org/officeDocument/2006/relationships/hyperlink" Target="https://pmc.ncbi.nlm.nih.gov/articles/PMC4746893/" TargetMode="External"/><Relationship Id="rId88" Type="http://schemas.openxmlformats.org/officeDocument/2006/relationships/hyperlink" Target="https://pmc.ncbi.nlm.nih.gov/articles/PMC4746893/" TargetMode="External"/><Relationship Id="rId111" Type="http://schemas.openxmlformats.org/officeDocument/2006/relationships/hyperlink" Target="https://clinicaltrials.gov/ct2/show/NCT01976169" TargetMode="External"/><Relationship Id="rId15" Type="http://schemas.openxmlformats.org/officeDocument/2006/relationships/hyperlink" Target="https://pmc.ncbi.nlm.nih.gov/articles/PMC4746893/" TargetMode="External"/><Relationship Id="rId36" Type="http://schemas.openxmlformats.org/officeDocument/2006/relationships/hyperlink" Target="https://pmc.ncbi.nlm.nih.gov/articles/PMC4746893/" TargetMode="External"/><Relationship Id="rId57" Type="http://schemas.openxmlformats.org/officeDocument/2006/relationships/hyperlink" Target="https://pmc.ncbi.nlm.nih.gov/articles/PMC4746893/" TargetMode="External"/><Relationship Id="rId106" Type="http://schemas.openxmlformats.org/officeDocument/2006/relationships/hyperlink" Target="https://clinicaltrials.gov/ct2/show/NCT01709370" TargetMode="External"/><Relationship Id="rId127" Type="http://schemas.openxmlformats.org/officeDocument/2006/relationships/hyperlink" Target="https://pmc.ncbi.nlm.nih.gov/articles/PMC4746893/" TargetMode="External"/><Relationship Id="rId10" Type="http://schemas.openxmlformats.org/officeDocument/2006/relationships/hyperlink" Target="https://pmc.ncbi.nlm.nih.gov/articles/PMC4746893/" TargetMode="External"/><Relationship Id="rId31" Type="http://schemas.openxmlformats.org/officeDocument/2006/relationships/hyperlink" Target="https://pmc.ncbi.nlm.nih.gov/articles/PMC4746893/" TargetMode="External"/><Relationship Id="rId52" Type="http://schemas.openxmlformats.org/officeDocument/2006/relationships/hyperlink" Target="https://pmc.ncbi.nlm.nih.gov/articles/PMC4746893/" TargetMode="External"/><Relationship Id="rId73" Type="http://schemas.openxmlformats.org/officeDocument/2006/relationships/hyperlink" Target="https://pmc.ncbi.nlm.nih.gov/articles/PMC4746893/" TargetMode="External"/><Relationship Id="rId78" Type="http://schemas.openxmlformats.org/officeDocument/2006/relationships/hyperlink" Target="https://pmc.ncbi.nlm.nih.gov/articles/PMC4746893/" TargetMode="External"/><Relationship Id="rId94" Type="http://schemas.openxmlformats.org/officeDocument/2006/relationships/hyperlink" Target="https://pmc.ncbi.nlm.nih.gov/articles/PMC4746893/" TargetMode="External"/><Relationship Id="rId99" Type="http://schemas.openxmlformats.org/officeDocument/2006/relationships/hyperlink" Target="https://pmc.ncbi.nlm.nih.gov/articles/PMC4746893/" TargetMode="External"/><Relationship Id="rId101" Type="http://schemas.openxmlformats.org/officeDocument/2006/relationships/hyperlink" Target="https://pmc.ncbi.nlm.nih.gov/articles/PMC4746893/" TargetMode="External"/><Relationship Id="rId122" Type="http://schemas.openxmlformats.org/officeDocument/2006/relationships/hyperlink" Target="https://clinicaltrials.gov/ct2/show/NCT02308020" TargetMode="External"/><Relationship Id="rId4" Type="http://schemas.openxmlformats.org/officeDocument/2006/relationships/webSettings" Target="webSettings.xml"/><Relationship Id="rId9" Type="http://schemas.openxmlformats.org/officeDocument/2006/relationships/hyperlink" Target="https://pmc.ncbi.nlm.nih.gov/articles/PMC4746893/" TargetMode="External"/><Relationship Id="rId26" Type="http://schemas.openxmlformats.org/officeDocument/2006/relationships/hyperlink" Target="https://pmc.ncbi.nlm.nih.gov/articles/PMC4746893/"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26</Pages>
  <Words>3578</Words>
  <Characters>20400</Characters>
  <Application>Microsoft Office Word</Application>
  <DocSecurity>0</DocSecurity>
  <Lines>170</Lines>
  <Paragraphs>47</Paragraphs>
  <ScaleCrop>false</ScaleCrop>
  <Company/>
  <LinksUpToDate>false</LinksUpToDate>
  <CharactersWithSpaces>23931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放心飞</dc:creator>
  <cp:keywords/>
  <dc:description/>
  <cp:lastModifiedBy>放心飞</cp:lastModifiedBy>
  <cp:revision>3</cp:revision>
  <dcterms:created xsi:type="dcterms:W3CDTF">2025-12-28T10:38:00Z</dcterms:created>
  <dcterms:modified xsi:type="dcterms:W3CDTF">2025-12-28T10:40:00Z</dcterms:modified>
</cp:coreProperties>
</file>