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BFE69" w14:textId="77777777" w:rsidR="0062545B" w:rsidRPr="0062545B" w:rsidRDefault="0062545B" w:rsidP="0062545B">
      <w:pPr>
        <w:widowControl/>
        <w:spacing w:line="450" w:lineRule="atLeast"/>
        <w:outlineLvl w:val="0"/>
        <w:rPr>
          <w:rFonts w:ascii="微软雅黑" w:eastAsia="微软雅黑" w:hAnsi="微软雅黑" w:cs="宋体"/>
          <w:b/>
          <w:bCs/>
          <w:kern w:val="36"/>
          <w:sz w:val="36"/>
          <w:szCs w:val="36"/>
        </w:rPr>
      </w:pPr>
      <w:r w:rsidRPr="0062545B">
        <w:rPr>
          <w:rFonts w:ascii="微软雅黑" w:eastAsia="微软雅黑" w:hAnsi="微软雅黑" w:cs="宋体"/>
          <w:b/>
          <w:bCs/>
          <w:kern w:val="36"/>
          <w:sz w:val="36"/>
          <w:szCs w:val="36"/>
        </w:rPr>
        <w:t>在老年乳腺癌患者中实施老年评估以优化 CDK4/6 抑制剂的剂量</w:t>
      </w:r>
    </w:p>
    <w:p w14:paraId="1280C541" w14:textId="3098C201" w:rsidR="0062545B" w:rsidRPr="0062545B" w:rsidRDefault="0062545B" w:rsidP="0062545B">
      <w:pPr>
        <w:widowControl/>
        <w:pBdr>
          <w:bottom w:val="single" w:sz="6" w:space="0" w:color="97B1C8"/>
        </w:pBdr>
        <w:spacing w:line="450" w:lineRule="atLeast"/>
        <w:outlineLvl w:val="1"/>
        <w:rPr>
          <w:rFonts w:ascii="微软雅黑" w:eastAsia="微软雅黑" w:hAnsi="微软雅黑" w:cs="宋体"/>
          <w:kern w:val="0"/>
          <w:sz w:val="34"/>
          <w:szCs w:val="34"/>
        </w:rPr>
      </w:pPr>
      <w:r w:rsidRPr="0062545B">
        <w:rPr>
          <w:rFonts w:ascii="微软雅黑" w:eastAsia="微软雅黑" w:hAnsi="微软雅黑" w:cs="宋体" w:hint="eastAsia"/>
          <w:kern w:val="0"/>
          <w:sz w:val="34"/>
          <w:szCs w:val="34"/>
        </w:rPr>
        <w:t>摘要</w:t>
      </w:r>
    </w:p>
    <w:p w14:paraId="711C15DE"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目前来自随机对照试验和真实世界研究的证据均表明，对于激素受体阳性/HER2阴性（HR+/HER2）的晚期乳腺癌老年患者，在内分泌治疗的基础上加用CDK4/6抑制剂可带来临床获益。然而，老年患者使用CDK4/6抑制剂发生不良反应的风险更高，这导致临床实践中CDK4/6抑制剂的起始剂量普遍降低，尽管缺乏证据支持。IMPORTANT试验是一项务实的多中心、开放标签、部分分散的随机对照试验，旨在研究对于经综合老年评估认定为脆弱或体弱的老年（≥70岁）晚期HR+/HER2-乳腺癌患者，较低起始剂量的CDK4/6抑制剂联合内分泌治疗是否与全剂量治疗效果相当。</w:t>
      </w:r>
    </w:p>
    <w:p w14:paraId="65D431AB" w14:textId="77777777" w:rsidR="0062545B" w:rsidRPr="0062545B" w:rsidRDefault="0062545B" w:rsidP="0062545B">
      <w:pPr>
        <w:widowControl/>
        <w:spacing w:line="450" w:lineRule="atLeast"/>
        <w:outlineLvl w:val="2"/>
        <w:rPr>
          <w:rFonts w:ascii="微软雅黑" w:eastAsia="微软雅黑" w:hAnsi="微软雅黑" w:cs="宋体"/>
          <w:kern w:val="0"/>
          <w:sz w:val="30"/>
          <w:szCs w:val="30"/>
        </w:rPr>
      </w:pPr>
      <w:r w:rsidRPr="0062545B">
        <w:rPr>
          <w:rFonts w:ascii="微软雅黑" w:eastAsia="微软雅黑" w:hAnsi="微软雅黑" w:cs="宋体"/>
          <w:kern w:val="0"/>
          <w:sz w:val="30"/>
          <w:szCs w:val="30"/>
        </w:rPr>
        <w:t>文章要点。</w:t>
      </w:r>
    </w:p>
    <w:p w14:paraId="18826802"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t>老年乳腺癌患者的治疗概述</w:t>
      </w:r>
    </w:p>
    <w:p w14:paraId="5DDCC401" w14:textId="77777777" w:rsidR="0062545B" w:rsidRPr="0062545B" w:rsidRDefault="0062545B" w:rsidP="0062545B">
      <w:pPr>
        <w:widowControl/>
        <w:numPr>
          <w:ilvl w:val="0"/>
          <w:numId w:val="2"/>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对于晚期激素受体（HR）阳性/HER2阴性乳腺癌患者，内分泌治疗与CDK4/6抑制剂联合治疗是初始治疗的标准方法。</w:t>
      </w:r>
    </w:p>
    <w:p w14:paraId="79584BCD" w14:textId="77777777" w:rsidR="0062545B" w:rsidRPr="0062545B" w:rsidRDefault="0062545B" w:rsidP="0062545B">
      <w:pPr>
        <w:widowControl/>
        <w:numPr>
          <w:ilvl w:val="0"/>
          <w:numId w:val="2"/>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老年癌症患者在临床试验中的代表性不足，包括 CDK4/6 抑制剂的关键性试验。</w:t>
      </w:r>
    </w:p>
    <w:p w14:paraId="4B60F7D3" w14:textId="77777777" w:rsidR="0062545B" w:rsidRPr="0062545B" w:rsidRDefault="0062545B" w:rsidP="0062545B">
      <w:pPr>
        <w:widowControl/>
        <w:numPr>
          <w:ilvl w:val="0"/>
          <w:numId w:val="2"/>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真实世界证据研究表明，老年患者在使用 CDK4/6 抑制剂治疗时发生不良事件的风险增加；尽管缺乏证据，但临床实践中通常采用较低的初始剂量。</w:t>
      </w:r>
    </w:p>
    <w:p w14:paraId="62103956" w14:textId="77777777" w:rsidR="0062545B" w:rsidRPr="0062545B" w:rsidRDefault="0062545B" w:rsidP="0062545B">
      <w:pPr>
        <w:widowControl/>
        <w:numPr>
          <w:ilvl w:val="0"/>
          <w:numId w:val="2"/>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综合老年评估（CGA）似乎是优化老年癌症患者治疗策略的可靠工具。</w:t>
      </w:r>
    </w:p>
    <w:p w14:paraId="2374705C"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lastRenderedPageBreak/>
        <w:t>重要的试验设计</w:t>
      </w:r>
    </w:p>
    <w:p w14:paraId="45074446" w14:textId="77777777" w:rsidR="0062545B" w:rsidRPr="0062545B" w:rsidRDefault="0062545B" w:rsidP="0062545B">
      <w:pPr>
        <w:widowControl/>
        <w:numPr>
          <w:ilvl w:val="0"/>
          <w:numId w:val="3"/>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IMPORTANT 是一项务实的多国、开放标签、部分分散的随机试验，旨在研究较低初始剂量的 CDK4/6 抑制剂联合内分泌治疗是否与全剂量治疗在老年（≥70 岁）晚期 HR+/HER2- 乳腺癌患者中具有可塑性或虚弱性（根据 CGA 评估）的效果相当。</w:t>
      </w:r>
    </w:p>
    <w:p w14:paraId="42D31CE1" w14:textId="77777777" w:rsidR="0062545B" w:rsidRPr="0062545B" w:rsidRDefault="0062545B" w:rsidP="0062545B">
      <w:pPr>
        <w:widowControl/>
        <w:numPr>
          <w:ilvl w:val="0"/>
          <w:numId w:val="3"/>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符合条件的患者为年龄≥70岁的女性或男性患者，患有晚期HR阳性/HER2阴性乳腺癌，不适合根治性治疗，</w:t>
      </w:r>
      <w:proofErr w:type="gramStart"/>
      <w:r w:rsidRPr="0062545B">
        <w:rPr>
          <w:rFonts w:ascii="微软雅黑" w:eastAsia="微软雅黑" w:hAnsi="微软雅黑" w:cs="宋体"/>
          <w:kern w:val="0"/>
          <w:sz w:val="24"/>
          <w:szCs w:val="24"/>
        </w:rPr>
        <w:t>且之前</w:t>
      </w:r>
      <w:proofErr w:type="gramEnd"/>
      <w:r w:rsidRPr="0062545B">
        <w:rPr>
          <w:rFonts w:ascii="微软雅黑" w:eastAsia="微软雅黑" w:hAnsi="微软雅黑" w:cs="宋体"/>
          <w:kern w:val="0"/>
          <w:sz w:val="24"/>
          <w:szCs w:val="24"/>
        </w:rPr>
        <w:t>未接受过晚期疾病治疗。</w:t>
      </w:r>
    </w:p>
    <w:p w14:paraId="3807A959" w14:textId="77777777" w:rsidR="0062545B" w:rsidRPr="0062545B" w:rsidRDefault="0062545B" w:rsidP="0062545B">
      <w:pPr>
        <w:widowControl/>
        <w:numPr>
          <w:ilvl w:val="0"/>
          <w:numId w:val="3"/>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治疗效果和毒性方面的随访策略与目前的临床实践随访策略类似，无需额外的血液检查或影像学检查。随访将包括每个治疗周期前的毒性评估，以及每3个月进行的临床和影像学疗效评估。研究期间，将通过患者自填问卷收集患者报告结局。</w:t>
      </w:r>
    </w:p>
    <w:p w14:paraId="18F88B5C" w14:textId="77777777" w:rsidR="0062545B" w:rsidRPr="0062545B" w:rsidRDefault="0062545B" w:rsidP="0062545B">
      <w:pPr>
        <w:widowControl/>
        <w:numPr>
          <w:ilvl w:val="0"/>
          <w:numId w:val="3"/>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 xml:space="preserve">计划招募 495 名患者，入组期为 30 </w:t>
      </w:r>
      <w:proofErr w:type="gramStart"/>
      <w:r w:rsidRPr="0062545B">
        <w:rPr>
          <w:rFonts w:ascii="微软雅黑" w:eastAsia="微软雅黑" w:hAnsi="微软雅黑" w:cs="宋体"/>
          <w:kern w:val="0"/>
          <w:sz w:val="24"/>
          <w:szCs w:val="24"/>
        </w:rPr>
        <w:t>个</w:t>
      </w:r>
      <w:proofErr w:type="gramEnd"/>
      <w:r w:rsidRPr="0062545B">
        <w:rPr>
          <w:rFonts w:ascii="微软雅黑" w:eastAsia="微软雅黑" w:hAnsi="微软雅黑" w:cs="宋体"/>
          <w:kern w:val="0"/>
          <w:sz w:val="24"/>
          <w:szCs w:val="24"/>
        </w:rPr>
        <w:t xml:space="preserve">月，目标是招募 149 </w:t>
      </w:r>
      <w:proofErr w:type="gramStart"/>
      <w:r w:rsidRPr="0062545B">
        <w:rPr>
          <w:rFonts w:ascii="微软雅黑" w:eastAsia="微软雅黑" w:hAnsi="微软雅黑" w:cs="宋体"/>
          <w:kern w:val="0"/>
          <w:sz w:val="24"/>
          <w:szCs w:val="24"/>
        </w:rPr>
        <w:t>名健康</w:t>
      </w:r>
      <w:proofErr w:type="gramEnd"/>
      <w:r w:rsidRPr="0062545B">
        <w:rPr>
          <w:rFonts w:ascii="微软雅黑" w:eastAsia="微软雅黑" w:hAnsi="微软雅黑" w:cs="宋体"/>
          <w:kern w:val="0"/>
          <w:sz w:val="24"/>
          <w:szCs w:val="24"/>
        </w:rPr>
        <w:t>患者组成治疗和随访组，招募 346 名体弱/虚弱患者组成随机分组</w:t>
      </w:r>
      <w:proofErr w:type="gramStart"/>
      <w:r w:rsidRPr="0062545B">
        <w:rPr>
          <w:rFonts w:ascii="微软雅黑" w:eastAsia="微软雅黑" w:hAnsi="微软雅黑" w:cs="宋体"/>
          <w:kern w:val="0"/>
          <w:sz w:val="24"/>
          <w:szCs w:val="24"/>
        </w:rPr>
        <w:t>组</w:t>
      </w:r>
      <w:proofErr w:type="gramEnd"/>
      <w:r w:rsidRPr="0062545B">
        <w:rPr>
          <w:rFonts w:ascii="微软雅黑" w:eastAsia="微软雅黑" w:hAnsi="微软雅黑" w:cs="宋体"/>
          <w:kern w:val="0"/>
          <w:sz w:val="24"/>
          <w:szCs w:val="24"/>
        </w:rPr>
        <w:t>。</w:t>
      </w:r>
    </w:p>
    <w:p w14:paraId="1206FB9A"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t>IMPORTANT试验中的分类和随机化</w:t>
      </w:r>
    </w:p>
    <w:p w14:paraId="30EEF8BF" w14:textId="77777777" w:rsidR="0062545B" w:rsidRPr="0062545B" w:rsidRDefault="0062545B" w:rsidP="0062545B">
      <w:pPr>
        <w:widowControl/>
        <w:numPr>
          <w:ilvl w:val="0"/>
          <w:numId w:val="4"/>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根据患者自我报告的 CGA，将患者分为健康或脆弱/虚弱两类，具体取决于受损的年龄指标领域。</w:t>
      </w:r>
    </w:p>
    <w:p w14:paraId="5AC97AE5" w14:textId="77777777" w:rsidR="0062545B" w:rsidRPr="0062545B" w:rsidRDefault="0062545B" w:rsidP="0062545B">
      <w:pPr>
        <w:widowControl/>
        <w:numPr>
          <w:ilvl w:val="0"/>
          <w:numId w:val="4"/>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 xml:space="preserve">被归类为脆弱/虚弱的患者将按 1:1 的比例随机分组，分别接受初始剂量降低 1 </w:t>
      </w:r>
      <w:proofErr w:type="gramStart"/>
      <w:r w:rsidRPr="0062545B">
        <w:rPr>
          <w:rFonts w:ascii="微软雅黑" w:eastAsia="微软雅黑" w:hAnsi="微软雅黑" w:cs="宋体"/>
          <w:kern w:val="0"/>
          <w:sz w:val="24"/>
          <w:szCs w:val="24"/>
        </w:rPr>
        <w:t>个</w:t>
      </w:r>
      <w:proofErr w:type="gramEnd"/>
      <w:r w:rsidRPr="0062545B">
        <w:rPr>
          <w:rFonts w:ascii="微软雅黑" w:eastAsia="微软雅黑" w:hAnsi="微软雅黑" w:cs="宋体"/>
          <w:kern w:val="0"/>
          <w:sz w:val="24"/>
          <w:szCs w:val="24"/>
        </w:rPr>
        <w:t>剂量等级或全剂量的 CDK4/6 抑制剂联合内分泌治疗。随机分组时的分层因素包括：所使用的 CDK4/6 抑制剂类型（帕博西尼、瑞博西尼或阿贝西利）、内分泌治疗类型（芳香化酶抑制剂或</w:t>
      </w:r>
      <w:proofErr w:type="gramStart"/>
      <w:r w:rsidRPr="0062545B">
        <w:rPr>
          <w:rFonts w:ascii="微软雅黑" w:eastAsia="微软雅黑" w:hAnsi="微软雅黑" w:cs="宋体"/>
          <w:kern w:val="0"/>
          <w:sz w:val="24"/>
          <w:szCs w:val="24"/>
        </w:rPr>
        <w:t>氟维司群</w:t>
      </w:r>
      <w:proofErr w:type="gramEnd"/>
      <w:r w:rsidRPr="0062545B">
        <w:rPr>
          <w:rFonts w:ascii="微软雅黑" w:eastAsia="微软雅黑" w:hAnsi="微软雅黑" w:cs="宋体"/>
          <w:kern w:val="0"/>
          <w:sz w:val="24"/>
          <w:szCs w:val="24"/>
        </w:rPr>
        <w:t>）以及基于综合老年评估 (CGA) 的脆弱程度（脆弱或虚弱）。</w:t>
      </w:r>
    </w:p>
    <w:p w14:paraId="7E7C9647"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t>重要的试验终点</w:t>
      </w:r>
    </w:p>
    <w:p w14:paraId="0C9E2200" w14:textId="77777777" w:rsidR="0062545B" w:rsidRPr="0062545B" w:rsidRDefault="0062545B" w:rsidP="0062545B">
      <w:pPr>
        <w:widowControl/>
        <w:numPr>
          <w:ilvl w:val="0"/>
          <w:numId w:val="5"/>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主要终点是治疗失败时间；次要终点包括总体治疗效用、研究者评估的无进展生存期、总生存期、开始化疗时间、毒性、生活质量 (QoL)、生活质量恶化时间以及成本效益。</w:t>
      </w:r>
    </w:p>
    <w:p w14:paraId="298B0563" w14:textId="77777777" w:rsidR="0062545B" w:rsidRPr="0062545B" w:rsidRDefault="0062545B" w:rsidP="0062545B">
      <w:pPr>
        <w:widowControl/>
        <w:pBdr>
          <w:bottom w:val="single" w:sz="6" w:space="0" w:color="97B1C8"/>
        </w:pBdr>
        <w:spacing w:line="450" w:lineRule="atLeast"/>
        <w:outlineLvl w:val="1"/>
        <w:rPr>
          <w:rFonts w:ascii="微软雅黑" w:eastAsia="微软雅黑" w:hAnsi="微软雅黑" w:cs="宋体"/>
          <w:kern w:val="0"/>
          <w:sz w:val="34"/>
          <w:szCs w:val="34"/>
        </w:rPr>
      </w:pPr>
      <w:r w:rsidRPr="0062545B">
        <w:rPr>
          <w:rFonts w:ascii="微软雅黑" w:eastAsia="微软雅黑" w:hAnsi="微软雅黑" w:cs="宋体"/>
          <w:kern w:val="0"/>
          <w:sz w:val="34"/>
          <w:szCs w:val="34"/>
        </w:rPr>
        <w:t>1. 引言</w:t>
      </w:r>
    </w:p>
    <w:p w14:paraId="555A60F5"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1.1 背景与原理</w:t>
      </w:r>
    </w:p>
    <w:p w14:paraId="0746877A"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在激素受体阳性（HR+）晚期乳腺癌的一线或二线治疗中，内分泌治疗联合CDK4/6抑制剂已被证实能够改善患者的无进展生存期（PFS）和总生存期（OS）[ </w:t>
      </w:r>
      <w:hyperlink r:id="rId5" w:anchor="CIT00001" w:history="1">
        <w:r w:rsidRPr="0062545B">
          <w:rPr>
            <w:rFonts w:ascii="微软雅黑" w:eastAsia="微软雅黑" w:hAnsi="微软雅黑" w:cs="宋体"/>
            <w:kern w:val="0"/>
            <w:sz w:val="24"/>
            <w:szCs w:val="24"/>
            <w:u w:val="single"/>
          </w:rPr>
          <w:t>1</w:t>
        </w:r>
      </w:hyperlink>
      <w:r w:rsidRPr="0062545B">
        <w:rPr>
          <w:rFonts w:ascii="微软雅黑" w:eastAsia="微软雅黑" w:hAnsi="微软雅黑" w:cs="宋体"/>
          <w:kern w:val="0"/>
          <w:sz w:val="24"/>
          <w:szCs w:val="24"/>
        </w:rPr>
        <w:t> ]。CDK4/6抑制剂的疗效在所有患者亚组中均有体现，包括纳入关键性随机试验的老年患者[ </w:t>
      </w:r>
      <w:hyperlink r:id="rId6" w:anchor="CIT00001" w:history="1">
        <w:r w:rsidRPr="0062545B">
          <w:rPr>
            <w:rFonts w:ascii="微软雅黑" w:eastAsia="微软雅黑" w:hAnsi="微软雅黑" w:cs="宋体"/>
            <w:kern w:val="0"/>
            <w:sz w:val="24"/>
            <w:szCs w:val="24"/>
            <w:u w:val="single"/>
          </w:rPr>
          <w:t>1</w:t>
        </w:r>
      </w:hyperlink>
      <w:r w:rsidRPr="0062545B">
        <w:rPr>
          <w:rFonts w:ascii="微软雅黑" w:eastAsia="微软雅黑" w:hAnsi="微软雅黑" w:cs="宋体"/>
          <w:kern w:val="0"/>
          <w:sz w:val="24"/>
          <w:szCs w:val="24"/>
        </w:rPr>
        <w:t> ]。然而，老年癌症患者在临床试验中的代表性不足，且其基线特征可能与真实世界中的老年癌症患者存在差异，因此，随机对照试验（RCT）结果的普遍适用性面临挑战[ </w:t>
      </w:r>
      <w:hyperlink r:id="rId7" w:anchor="CIT00002" w:history="1">
        <w:r w:rsidRPr="0062545B">
          <w:rPr>
            <w:rFonts w:ascii="微软雅黑" w:eastAsia="微软雅黑" w:hAnsi="微软雅黑" w:cs="宋体"/>
            <w:kern w:val="0"/>
            <w:sz w:val="24"/>
            <w:szCs w:val="24"/>
            <w:u w:val="single"/>
          </w:rPr>
          <w:t>2</w:t>
        </w:r>
      </w:hyperlink>
      <w:r w:rsidRPr="0062545B">
        <w:rPr>
          <w:rFonts w:ascii="微软雅黑" w:eastAsia="微软雅黑" w:hAnsi="微软雅黑" w:cs="宋体"/>
          <w:kern w:val="0"/>
          <w:sz w:val="24"/>
          <w:szCs w:val="24"/>
        </w:rPr>
        <w:t> ]。</w:t>
      </w:r>
    </w:p>
    <w:p w14:paraId="37C7F916"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目前来自随机对照试验和真实世界研究的证据均表明，老年乳腺癌患者在内分泌治疗的基础上加用 CDK4/6 抑制剂可获益；然而，与年轻患者相比，老年患者发生不良事件和治疗中断的风险更高[ </w:t>
      </w:r>
      <w:hyperlink r:id="rId8" w:anchor="CIT00003" w:history="1">
        <w:r w:rsidRPr="0062545B">
          <w:rPr>
            <w:rFonts w:ascii="微软雅黑" w:eastAsia="微软雅黑" w:hAnsi="微软雅黑" w:cs="宋体"/>
            <w:kern w:val="0"/>
            <w:sz w:val="24"/>
            <w:szCs w:val="24"/>
            <w:u w:val="single"/>
          </w:rPr>
          <w:t>3</w:t>
        </w:r>
      </w:hyperlink>
      <w:r w:rsidRPr="0062545B">
        <w:rPr>
          <w:rFonts w:ascii="微软雅黑" w:eastAsia="微软雅黑" w:hAnsi="微软雅黑" w:cs="宋体"/>
          <w:kern w:val="0"/>
          <w:sz w:val="24"/>
          <w:szCs w:val="24"/>
        </w:rPr>
        <w:t> ]。尽管如此，CDK4/6 抑制剂的推荐起始剂量与患者特征无关。考虑到老年患者发生不良事件的风险较高，或许可以考虑以较低剂量开始使用 CDK4/6 抑制剂。事实上，根据真实世界研究，这种临床做法似乎较为常见[ </w:t>
      </w:r>
      <w:hyperlink r:id="rId9" w:anchor="CIT00004" w:history="1">
        <w:r w:rsidRPr="0062545B">
          <w:rPr>
            <w:rFonts w:ascii="微软雅黑" w:eastAsia="微软雅黑" w:hAnsi="微软雅黑" w:cs="宋体"/>
            <w:kern w:val="0"/>
            <w:sz w:val="24"/>
            <w:szCs w:val="24"/>
            <w:u w:val="single"/>
          </w:rPr>
          <w:t>4</w:t>
        </w:r>
      </w:hyperlink>
      <w:r w:rsidRPr="0062545B">
        <w:rPr>
          <w:rFonts w:ascii="微软雅黑" w:eastAsia="微软雅黑" w:hAnsi="微软雅黑" w:cs="宋体"/>
          <w:kern w:val="0"/>
          <w:sz w:val="24"/>
          <w:szCs w:val="24"/>
        </w:rPr>
        <w:t> , </w:t>
      </w:r>
      <w:hyperlink r:id="rId10" w:anchor="CIT00005" w:history="1">
        <w:r w:rsidRPr="0062545B">
          <w:rPr>
            <w:rFonts w:ascii="微软雅黑" w:eastAsia="微软雅黑" w:hAnsi="微软雅黑" w:cs="宋体"/>
            <w:kern w:val="0"/>
            <w:sz w:val="24"/>
            <w:szCs w:val="24"/>
            <w:u w:val="single"/>
          </w:rPr>
          <w:t>5</w:t>
        </w:r>
      </w:hyperlink>
      <w:r w:rsidRPr="0062545B">
        <w:rPr>
          <w:rFonts w:ascii="微软雅黑" w:eastAsia="微软雅黑" w:hAnsi="微软雅黑" w:cs="宋体"/>
          <w:kern w:val="0"/>
          <w:sz w:val="24"/>
          <w:szCs w:val="24"/>
        </w:rPr>
        <w:t xml:space="preserve"> ]。在一项纳入绝经前和绝经后乳腺癌女性患者（中位年龄 58 岁）的前瞻性随机试验中，CDK4/6 抑制剂 </w:t>
      </w:r>
      <w:proofErr w:type="spellStart"/>
      <w:r w:rsidRPr="0062545B">
        <w:rPr>
          <w:rFonts w:ascii="微软雅黑" w:eastAsia="微软雅黑" w:hAnsi="微软雅黑" w:cs="宋体"/>
          <w:kern w:val="0"/>
          <w:sz w:val="24"/>
          <w:szCs w:val="24"/>
        </w:rPr>
        <w:t>ribociclib</w:t>
      </w:r>
      <w:proofErr w:type="spellEnd"/>
      <w:r w:rsidRPr="0062545B">
        <w:rPr>
          <w:rFonts w:ascii="微软雅黑" w:eastAsia="微软雅黑" w:hAnsi="微软雅黑" w:cs="宋体"/>
          <w:kern w:val="0"/>
          <w:sz w:val="24"/>
          <w:szCs w:val="24"/>
        </w:rPr>
        <w:t xml:space="preserve"> 的较低初始剂量并未导致统计学意义上的更差缓解率（低剂量组 41.5% vs 全剂量组 45.3%）或无进展生存期（PFS）（低剂量组 24.9 </w:t>
      </w:r>
      <w:proofErr w:type="gramStart"/>
      <w:r w:rsidRPr="0062545B">
        <w:rPr>
          <w:rFonts w:ascii="微软雅黑" w:eastAsia="微软雅黑" w:hAnsi="微软雅黑" w:cs="宋体"/>
          <w:kern w:val="0"/>
          <w:sz w:val="24"/>
          <w:szCs w:val="24"/>
        </w:rPr>
        <w:t>个</w:t>
      </w:r>
      <w:proofErr w:type="gramEnd"/>
      <w:r w:rsidRPr="0062545B">
        <w:rPr>
          <w:rFonts w:ascii="微软雅黑" w:eastAsia="微软雅黑" w:hAnsi="微软雅黑" w:cs="宋体"/>
          <w:kern w:val="0"/>
          <w:sz w:val="24"/>
          <w:szCs w:val="24"/>
        </w:rPr>
        <w:t xml:space="preserve">月 vs 全剂量组 25.1 </w:t>
      </w:r>
      <w:proofErr w:type="gramStart"/>
      <w:r w:rsidRPr="0062545B">
        <w:rPr>
          <w:rFonts w:ascii="微软雅黑" w:eastAsia="微软雅黑" w:hAnsi="微软雅黑" w:cs="宋体"/>
          <w:kern w:val="0"/>
          <w:sz w:val="24"/>
          <w:szCs w:val="24"/>
        </w:rPr>
        <w:t>个</w:t>
      </w:r>
      <w:proofErr w:type="gramEnd"/>
      <w:r w:rsidRPr="0062545B">
        <w:rPr>
          <w:rFonts w:ascii="微软雅黑" w:eastAsia="微软雅黑" w:hAnsi="微软雅黑" w:cs="宋体"/>
          <w:kern w:val="0"/>
          <w:sz w:val="24"/>
          <w:szCs w:val="24"/>
        </w:rPr>
        <w:t>月）[ </w:t>
      </w:r>
      <w:hyperlink r:id="rId11" w:anchor="CIT00006" w:history="1">
        <w:r w:rsidRPr="0062545B">
          <w:rPr>
            <w:rFonts w:ascii="微软雅黑" w:eastAsia="微软雅黑" w:hAnsi="微软雅黑" w:cs="宋体"/>
            <w:kern w:val="0"/>
            <w:sz w:val="24"/>
            <w:szCs w:val="24"/>
            <w:u w:val="single"/>
          </w:rPr>
          <w:t>6</w:t>
        </w:r>
      </w:hyperlink>
      <w:r w:rsidRPr="0062545B">
        <w:rPr>
          <w:rFonts w:ascii="微软雅黑" w:eastAsia="微软雅黑" w:hAnsi="微软雅黑" w:cs="宋体"/>
          <w:kern w:val="0"/>
          <w:sz w:val="24"/>
          <w:szCs w:val="24"/>
        </w:rPr>
        <w:t> ]。此外，低初始剂量组的 ≥3 级剂量依赖性不良事件发生率更低，且剂量调整次</w:t>
      </w:r>
      <w:r w:rsidRPr="0062545B">
        <w:rPr>
          <w:rFonts w:ascii="微软雅黑" w:eastAsia="微软雅黑" w:hAnsi="微软雅黑" w:cs="宋体"/>
          <w:kern w:val="0"/>
          <w:sz w:val="24"/>
          <w:szCs w:val="24"/>
        </w:rPr>
        <w:lastRenderedPageBreak/>
        <w:t>数也更少。尽管该试验并未</w:t>
      </w:r>
      <w:proofErr w:type="gramStart"/>
      <w:r w:rsidRPr="0062545B">
        <w:rPr>
          <w:rFonts w:ascii="微软雅黑" w:eastAsia="微软雅黑" w:hAnsi="微软雅黑" w:cs="宋体"/>
          <w:kern w:val="0"/>
          <w:sz w:val="24"/>
          <w:szCs w:val="24"/>
        </w:rPr>
        <w:t>证实非劣效</w:t>
      </w:r>
      <w:proofErr w:type="gramEnd"/>
      <w:r w:rsidRPr="0062545B">
        <w:rPr>
          <w:rFonts w:ascii="微软雅黑" w:eastAsia="微软雅黑" w:hAnsi="微软雅黑" w:cs="宋体"/>
          <w:kern w:val="0"/>
          <w:sz w:val="24"/>
          <w:szCs w:val="24"/>
        </w:rPr>
        <w:t>性（就主要终点缓解率而言），但两组治疗方案之间的差异仅为数值上的差异，提示发生不良事件风险较高的患者（例如老年体弱患者）可能受益于较低的初始剂量，且不会影响预期疗效[ </w:t>
      </w:r>
      <w:hyperlink r:id="rId12" w:anchor="CIT00006" w:history="1">
        <w:r w:rsidRPr="0062545B">
          <w:rPr>
            <w:rFonts w:ascii="微软雅黑" w:eastAsia="微软雅黑" w:hAnsi="微软雅黑" w:cs="宋体"/>
            <w:kern w:val="0"/>
            <w:sz w:val="24"/>
            <w:szCs w:val="24"/>
            <w:u w:val="single"/>
          </w:rPr>
          <w:t>6</w:t>
        </w:r>
      </w:hyperlink>
      <w:r w:rsidRPr="0062545B">
        <w:rPr>
          <w:rFonts w:ascii="微软雅黑" w:eastAsia="微软雅黑" w:hAnsi="微软雅黑" w:cs="宋体"/>
          <w:kern w:val="0"/>
          <w:sz w:val="24"/>
          <w:szCs w:val="24"/>
        </w:rPr>
        <w:t> ]。然而，目前尚无针对老年患者使用较低剂量 CDK4/6 抑制剂起始治疗的随机对照试验证据。换句话说，这种做法仅仅是基于临床观察和经验，而不是基于现有证据。</w:t>
      </w:r>
    </w:p>
    <w:p w14:paraId="0DAB8974"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越来越多的证据表明，综合老年评估（CGA）在老年癌症患者中发挥着多维度的作用。CGA是指应用一套经过验证的框架，对老年癌症患者的衰老相关领域进行评估，这些评估结果可能会影响癌症治疗决策[ </w:t>
      </w:r>
      <w:hyperlink r:id="rId13" w:anchor="CIT00007" w:history="1">
        <w:r w:rsidRPr="0062545B">
          <w:rPr>
            <w:rFonts w:ascii="微软雅黑" w:eastAsia="微软雅黑" w:hAnsi="微软雅黑" w:cs="宋体"/>
            <w:kern w:val="0"/>
            <w:sz w:val="24"/>
            <w:szCs w:val="24"/>
            <w:u w:val="single"/>
          </w:rPr>
          <w:t>7</w:t>
        </w:r>
      </w:hyperlink>
      <w:r w:rsidRPr="0062545B">
        <w:rPr>
          <w:rFonts w:ascii="微软雅黑" w:eastAsia="微软雅黑" w:hAnsi="微软雅黑" w:cs="宋体"/>
          <w:kern w:val="0"/>
          <w:sz w:val="24"/>
          <w:szCs w:val="24"/>
        </w:rPr>
        <w:t> ]。通过CGA，可以将老年癌症患者分为健康、虚弱或衰弱三类。基于此分类，可以应用CGA指导的干预措施来潜在地改善患者的健康状况。根据近期发表的随机对照试验（RCT）[ </w:t>
      </w:r>
      <w:hyperlink r:id="rId14" w:anchor="CIT00008" w:history="1">
        <w:r w:rsidRPr="0062545B">
          <w:rPr>
            <w:rFonts w:ascii="微软雅黑" w:eastAsia="微软雅黑" w:hAnsi="微软雅黑" w:cs="宋体"/>
            <w:kern w:val="0"/>
            <w:sz w:val="24"/>
            <w:szCs w:val="24"/>
            <w:u w:val="single"/>
          </w:rPr>
          <w:t>8</w:t>
        </w:r>
      </w:hyperlink>
      <w:r w:rsidRPr="0062545B">
        <w:rPr>
          <w:rFonts w:ascii="微软雅黑" w:eastAsia="微软雅黑" w:hAnsi="微软雅黑" w:cs="宋体"/>
          <w:kern w:val="0"/>
          <w:sz w:val="24"/>
          <w:szCs w:val="24"/>
        </w:rPr>
        <w:t> , </w:t>
      </w:r>
      <w:hyperlink r:id="rId15" w:anchor="CIT00009" w:history="1">
        <w:r w:rsidRPr="0062545B">
          <w:rPr>
            <w:rFonts w:ascii="微软雅黑" w:eastAsia="微软雅黑" w:hAnsi="微软雅黑" w:cs="宋体"/>
            <w:kern w:val="0"/>
            <w:sz w:val="24"/>
            <w:szCs w:val="24"/>
            <w:u w:val="single"/>
          </w:rPr>
          <w:t>9</w:t>
        </w:r>
      </w:hyperlink>
      <w:r w:rsidRPr="0062545B">
        <w:rPr>
          <w:rFonts w:ascii="微软雅黑" w:eastAsia="微软雅黑" w:hAnsi="微软雅黑" w:cs="宋体"/>
          <w:kern w:val="0"/>
          <w:sz w:val="24"/>
          <w:szCs w:val="24"/>
        </w:rPr>
        <w:t> ]，在老年癌症患者中实施CGA和CGA指导的干预措施似乎可以降低治疗相关毒性。然而，目前针对老年癌症患者的RCT中，很少有研究将老年评估作为优化癌症治疗策略的基线工具。</w:t>
      </w:r>
    </w:p>
    <w:p w14:paraId="08C4CD0F"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在MRC-FOCUS2试验中，体弱多病的转移性结直肠癌老年患者被随机分配到四种不同的化疗方案组（FOLFOX、FLV、</w:t>
      </w:r>
      <w:proofErr w:type="gramStart"/>
      <w:r w:rsidRPr="0062545B">
        <w:rPr>
          <w:rFonts w:ascii="微软雅黑" w:eastAsia="微软雅黑" w:hAnsi="微软雅黑" w:cs="宋体"/>
          <w:kern w:val="0"/>
          <w:sz w:val="24"/>
          <w:szCs w:val="24"/>
        </w:rPr>
        <w:t>卡培他滨</w:t>
      </w:r>
      <w:proofErr w:type="gramEnd"/>
      <w:r w:rsidRPr="0062545B">
        <w:rPr>
          <w:rFonts w:ascii="微软雅黑" w:eastAsia="微软雅黑" w:hAnsi="微软雅黑" w:cs="宋体"/>
          <w:kern w:val="0"/>
          <w:sz w:val="24"/>
          <w:szCs w:val="24"/>
        </w:rPr>
        <w:t>和CAPOX；所有方案均减量80%）。结果表明，对于这类老年患者，联合化疗优于单药治疗[ </w:t>
      </w:r>
      <w:hyperlink r:id="rId16" w:anchor="CIT00010" w:history="1">
        <w:r w:rsidRPr="0062545B">
          <w:rPr>
            <w:rFonts w:ascii="微软雅黑" w:eastAsia="微软雅黑" w:hAnsi="微软雅黑" w:cs="宋体"/>
            <w:kern w:val="0"/>
            <w:sz w:val="24"/>
            <w:szCs w:val="24"/>
            <w:u w:val="single"/>
          </w:rPr>
          <w:t>10</w:t>
        </w:r>
      </w:hyperlink>
      <w:r w:rsidRPr="0062545B">
        <w:rPr>
          <w:rFonts w:ascii="微软雅黑" w:eastAsia="微软雅黑" w:hAnsi="微软雅黑" w:cs="宋体"/>
          <w:kern w:val="0"/>
          <w:sz w:val="24"/>
          <w:szCs w:val="24"/>
        </w:rPr>
        <w:t> ]。在ESOGIA-GFPC-GECP 08-02试验中，基于综合老年评估（CGA）的治疗分配（身体状况良好的患者接受铂类化疗；体弱多病的患者接受单药治疗；体弱多病的患者接受</w:t>
      </w:r>
      <w:proofErr w:type="gramStart"/>
      <w:r w:rsidRPr="0062545B">
        <w:rPr>
          <w:rFonts w:ascii="微软雅黑" w:eastAsia="微软雅黑" w:hAnsi="微软雅黑" w:cs="宋体"/>
          <w:kern w:val="0"/>
          <w:sz w:val="24"/>
          <w:szCs w:val="24"/>
        </w:rPr>
        <w:t>最佳支持</w:t>
      </w:r>
      <w:proofErr w:type="gramEnd"/>
      <w:r w:rsidRPr="0062545B">
        <w:rPr>
          <w:rFonts w:ascii="微软雅黑" w:eastAsia="微软雅黑" w:hAnsi="微软雅黑" w:cs="宋体"/>
          <w:kern w:val="0"/>
          <w:sz w:val="24"/>
          <w:szCs w:val="24"/>
        </w:rPr>
        <w:t>治疗）与基于临床决策的治疗分配相比，未能改善老年非小细胞肺癌患者的预后[ </w:t>
      </w:r>
      <w:hyperlink r:id="rId17" w:anchor="CIT00011" w:history="1">
        <w:r w:rsidRPr="0062545B">
          <w:rPr>
            <w:rFonts w:ascii="微软雅黑" w:eastAsia="微软雅黑" w:hAnsi="微软雅黑" w:cs="宋体"/>
            <w:kern w:val="0"/>
            <w:sz w:val="24"/>
            <w:szCs w:val="24"/>
            <w:u w:val="single"/>
          </w:rPr>
          <w:t>11</w:t>
        </w:r>
      </w:hyperlink>
      <w:r w:rsidRPr="0062545B">
        <w:rPr>
          <w:rFonts w:ascii="微软雅黑" w:eastAsia="微软雅黑" w:hAnsi="微软雅黑" w:cs="宋体"/>
          <w:kern w:val="0"/>
          <w:sz w:val="24"/>
          <w:szCs w:val="24"/>
        </w:rPr>
        <w:t> ]。在GO2试验中，对于体弱（根据临床决策和老年评估评估）的</w:t>
      </w:r>
      <w:r w:rsidRPr="0062545B">
        <w:rPr>
          <w:rFonts w:ascii="微软雅黑" w:eastAsia="微软雅黑" w:hAnsi="微软雅黑" w:cs="宋体"/>
          <w:kern w:val="0"/>
          <w:sz w:val="24"/>
          <w:szCs w:val="24"/>
        </w:rPr>
        <w:lastRenderedPageBreak/>
        <w:t>晚期胃食管癌患者，较低的初始CAPOX化疗剂量与全剂量相比，疗效不劣于全剂量，且毒性更低，患者体验更好[ </w:t>
      </w:r>
      <w:hyperlink r:id="rId18" w:anchor="CIT00012" w:history="1">
        <w:r w:rsidRPr="0062545B">
          <w:rPr>
            <w:rFonts w:ascii="微软雅黑" w:eastAsia="微软雅黑" w:hAnsi="微软雅黑" w:cs="宋体"/>
            <w:kern w:val="0"/>
            <w:sz w:val="24"/>
            <w:szCs w:val="24"/>
            <w:u w:val="single"/>
          </w:rPr>
          <w:t>12</w:t>
        </w:r>
      </w:hyperlink>
      <w:r w:rsidRPr="0062545B">
        <w:rPr>
          <w:rFonts w:ascii="微软雅黑" w:eastAsia="微软雅黑" w:hAnsi="微软雅黑" w:cs="宋体"/>
          <w:kern w:val="0"/>
          <w:sz w:val="24"/>
          <w:szCs w:val="24"/>
        </w:rPr>
        <w:t> ]。</w:t>
      </w:r>
    </w:p>
    <w:p w14:paraId="00FB687C"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这些随机对照试验数据表明，CGA 可能可用于基线评估，以优化癌症治疗策略。然而，这种方法目前仅在接受化疗的老年癌症患者中进行过测试，尚未在适合靶</w:t>
      </w:r>
      <w:proofErr w:type="gramStart"/>
      <w:r w:rsidRPr="0062545B">
        <w:rPr>
          <w:rFonts w:ascii="微软雅黑" w:eastAsia="微软雅黑" w:hAnsi="微软雅黑" w:cs="宋体"/>
          <w:kern w:val="0"/>
          <w:sz w:val="24"/>
          <w:szCs w:val="24"/>
        </w:rPr>
        <w:t>向治疗</w:t>
      </w:r>
      <w:proofErr w:type="gramEnd"/>
      <w:r w:rsidRPr="0062545B">
        <w:rPr>
          <w:rFonts w:ascii="微软雅黑" w:eastAsia="微软雅黑" w:hAnsi="微软雅黑" w:cs="宋体"/>
          <w:kern w:val="0"/>
          <w:sz w:val="24"/>
          <w:szCs w:val="24"/>
        </w:rPr>
        <w:t>的患者中进行测试。对于靶向治疗，目前的标准做法是采用“一刀切”的起始剂量，尽管临床经验表明，较低的初始剂量可能对某些患者亚组有益[ </w:t>
      </w:r>
      <w:hyperlink r:id="rId19" w:anchor="CIT00004" w:history="1">
        <w:r w:rsidRPr="0062545B">
          <w:rPr>
            <w:rFonts w:ascii="微软雅黑" w:eastAsia="微软雅黑" w:hAnsi="微软雅黑" w:cs="宋体"/>
            <w:kern w:val="0"/>
            <w:sz w:val="24"/>
            <w:szCs w:val="24"/>
            <w:u w:val="single"/>
          </w:rPr>
          <w:t>4</w:t>
        </w:r>
      </w:hyperlink>
      <w:r w:rsidRPr="0062545B">
        <w:rPr>
          <w:rFonts w:ascii="微软雅黑" w:eastAsia="微软雅黑" w:hAnsi="微软雅黑" w:cs="宋体"/>
          <w:kern w:val="0"/>
          <w:sz w:val="24"/>
          <w:szCs w:val="24"/>
        </w:rPr>
        <w:t> , </w:t>
      </w:r>
      <w:hyperlink r:id="rId20" w:anchor="CIT00005" w:history="1">
        <w:r w:rsidRPr="0062545B">
          <w:rPr>
            <w:rFonts w:ascii="微软雅黑" w:eastAsia="微软雅黑" w:hAnsi="微软雅黑" w:cs="宋体"/>
            <w:kern w:val="0"/>
            <w:sz w:val="24"/>
            <w:szCs w:val="24"/>
            <w:u w:val="single"/>
          </w:rPr>
          <w:t>5</w:t>
        </w:r>
      </w:hyperlink>
      <w:r w:rsidRPr="0062545B">
        <w:rPr>
          <w:rFonts w:ascii="微软雅黑" w:eastAsia="微软雅黑" w:hAnsi="微软雅黑" w:cs="宋体"/>
          <w:kern w:val="0"/>
          <w:sz w:val="24"/>
          <w:szCs w:val="24"/>
        </w:rPr>
        <w:t> ]。此外，近期药理学数据表明，激酶抑制剂的治疗窗较宽，因此有可能使用较低剂量来提高耐受性，同时又不影响疗效[ </w:t>
      </w:r>
      <w:hyperlink r:id="rId21" w:anchor="CIT00013" w:history="1">
        <w:r w:rsidRPr="0062545B">
          <w:rPr>
            <w:rFonts w:ascii="微软雅黑" w:eastAsia="微软雅黑" w:hAnsi="微软雅黑" w:cs="宋体"/>
            <w:kern w:val="0"/>
            <w:sz w:val="24"/>
            <w:szCs w:val="24"/>
            <w:u w:val="single"/>
          </w:rPr>
          <w:t>13</w:t>
        </w:r>
      </w:hyperlink>
      <w:r w:rsidRPr="0062545B">
        <w:rPr>
          <w:rFonts w:ascii="微软雅黑" w:eastAsia="微软雅黑" w:hAnsi="微软雅黑" w:cs="宋体"/>
          <w:kern w:val="0"/>
          <w:sz w:val="24"/>
          <w:szCs w:val="24"/>
        </w:rPr>
        <w:t> ]。</w:t>
      </w:r>
    </w:p>
    <w:p w14:paraId="47E3FAB8"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因此，本随机试验的目的是研究基于 CGA 的 CDK4/6 抑制剂初始剂量减少是否能使脆弱/体弱的老年晚期乳腺癌患者获得相似的治疗失败时间 (TTF) 和更好的患者体验（在毒性和生活质量 [QoL] 方面），而不影响治疗效果。</w:t>
      </w:r>
    </w:p>
    <w:p w14:paraId="10163BFD"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1.2 目标</w:t>
      </w:r>
    </w:p>
    <w:p w14:paraId="4008215E"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IMPORTANT试验的主要目标是研究对于体弱或脆弱的老年乳腺癌患者，采用较低初始剂量的CDK4/6抑制剂联合内分泌治疗与采用</w:t>
      </w:r>
      <w:proofErr w:type="gramStart"/>
      <w:r w:rsidRPr="0062545B">
        <w:rPr>
          <w:rFonts w:ascii="微软雅黑" w:eastAsia="微软雅黑" w:hAnsi="微软雅黑" w:cs="宋体"/>
          <w:kern w:val="0"/>
          <w:sz w:val="24"/>
          <w:szCs w:val="24"/>
        </w:rPr>
        <w:t>推荐全</w:t>
      </w:r>
      <w:proofErr w:type="gramEnd"/>
      <w:r w:rsidRPr="0062545B">
        <w:rPr>
          <w:rFonts w:ascii="微软雅黑" w:eastAsia="微软雅黑" w:hAnsi="微软雅黑" w:cs="宋体"/>
          <w:kern w:val="0"/>
          <w:sz w:val="24"/>
          <w:szCs w:val="24"/>
        </w:rPr>
        <w:t>剂量CDK4/6抑制剂相比，其至治疗失败时间（TTF）。次要目标是比较两组治疗方案（较低初始剂量CDK4/6抑制剂组与全剂量组）在总生存期（OS）、研究者评估的无进展生存期（PFS）、化疗开始时间、总体治疗效用（OTU）、毒性、患者健康相关生活质量以及成本效益方面的差异。</w:t>
      </w:r>
    </w:p>
    <w:p w14:paraId="12F4DF6E"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1.3 试验设计</w:t>
      </w:r>
    </w:p>
    <w:p w14:paraId="572C2EFD"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IMPORTANT 是一项务实的、多国参与的、开放标签的、部分分散的、随机对照临床试验，采用</w:t>
      </w:r>
      <w:proofErr w:type="gramStart"/>
      <w:r w:rsidRPr="0062545B">
        <w:rPr>
          <w:rFonts w:ascii="微软雅黑" w:eastAsia="微软雅黑" w:hAnsi="微软雅黑" w:cs="宋体"/>
          <w:kern w:val="0"/>
          <w:sz w:val="24"/>
          <w:szCs w:val="24"/>
        </w:rPr>
        <w:t>非劣效性</w:t>
      </w:r>
      <w:proofErr w:type="gramEnd"/>
      <w:r w:rsidRPr="0062545B">
        <w:rPr>
          <w:rFonts w:ascii="微软雅黑" w:eastAsia="微软雅黑" w:hAnsi="微软雅黑" w:cs="宋体"/>
          <w:kern w:val="0"/>
          <w:sz w:val="24"/>
          <w:szCs w:val="24"/>
        </w:rPr>
        <w:t>方法，致力于研究适合接受 CDK4/6 抑制剂联合内分泌治疗的一线治疗的 HR+/HER2- 晚期乳腺癌老年患者（≥70 岁）。</w:t>
      </w:r>
    </w:p>
    <w:p w14:paraId="55138A4F" w14:textId="77777777" w:rsidR="0062545B" w:rsidRPr="0062545B" w:rsidRDefault="0062545B" w:rsidP="0062545B">
      <w:pPr>
        <w:widowControl/>
        <w:pBdr>
          <w:bottom w:val="single" w:sz="6" w:space="0" w:color="97B1C8"/>
        </w:pBdr>
        <w:spacing w:line="450" w:lineRule="atLeast"/>
        <w:outlineLvl w:val="1"/>
        <w:rPr>
          <w:rFonts w:ascii="微软雅黑" w:eastAsia="微软雅黑" w:hAnsi="微软雅黑" w:cs="宋体"/>
          <w:kern w:val="0"/>
          <w:sz w:val="34"/>
          <w:szCs w:val="34"/>
        </w:rPr>
      </w:pPr>
      <w:r w:rsidRPr="0062545B">
        <w:rPr>
          <w:rFonts w:ascii="微软雅黑" w:eastAsia="微软雅黑" w:hAnsi="微软雅黑" w:cs="宋体"/>
          <w:kern w:val="0"/>
          <w:sz w:val="34"/>
          <w:szCs w:val="34"/>
        </w:rPr>
        <w:t>2. 材料与方法</w:t>
      </w:r>
    </w:p>
    <w:p w14:paraId="69ADCFD7"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2.1 研究环境</w:t>
      </w:r>
    </w:p>
    <w:p w14:paraId="4C0B4E76"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瑞典、芬兰、挪威、意大利和西班牙的七个临床中心以及一个研究网络——希腊合作肿瘤组（</w:t>
      </w:r>
      <w:proofErr w:type="spellStart"/>
      <w:r w:rsidRPr="0062545B">
        <w:rPr>
          <w:rFonts w:ascii="微软雅黑" w:eastAsia="微软雅黑" w:hAnsi="微软雅黑" w:cs="宋体"/>
          <w:kern w:val="0"/>
          <w:sz w:val="24"/>
          <w:szCs w:val="24"/>
        </w:rPr>
        <w:t>HeCOG</w:t>
      </w:r>
      <w:proofErr w:type="spellEnd"/>
      <w:r w:rsidRPr="0062545B">
        <w:rPr>
          <w:rFonts w:ascii="微软雅黑" w:eastAsia="微软雅黑" w:hAnsi="微软雅黑" w:cs="宋体"/>
          <w:kern w:val="0"/>
          <w:sz w:val="24"/>
          <w:szCs w:val="24"/>
        </w:rPr>
        <w:t>，拥有希腊的六家医院）将招募患者参与 IMPORTANT 试验（</w:t>
      </w:r>
      <w:r w:rsidRPr="0062545B">
        <w:rPr>
          <w:rFonts w:ascii="微软雅黑" w:eastAsia="微软雅黑" w:hAnsi="微软雅黑" w:cs="宋体"/>
          <w:kern w:val="0"/>
          <w:sz w:val="24"/>
          <w:szCs w:val="24"/>
        </w:rPr>
        <w:fldChar w:fldCharType="begin"/>
      </w:r>
      <w:r w:rsidRPr="0062545B">
        <w:rPr>
          <w:rFonts w:ascii="微软雅黑" w:eastAsia="微软雅黑" w:hAnsi="微软雅黑" w:cs="宋体"/>
          <w:kern w:val="0"/>
          <w:sz w:val="24"/>
          <w:szCs w:val="24"/>
        </w:rPr>
        <w:instrText xml:space="preserve"> HYPERLINK "https://pmc.ncbi.nlm.nih.gov/articles/PMC11572072/" \l "T0001" </w:instrText>
      </w:r>
      <w:r w:rsidRPr="0062545B">
        <w:rPr>
          <w:rFonts w:ascii="微软雅黑" w:eastAsia="微软雅黑" w:hAnsi="微软雅黑" w:cs="宋体"/>
          <w:kern w:val="0"/>
          <w:sz w:val="24"/>
          <w:szCs w:val="24"/>
        </w:rPr>
        <w:fldChar w:fldCharType="separate"/>
      </w:r>
      <w:r w:rsidRPr="0062545B">
        <w:rPr>
          <w:rFonts w:ascii="微软雅黑" w:eastAsia="微软雅黑" w:hAnsi="微软雅黑" w:cs="宋体"/>
          <w:kern w:val="0"/>
          <w:sz w:val="24"/>
          <w:szCs w:val="24"/>
          <w:u w:val="single"/>
        </w:rPr>
        <w:t>表 1</w:t>
      </w:r>
      <w:r w:rsidRPr="0062545B">
        <w:rPr>
          <w:rFonts w:ascii="微软雅黑" w:eastAsia="微软雅黑" w:hAnsi="微软雅黑" w:cs="宋体"/>
          <w:kern w:val="0"/>
          <w:sz w:val="24"/>
          <w:szCs w:val="24"/>
        </w:rPr>
        <w:fldChar w:fldCharType="end"/>
      </w:r>
      <w:r w:rsidRPr="0062545B">
        <w:rPr>
          <w:rFonts w:ascii="微软雅黑" w:eastAsia="微软雅黑" w:hAnsi="微软雅黑" w:cs="宋体"/>
          <w:kern w:val="0"/>
          <w:sz w:val="24"/>
          <w:szCs w:val="24"/>
        </w:rPr>
        <w:t>）。</w:t>
      </w:r>
    </w:p>
    <w:p w14:paraId="68CDD929"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t>表1。</w:t>
      </w:r>
    </w:p>
    <w:p w14:paraId="3C10E0F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参与的临床中心。</w:t>
      </w:r>
    </w:p>
    <w:tbl>
      <w:tblPr>
        <w:tblW w:w="5000" w:type="pct"/>
        <w:tblCellSpacing w:w="15" w:type="dxa"/>
        <w:tblBorders>
          <w:top w:val="single" w:sz="6" w:space="0" w:color="333333"/>
          <w:bottom w:val="single" w:sz="6" w:space="0" w:color="333333"/>
        </w:tblBorders>
        <w:tblCellMar>
          <w:top w:w="15" w:type="dxa"/>
          <w:left w:w="15" w:type="dxa"/>
          <w:bottom w:w="15" w:type="dxa"/>
          <w:right w:w="15" w:type="dxa"/>
        </w:tblCellMar>
        <w:tblLook w:val="04A0" w:firstRow="1" w:lastRow="0" w:firstColumn="1" w:lastColumn="0" w:noHBand="0" w:noVBand="1"/>
      </w:tblPr>
      <w:tblGrid>
        <w:gridCol w:w="7446"/>
        <w:gridCol w:w="860"/>
      </w:tblGrid>
      <w:tr w:rsidR="0062545B" w:rsidRPr="0062545B" w14:paraId="43A3B250" w14:textId="77777777" w:rsidTr="0062545B">
        <w:trPr>
          <w:tblHeader/>
          <w:tblCellSpacing w:w="15" w:type="dxa"/>
        </w:trPr>
        <w:tc>
          <w:tcPr>
            <w:tcW w:w="4467" w:type="pct"/>
            <w:tcMar>
              <w:top w:w="56" w:type="dxa"/>
              <w:left w:w="56" w:type="dxa"/>
              <w:bottom w:w="56" w:type="dxa"/>
              <w:right w:w="56" w:type="dxa"/>
            </w:tcMar>
            <w:hideMark/>
          </w:tcPr>
          <w:p w14:paraId="6E946E13"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t>临床中心</w:t>
            </w:r>
          </w:p>
        </w:tc>
        <w:tc>
          <w:tcPr>
            <w:tcW w:w="492" w:type="pct"/>
            <w:tcMar>
              <w:top w:w="56" w:type="dxa"/>
              <w:left w:w="56" w:type="dxa"/>
              <w:bottom w:w="56" w:type="dxa"/>
              <w:right w:w="56" w:type="dxa"/>
            </w:tcMar>
            <w:hideMark/>
          </w:tcPr>
          <w:p w14:paraId="4F4FCE21"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t>地点</w:t>
            </w:r>
          </w:p>
        </w:tc>
      </w:tr>
      <w:tr w:rsidR="0062545B" w:rsidRPr="0062545B" w14:paraId="261DF16D" w14:textId="77777777" w:rsidTr="0062545B">
        <w:trPr>
          <w:tblCellSpacing w:w="15" w:type="dxa"/>
        </w:trPr>
        <w:tc>
          <w:tcPr>
            <w:tcW w:w="4467" w:type="pct"/>
            <w:tcMar>
              <w:top w:w="56" w:type="dxa"/>
              <w:left w:w="56" w:type="dxa"/>
              <w:bottom w:w="56" w:type="dxa"/>
              <w:right w:w="56" w:type="dxa"/>
            </w:tcMar>
            <w:hideMark/>
          </w:tcPr>
          <w:p w14:paraId="79FC773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厄勒布鲁厄勒布鲁大学医院肿瘤科</w:t>
            </w:r>
          </w:p>
        </w:tc>
        <w:tc>
          <w:tcPr>
            <w:tcW w:w="492" w:type="pct"/>
            <w:tcMar>
              <w:top w:w="56" w:type="dxa"/>
              <w:left w:w="56" w:type="dxa"/>
              <w:bottom w:w="56" w:type="dxa"/>
              <w:right w:w="56" w:type="dxa"/>
            </w:tcMar>
            <w:hideMark/>
          </w:tcPr>
          <w:p w14:paraId="6577204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瑞典</w:t>
            </w:r>
          </w:p>
        </w:tc>
      </w:tr>
      <w:tr w:rsidR="0062545B" w:rsidRPr="0062545B" w14:paraId="068F8823" w14:textId="77777777" w:rsidTr="0062545B">
        <w:trPr>
          <w:tblCellSpacing w:w="15" w:type="dxa"/>
        </w:trPr>
        <w:tc>
          <w:tcPr>
            <w:tcW w:w="4467" w:type="pct"/>
            <w:tcMar>
              <w:top w:w="56" w:type="dxa"/>
              <w:left w:w="56" w:type="dxa"/>
              <w:bottom w:w="56" w:type="dxa"/>
              <w:right w:w="56" w:type="dxa"/>
            </w:tcMar>
            <w:hideMark/>
          </w:tcPr>
          <w:p w14:paraId="65C3ADD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乌普萨拉阿卡德米斯卡大学医院肿瘤科</w:t>
            </w:r>
          </w:p>
        </w:tc>
        <w:tc>
          <w:tcPr>
            <w:tcW w:w="492" w:type="pct"/>
            <w:tcMar>
              <w:top w:w="56" w:type="dxa"/>
              <w:left w:w="56" w:type="dxa"/>
              <w:bottom w:w="56" w:type="dxa"/>
              <w:right w:w="56" w:type="dxa"/>
            </w:tcMar>
            <w:hideMark/>
          </w:tcPr>
          <w:p w14:paraId="1EF05F9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瑞典</w:t>
            </w:r>
          </w:p>
        </w:tc>
      </w:tr>
      <w:tr w:rsidR="0062545B" w:rsidRPr="0062545B" w14:paraId="302EB1F0" w14:textId="77777777" w:rsidTr="0062545B">
        <w:trPr>
          <w:tblCellSpacing w:w="15" w:type="dxa"/>
        </w:trPr>
        <w:tc>
          <w:tcPr>
            <w:tcW w:w="4467" w:type="pct"/>
            <w:tcMar>
              <w:top w:w="56" w:type="dxa"/>
              <w:left w:w="56" w:type="dxa"/>
              <w:bottom w:w="56" w:type="dxa"/>
              <w:right w:w="56" w:type="dxa"/>
            </w:tcMar>
            <w:hideMark/>
          </w:tcPr>
          <w:p w14:paraId="4B66523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赫尔辛基大学医院肿瘤科</w:t>
            </w:r>
          </w:p>
        </w:tc>
        <w:tc>
          <w:tcPr>
            <w:tcW w:w="492" w:type="pct"/>
            <w:tcMar>
              <w:top w:w="56" w:type="dxa"/>
              <w:left w:w="56" w:type="dxa"/>
              <w:bottom w:w="56" w:type="dxa"/>
              <w:right w:w="56" w:type="dxa"/>
            </w:tcMar>
            <w:hideMark/>
          </w:tcPr>
          <w:p w14:paraId="2F6E292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芬兰</w:t>
            </w:r>
          </w:p>
        </w:tc>
      </w:tr>
      <w:tr w:rsidR="0062545B" w:rsidRPr="0062545B" w14:paraId="194FBC4A" w14:textId="77777777" w:rsidTr="0062545B">
        <w:trPr>
          <w:tblCellSpacing w:w="15" w:type="dxa"/>
        </w:trPr>
        <w:tc>
          <w:tcPr>
            <w:tcW w:w="4467" w:type="pct"/>
            <w:tcMar>
              <w:top w:w="56" w:type="dxa"/>
              <w:left w:w="56" w:type="dxa"/>
              <w:bottom w:w="56" w:type="dxa"/>
              <w:right w:w="56" w:type="dxa"/>
            </w:tcMar>
            <w:hideMark/>
          </w:tcPr>
          <w:p w14:paraId="0A6D111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奥斯陆阿克胡斯大学医院肿瘤科</w:t>
            </w:r>
          </w:p>
        </w:tc>
        <w:tc>
          <w:tcPr>
            <w:tcW w:w="492" w:type="pct"/>
            <w:tcMar>
              <w:top w:w="56" w:type="dxa"/>
              <w:left w:w="56" w:type="dxa"/>
              <w:bottom w:w="56" w:type="dxa"/>
              <w:right w:w="56" w:type="dxa"/>
            </w:tcMar>
            <w:hideMark/>
          </w:tcPr>
          <w:p w14:paraId="15347A9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挪威</w:t>
            </w:r>
          </w:p>
        </w:tc>
      </w:tr>
      <w:tr w:rsidR="0062545B" w:rsidRPr="0062545B" w14:paraId="6914AEAB" w14:textId="77777777" w:rsidTr="0062545B">
        <w:trPr>
          <w:tblCellSpacing w:w="15" w:type="dxa"/>
        </w:trPr>
        <w:tc>
          <w:tcPr>
            <w:tcW w:w="4467" w:type="pct"/>
            <w:tcMar>
              <w:top w:w="56" w:type="dxa"/>
              <w:left w:w="56" w:type="dxa"/>
              <w:bottom w:w="56" w:type="dxa"/>
              <w:right w:w="56" w:type="dxa"/>
            </w:tcMar>
            <w:hideMark/>
          </w:tcPr>
          <w:p w14:paraId="22F716A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xml:space="preserve">'Sandro </w:t>
            </w:r>
            <w:proofErr w:type="spellStart"/>
            <w:r w:rsidRPr="0062545B">
              <w:rPr>
                <w:rFonts w:ascii="微软雅黑" w:eastAsia="微软雅黑" w:hAnsi="微软雅黑" w:cs="宋体"/>
                <w:kern w:val="0"/>
                <w:sz w:val="24"/>
                <w:szCs w:val="24"/>
              </w:rPr>
              <w:t>Pitigliani</w:t>
            </w:r>
            <w:proofErr w:type="spellEnd"/>
            <w:r w:rsidRPr="0062545B">
              <w:rPr>
                <w:rFonts w:ascii="微软雅黑" w:eastAsia="微软雅黑" w:hAnsi="微软雅黑" w:cs="宋体"/>
                <w:kern w:val="0"/>
                <w:sz w:val="24"/>
                <w:szCs w:val="24"/>
              </w:rPr>
              <w:t>' 普拉托医院肿瘤内科，普拉托</w:t>
            </w:r>
          </w:p>
        </w:tc>
        <w:tc>
          <w:tcPr>
            <w:tcW w:w="492" w:type="pct"/>
            <w:tcMar>
              <w:top w:w="56" w:type="dxa"/>
              <w:left w:w="56" w:type="dxa"/>
              <w:bottom w:w="56" w:type="dxa"/>
              <w:right w:w="56" w:type="dxa"/>
            </w:tcMar>
            <w:hideMark/>
          </w:tcPr>
          <w:p w14:paraId="7C2D189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意大利</w:t>
            </w:r>
          </w:p>
        </w:tc>
      </w:tr>
      <w:tr w:rsidR="0062545B" w:rsidRPr="0062545B" w14:paraId="4EEEADB1" w14:textId="77777777" w:rsidTr="0062545B">
        <w:trPr>
          <w:tblCellSpacing w:w="15" w:type="dxa"/>
        </w:trPr>
        <w:tc>
          <w:tcPr>
            <w:tcW w:w="4467" w:type="pct"/>
            <w:tcMar>
              <w:top w:w="56" w:type="dxa"/>
              <w:left w:w="56" w:type="dxa"/>
              <w:bottom w:w="56" w:type="dxa"/>
              <w:right w:w="56" w:type="dxa"/>
            </w:tcMar>
            <w:hideMark/>
          </w:tcPr>
          <w:p w14:paraId="597DCC4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肿瘤科，</w:t>
            </w:r>
            <w:proofErr w:type="spellStart"/>
            <w:r w:rsidRPr="0062545B">
              <w:rPr>
                <w:rFonts w:ascii="微软雅黑" w:eastAsia="微软雅黑" w:hAnsi="微软雅黑" w:cs="宋体"/>
                <w:kern w:val="0"/>
                <w:sz w:val="24"/>
                <w:szCs w:val="24"/>
              </w:rPr>
              <w:t>Azienda</w:t>
            </w:r>
            <w:proofErr w:type="spellEnd"/>
            <w:r w:rsidRPr="0062545B">
              <w:rPr>
                <w:rFonts w:ascii="微软雅黑" w:eastAsia="微软雅黑" w:hAnsi="微软雅黑" w:cs="宋体"/>
                <w:kern w:val="0"/>
                <w:sz w:val="24"/>
                <w:szCs w:val="24"/>
              </w:rPr>
              <w:t xml:space="preserve"> </w:t>
            </w:r>
            <w:proofErr w:type="spellStart"/>
            <w:r w:rsidRPr="0062545B">
              <w:rPr>
                <w:rFonts w:ascii="微软雅黑" w:eastAsia="微软雅黑" w:hAnsi="微软雅黑" w:cs="宋体"/>
                <w:kern w:val="0"/>
                <w:sz w:val="24"/>
                <w:szCs w:val="24"/>
              </w:rPr>
              <w:t>Ospedaliero</w:t>
            </w:r>
            <w:proofErr w:type="spellEnd"/>
            <w:r w:rsidRPr="0062545B">
              <w:rPr>
                <w:rFonts w:ascii="微软雅黑" w:eastAsia="微软雅黑" w:hAnsi="微软雅黑" w:cs="宋体"/>
                <w:kern w:val="0"/>
                <w:sz w:val="24"/>
                <w:szCs w:val="24"/>
              </w:rPr>
              <w:t xml:space="preserve"> </w:t>
            </w:r>
            <w:proofErr w:type="spellStart"/>
            <w:r w:rsidRPr="0062545B">
              <w:rPr>
                <w:rFonts w:ascii="微软雅黑" w:eastAsia="微软雅黑" w:hAnsi="微软雅黑" w:cs="宋体"/>
                <w:kern w:val="0"/>
                <w:sz w:val="24"/>
                <w:szCs w:val="24"/>
              </w:rPr>
              <w:t>Universitaria</w:t>
            </w:r>
            <w:proofErr w:type="spellEnd"/>
            <w:r w:rsidRPr="0062545B">
              <w:rPr>
                <w:rFonts w:ascii="微软雅黑" w:eastAsia="微软雅黑" w:hAnsi="微软雅黑" w:cs="宋体"/>
                <w:kern w:val="0"/>
                <w:sz w:val="24"/>
                <w:szCs w:val="24"/>
              </w:rPr>
              <w:t xml:space="preserve"> </w:t>
            </w:r>
            <w:proofErr w:type="spellStart"/>
            <w:r w:rsidRPr="0062545B">
              <w:rPr>
                <w:rFonts w:ascii="微软雅黑" w:eastAsia="微软雅黑" w:hAnsi="微软雅黑" w:cs="宋体"/>
                <w:kern w:val="0"/>
                <w:sz w:val="24"/>
                <w:szCs w:val="24"/>
              </w:rPr>
              <w:t>Careggi</w:t>
            </w:r>
            <w:proofErr w:type="spellEnd"/>
            <w:r w:rsidRPr="0062545B">
              <w:rPr>
                <w:rFonts w:ascii="微软雅黑" w:eastAsia="微软雅黑" w:hAnsi="微软雅黑" w:cs="宋体"/>
                <w:kern w:val="0"/>
                <w:sz w:val="24"/>
                <w:szCs w:val="24"/>
              </w:rPr>
              <w:t>，佛罗伦萨</w:t>
            </w:r>
          </w:p>
        </w:tc>
        <w:tc>
          <w:tcPr>
            <w:tcW w:w="492" w:type="pct"/>
            <w:tcMar>
              <w:top w:w="56" w:type="dxa"/>
              <w:left w:w="56" w:type="dxa"/>
              <w:bottom w:w="56" w:type="dxa"/>
              <w:right w:w="56" w:type="dxa"/>
            </w:tcMar>
            <w:hideMark/>
          </w:tcPr>
          <w:p w14:paraId="4A12D12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意大利</w:t>
            </w:r>
          </w:p>
        </w:tc>
      </w:tr>
      <w:tr w:rsidR="0062545B" w:rsidRPr="0062545B" w14:paraId="7A234E61" w14:textId="77777777" w:rsidTr="0062545B">
        <w:trPr>
          <w:tblCellSpacing w:w="15" w:type="dxa"/>
        </w:trPr>
        <w:tc>
          <w:tcPr>
            <w:tcW w:w="4467" w:type="pct"/>
            <w:tcMar>
              <w:top w:w="56" w:type="dxa"/>
              <w:left w:w="56" w:type="dxa"/>
              <w:bottom w:w="56" w:type="dxa"/>
              <w:right w:w="56" w:type="dxa"/>
            </w:tcMar>
            <w:hideMark/>
          </w:tcPr>
          <w:p w14:paraId="358A480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巴塞罗那医院临床医院肿瘤内科</w:t>
            </w:r>
          </w:p>
        </w:tc>
        <w:tc>
          <w:tcPr>
            <w:tcW w:w="492" w:type="pct"/>
            <w:tcMar>
              <w:top w:w="56" w:type="dxa"/>
              <w:left w:w="56" w:type="dxa"/>
              <w:bottom w:w="56" w:type="dxa"/>
              <w:right w:w="56" w:type="dxa"/>
            </w:tcMar>
            <w:hideMark/>
          </w:tcPr>
          <w:p w14:paraId="14FAF20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西班牙</w:t>
            </w:r>
          </w:p>
        </w:tc>
      </w:tr>
      <w:tr w:rsidR="0062545B" w:rsidRPr="0062545B" w14:paraId="32422D96" w14:textId="77777777" w:rsidTr="0062545B">
        <w:trPr>
          <w:tblCellSpacing w:w="15" w:type="dxa"/>
        </w:trPr>
        <w:tc>
          <w:tcPr>
            <w:tcW w:w="4467" w:type="pct"/>
            <w:tcMar>
              <w:top w:w="56" w:type="dxa"/>
              <w:left w:w="56" w:type="dxa"/>
              <w:bottom w:w="56" w:type="dxa"/>
              <w:right w:w="56" w:type="dxa"/>
            </w:tcMar>
            <w:hideMark/>
          </w:tcPr>
          <w:p w14:paraId="3782D1A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雅典国立卡波季斯特里亚大学医学院内科系肿瘤内科，</w:t>
            </w:r>
            <w:proofErr w:type="gramStart"/>
            <w:r w:rsidRPr="0062545B">
              <w:rPr>
                <w:rFonts w:ascii="微软雅黑" w:eastAsia="微软雅黑" w:hAnsi="微软雅黑" w:cs="宋体"/>
                <w:kern w:val="0"/>
                <w:sz w:val="24"/>
                <w:szCs w:val="24"/>
              </w:rPr>
              <w:t>阿提孔大学</w:t>
            </w:r>
            <w:proofErr w:type="gramEnd"/>
            <w:r w:rsidRPr="0062545B">
              <w:rPr>
                <w:rFonts w:ascii="微软雅黑" w:eastAsia="微软雅黑" w:hAnsi="微软雅黑" w:cs="宋体"/>
                <w:kern w:val="0"/>
                <w:sz w:val="24"/>
                <w:szCs w:val="24"/>
              </w:rPr>
              <w:t>医院</w:t>
            </w:r>
          </w:p>
        </w:tc>
        <w:tc>
          <w:tcPr>
            <w:tcW w:w="492" w:type="pct"/>
            <w:tcMar>
              <w:top w:w="56" w:type="dxa"/>
              <w:left w:w="56" w:type="dxa"/>
              <w:bottom w:w="56" w:type="dxa"/>
              <w:right w:w="56" w:type="dxa"/>
            </w:tcMar>
            <w:hideMark/>
          </w:tcPr>
          <w:p w14:paraId="30B1DB9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希腊</w:t>
            </w:r>
          </w:p>
        </w:tc>
      </w:tr>
      <w:tr w:rsidR="0062545B" w:rsidRPr="0062545B" w14:paraId="6A8A8D33" w14:textId="77777777" w:rsidTr="0062545B">
        <w:trPr>
          <w:tblCellSpacing w:w="15" w:type="dxa"/>
        </w:trPr>
        <w:tc>
          <w:tcPr>
            <w:tcW w:w="4467" w:type="pct"/>
            <w:tcMar>
              <w:top w:w="56" w:type="dxa"/>
              <w:left w:w="56" w:type="dxa"/>
              <w:bottom w:w="56" w:type="dxa"/>
              <w:right w:w="56" w:type="dxa"/>
            </w:tcMar>
            <w:hideMark/>
          </w:tcPr>
          <w:p w14:paraId="2FDBA56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雅典大都会医院第四肿瘤科及综合临床试验中心</w:t>
            </w:r>
          </w:p>
        </w:tc>
        <w:tc>
          <w:tcPr>
            <w:tcW w:w="492" w:type="pct"/>
            <w:tcMar>
              <w:top w:w="56" w:type="dxa"/>
              <w:left w:w="56" w:type="dxa"/>
              <w:bottom w:w="56" w:type="dxa"/>
              <w:right w:w="56" w:type="dxa"/>
            </w:tcMar>
            <w:hideMark/>
          </w:tcPr>
          <w:p w14:paraId="1864B54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希腊</w:t>
            </w:r>
          </w:p>
        </w:tc>
      </w:tr>
      <w:tr w:rsidR="0062545B" w:rsidRPr="0062545B" w14:paraId="6974249C" w14:textId="77777777" w:rsidTr="0062545B">
        <w:trPr>
          <w:tblCellSpacing w:w="15" w:type="dxa"/>
        </w:trPr>
        <w:tc>
          <w:tcPr>
            <w:tcW w:w="4467" w:type="pct"/>
            <w:tcMar>
              <w:top w:w="56" w:type="dxa"/>
              <w:left w:w="56" w:type="dxa"/>
              <w:bottom w:w="56" w:type="dxa"/>
              <w:right w:w="56" w:type="dxa"/>
            </w:tcMar>
            <w:hideMark/>
          </w:tcPr>
          <w:p w14:paraId="6057D0C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塞萨洛尼基圣卢克诊所肿瘤内科</w:t>
            </w:r>
          </w:p>
        </w:tc>
        <w:tc>
          <w:tcPr>
            <w:tcW w:w="492" w:type="pct"/>
            <w:tcMar>
              <w:top w:w="56" w:type="dxa"/>
              <w:left w:w="56" w:type="dxa"/>
              <w:bottom w:w="56" w:type="dxa"/>
              <w:right w:w="56" w:type="dxa"/>
            </w:tcMar>
            <w:hideMark/>
          </w:tcPr>
          <w:p w14:paraId="23F0D6F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希腊</w:t>
            </w:r>
          </w:p>
        </w:tc>
      </w:tr>
      <w:tr w:rsidR="0062545B" w:rsidRPr="0062545B" w14:paraId="5888584F" w14:textId="77777777" w:rsidTr="0062545B">
        <w:trPr>
          <w:tblCellSpacing w:w="15" w:type="dxa"/>
        </w:trPr>
        <w:tc>
          <w:tcPr>
            <w:tcW w:w="4467" w:type="pct"/>
            <w:tcMar>
              <w:top w:w="56" w:type="dxa"/>
              <w:left w:w="56" w:type="dxa"/>
              <w:bottom w:w="56" w:type="dxa"/>
              <w:right w:w="56" w:type="dxa"/>
            </w:tcMar>
            <w:hideMark/>
          </w:tcPr>
          <w:p w14:paraId="27AD752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帕特拉斯大学医学院附属医院内科肿瘤科</w:t>
            </w:r>
          </w:p>
        </w:tc>
        <w:tc>
          <w:tcPr>
            <w:tcW w:w="492" w:type="pct"/>
            <w:tcMar>
              <w:top w:w="56" w:type="dxa"/>
              <w:left w:w="56" w:type="dxa"/>
              <w:bottom w:w="56" w:type="dxa"/>
              <w:right w:w="56" w:type="dxa"/>
            </w:tcMar>
            <w:hideMark/>
          </w:tcPr>
          <w:p w14:paraId="4475068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希腊</w:t>
            </w:r>
          </w:p>
        </w:tc>
      </w:tr>
      <w:tr w:rsidR="0062545B" w:rsidRPr="0062545B" w14:paraId="6C9EB401" w14:textId="77777777" w:rsidTr="0062545B">
        <w:trPr>
          <w:tblCellSpacing w:w="15" w:type="dxa"/>
        </w:trPr>
        <w:tc>
          <w:tcPr>
            <w:tcW w:w="4467" w:type="pct"/>
            <w:tcMar>
              <w:top w:w="56" w:type="dxa"/>
              <w:left w:w="56" w:type="dxa"/>
              <w:bottom w:w="56" w:type="dxa"/>
              <w:right w:w="56" w:type="dxa"/>
            </w:tcMar>
            <w:hideMark/>
          </w:tcPr>
          <w:p w14:paraId="01B0C4C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圣安德鲁医院肿瘤内科，帕特拉斯</w:t>
            </w:r>
          </w:p>
        </w:tc>
        <w:tc>
          <w:tcPr>
            <w:tcW w:w="492" w:type="pct"/>
            <w:tcMar>
              <w:top w:w="56" w:type="dxa"/>
              <w:left w:w="56" w:type="dxa"/>
              <w:bottom w:w="56" w:type="dxa"/>
              <w:right w:w="56" w:type="dxa"/>
            </w:tcMar>
            <w:hideMark/>
          </w:tcPr>
          <w:p w14:paraId="757A370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希腊</w:t>
            </w:r>
          </w:p>
        </w:tc>
      </w:tr>
      <w:tr w:rsidR="0062545B" w:rsidRPr="0062545B" w14:paraId="0CCC22B0" w14:textId="77777777" w:rsidTr="0062545B">
        <w:trPr>
          <w:tblCellSpacing w:w="15" w:type="dxa"/>
        </w:trPr>
        <w:tc>
          <w:tcPr>
            <w:tcW w:w="4467" w:type="pct"/>
            <w:tcMar>
              <w:top w:w="56" w:type="dxa"/>
              <w:left w:w="56" w:type="dxa"/>
              <w:bottom w:w="56" w:type="dxa"/>
              <w:right w:w="56" w:type="dxa"/>
            </w:tcMar>
            <w:hideMark/>
          </w:tcPr>
          <w:p w14:paraId="1F6C89D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雅典海吉亚医院第二肿瘤内科</w:t>
            </w:r>
          </w:p>
        </w:tc>
        <w:tc>
          <w:tcPr>
            <w:tcW w:w="492" w:type="pct"/>
            <w:tcMar>
              <w:top w:w="56" w:type="dxa"/>
              <w:left w:w="56" w:type="dxa"/>
              <w:bottom w:w="56" w:type="dxa"/>
              <w:right w:w="56" w:type="dxa"/>
            </w:tcMar>
            <w:hideMark/>
          </w:tcPr>
          <w:p w14:paraId="21EFEFB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希腊</w:t>
            </w:r>
          </w:p>
        </w:tc>
      </w:tr>
    </w:tbl>
    <w:p w14:paraId="6755AC96"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2.2 资格标准</w:t>
      </w:r>
    </w:p>
    <w:p w14:paraId="5CCAF38C"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IMPORTANT试验的合格患者为年龄≥70岁的老年女性或男性患者，患有晚期HR阳性/HER2阴性乳腺癌，不适合根治性治疗，且</w:t>
      </w:r>
      <w:proofErr w:type="gramStart"/>
      <w:r w:rsidRPr="0062545B">
        <w:rPr>
          <w:rFonts w:ascii="微软雅黑" w:eastAsia="微软雅黑" w:hAnsi="微软雅黑" w:cs="宋体"/>
          <w:kern w:val="0"/>
          <w:sz w:val="24"/>
          <w:szCs w:val="24"/>
        </w:rPr>
        <w:t>既往未</w:t>
      </w:r>
      <w:proofErr w:type="gramEnd"/>
      <w:r w:rsidRPr="0062545B">
        <w:rPr>
          <w:rFonts w:ascii="微软雅黑" w:eastAsia="微软雅黑" w:hAnsi="微软雅黑" w:cs="宋体"/>
          <w:kern w:val="0"/>
          <w:sz w:val="24"/>
          <w:szCs w:val="24"/>
        </w:rPr>
        <w:t>接受过晚期疾病治疗。年龄上限设定为70岁，参考了国际指南中关于老年患者的年龄界定标准，这些指南建议在特定情况下应用相关建议[ </w:t>
      </w:r>
      <w:hyperlink r:id="rId22" w:anchor="CIT00014" w:history="1">
        <w:r w:rsidRPr="0062545B">
          <w:rPr>
            <w:rFonts w:ascii="微软雅黑" w:eastAsia="微软雅黑" w:hAnsi="微软雅黑" w:cs="宋体"/>
            <w:kern w:val="0"/>
            <w:sz w:val="24"/>
            <w:szCs w:val="24"/>
            <w:u w:val="single"/>
          </w:rPr>
          <w:t>14</w:t>
        </w:r>
      </w:hyperlink>
      <w:r w:rsidRPr="0062545B">
        <w:rPr>
          <w:rFonts w:ascii="微软雅黑" w:eastAsia="微软雅黑" w:hAnsi="微软雅黑" w:cs="宋体"/>
          <w:kern w:val="0"/>
          <w:sz w:val="24"/>
          <w:szCs w:val="24"/>
        </w:rPr>
        <w:t> ]。</w:t>
      </w:r>
      <w:r w:rsidRPr="0062545B">
        <w:rPr>
          <w:rFonts w:ascii="微软雅黑" w:eastAsia="微软雅黑" w:hAnsi="微软雅黑" w:cs="宋体"/>
          <w:kern w:val="0"/>
          <w:sz w:val="24"/>
          <w:szCs w:val="24"/>
        </w:rPr>
        <w:fldChar w:fldCharType="begin"/>
      </w:r>
      <w:r w:rsidRPr="0062545B">
        <w:rPr>
          <w:rFonts w:ascii="微软雅黑" w:eastAsia="微软雅黑" w:hAnsi="微软雅黑" w:cs="宋体"/>
          <w:kern w:val="0"/>
          <w:sz w:val="24"/>
          <w:szCs w:val="24"/>
        </w:rPr>
        <w:instrText xml:space="preserve"> HYPERLINK "https://pmc.ncbi.nlm.nih.gov/articles/PMC11572072/" \l "T0002" </w:instrText>
      </w:r>
      <w:r w:rsidRPr="0062545B">
        <w:rPr>
          <w:rFonts w:ascii="微软雅黑" w:eastAsia="微软雅黑" w:hAnsi="微软雅黑" w:cs="宋体"/>
          <w:kern w:val="0"/>
          <w:sz w:val="24"/>
          <w:szCs w:val="24"/>
        </w:rPr>
        <w:fldChar w:fldCharType="separate"/>
      </w:r>
      <w:r w:rsidRPr="0062545B">
        <w:rPr>
          <w:rFonts w:ascii="微软雅黑" w:eastAsia="微软雅黑" w:hAnsi="微软雅黑" w:cs="宋体"/>
          <w:kern w:val="0"/>
          <w:sz w:val="24"/>
          <w:szCs w:val="24"/>
          <w:u w:val="single"/>
        </w:rPr>
        <w:t>表2</w:t>
      </w:r>
      <w:r w:rsidRPr="0062545B">
        <w:rPr>
          <w:rFonts w:ascii="微软雅黑" w:eastAsia="微软雅黑" w:hAnsi="微软雅黑" w:cs="宋体"/>
          <w:kern w:val="0"/>
          <w:sz w:val="24"/>
          <w:szCs w:val="24"/>
        </w:rPr>
        <w:fldChar w:fldCharType="end"/>
      </w:r>
      <w:r w:rsidRPr="0062545B">
        <w:rPr>
          <w:rFonts w:ascii="微软雅黑" w:eastAsia="微软雅黑" w:hAnsi="微软雅黑" w:cs="宋体"/>
          <w:kern w:val="0"/>
          <w:sz w:val="24"/>
          <w:szCs w:val="24"/>
        </w:rPr>
        <w:t>列出了详细的纳入和排除标准。</w:t>
      </w:r>
    </w:p>
    <w:p w14:paraId="70EE21C4"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t>表2。</w:t>
      </w:r>
    </w:p>
    <w:p w14:paraId="7A92493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IMPORTANT试验的纳入和排除标准。</w:t>
      </w:r>
    </w:p>
    <w:tbl>
      <w:tblPr>
        <w:tblW w:w="5000" w:type="pct"/>
        <w:tblCellSpacing w:w="15" w:type="dxa"/>
        <w:tblBorders>
          <w:top w:val="single" w:sz="6" w:space="0" w:color="333333"/>
          <w:bottom w:val="single" w:sz="6" w:space="0" w:color="333333"/>
        </w:tblBorders>
        <w:tblCellMar>
          <w:top w:w="15" w:type="dxa"/>
          <w:left w:w="15" w:type="dxa"/>
          <w:bottom w:w="15" w:type="dxa"/>
          <w:right w:w="15" w:type="dxa"/>
        </w:tblCellMar>
        <w:tblLook w:val="04A0" w:firstRow="1" w:lastRow="0" w:firstColumn="1" w:lastColumn="0" w:noHBand="0" w:noVBand="1"/>
      </w:tblPr>
      <w:tblGrid>
        <w:gridCol w:w="4881"/>
        <w:gridCol w:w="3425"/>
      </w:tblGrid>
      <w:tr w:rsidR="0062545B" w:rsidRPr="0062545B" w14:paraId="3EEB5F7C" w14:textId="77777777" w:rsidTr="0062545B">
        <w:trPr>
          <w:tblHeader/>
          <w:tblCellSpacing w:w="15" w:type="dxa"/>
        </w:trPr>
        <w:tc>
          <w:tcPr>
            <w:tcW w:w="2919" w:type="pct"/>
            <w:tcMar>
              <w:top w:w="56" w:type="dxa"/>
              <w:left w:w="56" w:type="dxa"/>
              <w:bottom w:w="56" w:type="dxa"/>
              <w:right w:w="56" w:type="dxa"/>
            </w:tcMar>
            <w:hideMark/>
          </w:tcPr>
          <w:p w14:paraId="590FF4A2"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lastRenderedPageBreak/>
              <w:t>纳入标准</w:t>
            </w:r>
          </w:p>
        </w:tc>
        <w:tc>
          <w:tcPr>
            <w:tcW w:w="2040" w:type="pct"/>
            <w:tcMar>
              <w:top w:w="56" w:type="dxa"/>
              <w:left w:w="56" w:type="dxa"/>
              <w:bottom w:w="56" w:type="dxa"/>
              <w:right w:w="56" w:type="dxa"/>
            </w:tcMar>
            <w:hideMark/>
          </w:tcPr>
          <w:p w14:paraId="5428DE77"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t>排除标准</w:t>
            </w:r>
          </w:p>
        </w:tc>
      </w:tr>
      <w:tr w:rsidR="0062545B" w:rsidRPr="0062545B" w14:paraId="2B818123" w14:textId="77777777" w:rsidTr="0062545B">
        <w:trPr>
          <w:tblCellSpacing w:w="15" w:type="dxa"/>
        </w:trPr>
        <w:tc>
          <w:tcPr>
            <w:tcW w:w="2919" w:type="pct"/>
            <w:tcMar>
              <w:top w:w="56" w:type="dxa"/>
              <w:left w:w="56" w:type="dxa"/>
              <w:bottom w:w="56" w:type="dxa"/>
              <w:right w:w="56" w:type="dxa"/>
            </w:tcMar>
            <w:hideMark/>
          </w:tcPr>
          <w:p w14:paraId="66BAF33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患者年龄需在签署知情同意书时达到70岁及以上，不限性别。男性患者在治疗期间及治疗结束后至少14周内应采取有效的避孕措施（例如，双重屏障避孕法）。</w:t>
            </w:r>
            <w:r w:rsidRPr="0062545B">
              <w:rPr>
                <w:rFonts w:ascii="微软雅黑" w:eastAsia="微软雅黑" w:hAnsi="微软雅黑" w:cs="宋体"/>
                <w:kern w:val="0"/>
                <w:sz w:val="24"/>
                <w:szCs w:val="24"/>
              </w:rPr>
              <w:br/>
              <w:t>• 经当地实验室对最新肿瘤标本进行组织学或细胞学分析，确诊为激素受体阳性（定义为雌激素受体≥1%）、HER2阴性乳腺癌。</w:t>
            </w:r>
            <w:r w:rsidRPr="0062545B">
              <w:rPr>
                <w:rFonts w:ascii="微软雅黑" w:eastAsia="微软雅黑" w:hAnsi="微软雅黑" w:cs="宋体"/>
                <w:kern w:val="0"/>
                <w:sz w:val="24"/>
                <w:szCs w:val="24"/>
              </w:rPr>
              <w:br/>
              <w:t>• 晚期（局部区域复发或转移）乳腺癌，且不适合根治性治疗。</w:t>
            </w:r>
            <w:r w:rsidRPr="0062545B">
              <w:rPr>
                <w:rFonts w:ascii="微软雅黑" w:eastAsia="微软雅黑" w:hAnsi="微软雅黑" w:cs="宋体"/>
                <w:kern w:val="0"/>
                <w:sz w:val="24"/>
                <w:szCs w:val="24"/>
              </w:rPr>
              <w:br/>
              <w:t xml:space="preserve">• </w:t>
            </w:r>
            <w:proofErr w:type="gramStart"/>
            <w:r w:rsidRPr="0062545B">
              <w:rPr>
                <w:rFonts w:ascii="微软雅黑" w:eastAsia="微软雅黑" w:hAnsi="微软雅黑" w:cs="宋体"/>
                <w:kern w:val="0"/>
                <w:sz w:val="24"/>
                <w:szCs w:val="24"/>
              </w:rPr>
              <w:t>既往未</w:t>
            </w:r>
            <w:proofErr w:type="gramEnd"/>
            <w:r w:rsidRPr="0062545B">
              <w:rPr>
                <w:rFonts w:ascii="微软雅黑" w:eastAsia="微软雅黑" w:hAnsi="微软雅黑" w:cs="宋体"/>
                <w:kern w:val="0"/>
                <w:sz w:val="24"/>
                <w:szCs w:val="24"/>
              </w:rPr>
              <w:t>接受过晚期疾病的全身治疗（允许在新辅助/辅助内分泌治疗期间复发）。允许在开始使用CDK4/6抑制剂前28天内接受过芳香化酶抑制剂或</w:t>
            </w:r>
            <w:proofErr w:type="gramStart"/>
            <w:r w:rsidRPr="0062545B">
              <w:rPr>
                <w:rFonts w:ascii="微软雅黑" w:eastAsia="微软雅黑" w:hAnsi="微软雅黑" w:cs="宋体"/>
                <w:kern w:val="0"/>
                <w:sz w:val="24"/>
                <w:szCs w:val="24"/>
              </w:rPr>
              <w:t>氟维司群</w:t>
            </w:r>
            <w:proofErr w:type="gramEnd"/>
            <w:r w:rsidRPr="0062545B">
              <w:rPr>
                <w:rFonts w:ascii="微软雅黑" w:eastAsia="微软雅黑" w:hAnsi="微软雅黑" w:cs="宋体"/>
                <w:kern w:val="0"/>
                <w:sz w:val="24"/>
                <w:szCs w:val="24"/>
              </w:rPr>
              <w:t>治疗。</w:t>
            </w:r>
            <w:r w:rsidRPr="0062545B">
              <w:rPr>
                <w:rFonts w:ascii="微软雅黑" w:eastAsia="微软雅黑" w:hAnsi="微软雅黑" w:cs="宋体"/>
                <w:kern w:val="0"/>
                <w:sz w:val="24"/>
                <w:szCs w:val="24"/>
              </w:rPr>
              <w:br/>
              <w:t>• 允许使用CDK4/6抑制剂进行辅助治疗，但前提是治疗结束后无病生存期超过12个月。</w:t>
            </w:r>
            <w:r w:rsidRPr="0062545B">
              <w:rPr>
                <w:rFonts w:ascii="微软雅黑" w:eastAsia="微软雅黑" w:hAnsi="微软雅黑" w:cs="宋体"/>
                <w:kern w:val="0"/>
                <w:sz w:val="24"/>
                <w:szCs w:val="24"/>
              </w:rPr>
              <w:br/>
              <w:t>• 可测量疾病</w:t>
            </w:r>
            <w:proofErr w:type="gramStart"/>
            <w:r w:rsidRPr="0062545B">
              <w:rPr>
                <w:rFonts w:ascii="微软雅黑" w:eastAsia="微软雅黑" w:hAnsi="微软雅黑" w:cs="宋体"/>
                <w:kern w:val="0"/>
                <w:sz w:val="24"/>
                <w:szCs w:val="24"/>
              </w:rPr>
              <w:t>或仅骨转移</w:t>
            </w:r>
            <w:proofErr w:type="gramEnd"/>
            <w:r w:rsidRPr="0062545B">
              <w:rPr>
                <w:rFonts w:ascii="微软雅黑" w:eastAsia="微软雅黑" w:hAnsi="微软雅黑" w:cs="宋体"/>
                <w:kern w:val="0"/>
                <w:sz w:val="24"/>
                <w:szCs w:val="24"/>
              </w:rPr>
              <w:t>但</w:t>
            </w:r>
            <w:proofErr w:type="gramStart"/>
            <w:r w:rsidRPr="0062545B">
              <w:rPr>
                <w:rFonts w:ascii="微软雅黑" w:eastAsia="微软雅黑" w:hAnsi="微软雅黑" w:cs="宋体"/>
                <w:kern w:val="0"/>
                <w:sz w:val="24"/>
                <w:szCs w:val="24"/>
              </w:rPr>
              <w:t>不</w:t>
            </w:r>
            <w:proofErr w:type="gramEnd"/>
            <w:r w:rsidRPr="0062545B">
              <w:rPr>
                <w:rFonts w:ascii="微软雅黑" w:eastAsia="微软雅黑" w:hAnsi="微软雅黑" w:cs="宋体"/>
                <w:kern w:val="0"/>
                <w:sz w:val="24"/>
                <w:szCs w:val="24"/>
              </w:rPr>
              <w:t>可测量的疾病，但可根据RECIST 1.1标准进行评估。</w:t>
            </w:r>
            <w:r w:rsidRPr="0062545B">
              <w:rPr>
                <w:rFonts w:ascii="微软雅黑" w:eastAsia="微软雅黑" w:hAnsi="微软雅黑" w:cs="宋体"/>
                <w:kern w:val="0"/>
                <w:sz w:val="24"/>
                <w:szCs w:val="24"/>
              </w:rPr>
              <w:br/>
              <w:t>• 在进行任何研究相关操作前，需签署书面知情同意书。</w:t>
            </w:r>
            <w:r w:rsidRPr="0062545B">
              <w:rPr>
                <w:rFonts w:ascii="微软雅黑" w:eastAsia="微软雅黑" w:hAnsi="微软雅黑" w:cs="宋体"/>
                <w:kern w:val="0"/>
                <w:sz w:val="24"/>
                <w:szCs w:val="24"/>
              </w:rPr>
              <w:br/>
              <w:t>• 器官功能需符合拟使用的CDK4/6抑制剂</w:t>
            </w:r>
            <w:r w:rsidRPr="0062545B">
              <w:rPr>
                <w:rFonts w:ascii="微软雅黑" w:eastAsia="微软雅黑" w:hAnsi="微软雅黑" w:cs="宋体"/>
                <w:kern w:val="0"/>
                <w:sz w:val="24"/>
                <w:szCs w:val="24"/>
              </w:rPr>
              <w:lastRenderedPageBreak/>
              <w:t>产品特性概要（SmPC）中的定义，包括在接受</w:t>
            </w:r>
            <w:proofErr w:type="spellStart"/>
            <w:r w:rsidRPr="0062545B">
              <w:rPr>
                <w:rFonts w:ascii="微软雅黑" w:eastAsia="微软雅黑" w:hAnsi="微软雅黑" w:cs="宋体"/>
                <w:kern w:val="0"/>
                <w:sz w:val="24"/>
                <w:szCs w:val="24"/>
              </w:rPr>
              <w:t>ribociclib</w:t>
            </w:r>
            <w:proofErr w:type="spellEnd"/>
            <w:r w:rsidRPr="0062545B">
              <w:rPr>
                <w:rFonts w:ascii="微软雅黑" w:eastAsia="微软雅黑" w:hAnsi="微软雅黑" w:cs="宋体"/>
                <w:kern w:val="0"/>
                <w:sz w:val="24"/>
                <w:szCs w:val="24"/>
              </w:rPr>
              <w:t>治疗前进行心电图检查以评估QT间期。具体而言，以下阈值应用于定义器官功能充足：绝对中性粒细胞计数≥1000/mm³，血小板计数≥100,000/mm³；ALT和/或AST≤3×正常值上限（ULN），总胆红素≤2×ULN；eGFR≥30 ml/min。</w:t>
            </w:r>
            <w:r w:rsidRPr="0062545B">
              <w:rPr>
                <w:rFonts w:ascii="微软雅黑" w:eastAsia="微软雅黑" w:hAnsi="微软雅黑" w:cs="宋体"/>
                <w:kern w:val="0"/>
                <w:sz w:val="24"/>
                <w:szCs w:val="24"/>
              </w:rPr>
              <w:br/>
              <w:t>• 能够吞咽胶囊。</w:t>
            </w:r>
            <w:r w:rsidRPr="0062545B">
              <w:rPr>
                <w:rFonts w:ascii="微软雅黑" w:eastAsia="微软雅黑" w:hAnsi="微软雅黑" w:cs="宋体"/>
                <w:kern w:val="0"/>
                <w:sz w:val="24"/>
                <w:szCs w:val="24"/>
              </w:rPr>
              <w:br/>
              <w:t>• 能够理解并以英语或各参与国的母语签署知情同意书。</w:t>
            </w:r>
          </w:p>
        </w:tc>
        <w:tc>
          <w:tcPr>
            <w:tcW w:w="2040" w:type="pct"/>
            <w:tcMar>
              <w:top w:w="56" w:type="dxa"/>
              <w:left w:w="56" w:type="dxa"/>
              <w:bottom w:w="56" w:type="dxa"/>
              <w:right w:w="56" w:type="dxa"/>
            </w:tcMar>
            <w:hideMark/>
          </w:tcPr>
          <w:p w14:paraId="2D1220C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 经主治医师评估不适合使用 CDK4/6 抑制剂治疗的患者。</w:t>
            </w:r>
            <w:r w:rsidRPr="0062545B">
              <w:rPr>
                <w:rFonts w:ascii="微软雅黑" w:eastAsia="微软雅黑" w:hAnsi="微软雅黑" w:cs="宋体"/>
                <w:kern w:val="0"/>
                <w:sz w:val="24"/>
                <w:szCs w:val="24"/>
              </w:rPr>
              <w:br/>
              <w:t>• 经主治医师评估存在认知障碍，无法完成自我报告的综合老年评估的患者。</w:t>
            </w:r>
            <w:r w:rsidRPr="0062545B">
              <w:rPr>
                <w:rFonts w:ascii="微软雅黑" w:eastAsia="微软雅黑" w:hAnsi="微软雅黑" w:cs="宋体"/>
                <w:kern w:val="0"/>
                <w:sz w:val="24"/>
                <w:szCs w:val="24"/>
              </w:rPr>
              <w:br/>
              <w:t>• 根据计划使用的 CDK4/6 抑制剂的药品说明书（SmPC）中列出的禁忌症。具体而言，对活性物质或任何辅料过敏，或对花生、大豆（针对瑞博西尼）过敏，或使用含有圣约翰草的制剂（针对帕博西尼）均属禁忌症。</w:t>
            </w:r>
            <w:r w:rsidRPr="0062545B">
              <w:rPr>
                <w:rFonts w:ascii="微软雅黑" w:eastAsia="微软雅黑" w:hAnsi="微软雅黑" w:cs="宋体"/>
                <w:kern w:val="0"/>
                <w:sz w:val="24"/>
                <w:szCs w:val="24"/>
              </w:rPr>
              <w:br/>
              <w:t>• 存在内脏危象、癌性淋巴管炎或软脑膜癌。</w:t>
            </w:r>
            <w:r w:rsidRPr="0062545B">
              <w:rPr>
                <w:rFonts w:ascii="微软雅黑" w:eastAsia="微软雅黑" w:hAnsi="微软雅黑" w:cs="宋体"/>
                <w:kern w:val="0"/>
                <w:sz w:val="24"/>
                <w:szCs w:val="24"/>
              </w:rPr>
              <w:br/>
              <w:t>• 有其他癌症病史（非黑色素瘤皮肤癌或宫颈原位癌除外</w:t>
            </w:r>
            <w:r w:rsidRPr="0062545B">
              <w:rPr>
                <w:rFonts w:ascii="微软雅黑" w:eastAsia="微软雅黑" w:hAnsi="微软雅黑" w:cs="宋体"/>
                <w:i/>
                <w:iCs/>
                <w:kern w:val="0"/>
                <w:sz w:val="24"/>
                <w:szCs w:val="24"/>
              </w:rPr>
              <w:t>）</w:t>
            </w:r>
            <w:r w:rsidRPr="0062545B">
              <w:rPr>
                <w:rFonts w:ascii="微软雅黑" w:eastAsia="微软雅黑" w:hAnsi="微软雅黑" w:cs="宋体"/>
                <w:kern w:val="0"/>
                <w:sz w:val="24"/>
                <w:szCs w:val="24"/>
              </w:rPr>
              <w:t>，</w:t>
            </w:r>
            <w:proofErr w:type="gramStart"/>
            <w:r w:rsidRPr="0062545B">
              <w:rPr>
                <w:rFonts w:ascii="微软雅黑" w:eastAsia="微软雅黑" w:hAnsi="微软雅黑" w:cs="宋体"/>
                <w:kern w:val="0"/>
                <w:sz w:val="24"/>
                <w:szCs w:val="24"/>
              </w:rPr>
              <w:t>除非已</w:t>
            </w:r>
            <w:proofErr w:type="gramEnd"/>
            <w:r w:rsidRPr="0062545B">
              <w:rPr>
                <w:rFonts w:ascii="微软雅黑" w:eastAsia="微软雅黑" w:hAnsi="微软雅黑" w:cs="宋体"/>
                <w:kern w:val="0"/>
                <w:sz w:val="24"/>
                <w:szCs w:val="24"/>
              </w:rPr>
              <w:t>完全缓解且未接受任何治疗至少 3 年。</w:t>
            </w:r>
            <w:r w:rsidRPr="0062545B">
              <w:rPr>
                <w:rFonts w:ascii="微软雅黑" w:eastAsia="微软雅黑" w:hAnsi="微软雅黑" w:cs="宋体"/>
                <w:kern w:val="0"/>
                <w:sz w:val="24"/>
                <w:szCs w:val="24"/>
              </w:rPr>
              <w:br/>
              <w:t>• 正在参与其他干预性试验。</w:t>
            </w:r>
          </w:p>
        </w:tc>
      </w:tr>
    </w:tbl>
    <w:p w14:paraId="237542AB"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2.3 干预措施</w:t>
      </w:r>
    </w:p>
    <w:p w14:paraId="648B4C79"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所有符合条件的患者在随机分组前都将接受综合老年评估（CGA）。CGA 的结果将是决策过程的重要组成部分。CGA 将基于癌症与衰老研究组（Cancer and Aging Research Group）的老年评估工具[ </w:t>
      </w:r>
      <w:hyperlink r:id="rId23" w:anchor="CIT00015" w:history="1">
        <w:r w:rsidRPr="0062545B">
          <w:rPr>
            <w:rFonts w:ascii="微软雅黑" w:eastAsia="微软雅黑" w:hAnsi="微软雅黑" w:cs="宋体"/>
            <w:kern w:val="0"/>
            <w:sz w:val="24"/>
            <w:szCs w:val="24"/>
            <w:u w:val="single"/>
          </w:rPr>
          <w:t>15</w:t>
        </w:r>
      </w:hyperlink>
      <w:r w:rsidRPr="0062545B">
        <w:rPr>
          <w:rFonts w:ascii="微软雅黑" w:eastAsia="微软雅黑" w:hAnsi="微软雅黑" w:cs="宋体"/>
          <w:kern w:val="0"/>
          <w:sz w:val="24"/>
          <w:szCs w:val="24"/>
        </w:rPr>
        <w:t> ]，该工具包含患者自填问卷。研究人员将评估患者的回答，并将其分为健康、脆弱或虚弱三类。与临床医生主导的问卷相比，患者自填问卷的优势在于节省时间、更加灵活，且不会影响所获信息的有效性。</w:t>
      </w:r>
    </w:p>
    <w:p w14:paraId="4F019A31"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CGA将评估七个主要领域：功能状态、合并症、跌倒次数、心理功能、社会功能、社会支持和营养状况。根据所有七个领域的评估结果，患者将被分为健康、脆弱或虚弱三类（健康：0个领域受损；1-3个领域受损；&gt;3个领域受损）。</w:t>
      </w:r>
    </w:p>
    <w:p w14:paraId="0B853AA5"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对于体弱多病的患者，将根据各临床中心的临床实践，提供与其受损领域相对应的适当干预措施。补充表S1总结了各领域受损状态的定义以及在综合老年评估（CGA）后可为患者提供的建议干预措施。尽管CGA指导下的干预措施是强制性的，但并非研究方案所规定，而是可以根据当地实践，以便在临床实践中更务实地应用CGA结果。所有应用的CGA指导下的干预措施都将被记录。</w:t>
      </w:r>
    </w:p>
    <w:p w14:paraId="1127948D"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应用 CGA 流程后，CDK4/6 抑制剂剂量优化方面的治疗策略如下：</w:t>
      </w:r>
    </w:p>
    <w:p w14:paraId="367A9913" w14:textId="77777777" w:rsidR="0062545B" w:rsidRPr="0062545B" w:rsidRDefault="0062545B" w:rsidP="0062545B">
      <w:pPr>
        <w:widowControl/>
        <w:numPr>
          <w:ilvl w:val="0"/>
          <w:numId w:val="6"/>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适应性队列：在医生选择的内分泌治疗基础上，加用全剂量（帕博西尼 125 毫克 × 1，连续服用 21 天 - 停药 7 天；瑞博西尼 600 毫克 × 1，连续服用 21 天 - 停药 7 天；阿贝西利 150 毫克 × 2，每日一次）。</w:t>
      </w:r>
    </w:p>
    <w:p w14:paraId="184F3C0E" w14:textId="77777777" w:rsidR="0062545B" w:rsidRPr="0062545B" w:rsidRDefault="0062545B" w:rsidP="0062545B">
      <w:pPr>
        <w:widowControl/>
        <w:numPr>
          <w:ilvl w:val="0"/>
          <w:numId w:val="6"/>
        </w:numPr>
        <w:rPr>
          <w:rFonts w:ascii="微软雅黑" w:eastAsia="微软雅黑" w:hAnsi="微软雅黑" w:cs="宋体"/>
          <w:kern w:val="0"/>
          <w:sz w:val="24"/>
          <w:szCs w:val="24"/>
        </w:rPr>
      </w:pPr>
      <w:r w:rsidRPr="0062545B">
        <w:rPr>
          <w:rFonts w:ascii="微软雅黑" w:eastAsia="微软雅黑" w:hAnsi="微软雅黑" w:cs="宋体"/>
          <w:kern w:val="0"/>
          <w:sz w:val="24"/>
          <w:szCs w:val="24"/>
        </w:rPr>
        <w:t>脆弱/虚弱人群：随机分配至在内分泌治疗的基础上加全剂量（根据健康人群）或在内分泌治疗的基础上减量 -1 级（帕博西尼 100 毫克 × 1，持续 21 天 - 停药 7 天；瑞博西尼 400 毫克 × 1，持续 21 天 - 停药 7 天；阿贝西利 100 毫克 × 2，每日一次）。</w:t>
      </w:r>
    </w:p>
    <w:p w14:paraId="32BFA9DF"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因毒性反应而更换不同的 CDK4/6 抑制剂是允许的，但必须使用与先前 CDK4/6 抑制剂相同的剂量水平。对于随机分配到较低初始剂量的患者，研究者可酌情决定是否将剂量增加至全剂量。IMPORTANT 试验的示意图如图</w:t>
      </w:r>
      <w:r w:rsidRPr="0062545B">
        <w:rPr>
          <w:rFonts w:ascii="微软雅黑" w:eastAsia="微软雅黑" w:hAnsi="微软雅黑" w:cs="宋体"/>
          <w:kern w:val="0"/>
          <w:sz w:val="24"/>
          <w:szCs w:val="24"/>
        </w:rPr>
        <w:fldChar w:fldCharType="begin"/>
      </w:r>
      <w:r w:rsidRPr="0062545B">
        <w:rPr>
          <w:rFonts w:ascii="微软雅黑" w:eastAsia="微软雅黑" w:hAnsi="微软雅黑" w:cs="宋体"/>
          <w:kern w:val="0"/>
          <w:sz w:val="24"/>
          <w:szCs w:val="24"/>
        </w:rPr>
        <w:instrText xml:space="preserve"> HYPERLINK "https://pmc.ncbi.nlm.nih.gov/articles/PMC11572072/" \l "F0001" </w:instrText>
      </w:r>
      <w:r w:rsidRPr="0062545B">
        <w:rPr>
          <w:rFonts w:ascii="微软雅黑" w:eastAsia="微软雅黑" w:hAnsi="微软雅黑" w:cs="宋体"/>
          <w:kern w:val="0"/>
          <w:sz w:val="24"/>
          <w:szCs w:val="24"/>
        </w:rPr>
        <w:fldChar w:fldCharType="separate"/>
      </w:r>
      <w:r w:rsidRPr="0062545B">
        <w:rPr>
          <w:rFonts w:ascii="微软雅黑" w:eastAsia="微软雅黑" w:hAnsi="微软雅黑" w:cs="宋体"/>
          <w:kern w:val="0"/>
          <w:sz w:val="24"/>
          <w:szCs w:val="24"/>
          <w:u w:val="single"/>
        </w:rPr>
        <w:t>1</w:t>
      </w:r>
      <w:r w:rsidRPr="0062545B">
        <w:rPr>
          <w:rFonts w:ascii="微软雅黑" w:eastAsia="微软雅黑" w:hAnsi="微软雅黑" w:cs="宋体"/>
          <w:kern w:val="0"/>
          <w:sz w:val="24"/>
          <w:szCs w:val="24"/>
        </w:rPr>
        <w:fldChar w:fldCharType="end"/>
      </w:r>
      <w:r w:rsidRPr="0062545B">
        <w:rPr>
          <w:rFonts w:ascii="微软雅黑" w:eastAsia="微软雅黑" w:hAnsi="微软雅黑" w:cs="宋体"/>
          <w:kern w:val="0"/>
          <w:sz w:val="24"/>
          <w:szCs w:val="24"/>
        </w:rPr>
        <w:t>所示。</w:t>
      </w:r>
    </w:p>
    <w:p w14:paraId="7DE4A01B"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t>图1。</w:t>
      </w:r>
    </w:p>
    <w:p w14:paraId="46DF32AE" w14:textId="3A4128B2"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noProof/>
          <w:kern w:val="0"/>
          <w:sz w:val="24"/>
          <w:szCs w:val="24"/>
        </w:rPr>
        <w:lastRenderedPageBreak/>
        <w:drawing>
          <wp:inline distT="0" distB="0" distL="0" distR="0" wp14:anchorId="7429C30C" wp14:editId="04869650">
            <wp:extent cx="5274310" cy="2501265"/>
            <wp:effectExtent l="0" t="0" r="2540" b="0"/>
            <wp:docPr id="2" name="图片 2" descr="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2501265"/>
                    </a:xfrm>
                    <a:prstGeom prst="rect">
                      <a:avLst/>
                    </a:prstGeom>
                    <a:noFill/>
                    <a:ln>
                      <a:noFill/>
                    </a:ln>
                  </pic:spPr>
                </pic:pic>
              </a:graphicData>
            </a:graphic>
          </wp:inline>
        </w:drawing>
      </w:r>
    </w:p>
    <w:p w14:paraId="7A44227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重要试验概述。</w:t>
      </w:r>
    </w:p>
    <w:p w14:paraId="22EC51DB"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2.4 结果</w:t>
      </w:r>
    </w:p>
    <w:p w14:paraId="5F0D11CD"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t>2.4.1. 主要终点</w:t>
      </w:r>
    </w:p>
    <w:p w14:paraId="1370DE1C"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IMPORTANT 研究的主要终点是比较接受较低初始剂量 CDK4/6 抑制剂联合内分泌治疗的体弱/脆弱老年乳腺癌患者与接受</w:t>
      </w:r>
      <w:proofErr w:type="gramStart"/>
      <w:r w:rsidRPr="0062545B">
        <w:rPr>
          <w:rFonts w:ascii="微软雅黑" w:eastAsia="微软雅黑" w:hAnsi="微软雅黑" w:cs="宋体"/>
          <w:kern w:val="0"/>
          <w:sz w:val="24"/>
          <w:szCs w:val="24"/>
        </w:rPr>
        <w:t>推荐全</w:t>
      </w:r>
      <w:proofErr w:type="gramEnd"/>
      <w:r w:rsidRPr="0062545B">
        <w:rPr>
          <w:rFonts w:ascii="微软雅黑" w:eastAsia="微软雅黑" w:hAnsi="微软雅黑" w:cs="宋体"/>
          <w:kern w:val="0"/>
          <w:sz w:val="24"/>
          <w:szCs w:val="24"/>
        </w:rPr>
        <w:t>剂量 CDK4/6 抑制剂治疗的健康老年乳腺癌患者的治疗失败时间（TTF，定义为从随机分组到因任何原因（包括疾病进展、治疗毒性或任何原因导致的死亡）而停止治疗的时间）。TTF 是一个复合终点，它将毒性和疗效纳入治疗获益的定义中，被认为是针对老年癌症患者的临床试验的合适终点 [ </w:t>
      </w:r>
      <w:hyperlink r:id="rId25" w:anchor="CIT00016" w:history="1">
        <w:r w:rsidRPr="0062545B">
          <w:rPr>
            <w:rFonts w:ascii="微软雅黑" w:eastAsia="微软雅黑" w:hAnsi="微软雅黑" w:cs="宋体"/>
            <w:kern w:val="0"/>
            <w:sz w:val="24"/>
            <w:szCs w:val="24"/>
            <w:u w:val="single"/>
          </w:rPr>
          <w:t>16</w:t>
        </w:r>
      </w:hyperlink>
      <w:r w:rsidRPr="0062545B">
        <w:rPr>
          <w:rFonts w:ascii="微软雅黑" w:eastAsia="微软雅黑" w:hAnsi="微软雅黑" w:cs="宋体"/>
          <w:kern w:val="0"/>
          <w:sz w:val="24"/>
          <w:szCs w:val="24"/>
        </w:rPr>
        <w:t> ]。</w:t>
      </w:r>
    </w:p>
    <w:p w14:paraId="6C059C94"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t>2.4.2. 次要终点</w:t>
      </w:r>
    </w:p>
    <w:p w14:paraId="2E54D3C0"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次要终点是比较两个治疗组（CDK4/6 抑制剂初始剂量</w:t>
      </w:r>
      <w:proofErr w:type="gramStart"/>
      <w:r w:rsidRPr="0062545B">
        <w:rPr>
          <w:rFonts w:ascii="微软雅黑" w:eastAsia="微软雅黑" w:hAnsi="微软雅黑" w:cs="宋体"/>
          <w:kern w:val="0"/>
          <w:sz w:val="24"/>
          <w:szCs w:val="24"/>
        </w:rPr>
        <w:t>较低组</w:t>
      </w:r>
      <w:proofErr w:type="gramEnd"/>
      <w:r w:rsidRPr="0062545B">
        <w:rPr>
          <w:rFonts w:ascii="微软雅黑" w:eastAsia="微软雅黑" w:hAnsi="微软雅黑" w:cs="宋体"/>
          <w:kern w:val="0"/>
          <w:sz w:val="24"/>
          <w:szCs w:val="24"/>
        </w:rPr>
        <w:t>与全剂量组）在 OTU、研究者评估的 PFS、化疗开始时间、OS、毒性、QoL、QoL 恶化时间以及成本效益方面的差异。</w:t>
      </w:r>
    </w:p>
    <w:p w14:paraId="074C3B81"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OTU是一个综合终点，将在首次疗效评估中进行评估。OTU整合了抗癌疗效、耐受性和接受度的客观和患者报告结局指标，并以“良好、中等或差”的简单分类方式对结果进行评估。接受度将通过一个问题“</w:t>
      </w:r>
      <w:r w:rsidRPr="0062545B">
        <w:rPr>
          <w:rFonts w:ascii="微软雅黑" w:eastAsia="微软雅黑" w:hAnsi="微软雅黑" w:cs="宋体"/>
          <w:i/>
          <w:iCs/>
          <w:kern w:val="0"/>
          <w:sz w:val="24"/>
          <w:szCs w:val="24"/>
        </w:rPr>
        <w:t>您认为您的治疗有多大价值？</w:t>
      </w:r>
      <w:r w:rsidRPr="0062545B">
        <w:rPr>
          <w:rFonts w:ascii="微软雅黑" w:eastAsia="微软雅黑" w:hAnsi="微软雅黑" w:cs="宋体"/>
          <w:kern w:val="0"/>
          <w:sz w:val="24"/>
          <w:szCs w:val="24"/>
        </w:rPr>
        <w:t> ”进行评估，回答选项包括：非常有价值、相当有价值、有点价值、完全没有价值。</w:t>
      </w:r>
    </w:p>
    <w:p w14:paraId="129373AC"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无进展生存期（PFS）定义为从随机分组</w:t>
      </w:r>
      <w:proofErr w:type="gramStart"/>
      <w:r w:rsidRPr="0062545B">
        <w:rPr>
          <w:rFonts w:ascii="微软雅黑" w:eastAsia="微软雅黑" w:hAnsi="微软雅黑" w:cs="宋体"/>
          <w:kern w:val="0"/>
          <w:sz w:val="24"/>
          <w:szCs w:val="24"/>
        </w:rPr>
        <w:t>到首次</w:t>
      </w:r>
      <w:proofErr w:type="gramEnd"/>
      <w:r w:rsidRPr="0062545B">
        <w:rPr>
          <w:rFonts w:ascii="微软雅黑" w:eastAsia="微软雅黑" w:hAnsi="微软雅黑" w:cs="宋体"/>
          <w:kern w:val="0"/>
          <w:sz w:val="24"/>
          <w:szCs w:val="24"/>
        </w:rPr>
        <w:t>记录到疾病进展或任何原因死亡的时间。疾病进展的客观评估包括临床评估、肿瘤标志物评估和/或影像学评估，具体评估方法根据当地医疗实践和主治医师的判断而定。主治医师进行的总体客观评估结果将被纳入考虑。临床进展日期定义为在临床评估中发现疾病进展的日期。未发生疾病进展的受试者，其数据将在最后一次已知存活且无疾病进展的日期</w:t>
      </w:r>
      <w:proofErr w:type="gramStart"/>
      <w:r w:rsidRPr="0062545B">
        <w:rPr>
          <w:rFonts w:ascii="微软雅黑" w:eastAsia="微软雅黑" w:hAnsi="微软雅黑" w:cs="宋体"/>
          <w:kern w:val="0"/>
          <w:sz w:val="24"/>
          <w:szCs w:val="24"/>
        </w:rPr>
        <w:t>进行截尾处理</w:t>
      </w:r>
      <w:proofErr w:type="gramEnd"/>
      <w:r w:rsidRPr="0062545B">
        <w:rPr>
          <w:rFonts w:ascii="微软雅黑" w:eastAsia="微软雅黑" w:hAnsi="微软雅黑" w:cs="宋体"/>
          <w:kern w:val="0"/>
          <w:sz w:val="24"/>
          <w:szCs w:val="24"/>
        </w:rPr>
        <w:t>。</w:t>
      </w:r>
    </w:p>
    <w:p w14:paraId="3DC93C9D"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化疗开始时间定义为从随机分组到 CDK4/6 抑制剂治疗后任</w:t>
      </w:r>
      <w:proofErr w:type="gramStart"/>
      <w:r w:rsidRPr="0062545B">
        <w:rPr>
          <w:rFonts w:ascii="微软雅黑" w:eastAsia="微软雅黑" w:hAnsi="微软雅黑" w:cs="宋体"/>
          <w:kern w:val="0"/>
          <w:sz w:val="24"/>
          <w:szCs w:val="24"/>
        </w:rPr>
        <w:t>何治疗线</w:t>
      </w:r>
      <w:proofErr w:type="gramEnd"/>
      <w:r w:rsidRPr="0062545B">
        <w:rPr>
          <w:rFonts w:ascii="微软雅黑" w:eastAsia="微软雅黑" w:hAnsi="微软雅黑" w:cs="宋体"/>
          <w:kern w:val="0"/>
          <w:sz w:val="24"/>
          <w:szCs w:val="24"/>
        </w:rPr>
        <w:t>开始化疗的时间。</w:t>
      </w:r>
    </w:p>
    <w:p w14:paraId="6C27368A"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从随机分组到因任何原因死亡的时间定义为总生存期（OS）。对于</w:t>
      </w:r>
      <w:proofErr w:type="gramStart"/>
      <w:r w:rsidRPr="0062545B">
        <w:rPr>
          <w:rFonts w:ascii="微软雅黑" w:eastAsia="微软雅黑" w:hAnsi="微软雅黑" w:cs="宋体"/>
          <w:kern w:val="0"/>
          <w:sz w:val="24"/>
          <w:szCs w:val="24"/>
        </w:rPr>
        <w:t>已知未</w:t>
      </w:r>
      <w:proofErr w:type="gramEnd"/>
      <w:r w:rsidRPr="0062545B">
        <w:rPr>
          <w:rFonts w:ascii="微软雅黑" w:eastAsia="微软雅黑" w:hAnsi="微软雅黑" w:cs="宋体"/>
          <w:kern w:val="0"/>
          <w:sz w:val="24"/>
          <w:szCs w:val="24"/>
        </w:rPr>
        <w:t>死亡的参与者，其数据将在最后一次已知存活日期</w:t>
      </w:r>
      <w:proofErr w:type="gramStart"/>
      <w:r w:rsidRPr="0062545B">
        <w:rPr>
          <w:rFonts w:ascii="微软雅黑" w:eastAsia="微软雅黑" w:hAnsi="微软雅黑" w:cs="宋体"/>
          <w:kern w:val="0"/>
          <w:sz w:val="24"/>
          <w:szCs w:val="24"/>
        </w:rPr>
        <w:t>进行截尾处理</w:t>
      </w:r>
      <w:proofErr w:type="gramEnd"/>
      <w:r w:rsidRPr="0062545B">
        <w:rPr>
          <w:rFonts w:ascii="微软雅黑" w:eastAsia="微软雅黑" w:hAnsi="微软雅黑" w:cs="宋体"/>
          <w:kern w:val="0"/>
          <w:sz w:val="24"/>
          <w:szCs w:val="24"/>
        </w:rPr>
        <w:t>。各研究中心将报告每位参与者长达 5 年的死亡情况。</w:t>
      </w:r>
    </w:p>
    <w:p w14:paraId="37642E5D"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毒性将根据不良事件进行评估，在每个周期开始前以及 CDK4/6 抑制剂治疗结束后最多 28 天内，按照 CTCAE 5.0 版进行分级。</w:t>
      </w:r>
    </w:p>
    <w:p w14:paraId="195384B9"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 xml:space="preserve">将使用三种已验证的问卷评估健康相关的生活质量：EORTC QLQ-C30、ELD-14 和 EQ-5D-5L。评估将在前 12 </w:t>
      </w:r>
      <w:proofErr w:type="gramStart"/>
      <w:r w:rsidRPr="0062545B">
        <w:rPr>
          <w:rFonts w:ascii="微软雅黑" w:eastAsia="微软雅黑" w:hAnsi="微软雅黑" w:cs="宋体"/>
          <w:kern w:val="0"/>
          <w:sz w:val="24"/>
          <w:szCs w:val="24"/>
        </w:rPr>
        <w:t>个</w:t>
      </w:r>
      <w:proofErr w:type="gramEnd"/>
      <w:r w:rsidRPr="0062545B">
        <w:rPr>
          <w:rFonts w:ascii="微软雅黑" w:eastAsia="微软雅黑" w:hAnsi="微软雅黑" w:cs="宋体"/>
          <w:kern w:val="0"/>
          <w:sz w:val="24"/>
          <w:szCs w:val="24"/>
        </w:rPr>
        <w:t xml:space="preserve">月内每 3 </w:t>
      </w:r>
      <w:proofErr w:type="gramStart"/>
      <w:r w:rsidRPr="0062545B">
        <w:rPr>
          <w:rFonts w:ascii="微软雅黑" w:eastAsia="微软雅黑" w:hAnsi="微软雅黑" w:cs="宋体"/>
          <w:kern w:val="0"/>
          <w:sz w:val="24"/>
          <w:szCs w:val="24"/>
        </w:rPr>
        <w:t>个月进行</w:t>
      </w:r>
      <w:proofErr w:type="gramEnd"/>
      <w:r w:rsidRPr="0062545B">
        <w:rPr>
          <w:rFonts w:ascii="微软雅黑" w:eastAsia="微软雅黑" w:hAnsi="微软雅黑" w:cs="宋体"/>
          <w:kern w:val="0"/>
          <w:sz w:val="24"/>
          <w:szCs w:val="24"/>
        </w:rPr>
        <w:t xml:space="preserve">一次，之后每 6 </w:t>
      </w:r>
      <w:proofErr w:type="gramStart"/>
      <w:r w:rsidRPr="0062545B">
        <w:rPr>
          <w:rFonts w:ascii="微软雅黑" w:eastAsia="微软雅黑" w:hAnsi="微软雅黑" w:cs="宋体"/>
          <w:kern w:val="0"/>
          <w:sz w:val="24"/>
          <w:szCs w:val="24"/>
        </w:rPr>
        <w:t>个月进行</w:t>
      </w:r>
      <w:proofErr w:type="gramEnd"/>
      <w:r w:rsidRPr="0062545B">
        <w:rPr>
          <w:rFonts w:ascii="微软雅黑" w:eastAsia="微软雅黑" w:hAnsi="微软雅黑" w:cs="宋体"/>
          <w:kern w:val="0"/>
          <w:sz w:val="24"/>
          <w:szCs w:val="24"/>
        </w:rPr>
        <w:t xml:space="preserve">一次，直至疾病进展、受试者/医生决定停止治疗、死亡或治疗开始后 24 </w:t>
      </w:r>
      <w:proofErr w:type="gramStart"/>
      <w:r w:rsidRPr="0062545B">
        <w:rPr>
          <w:rFonts w:ascii="微软雅黑" w:eastAsia="微软雅黑" w:hAnsi="微软雅黑" w:cs="宋体"/>
          <w:kern w:val="0"/>
          <w:sz w:val="24"/>
          <w:szCs w:val="24"/>
        </w:rPr>
        <w:t>个</w:t>
      </w:r>
      <w:proofErr w:type="gramEnd"/>
      <w:r w:rsidRPr="0062545B">
        <w:rPr>
          <w:rFonts w:ascii="微软雅黑" w:eastAsia="微软雅黑" w:hAnsi="微软雅黑" w:cs="宋体"/>
          <w:kern w:val="0"/>
          <w:sz w:val="24"/>
          <w:szCs w:val="24"/>
        </w:rPr>
        <w:t>月。通过问卷，将评估生活质量恶化时间，定义为从随机分组到问卷测量的任何生活质量指标出现任何具有临床意义的恶化（以最小重要差异为临界值 [ </w:t>
      </w:r>
      <w:hyperlink r:id="rId26" w:anchor="CIT00017" w:history="1">
        <w:r w:rsidRPr="0062545B">
          <w:rPr>
            <w:rFonts w:ascii="微软雅黑" w:eastAsia="微软雅黑" w:hAnsi="微软雅黑" w:cs="宋体"/>
            <w:kern w:val="0"/>
            <w:sz w:val="24"/>
            <w:szCs w:val="24"/>
            <w:u w:val="single"/>
          </w:rPr>
          <w:t>17</w:t>
        </w:r>
      </w:hyperlink>
      <w:r w:rsidRPr="0062545B">
        <w:rPr>
          <w:rFonts w:ascii="微软雅黑" w:eastAsia="微软雅黑" w:hAnsi="微软雅黑" w:cs="宋体"/>
          <w:kern w:val="0"/>
          <w:sz w:val="24"/>
          <w:szCs w:val="24"/>
        </w:rPr>
        <w:t> ]）的时间。</w:t>
      </w:r>
    </w:p>
    <w:p w14:paraId="34176601"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成本效益分析将利用试验期间收集的医疗资源利用情况、预期寿命和生活质量数据进行。这些数据将通过一份结合了</w:t>
      </w:r>
      <w:proofErr w:type="spellStart"/>
      <w:r w:rsidRPr="0062545B">
        <w:rPr>
          <w:rFonts w:ascii="微软雅黑" w:eastAsia="微软雅黑" w:hAnsi="微软雅黑" w:cs="宋体"/>
          <w:kern w:val="0"/>
          <w:sz w:val="24"/>
          <w:szCs w:val="24"/>
        </w:rPr>
        <w:t>iMTA</w:t>
      </w:r>
      <w:proofErr w:type="spellEnd"/>
      <w:r w:rsidRPr="0062545B">
        <w:rPr>
          <w:rFonts w:ascii="微软雅黑" w:eastAsia="微软雅黑" w:hAnsi="微软雅黑" w:cs="宋体"/>
          <w:kern w:val="0"/>
          <w:sz w:val="24"/>
          <w:szCs w:val="24"/>
        </w:rPr>
        <w:t>医疗消费问卷[ </w:t>
      </w:r>
      <w:hyperlink r:id="rId27" w:anchor="CIT00018" w:history="1">
        <w:r w:rsidRPr="0062545B">
          <w:rPr>
            <w:rFonts w:ascii="微软雅黑" w:eastAsia="微软雅黑" w:hAnsi="微软雅黑" w:cs="宋体"/>
            <w:kern w:val="0"/>
            <w:sz w:val="24"/>
            <w:szCs w:val="24"/>
            <w:u w:val="single"/>
          </w:rPr>
          <w:t>18</w:t>
        </w:r>
      </w:hyperlink>
      <w:r w:rsidRPr="0062545B">
        <w:rPr>
          <w:rFonts w:ascii="微软雅黑" w:eastAsia="微软雅黑" w:hAnsi="微软雅黑" w:cs="宋体"/>
          <w:kern w:val="0"/>
          <w:sz w:val="24"/>
          <w:szCs w:val="24"/>
        </w:rPr>
        <w:t> ]和</w:t>
      </w:r>
      <w:proofErr w:type="spellStart"/>
      <w:r w:rsidRPr="0062545B">
        <w:rPr>
          <w:rFonts w:ascii="微软雅黑" w:eastAsia="微软雅黑" w:hAnsi="微软雅黑" w:cs="宋体"/>
          <w:kern w:val="0"/>
          <w:sz w:val="24"/>
          <w:szCs w:val="24"/>
        </w:rPr>
        <w:t>iMTA</w:t>
      </w:r>
      <w:proofErr w:type="spellEnd"/>
      <w:r w:rsidRPr="0062545B">
        <w:rPr>
          <w:rFonts w:ascii="微软雅黑" w:eastAsia="微软雅黑" w:hAnsi="微软雅黑" w:cs="宋体"/>
          <w:kern w:val="0"/>
          <w:sz w:val="24"/>
          <w:szCs w:val="24"/>
        </w:rPr>
        <w:t>非正式照护评估问卷[ </w:t>
      </w:r>
      <w:hyperlink r:id="rId28" w:anchor="CIT00019" w:history="1">
        <w:r w:rsidRPr="0062545B">
          <w:rPr>
            <w:rFonts w:ascii="微软雅黑" w:eastAsia="微软雅黑" w:hAnsi="微软雅黑" w:cs="宋体"/>
            <w:kern w:val="0"/>
            <w:sz w:val="24"/>
            <w:szCs w:val="24"/>
            <w:u w:val="single"/>
          </w:rPr>
          <w:t>19</w:t>
        </w:r>
      </w:hyperlink>
      <w:r w:rsidRPr="0062545B">
        <w:rPr>
          <w:rFonts w:ascii="微软雅黑" w:eastAsia="微软雅黑" w:hAnsi="微软雅黑" w:cs="宋体"/>
          <w:kern w:val="0"/>
          <w:sz w:val="24"/>
          <w:szCs w:val="24"/>
        </w:rPr>
        <w:t> ]要素的问卷，补充受试者自述的非住院医疗保健和非正式照护利用情况。该问卷将在前12个月每3个月评估一次，之后每6个月评估一次，直至疾病进展、受试者/医生决定停止治疗、受试者死亡或治疗开始后24个月（以先发生者为准）。</w:t>
      </w:r>
    </w:p>
    <w:p w14:paraId="00B10211"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2.5. 参与者时间表</w:t>
      </w:r>
    </w:p>
    <w:p w14:paraId="21A90784"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符合条件的患者将由其主治医生告知研究详情。获得知情同意后，将在基线时进行综合老年评估（CGA）。根据CGA结果，将如上所述，划分为两个患者队列。CDK4/6抑制剂治疗应在随机分组后14天内开始。建议内分泌治疗与CDK4/6抑制剂治疗同时开始，但允许在CDK4/6抑制剂治疗前最多28天开始内分泌治疗。</w:t>
      </w:r>
    </w:p>
    <w:p w14:paraId="6C92156A"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治疗将持续</w:t>
      </w:r>
      <w:proofErr w:type="gramStart"/>
      <w:r w:rsidRPr="0062545B">
        <w:rPr>
          <w:rFonts w:ascii="微软雅黑" w:eastAsia="微软雅黑" w:hAnsi="微软雅黑" w:cs="宋体"/>
          <w:kern w:val="0"/>
          <w:sz w:val="24"/>
          <w:szCs w:val="24"/>
        </w:rPr>
        <w:t>至癌</w:t>
      </w:r>
      <w:proofErr w:type="gramEnd"/>
      <w:r w:rsidRPr="0062545B">
        <w:rPr>
          <w:rFonts w:ascii="微软雅黑" w:eastAsia="微软雅黑" w:hAnsi="微软雅黑" w:cs="宋体"/>
          <w:kern w:val="0"/>
          <w:sz w:val="24"/>
          <w:szCs w:val="24"/>
        </w:rPr>
        <w:t>症进展、出现不可接受的毒性反应或患者/医生决定停止治疗为止。若因毒性反应导致治疗中断，患者仍将按照治疗阶段随访方案接受随访，直</w:t>
      </w:r>
      <w:r w:rsidRPr="0062545B">
        <w:rPr>
          <w:rFonts w:ascii="微软雅黑" w:eastAsia="微软雅黑" w:hAnsi="微软雅黑" w:cs="宋体"/>
          <w:kern w:val="0"/>
          <w:sz w:val="24"/>
          <w:szCs w:val="24"/>
        </w:rPr>
        <w:lastRenderedPageBreak/>
        <w:t>至疾病进展或随访期满24个月。在此期间重新开始使用CDK4/6抑制剂，只要在重新开始治疗前未出现疾病进展，则</w:t>
      </w:r>
      <w:proofErr w:type="gramStart"/>
      <w:r w:rsidRPr="0062545B">
        <w:rPr>
          <w:rFonts w:ascii="微软雅黑" w:eastAsia="微软雅黑" w:hAnsi="微软雅黑" w:cs="宋体"/>
          <w:kern w:val="0"/>
          <w:sz w:val="24"/>
          <w:szCs w:val="24"/>
        </w:rPr>
        <w:t>不</w:t>
      </w:r>
      <w:proofErr w:type="gramEnd"/>
      <w:r w:rsidRPr="0062545B">
        <w:rPr>
          <w:rFonts w:ascii="微软雅黑" w:eastAsia="微软雅黑" w:hAnsi="微软雅黑" w:cs="宋体"/>
          <w:kern w:val="0"/>
          <w:sz w:val="24"/>
          <w:szCs w:val="24"/>
        </w:rPr>
        <w:t>视为新的治疗方案。24个月后，未出现疾病进展或不可接受毒性反应的患者将继续接受CDK4/6抑制剂和内分泌治疗，具体治疗方案将根据当地临床实践而定，但IMPORTANT试验中的患者随访将简化为生存期随访。</w:t>
      </w:r>
    </w:p>
    <w:p w14:paraId="3B4C6D45"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所有患者将在治疗阶段结束后开始接受生存期随访，随访时间最长可达治疗开始后的5年。生存期随访将每12-16周进行一次，或根据安全性或监管要求，如需更新生存期数据，则将提前进行。生存期信息可通过临床访视或电话随访获得，直至患者死亡、</w:t>
      </w:r>
      <w:proofErr w:type="gramStart"/>
      <w:r w:rsidRPr="0062545B">
        <w:rPr>
          <w:rFonts w:ascii="微软雅黑" w:eastAsia="微软雅黑" w:hAnsi="微软雅黑" w:cs="宋体"/>
          <w:kern w:val="0"/>
          <w:sz w:val="24"/>
          <w:szCs w:val="24"/>
        </w:rPr>
        <w:t>失访或</w:t>
      </w:r>
      <w:proofErr w:type="gramEnd"/>
      <w:r w:rsidRPr="0062545B">
        <w:rPr>
          <w:rFonts w:ascii="微软雅黑" w:eastAsia="微软雅黑" w:hAnsi="微软雅黑" w:cs="宋体"/>
          <w:kern w:val="0"/>
          <w:sz w:val="24"/>
          <w:szCs w:val="24"/>
        </w:rPr>
        <w:t>撤回生存期随访同意。在生存期随访期间，将记录患者在试验治疗阶段结束后继续接受CDK4/6抑制剂治疗时疾病进展的日期以及任何后续治疗策略。</w:t>
      </w:r>
    </w:p>
    <w:p w14:paraId="7E08C58E"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治疗效果和毒性方面的随访策略与目前的临床实践随访策略类似，无需额外的血液检查或影像学检查。随访将包括每个治疗周期前的毒性评估，以及每3个月进行的临床和影像学疗效评估。研究期间，将通过患者自填问卷收集患者报告结局。研究方案的详细描述见表</w:t>
      </w:r>
      <w:hyperlink r:id="rId29" w:anchor="T0003" w:history="1">
        <w:r w:rsidRPr="0062545B">
          <w:rPr>
            <w:rFonts w:ascii="微软雅黑" w:eastAsia="微软雅黑" w:hAnsi="微软雅黑" w:cs="宋体"/>
            <w:kern w:val="0"/>
            <w:sz w:val="24"/>
            <w:szCs w:val="24"/>
            <w:u w:val="single"/>
          </w:rPr>
          <w:t>3</w:t>
        </w:r>
      </w:hyperlink>
      <w:r w:rsidRPr="0062545B">
        <w:rPr>
          <w:rFonts w:ascii="微软雅黑" w:eastAsia="微软雅黑" w:hAnsi="微软雅黑" w:cs="宋体"/>
          <w:kern w:val="0"/>
          <w:sz w:val="24"/>
          <w:szCs w:val="24"/>
        </w:rPr>
        <w:t>。</w:t>
      </w:r>
    </w:p>
    <w:p w14:paraId="318FE275" w14:textId="77777777" w:rsidR="0062545B" w:rsidRPr="0062545B" w:rsidRDefault="0062545B" w:rsidP="0062545B">
      <w:pPr>
        <w:widowControl/>
        <w:spacing w:line="450" w:lineRule="atLeast"/>
        <w:outlineLvl w:val="3"/>
        <w:rPr>
          <w:rFonts w:ascii="微软雅黑" w:eastAsia="微软雅黑" w:hAnsi="微软雅黑" w:cs="宋体"/>
          <w:kern w:val="0"/>
          <w:sz w:val="30"/>
          <w:szCs w:val="30"/>
        </w:rPr>
      </w:pPr>
      <w:r w:rsidRPr="0062545B">
        <w:rPr>
          <w:rFonts w:ascii="微软雅黑" w:eastAsia="微软雅黑" w:hAnsi="微软雅黑" w:cs="宋体"/>
          <w:kern w:val="0"/>
          <w:sz w:val="30"/>
          <w:szCs w:val="30"/>
        </w:rPr>
        <w:t>表3。</w:t>
      </w:r>
    </w:p>
    <w:p w14:paraId="77EF5E5E"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重要的试验研究程序。</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57"/>
        <w:gridCol w:w="642"/>
        <w:gridCol w:w="402"/>
        <w:gridCol w:w="547"/>
        <w:gridCol w:w="547"/>
        <w:gridCol w:w="547"/>
        <w:gridCol w:w="547"/>
        <w:gridCol w:w="547"/>
        <w:gridCol w:w="547"/>
        <w:gridCol w:w="547"/>
        <w:gridCol w:w="547"/>
        <w:gridCol w:w="1819"/>
      </w:tblGrid>
      <w:tr w:rsidR="0062545B" w:rsidRPr="0062545B" w14:paraId="0808880C" w14:textId="77777777" w:rsidTr="0062545B">
        <w:trPr>
          <w:tblHeader/>
          <w:tblCellSpacing w:w="15" w:type="dxa"/>
        </w:trPr>
        <w:tc>
          <w:tcPr>
            <w:tcW w:w="669" w:type="pct"/>
            <w:vMerge w:val="restart"/>
            <w:tcMar>
              <w:top w:w="56" w:type="dxa"/>
              <w:left w:w="56" w:type="dxa"/>
              <w:bottom w:w="56" w:type="dxa"/>
              <w:right w:w="56" w:type="dxa"/>
            </w:tcMar>
            <w:hideMark/>
          </w:tcPr>
          <w:p w14:paraId="3504415F"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lastRenderedPageBreak/>
              <w:t>程序</w:t>
            </w:r>
          </w:p>
        </w:tc>
        <w:tc>
          <w:tcPr>
            <w:tcW w:w="747" w:type="pct"/>
            <w:gridSpan w:val="2"/>
            <w:tcMar>
              <w:top w:w="56" w:type="dxa"/>
              <w:left w:w="56" w:type="dxa"/>
              <w:bottom w:w="56" w:type="dxa"/>
              <w:right w:w="56" w:type="dxa"/>
            </w:tcMar>
            <w:hideMark/>
          </w:tcPr>
          <w:p w14:paraId="7F4CB1D9"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t>筛选阶段</w:t>
            </w:r>
          </w:p>
        </w:tc>
        <w:tc>
          <w:tcPr>
            <w:tcW w:w="1899" w:type="pct"/>
            <w:gridSpan w:val="8"/>
            <w:vMerge w:val="restart"/>
            <w:tcMar>
              <w:top w:w="56" w:type="dxa"/>
              <w:left w:w="56" w:type="dxa"/>
              <w:bottom w:w="56" w:type="dxa"/>
              <w:right w:w="56" w:type="dxa"/>
            </w:tcMar>
            <w:hideMark/>
          </w:tcPr>
          <w:p w14:paraId="3C4FD7F4"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t>试验中的治疗阶段（随访）</w:t>
            </w:r>
          </w:p>
        </w:tc>
        <w:tc>
          <w:tcPr>
            <w:tcW w:w="1625" w:type="pct"/>
            <w:vMerge w:val="restart"/>
            <w:tcMar>
              <w:top w:w="56" w:type="dxa"/>
              <w:left w:w="56" w:type="dxa"/>
              <w:bottom w:w="56" w:type="dxa"/>
              <w:right w:w="56" w:type="dxa"/>
            </w:tcMar>
            <w:hideMark/>
          </w:tcPr>
          <w:p w14:paraId="5E1C8ADF"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t>治疗后阶段（生存随访）</w:t>
            </w:r>
          </w:p>
        </w:tc>
      </w:tr>
      <w:tr w:rsidR="0062545B" w:rsidRPr="0062545B" w14:paraId="6C60B7F5" w14:textId="77777777" w:rsidTr="0062545B">
        <w:trPr>
          <w:tblHeader/>
          <w:tblCellSpacing w:w="15" w:type="dxa"/>
        </w:trPr>
        <w:tc>
          <w:tcPr>
            <w:tcW w:w="669" w:type="pct"/>
            <w:vMerge/>
            <w:vAlign w:val="center"/>
            <w:hideMark/>
          </w:tcPr>
          <w:p w14:paraId="4A57F193" w14:textId="77777777" w:rsidR="0062545B" w:rsidRPr="0062545B" w:rsidRDefault="0062545B" w:rsidP="0062545B">
            <w:pPr>
              <w:widowControl/>
              <w:rPr>
                <w:rFonts w:ascii="微软雅黑" w:eastAsia="微软雅黑" w:hAnsi="微软雅黑" w:cs="宋体"/>
                <w:b/>
                <w:bCs/>
                <w:kern w:val="0"/>
                <w:sz w:val="24"/>
                <w:szCs w:val="24"/>
              </w:rPr>
            </w:pPr>
          </w:p>
        </w:tc>
        <w:tc>
          <w:tcPr>
            <w:tcW w:w="503" w:type="pct"/>
            <w:tcMar>
              <w:top w:w="56" w:type="dxa"/>
              <w:left w:w="56" w:type="dxa"/>
              <w:bottom w:w="56" w:type="dxa"/>
              <w:right w:w="56" w:type="dxa"/>
            </w:tcMar>
            <w:hideMark/>
          </w:tcPr>
          <w:p w14:paraId="2ADB7D9A"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t>筛查</w:t>
            </w:r>
          </w:p>
        </w:tc>
        <w:tc>
          <w:tcPr>
            <w:tcW w:w="232" w:type="pct"/>
            <w:tcMar>
              <w:top w:w="56" w:type="dxa"/>
              <w:left w:w="56" w:type="dxa"/>
              <w:bottom w:w="56" w:type="dxa"/>
              <w:right w:w="56" w:type="dxa"/>
            </w:tcMar>
            <w:hideMark/>
          </w:tcPr>
          <w:p w14:paraId="416E57AF" w14:textId="77777777" w:rsidR="0062545B" w:rsidRPr="0062545B" w:rsidRDefault="0062545B" w:rsidP="0062545B">
            <w:pPr>
              <w:widowControl/>
              <w:rPr>
                <w:rFonts w:ascii="微软雅黑" w:eastAsia="微软雅黑" w:hAnsi="微软雅黑" w:cs="宋体"/>
                <w:b/>
                <w:bCs/>
                <w:kern w:val="0"/>
                <w:sz w:val="24"/>
                <w:szCs w:val="24"/>
              </w:rPr>
            </w:pPr>
            <w:r w:rsidRPr="0062545B">
              <w:rPr>
                <w:rFonts w:ascii="微软雅黑" w:eastAsia="微软雅黑" w:hAnsi="微软雅黑" w:cs="宋体"/>
                <w:b/>
                <w:bCs/>
                <w:kern w:val="0"/>
                <w:sz w:val="24"/>
                <w:szCs w:val="24"/>
              </w:rPr>
              <w:t>随机化</w:t>
            </w:r>
          </w:p>
        </w:tc>
        <w:tc>
          <w:tcPr>
            <w:tcW w:w="1899" w:type="pct"/>
            <w:gridSpan w:val="8"/>
            <w:vMerge/>
            <w:vAlign w:val="center"/>
            <w:hideMark/>
          </w:tcPr>
          <w:p w14:paraId="4126AD24" w14:textId="77777777" w:rsidR="0062545B" w:rsidRPr="0062545B" w:rsidRDefault="0062545B" w:rsidP="0062545B">
            <w:pPr>
              <w:widowControl/>
              <w:rPr>
                <w:rFonts w:ascii="微软雅黑" w:eastAsia="微软雅黑" w:hAnsi="微软雅黑" w:cs="宋体"/>
                <w:b/>
                <w:bCs/>
                <w:kern w:val="0"/>
                <w:sz w:val="24"/>
                <w:szCs w:val="24"/>
              </w:rPr>
            </w:pPr>
          </w:p>
        </w:tc>
        <w:tc>
          <w:tcPr>
            <w:tcW w:w="1625" w:type="pct"/>
            <w:vMerge/>
            <w:vAlign w:val="center"/>
            <w:hideMark/>
          </w:tcPr>
          <w:p w14:paraId="03CD0C62" w14:textId="77777777" w:rsidR="0062545B" w:rsidRPr="0062545B" w:rsidRDefault="0062545B" w:rsidP="0062545B">
            <w:pPr>
              <w:widowControl/>
              <w:rPr>
                <w:rFonts w:ascii="微软雅黑" w:eastAsia="微软雅黑" w:hAnsi="微软雅黑" w:cs="宋体"/>
                <w:b/>
                <w:bCs/>
                <w:kern w:val="0"/>
                <w:sz w:val="24"/>
                <w:szCs w:val="24"/>
              </w:rPr>
            </w:pPr>
          </w:p>
        </w:tc>
      </w:tr>
      <w:tr w:rsidR="0062545B" w:rsidRPr="0062545B" w14:paraId="359EE3D6" w14:textId="77777777" w:rsidTr="0062545B">
        <w:trPr>
          <w:tblCellSpacing w:w="15" w:type="dxa"/>
        </w:trPr>
        <w:tc>
          <w:tcPr>
            <w:tcW w:w="669" w:type="pct"/>
            <w:tcMar>
              <w:top w:w="56" w:type="dxa"/>
              <w:left w:w="56" w:type="dxa"/>
              <w:bottom w:w="56" w:type="dxa"/>
              <w:right w:w="56" w:type="dxa"/>
            </w:tcMar>
            <w:hideMark/>
          </w:tcPr>
          <w:p w14:paraId="557E203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b/>
                <w:bCs/>
                <w:kern w:val="0"/>
                <w:sz w:val="24"/>
                <w:szCs w:val="24"/>
              </w:rPr>
              <w:t>随机化后的几个月</w:t>
            </w:r>
          </w:p>
        </w:tc>
        <w:tc>
          <w:tcPr>
            <w:tcW w:w="503" w:type="pct"/>
            <w:tcMar>
              <w:top w:w="56" w:type="dxa"/>
              <w:left w:w="56" w:type="dxa"/>
              <w:bottom w:w="56" w:type="dxa"/>
              <w:right w:w="56" w:type="dxa"/>
            </w:tcMar>
            <w:hideMark/>
          </w:tcPr>
          <w:p w14:paraId="62A70C0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32" w:type="pct"/>
            <w:tcMar>
              <w:top w:w="56" w:type="dxa"/>
              <w:left w:w="56" w:type="dxa"/>
              <w:bottom w:w="56" w:type="dxa"/>
              <w:right w:w="56" w:type="dxa"/>
            </w:tcMar>
            <w:hideMark/>
          </w:tcPr>
          <w:p w14:paraId="3D85B39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8" w:type="pct"/>
            <w:tcMar>
              <w:top w:w="56" w:type="dxa"/>
              <w:left w:w="56" w:type="dxa"/>
              <w:bottom w:w="56" w:type="dxa"/>
              <w:right w:w="56" w:type="dxa"/>
            </w:tcMar>
            <w:hideMark/>
          </w:tcPr>
          <w:p w14:paraId="4D47D7D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3</w:t>
            </w:r>
          </w:p>
        </w:tc>
        <w:tc>
          <w:tcPr>
            <w:tcW w:w="227" w:type="pct"/>
            <w:tcMar>
              <w:top w:w="56" w:type="dxa"/>
              <w:left w:w="56" w:type="dxa"/>
              <w:bottom w:w="56" w:type="dxa"/>
              <w:right w:w="56" w:type="dxa"/>
            </w:tcMar>
            <w:hideMark/>
          </w:tcPr>
          <w:p w14:paraId="5831069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6</w:t>
            </w:r>
          </w:p>
        </w:tc>
        <w:tc>
          <w:tcPr>
            <w:tcW w:w="227" w:type="pct"/>
            <w:tcMar>
              <w:top w:w="56" w:type="dxa"/>
              <w:left w:w="56" w:type="dxa"/>
              <w:bottom w:w="56" w:type="dxa"/>
              <w:right w:w="56" w:type="dxa"/>
            </w:tcMar>
            <w:hideMark/>
          </w:tcPr>
          <w:p w14:paraId="6BD779E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9</w:t>
            </w:r>
          </w:p>
        </w:tc>
        <w:tc>
          <w:tcPr>
            <w:tcW w:w="227" w:type="pct"/>
            <w:tcMar>
              <w:top w:w="56" w:type="dxa"/>
              <w:left w:w="56" w:type="dxa"/>
              <w:bottom w:w="56" w:type="dxa"/>
              <w:right w:w="56" w:type="dxa"/>
            </w:tcMar>
            <w:hideMark/>
          </w:tcPr>
          <w:p w14:paraId="446C1D4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12</w:t>
            </w:r>
          </w:p>
        </w:tc>
        <w:tc>
          <w:tcPr>
            <w:tcW w:w="227" w:type="pct"/>
            <w:tcMar>
              <w:top w:w="56" w:type="dxa"/>
              <w:left w:w="56" w:type="dxa"/>
              <w:bottom w:w="56" w:type="dxa"/>
              <w:right w:w="56" w:type="dxa"/>
            </w:tcMar>
            <w:hideMark/>
          </w:tcPr>
          <w:p w14:paraId="02AB498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15</w:t>
            </w:r>
          </w:p>
        </w:tc>
        <w:tc>
          <w:tcPr>
            <w:tcW w:w="227" w:type="pct"/>
            <w:tcMar>
              <w:top w:w="56" w:type="dxa"/>
              <w:left w:w="56" w:type="dxa"/>
              <w:bottom w:w="56" w:type="dxa"/>
              <w:right w:w="56" w:type="dxa"/>
            </w:tcMar>
            <w:hideMark/>
          </w:tcPr>
          <w:p w14:paraId="00300CF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18</w:t>
            </w:r>
          </w:p>
        </w:tc>
        <w:tc>
          <w:tcPr>
            <w:tcW w:w="226" w:type="pct"/>
            <w:tcMar>
              <w:top w:w="56" w:type="dxa"/>
              <w:left w:w="56" w:type="dxa"/>
              <w:bottom w:w="56" w:type="dxa"/>
              <w:right w:w="56" w:type="dxa"/>
            </w:tcMar>
            <w:hideMark/>
          </w:tcPr>
          <w:p w14:paraId="4E6D580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21</w:t>
            </w:r>
          </w:p>
        </w:tc>
        <w:tc>
          <w:tcPr>
            <w:tcW w:w="226" w:type="pct"/>
            <w:tcMar>
              <w:top w:w="56" w:type="dxa"/>
              <w:left w:w="56" w:type="dxa"/>
              <w:bottom w:w="56" w:type="dxa"/>
              <w:right w:w="56" w:type="dxa"/>
            </w:tcMar>
            <w:hideMark/>
          </w:tcPr>
          <w:p w14:paraId="53D743F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24</w:t>
            </w:r>
          </w:p>
        </w:tc>
        <w:tc>
          <w:tcPr>
            <w:tcW w:w="1625" w:type="pct"/>
            <w:tcMar>
              <w:top w:w="56" w:type="dxa"/>
              <w:left w:w="56" w:type="dxa"/>
              <w:bottom w:w="56" w:type="dxa"/>
              <w:right w:w="56" w:type="dxa"/>
            </w:tcMar>
            <w:hideMark/>
          </w:tcPr>
          <w:p w14:paraId="0457C14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xml:space="preserve">每 3-4 </w:t>
            </w:r>
            <w:proofErr w:type="gramStart"/>
            <w:r w:rsidRPr="0062545B">
              <w:rPr>
                <w:rFonts w:ascii="微软雅黑" w:eastAsia="微软雅黑" w:hAnsi="微软雅黑" w:cs="宋体"/>
                <w:kern w:val="0"/>
                <w:sz w:val="24"/>
                <w:szCs w:val="24"/>
              </w:rPr>
              <w:t>个月进行</w:t>
            </w:r>
            <w:proofErr w:type="gramEnd"/>
            <w:r w:rsidRPr="0062545B">
              <w:rPr>
                <w:rFonts w:ascii="微软雅黑" w:eastAsia="微软雅黑" w:hAnsi="微软雅黑" w:cs="宋体"/>
                <w:kern w:val="0"/>
                <w:sz w:val="24"/>
                <w:szCs w:val="24"/>
              </w:rPr>
              <w:t>一次随访，直至患者死亡、</w:t>
            </w:r>
            <w:proofErr w:type="gramStart"/>
            <w:r w:rsidRPr="0062545B">
              <w:rPr>
                <w:rFonts w:ascii="微软雅黑" w:eastAsia="微软雅黑" w:hAnsi="微软雅黑" w:cs="宋体"/>
                <w:kern w:val="0"/>
                <w:sz w:val="24"/>
                <w:szCs w:val="24"/>
              </w:rPr>
              <w:t>失访或</w:t>
            </w:r>
            <w:proofErr w:type="gramEnd"/>
            <w:r w:rsidRPr="0062545B">
              <w:rPr>
                <w:rFonts w:ascii="微软雅黑" w:eastAsia="微软雅黑" w:hAnsi="微软雅黑" w:cs="宋体"/>
                <w:kern w:val="0"/>
                <w:sz w:val="24"/>
                <w:szCs w:val="24"/>
              </w:rPr>
              <w:t>撤回生存随访同意，或自治疗开始之日</w:t>
            </w:r>
            <w:proofErr w:type="gramStart"/>
            <w:r w:rsidRPr="0062545B">
              <w:rPr>
                <w:rFonts w:ascii="微软雅黑" w:eastAsia="微软雅黑" w:hAnsi="微软雅黑" w:cs="宋体"/>
                <w:kern w:val="0"/>
                <w:sz w:val="24"/>
                <w:szCs w:val="24"/>
              </w:rPr>
              <w:t>起最多</w:t>
            </w:r>
            <w:proofErr w:type="gramEnd"/>
            <w:r w:rsidRPr="0062545B">
              <w:rPr>
                <w:rFonts w:ascii="微软雅黑" w:eastAsia="微软雅黑" w:hAnsi="微软雅黑" w:cs="宋体"/>
                <w:kern w:val="0"/>
                <w:sz w:val="24"/>
                <w:szCs w:val="24"/>
              </w:rPr>
              <w:t xml:space="preserve"> 5 年（60 </w:t>
            </w:r>
            <w:proofErr w:type="gramStart"/>
            <w:r w:rsidRPr="0062545B">
              <w:rPr>
                <w:rFonts w:ascii="微软雅黑" w:eastAsia="微软雅黑" w:hAnsi="微软雅黑" w:cs="宋体"/>
                <w:kern w:val="0"/>
                <w:sz w:val="24"/>
                <w:szCs w:val="24"/>
              </w:rPr>
              <w:t>个</w:t>
            </w:r>
            <w:proofErr w:type="gramEnd"/>
            <w:r w:rsidRPr="0062545B">
              <w:rPr>
                <w:rFonts w:ascii="微软雅黑" w:eastAsia="微软雅黑" w:hAnsi="微软雅黑" w:cs="宋体"/>
                <w:kern w:val="0"/>
                <w:sz w:val="24"/>
                <w:szCs w:val="24"/>
              </w:rPr>
              <w:t>月）。</w:t>
            </w:r>
          </w:p>
        </w:tc>
      </w:tr>
      <w:tr w:rsidR="0062545B" w:rsidRPr="0062545B" w14:paraId="632EE725" w14:textId="77777777" w:rsidTr="0062545B">
        <w:trPr>
          <w:tblCellSpacing w:w="15" w:type="dxa"/>
        </w:trPr>
        <w:tc>
          <w:tcPr>
            <w:tcW w:w="669" w:type="pct"/>
            <w:tcMar>
              <w:top w:w="56" w:type="dxa"/>
              <w:left w:w="56" w:type="dxa"/>
              <w:bottom w:w="56" w:type="dxa"/>
              <w:right w:w="56" w:type="dxa"/>
            </w:tcMar>
            <w:hideMark/>
          </w:tcPr>
          <w:p w14:paraId="2B976C2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b/>
                <w:bCs/>
                <w:kern w:val="0"/>
                <w:sz w:val="24"/>
                <w:szCs w:val="24"/>
              </w:rPr>
              <w:t>时间窗口（天）</w:t>
            </w:r>
          </w:p>
        </w:tc>
        <w:tc>
          <w:tcPr>
            <w:tcW w:w="503" w:type="pct"/>
            <w:tcMar>
              <w:top w:w="56" w:type="dxa"/>
              <w:left w:w="56" w:type="dxa"/>
              <w:bottom w:w="56" w:type="dxa"/>
              <w:right w:w="56" w:type="dxa"/>
            </w:tcMar>
            <w:hideMark/>
          </w:tcPr>
          <w:p w14:paraId="6B1DAF3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最多 -28 天</w:t>
            </w:r>
          </w:p>
        </w:tc>
        <w:tc>
          <w:tcPr>
            <w:tcW w:w="232" w:type="pct"/>
            <w:tcMar>
              <w:top w:w="56" w:type="dxa"/>
              <w:left w:w="56" w:type="dxa"/>
              <w:bottom w:w="56" w:type="dxa"/>
              <w:right w:w="56" w:type="dxa"/>
            </w:tcMar>
            <w:hideMark/>
          </w:tcPr>
          <w:p w14:paraId="6CD8E6D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最多 -7 天</w:t>
            </w:r>
          </w:p>
        </w:tc>
        <w:tc>
          <w:tcPr>
            <w:tcW w:w="228" w:type="pct"/>
            <w:tcMar>
              <w:top w:w="56" w:type="dxa"/>
              <w:left w:w="56" w:type="dxa"/>
              <w:bottom w:w="56" w:type="dxa"/>
              <w:right w:w="56" w:type="dxa"/>
            </w:tcMar>
            <w:hideMark/>
          </w:tcPr>
          <w:p w14:paraId="581DAA8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+/-28</w:t>
            </w:r>
          </w:p>
        </w:tc>
        <w:tc>
          <w:tcPr>
            <w:tcW w:w="227" w:type="pct"/>
            <w:tcMar>
              <w:top w:w="56" w:type="dxa"/>
              <w:left w:w="56" w:type="dxa"/>
              <w:bottom w:w="56" w:type="dxa"/>
              <w:right w:w="56" w:type="dxa"/>
            </w:tcMar>
            <w:hideMark/>
          </w:tcPr>
          <w:p w14:paraId="05244C86"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+/-28</w:t>
            </w:r>
          </w:p>
        </w:tc>
        <w:tc>
          <w:tcPr>
            <w:tcW w:w="227" w:type="pct"/>
            <w:tcMar>
              <w:top w:w="56" w:type="dxa"/>
              <w:left w:w="56" w:type="dxa"/>
              <w:bottom w:w="56" w:type="dxa"/>
              <w:right w:w="56" w:type="dxa"/>
            </w:tcMar>
            <w:hideMark/>
          </w:tcPr>
          <w:p w14:paraId="5C9862B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+/-28</w:t>
            </w:r>
          </w:p>
        </w:tc>
        <w:tc>
          <w:tcPr>
            <w:tcW w:w="227" w:type="pct"/>
            <w:tcMar>
              <w:top w:w="56" w:type="dxa"/>
              <w:left w:w="56" w:type="dxa"/>
              <w:bottom w:w="56" w:type="dxa"/>
              <w:right w:w="56" w:type="dxa"/>
            </w:tcMar>
            <w:hideMark/>
          </w:tcPr>
          <w:p w14:paraId="5D1086A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+/-28</w:t>
            </w:r>
          </w:p>
        </w:tc>
        <w:tc>
          <w:tcPr>
            <w:tcW w:w="227" w:type="pct"/>
            <w:tcMar>
              <w:top w:w="56" w:type="dxa"/>
              <w:left w:w="56" w:type="dxa"/>
              <w:bottom w:w="56" w:type="dxa"/>
              <w:right w:w="56" w:type="dxa"/>
            </w:tcMar>
            <w:hideMark/>
          </w:tcPr>
          <w:p w14:paraId="5E0ADC5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+/-28</w:t>
            </w:r>
          </w:p>
        </w:tc>
        <w:tc>
          <w:tcPr>
            <w:tcW w:w="227" w:type="pct"/>
            <w:tcMar>
              <w:top w:w="56" w:type="dxa"/>
              <w:left w:w="56" w:type="dxa"/>
              <w:bottom w:w="56" w:type="dxa"/>
              <w:right w:w="56" w:type="dxa"/>
            </w:tcMar>
            <w:hideMark/>
          </w:tcPr>
          <w:p w14:paraId="61B47C8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+/-28</w:t>
            </w:r>
          </w:p>
        </w:tc>
        <w:tc>
          <w:tcPr>
            <w:tcW w:w="226" w:type="pct"/>
            <w:tcMar>
              <w:top w:w="56" w:type="dxa"/>
              <w:left w:w="56" w:type="dxa"/>
              <w:bottom w:w="56" w:type="dxa"/>
              <w:right w:w="56" w:type="dxa"/>
            </w:tcMar>
            <w:hideMark/>
          </w:tcPr>
          <w:p w14:paraId="641A2F5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+/-28</w:t>
            </w:r>
          </w:p>
        </w:tc>
        <w:tc>
          <w:tcPr>
            <w:tcW w:w="226" w:type="pct"/>
            <w:tcMar>
              <w:top w:w="56" w:type="dxa"/>
              <w:left w:w="56" w:type="dxa"/>
              <w:bottom w:w="56" w:type="dxa"/>
              <w:right w:w="56" w:type="dxa"/>
            </w:tcMar>
            <w:hideMark/>
          </w:tcPr>
          <w:p w14:paraId="5B9716D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+/-28</w:t>
            </w:r>
          </w:p>
        </w:tc>
        <w:tc>
          <w:tcPr>
            <w:tcW w:w="1625" w:type="pct"/>
            <w:tcMar>
              <w:top w:w="56" w:type="dxa"/>
              <w:left w:w="56" w:type="dxa"/>
              <w:bottom w:w="56" w:type="dxa"/>
              <w:right w:w="56" w:type="dxa"/>
            </w:tcMar>
            <w:hideMark/>
          </w:tcPr>
          <w:p w14:paraId="4E530D3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00824008" w14:textId="77777777" w:rsidTr="0062545B">
        <w:trPr>
          <w:tblCellSpacing w:w="15" w:type="dxa"/>
        </w:trPr>
        <w:tc>
          <w:tcPr>
            <w:tcW w:w="669" w:type="pct"/>
            <w:tcMar>
              <w:top w:w="56" w:type="dxa"/>
              <w:left w:w="56" w:type="dxa"/>
              <w:bottom w:w="56" w:type="dxa"/>
              <w:right w:w="56" w:type="dxa"/>
            </w:tcMar>
            <w:hideMark/>
          </w:tcPr>
          <w:p w14:paraId="1966736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纳入/排除标准</w:t>
            </w:r>
          </w:p>
        </w:tc>
        <w:tc>
          <w:tcPr>
            <w:tcW w:w="503" w:type="pct"/>
            <w:tcMar>
              <w:top w:w="56" w:type="dxa"/>
              <w:left w:w="56" w:type="dxa"/>
              <w:bottom w:w="56" w:type="dxa"/>
              <w:right w:w="56" w:type="dxa"/>
            </w:tcMar>
            <w:hideMark/>
          </w:tcPr>
          <w:p w14:paraId="0A66CF2E"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32" w:type="pct"/>
            <w:tcMar>
              <w:top w:w="56" w:type="dxa"/>
              <w:left w:w="56" w:type="dxa"/>
              <w:bottom w:w="56" w:type="dxa"/>
              <w:right w:w="56" w:type="dxa"/>
            </w:tcMar>
            <w:hideMark/>
          </w:tcPr>
          <w:p w14:paraId="2526BC2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8" w:type="pct"/>
            <w:tcMar>
              <w:top w:w="56" w:type="dxa"/>
              <w:left w:w="56" w:type="dxa"/>
              <w:bottom w:w="56" w:type="dxa"/>
              <w:right w:w="56" w:type="dxa"/>
            </w:tcMar>
            <w:hideMark/>
          </w:tcPr>
          <w:p w14:paraId="5A0BFC1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18D3618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0051BAC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5A7767B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31D2C84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7E590F4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39ABC9F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0E700B5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1625" w:type="pct"/>
            <w:tcMar>
              <w:top w:w="56" w:type="dxa"/>
              <w:left w:w="56" w:type="dxa"/>
              <w:bottom w:w="56" w:type="dxa"/>
              <w:right w:w="56" w:type="dxa"/>
            </w:tcMar>
            <w:hideMark/>
          </w:tcPr>
          <w:p w14:paraId="7B6F865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306FC423" w14:textId="77777777" w:rsidTr="0062545B">
        <w:trPr>
          <w:tblCellSpacing w:w="15" w:type="dxa"/>
        </w:trPr>
        <w:tc>
          <w:tcPr>
            <w:tcW w:w="669" w:type="pct"/>
            <w:tcMar>
              <w:top w:w="56" w:type="dxa"/>
              <w:left w:w="56" w:type="dxa"/>
              <w:bottom w:w="56" w:type="dxa"/>
              <w:right w:w="56" w:type="dxa"/>
            </w:tcMar>
            <w:hideMark/>
          </w:tcPr>
          <w:p w14:paraId="1FDF26D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知情同意</w:t>
            </w:r>
          </w:p>
        </w:tc>
        <w:tc>
          <w:tcPr>
            <w:tcW w:w="503" w:type="pct"/>
            <w:tcMar>
              <w:top w:w="56" w:type="dxa"/>
              <w:left w:w="56" w:type="dxa"/>
              <w:bottom w:w="56" w:type="dxa"/>
              <w:right w:w="56" w:type="dxa"/>
            </w:tcMar>
            <w:hideMark/>
          </w:tcPr>
          <w:p w14:paraId="4EE18E7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32" w:type="pct"/>
            <w:tcMar>
              <w:top w:w="56" w:type="dxa"/>
              <w:left w:w="56" w:type="dxa"/>
              <w:bottom w:w="56" w:type="dxa"/>
              <w:right w:w="56" w:type="dxa"/>
            </w:tcMar>
            <w:hideMark/>
          </w:tcPr>
          <w:p w14:paraId="3E2490A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8" w:type="pct"/>
            <w:tcMar>
              <w:top w:w="56" w:type="dxa"/>
              <w:left w:w="56" w:type="dxa"/>
              <w:bottom w:w="56" w:type="dxa"/>
              <w:right w:w="56" w:type="dxa"/>
            </w:tcMar>
            <w:hideMark/>
          </w:tcPr>
          <w:p w14:paraId="1BCEA8E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62330D1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5B89533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3E4B33F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661628CE"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7B28540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552B9D2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0538C58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1625" w:type="pct"/>
            <w:tcMar>
              <w:top w:w="56" w:type="dxa"/>
              <w:left w:w="56" w:type="dxa"/>
              <w:bottom w:w="56" w:type="dxa"/>
              <w:right w:w="56" w:type="dxa"/>
            </w:tcMar>
            <w:hideMark/>
          </w:tcPr>
          <w:p w14:paraId="6DFD7B4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7F397860" w14:textId="77777777" w:rsidTr="0062545B">
        <w:trPr>
          <w:tblCellSpacing w:w="15" w:type="dxa"/>
        </w:trPr>
        <w:tc>
          <w:tcPr>
            <w:tcW w:w="669" w:type="pct"/>
            <w:tcMar>
              <w:top w:w="56" w:type="dxa"/>
              <w:left w:w="56" w:type="dxa"/>
              <w:bottom w:w="56" w:type="dxa"/>
              <w:right w:w="56" w:type="dxa"/>
            </w:tcMar>
            <w:hideMark/>
          </w:tcPr>
          <w:p w14:paraId="4AC44F1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人口统计学和医学史</w:t>
            </w:r>
          </w:p>
        </w:tc>
        <w:tc>
          <w:tcPr>
            <w:tcW w:w="503" w:type="pct"/>
            <w:tcMar>
              <w:top w:w="56" w:type="dxa"/>
              <w:left w:w="56" w:type="dxa"/>
              <w:bottom w:w="56" w:type="dxa"/>
              <w:right w:w="56" w:type="dxa"/>
            </w:tcMar>
            <w:hideMark/>
          </w:tcPr>
          <w:p w14:paraId="681B70D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32" w:type="pct"/>
            <w:tcMar>
              <w:top w:w="56" w:type="dxa"/>
              <w:left w:w="56" w:type="dxa"/>
              <w:bottom w:w="56" w:type="dxa"/>
              <w:right w:w="56" w:type="dxa"/>
            </w:tcMar>
            <w:hideMark/>
          </w:tcPr>
          <w:p w14:paraId="7FC58EA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8" w:type="pct"/>
            <w:tcMar>
              <w:top w:w="56" w:type="dxa"/>
              <w:left w:w="56" w:type="dxa"/>
              <w:bottom w:w="56" w:type="dxa"/>
              <w:right w:w="56" w:type="dxa"/>
            </w:tcMar>
            <w:hideMark/>
          </w:tcPr>
          <w:p w14:paraId="58FE514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2F808B5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716DBF06"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1A463B26"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1357DEE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2D0FCD7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524A1DE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00691DCE"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1625" w:type="pct"/>
            <w:tcMar>
              <w:top w:w="56" w:type="dxa"/>
              <w:left w:w="56" w:type="dxa"/>
              <w:bottom w:w="56" w:type="dxa"/>
              <w:right w:w="56" w:type="dxa"/>
            </w:tcMar>
            <w:hideMark/>
          </w:tcPr>
          <w:p w14:paraId="5BA90BE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72F5DA28" w14:textId="77777777" w:rsidTr="0062545B">
        <w:trPr>
          <w:tblCellSpacing w:w="15" w:type="dxa"/>
        </w:trPr>
        <w:tc>
          <w:tcPr>
            <w:tcW w:w="669" w:type="pct"/>
            <w:tcMar>
              <w:top w:w="56" w:type="dxa"/>
              <w:left w:w="56" w:type="dxa"/>
              <w:bottom w:w="56" w:type="dxa"/>
              <w:right w:w="56" w:type="dxa"/>
            </w:tcMar>
            <w:hideMark/>
          </w:tcPr>
          <w:p w14:paraId="5ACBE79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体格检查</w:t>
            </w:r>
            <w:hyperlink r:id="rId30" w:anchor="TF5" w:history="1">
              <w:r w:rsidRPr="0062545B">
                <w:rPr>
                  <w:rFonts w:ascii="MS Gothic" w:eastAsia="MS Gothic" w:hAnsi="MS Gothic" w:cs="MS Gothic" w:hint="eastAsia"/>
                  <w:kern w:val="0"/>
                  <w:sz w:val="24"/>
                  <w:szCs w:val="24"/>
                  <w:u w:val="single"/>
                  <w:vertAlign w:val="superscript"/>
                </w:rPr>
                <w:t>​</w:t>
              </w:r>
            </w:hyperlink>
          </w:p>
        </w:tc>
        <w:tc>
          <w:tcPr>
            <w:tcW w:w="503" w:type="pct"/>
            <w:tcMar>
              <w:top w:w="56" w:type="dxa"/>
              <w:left w:w="56" w:type="dxa"/>
              <w:bottom w:w="56" w:type="dxa"/>
              <w:right w:w="56" w:type="dxa"/>
            </w:tcMar>
            <w:hideMark/>
          </w:tcPr>
          <w:p w14:paraId="5B80A1A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32" w:type="pct"/>
            <w:tcMar>
              <w:top w:w="56" w:type="dxa"/>
              <w:left w:w="56" w:type="dxa"/>
              <w:bottom w:w="56" w:type="dxa"/>
              <w:right w:w="56" w:type="dxa"/>
            </w:tcMar>
            <w:hideMark/>
          </w:tcPr>
          <w:p w14:paraId="70C5C7D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1899" w:type="pct"/>
            <w:gridSpan w:val="8"/>
            <w:tcMar>
              <w:top w:w="56" w:type="dxa"/>
              <w:left w:w="56" w:type="dxa"/>
              <w:bottom w:w="56" w:type="dxa"/>
              <w:right w:w="56" w:type="dxa"/>
            </w:tcMar>
            <w:hideMark/>
          </w:tcPr>
          <w:p w14:paraId="6E91B82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如上所示</w:t>
            </w:r>
          </w:p>
        </w:tc>
        <w:tc>
          <w:tcPr>
            <w:tcW w:w="1625" w:type="pct"/>
            <w:tcMar>
              <w:top w:w="56" w:type="dxa"/>
              <w:left w:w="56" w:type="dxa"/>
              <w:bottom w:w="56" w:type="dxa"/>
              <w:right w:w="56" w:type="dxa"/>
            </w:tcMar>
            <w:hideMark/>
          </w:tcPr>
          <w:p w14:paraId="6752EA5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1969593B" w14:textId="77777777" w:rsidTr="0062545B">
        <w:trPr>
          <w:tblCellSpacing w:w="15" w:type="dxa"/>
        </w:trPr>
        <w:tc>
          <w:tcPr>
            <w:tcW w:w="669" w:type="pct"/>
            <w:tcMar>
              <w:top w:w="56" w:type="dxa"/>
              <w:left w:w="56" w:type="dxa"/>
              <w:bottom w:w="56" w:type="dxa"/>
              <w:right w:w="56" w:type="dxa"/>
            </w:tcMar>
            <w:hideMark/>
          </w:tcPr>
          <w:p w14:paraId="5CBF31B5" w14:textId="77777777" w:rsidR="0062545B" w:rsidRPr="0062545B" w:rsidRDefault="0062545B" w:rsidP="0062545B">
            <w:pPr>
              <w:widowControl/>
              <w:rPr>
                <w:rFonts w:ascii="微软雅黑" w:eastAsia="微软雅黑" w:hAnsi="微软雅黑" w:cs="宋体"/>
                <w:kern w:val="0"/>
                <w:sz w:val="24"/>
                <w:szCs w:val="24"/>
              </w:rPr>
            </w:pPr>
            <w:hyperlink r:id="rId31" w:anchor="TF2" w:history="1">
              <w:r w:rsidRPr="0062545B">
                <w:rPr>
                  <w:rFonts w:ascii="微软雅黑" w:eastAsia="微软雅黑" w:hAnsi="微软雅黑" w:cs="宋体"/>
                  <w:kern w:val="0"/>
                  <w:sz w:val="24"/>
                  <w:szCs w:val="24"/>
                  <w:u w:val="single"/>
                  <w:vertAlign w:val="superscript"/>
                </w:rPr>
                <w:t>综合老年</w:t>
              </w:r>
            </w:hyperlink>
            <w:r w:rsidRPr="0062545B">
              <w:rPr>
                <w:rFonts w:ascii="微软雅黑" w:eastAsia="微软雅黑" w:hAnsi="微软雅黑" w:cs="宋体"/>
                <w:kern w:val="0"/>
                <w:sz w:val="24"/>
                <w:szCs w:val="24"/>
              </w:rPr>
              <w:t>评估</w:t>
            </w:r>
          </w:p>
        </w:tc>
        <w:tc>
          <w:tcPr>
            <w:tcW w:w="503" w:type="pct"/>
            <w:tcMar>
              <w:top w:w="56" w:type="dxa"/>
              <w:left w:w="56" w:type="dxa"/>
              <w:bottom w:w="56" w:type="dxa"/>
              <w:right w:w="56" w:type="dxa"/>
            </w:tcMar>
            <w:hideMark/>
          </w:tcPr>
          <w:p w14:paraId="2DE2CC4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32" w:type="pct"/>
            <w:tcMar>
              <w:top w:w="56" w:type="dxa"/>
              <w:left w:w="56" w:type="dxa"/>
              <w:bottom w:w="56" w:type="dxa"/>
              <w:right w:w="56" w:type="dxa"/>
            </w:tcMar>
            <w:hideMark/>
          </w:tcPr>
          <w:p w14:paraId="70C3FD0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8" w:type="pct"/>
            <w:tcMar>
              <w:top w:w="56" w:type="dxa"/>
              <w:left w:w="56" w:type="dxa"/>
              <w:bottom w:w="56" w:type="dxa"/>
              <w:right w:w="56" w:type="dxa"/>
            </w:tcMar>
            <w:hideMark/>
          </w:tcPr>
          <w:p w14:paraId="29D021E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30B1AC0E"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2B2268B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6217B68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42C1490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0C1B8D6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6" w:type="pct"/>
            <w:tcMar>
              <w:top w:w="56" w:type="dxa"/>
              <w:left w:w="56" w:type="dxa"/>
              <w:bottom w:w="56" w:type="dxa"/>
              <w:right w:w="56" w:type="dxa"/>
            </w:tcMar>
            <w:hideMark/>
          </w:tcPr>
          <w:p w14:paraId="180C659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2EA1012E"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1625" w:type="pct"/>
            <w:tcMar>
              <w:top w:w="56" w:type="dxa"/>
              <w:left w:w="56" w:type="dxa"/>
              <w:bottom w:w="56" w:type="dxa"/>
              <w:right w:w="56" w:type="dxa"/>
            </w:tcMar>
            <w:hideMark/>
          </w:tcPr>
          <w:p w14:paraId="71B7209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14CA5165" w14:textId="77777777" w:rsidTr="0062545B">
        <w:trPr>
          <w:tblCellSpacing w:w="15" w:type="dxa"/>
        </w:trPr>
        <w:tc>
          <w:tcPr>
            <w:tcW w:w="669" w:type="pct"/>
            <w:tcMar>
              <w:top w:w="56" w:type="dxa"/>
              <w:left w:w="56" w:type="dxa"/>
              <w:bottom w:w="56" w:type="dxa"/>
              <w:right w:w="56" w:type="dxa"/>
            </w:tcMar>
            <w:hideMark/>
          </w:tcPr>
          <w:p w14:paraId="7990FE5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生活质量</w:t>
            </w:r>
            <w:hyperlink r:id="rId32" w:anchor="TF2" w:history="1">
              <w:r w:rsidRPr="0062545B">
                <w:rPr>
                  <w:rFonts w:ascii="微软雅黑" w:eastAsia="微软雅黑" w:hAnsi="微软雅黑" w:cs="宋体"/>
                  <w:kern w:val="0"/>
                  <w:sz w:val="24"/>
                  <w:szCs w:val="24"/>
                  <w:u w:val="single"/>
                  <w:vertAlign w:val="superscript"/>
                </w:rPr>
                <w:t>评估</w:t>
              </w:r>
            </w:hyperlink>
          </w:p>
        </w:tc>
        <w:tc>
          <w:tcPr>
            <w:tcW w:w="503" w:type="pct"/>
            <w:tcMar>
              <w:top w:w="56" w:type="dxa"/>
              <w:left w:w="56" w:type="dxa"/>
              <w:bottom w:w="56" w:type="dxa"/>
              <w:right w:w="56" w:type="dxa"/>
            </w:tcMar>
            <w:hideMark/>
          </w:tcPr>
          <w:p w14:paraId="4A79CAC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32" w:type="pct"/>
            <w:tcMar>
              <w:top w:w="56" w:type="dxa"/>
              <w:left w:w="56" w:type="dxa"/>
              <w:bottom w:w="56" w:type="dxa"/>
              <w:right w:w="56" w:type="dxa"/>
            </w:tcMar>
            <w:hideMark/>
          </w:tcPr>
          <w:p w14:paraId="3D664F6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8" w:type="pct"/>
            <w:tcMar>
              <w:top w:w="56" w:type="dxa"/>
              <w:left w:w="56" w:type="dxa"/>
              <w:bottom w:w="56" w:type="dxa"/>
              <w:right w:w="56" w:type="dxa"/>
            </w:tcMar>
            <w:hideMark/>
          </w:tcPr>
          <w:p w14:paraId="1901D57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76676AB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787677B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73DBF4B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5847B15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516C7FD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6" w:type="pct"/>
            <w:tcMar>
              <w:top w:w="56" w:type="dxa"/>
              <w:left w:w="56" w:type="dxa"/>
              <w:bottom w:w="56" w:type="dxa"/>
              <w:right w:w="56" w:type="dxa"/>
            </w:tcMar>
            <w:hideMark/>
          </w:tcPr>
          <w:p w14:paraId="4A70943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5BF32EF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1625" w:type="pct"/>
            <w:tcMar>
              <w:top w:w="56" w:type="dxa"/>
              <w:left w:w="56" w:type="dxa"/>
              <w:bottom w:w="56" w:type="dxa"/>
              <w:right w:w="56" w:type="dxa"/>
            </w:tcMar>
            <w:hideMark/>
          </w:tcPr>
          <w:p w14:paraId="1B5E896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07D3B41C" w14:textId="77777777" w:rsidTr="0062545B">
        <w:trPr>
          <w:tblCellSpacing w:w="15" w:type="dxa"/>
        </w:trPr>
        <w:tc>
          <w:tcPr>
            <w:tcW w:w="669" w:type="pct"/>
            <w:tcMar>
              <w:top w:w="56" w:type="dxa"/>
              <w:left w:w="56" w:type="dxa"/>
              <w:bottom w:w="56" w:type="dxa"/>
              <w:right w:w="56" w:type="dxa"/>
            </w:tcMar>
            <w:hideMark/>
          </w:tcPr>
          <w:p w14:paraId="30A157C6"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医疗消费</w:t>
            </w:r>
            <w:hyperlink r:id="rId33" w:anchor="TF2" w:history="1">
              <w:r w:rsidRPr="0062545B">
                <w:rPr>
                  <w:rFonts w:ascii="微软雅黑" w:eastAsia="微软雅黑" w:hAnsi="微软雅黑" w:cs="宋体"/>
                  <w:kern w:val="0"/>
                  <w:sz w:val="24"/>
                  <w:szCs w:val="24"/>
                  <w:u w:val="single"/>
                  <w:vertAlign w:val="superscript"/>
                </w:rPr>
                <w:t>问卷</w:t>
              </w:r>
            </w:hyperlink>
          </w:p>
        </w:tc>
        <w:tc>
          <w:tcPr>
            <w:tcW w:w="503" w:type="pct"/>
            <w:tcMar>
              <w:top w:w="56" w:type="dxa"/>
              <w:left w:w="56" w:type="dxa"/>
              <w:bottom w:w="56" w:type="dxa"/>
              <w:right w:w="56" w:type="dxa"/>
            </w:tcMar>
            <w:hideMark/>
          </w:tcPr>
          <w:p w14:paraId="38B116B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32" w:type="pct"/>
            <w:tcMar>
              <w:top w:w="56" w:type="dxa"/>
              <w:left w:w="56" w:type="dxa"/>
              <w:bottom w:w="56" w:type="dxa"/>
              <w:right w:w="56" w:type="dxa"/>
            </w:tcMar>
            <w:hideMark/>
          </w:tcPr>
          <w:p w14:paraId="7CC1C89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8" w:type="pct"/>
            <w:tcMar>
              <w:top w:w="56" w:type="dxa"/>
              <w:left w:w="56" w:type="dxa"/>
              <w:bottom w:w="56" w:type="dxa"/>
              <w:right w:w="56" w:type="dxa"/>
            </w:tcMar>
            <w:hideMark/>
          </w:tcPr>
          <w:p w14:paraId="31384B3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57A9CC5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281176F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410D5BD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388806F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5580FC3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6" w:type="pct"/>
            <w:tcMar>
              <w:top w:w="56" w:type="dxa"/>
              <w:left w:w="56" w:type="dxa"/>
              <w:bottom w:w="56" w:type="dxa"/>
              <w:right w:w="56" w:type="dxa"/>
            </w:tcMar>
            <w:hideMark/>
          </w:tcPr>
          <w:p w14:paraId="5059925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174F055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1625" w:type="pct"/>
            <w:tcMar>
              <w:top w:w="56" w:type="dxa"/>
              <w:left w:w="56" w:type="dxa"/>
              <w:bottom w:w="56" w:type="dxa"/>
              <w:right w:w="56" w:type="dxa"/>
            </w:tcMar>
            <w:hideMark/>
          </w:tcPr>
          <w:p w14:paraId="4D8BD0B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0F734E0E" w14:textId="77777777" w:rsidTr="0062545B">
        <w:trPr>
          <w:tblCellSpacing w:w="15" w:type="dxa"/>
        </w:trPr>
        <w:tc>
          <w:tcPr>
            <w:tcW w:w="669" w:type="pct"/>
            <w:tcMar>
              <w:top w:w="56" w:type="dxa"/>
              <w:left w:w="56" w:type="dxa"/>
              <w:bottom w:w="56" w:type="dxa"/>
              <w:right w:w="56" w:type="dxa"/>
            </w:tcMar>
            <w:hideMark/>
          </w:tcPr>
          <w:p w14:paraId="5FB15AA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随机化</w:t>
            </w:r>
          </w:p>
        </w:tc>
        <w:tc>
          <w:tcPr>
            <w:tcW w:w="503" w:type="pct"/>
            <w:tcMar>
              <w:top w:w="56" w:type="dxa"/>
              <w:left w:w="56" w:type="dxa"/>
              <w:bottom w:w="56" w:type="dxa"/>
              <w:right w:w="56" w:type="dxa"/>
            </w:tcMar>
            <w:hideMark/>
          </w:tcPr>
          <w:p w14:paraId="31EFB99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32" w:type="pct"/>
            <w:tcMar>
              <w:top w:w="56" w:type="dxa"/>
              <w:left w:w="56" w:type="dxa"/>
              <w:bottom w:w="56" w:type="dxa"/>
              <w:right w:w="56" w:type="dxa"/>
            </w:tcMar>
            <w:hideMark/>
          </w:tcPr>
          <w:p w14:paraId="54B0D36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8" w:type="pct"/>
            <w:tcMar>
              <w:top w:w="56" w:type="dxa"/>
              <w:left w:w="56" w:type="dxa"/>
              <w:bottom w:w="56" w:type="dxa"/>
              <w:right w:w="56" w:type="dxa"/>
            </w:tcMar>
            <w:hideMark/>
          </w:tcPr>
          <w:p w14:paraId="1EAA79D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0D1231F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0E145F7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3E9E7C8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611BC79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01C3E9E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53F22AA6"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0C5AFE5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1625" w:type="pct"/>
            <w:tcMar>
              <w:top w:w="56" w:type="dxa"/>
              <w:left w:w="56" w:type="dxa"/>
              <w:bottom w:w="56" w:type="dxa"/>
              <w:right w:w="56" w:type="dxa"/>
            </w:tcMar>
            <w:hideMark/>
          </w:tcPr>
          <w:p w14:paraId="19DB5C5E"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6231F739" w14:textId="77777777" w:rsidTr="0062545B">
        <w:trPr>
          <w:tblCellSpacing w:w="15" w:type="dxa"/>
        </w:trPr>
        <w:tc>
          <w:tcPr>
            <w:tcW w:w="669" w:type="pct"/>
            <w:tcMar>
              <w:top w:w="56" w:type="dxa"/>
              <w:left w:w="56" w:type="dxa"/>
              <w:bottom w:w="56" w:type="dxa"/>
              <w:right w:w="56" w:type="dxa"/>
            </w:tcMar>
            <w:hideMark/>
          </w:tcPr>
          <w:p w14:paraId="558622A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CDK4/6抑制剂和内分泌治疗</w:t>
            </w:r>
            <w:hyperlink r:id="rId34" w:anchor="TF2" w:history="1">
              <w:r w:rsidRPr="0062545B">
                <w:rPr>
                  <w:rFonts w:ascii="微软雅黑" w:eastAsia="微软雅黑" w:hAnsi="微软雅黑" w:cs="宋体"/>
                  <w:kern w:val="0"/>
                  <w:sz w:val="24"/>
                  <w:szCs w:val="24"/>
                  <w:u w:val="single"/>
                  <w:vertAlign w:val="superscript"/>
                </w:rPr>
                <w:t>a</w:t>
              </w:r>
            </w:hyperlink>
            <w:r w:rsidRPr="0062545B">
              <w:rPr>
                <w:rFonts w:ascii="微软雅黑" w:eastAsia="微软雅黑" w:hAnsi="微软雅黑" w:cs="宋体"/>
                <w:kern w:val="0"/>
                <w:sz w:val="24"/>
                <w:szCs w:val="24"/>
                <w:vertAlign w:val="superscript"/>
              </w:rPr>
              <w:t>、</w:t>
            </w:r>
            <w:hyperlink r:id="rId35" w:anchor="TF3" w:history="1">
              <w:r w:rsidRPr="0062545B">
                <w:rPr>
                  <w:rFonts w:ascii="微软雅黑" w:eastAsia="微软雅黑" w:hAnsi="微软雅黑" w:cs="宋体"/>
                  <w:kern w:val="0"/>
                  <w:sz w:val="24"/>
                  <w:szCs w:val="24"/>
                  <w:u w:val="single"/>
                  <w:vertAlign w:val="superscript"/>
                </w:rPr>
                <w:t>b</w:t>
              </w:r>
            </w:hyperlink>
            <w:r w:rsidRPr="0062545B">
              <w:rPr>
                <w:rFonts w:ascii="微软雅黑" w:eastAsia="微软雅黑" w:hAnsi="微软雅黑" w:cs="宋体"/>
                <w:kern w:val="0"/>
                <w:sz w:val="24"/>
                <w:szCs w:val="24"/>
                <w:vertAlign w:val="superscript"/>
              </w:rPr>
              <w:t>、</w:t>
            </w:r>
            <w:hyperlink r:id="rId36" w:anchor="TF4" w:history="1">
              <w:r w:rsidRPr="0062545B">
                <w:rPr>
                  <w:rFonts w:ascii="微软雅黑" w:eastAsia="微软雅黑" w:hAnsi="微软雅黑" w:cs="宋体"/>
                  <w:kern w:val="0"/>
                  <w:sz w:val="24"/>
                  <w:szCs w:val="24"/>
                  <w:u w:val="single"/>
                  <w:vertAlign w:val="superscript"/>
                </w:rPr>
                <w:t>c</w:t>
              </w:r>
            </w:hyperlink>
          </w:p>
        </w:tc>
        <w:tc>
          <w:tcPr>
            <w:tcW w:w="503" w:type="pct"/>
            <w:tcMar>
              <w:top w:w="56" w:type="dxa"/>
              <w:left w:w="56" w:type="dxa"/>
              <w:bottom w:w="56" w:type="dxa"/>
              <w:right w:w="56" w:type="dxa"/>
            </w:tcMar>
            <w:hideMark/>
          </w:tcPr>
          <w:p w14:paraId="15EB9FD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32" w:type="pct"/>
            <w:tcMar>
              <w:top w:w="56" w:type="dxa"/>
              <w:left w:w="56" w:type="dxa"/>
              <w:bottom w:w="56" w:type="dxa"/>
              <w:right w:w="56" w:type="dxa"/>
            </w:tcMar>
            <w:hideMark/>
          </w:tcPr>
          <w:p w14:paraId="0B6069D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1899" w:type="pct"/>
            <w:gridSpan w:val="8"/>
            <w:tcMar>
              <w:top w:w="56" w:type="dxa"/>
              <w:left w:w="56" w:type="dxa"/>
              <w:bottom w:w="56" w:type="dxa"/>
              <w:right w:w="56" w:type="dxa"/>
            </w:tcMar>
            <w:hideMark/>
          </w:tcPr>
          <w:p w14:paraId="0CC8B89E" w14:textId="62D24253"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br/>
            </w:r>
            <w:r w:rsidRPr="0062545B">
              <w:rPr>
                <w:rFonts w:ascii="微软雅黑" w:eastAsia="微软雅黑" w:hAnsi="微软雅黑" w:cs="宋体"/>
                <w:noProof/>
                <w:kern w:val="0"/>
                <w:sz w:val="24"/>
                <w:szCs w:val="24"/>
              </w:rPr>
              <w:drawing>
                <wp:inline distT="0" distB="0" distL="0" distR="0" wp14:anchorId="012CA2BE" wp14:editId="3333BC79">
                  <wp:extent cx="2628900" cy="97155"/>
                  <wp:effectExtent l="0" t="0" r="0" b="0"/>
                  <wp:docPr id="1" name="图片 1" descr="内嵌图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G0001" descr="内嵌图形"/>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28900" cy="97155"/>
                          </a:xfrm>
                          <a:prstGeom prst="rect">
                            <a:avLst/>
                          </a:prstGeom>
                          <a:noFill/>
                          <a:ln>
                            <a:noFill/>
                          </a:ln>
                        </pic:spPr>
                      </pic:pic>
                    </a:graphicData>
                  </a:graphic>
                </wp:inline>
              </w:drawing>
            </w:r>
          </w:p>
        </w:tc>
        <w:tc>
          <w:tcPr>
            <w:tcW w:w="1625" w:type="pct"/>
            <w:tcMar>
              <w:top w:w="56" w:type="dxa"/>
              <w:left w:w="56" w:type="dxa"/>
              <w:bottom w:w="56" w:type="dxa"/>
              <w:right w:w="56" w:type="dxa"/>
            </w:tcMar>
            <w:hideMark/>
          </w:tcPr>
          <w:p w14:paraId="0B5F4DA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后续治疗将根据主治医生的指示进行。</w:t>
            </w:r>
          </w:p>
        </w:tc>
      </w:tr>
      <w:tr w:rsidR="0062545B" w:rsidRPr="0062545B" w14:paraId="40E831AB" w14:textId="77777777" w:rsidTr="0062545B">
        <w:trPr>
          <w:tblCellSpacing w:w="15" w:type="dxa"/>
        </w:trPr>
        <w:tc>
          <w:tcPr>
            <w:tcW w:w="669" w:type="pct"/>
            <w:tcMar>
              <w:top w:w="56" w:type="dxa"/>
              <w:left w:w="56" w:type="dxa"/>
              <w:bottom w:w="56" w:type="dxa"/>
              <w:right w:w="56" w:type="dxa"/>
            </w:tcMar>
            <w:hideMark/>
          </w:tcPr>
          <w:p w14:paraId="31E6287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功效</w:t>
            </w:r>
            <w:hyperlink r:id="rId38" w:anchor="TF2" w:history="1">
              <w:r w:rsidRPr="0062545B">
                <w:rPr>
                  <w:rFonts w:ascii="微软雅黑" w:eastAsia="微软雅黑" w:hAnsi="微软雅黑" w:cs="宋体"/>
                  <w:kern w:val="0"/>
                  <w:sz w:val="24"/>
                  <w:szCs w:val="24"/>
                  <w:u w:val="single"/>
                  <w:vertAlign w:val="superscript"/>
                </w:rPr>
                <w:t>评价</w:t>
              </w:r>
            </w:hyperlink>
          </w:p>
        </w:tc>
        <w:tc>
          <w:tcPr>
            <w:tcW w:w="503" w:type="pct"/>
            <w:tcMar>
              <w:top w:w="56" w:type="dxa"/>
              <w:left w:w="56" w:type="dxa"/>
              <w:bottom w:w="56" w:type="dxa"/>
              <w:right w:w="56" w:type="dxa"/>
            </w:tcMar>
            <w:hideMark/>
          </w:tcPr>
          <w:p w14:paraId="65AB202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基线客观测量</w:t>
            </w:r>
          </w:p>
        </w:tc>
        <w:tc>
          <w:tcPr>
            <w:tcW w:w="232" w:type="pct"/>
            <w:tcMar>
              <w:top w:w="56" w:type="dxa"/>
              <w:left w:w="56" w:type="dxa"/>
              <w:bottom w:w="56" w:type="dxa"/>
              <w:right w:w="56" w:type="dxa"/>
            </w:tcMar>
            <w:hideMark/>
          </w:tcPr>
          <w:p w14:paraId="70FCE6C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8" w:type="pct"/>
            <w:tcMar>
              <w:top w:w="56" w:type="dxa"/>
              <w:left w:w="56" w:type="dxa"/>
              <w:bottom w:w="56" w:type="dxa"/>
              <w:right w:w="56" w:type="dxa"/>
            </w:tcMar>
            <w:hideMark/>
          </w:tcPr>
          <w:p w14:paraId="312E817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602980F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3345F35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1D95993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0F22A9F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3FDE64C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6" w:type="pct"/>
            <w:tcMar>
              <w:top w:w="56" w:type="dxa"/>
              <w:left w:w="56" w:type="dxa"/>
              <w:bottom w:w="56" w:type="dxa"/>
              <w:right w:w="56" w:type="dxa"/>
            </w:tcMar>
            <w:hideMark/>
          </w:tcPr>
          <w:p w14:paraId="51CD2B8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6" w:type="pct"/>
            <w:tcMar>
              <w:top w:w="56" w:type="dxa"/>
              <w:left w:w="56" w:type="dxa"/>
              <w:bottom w:w="56" w:type="dxa"/>
              <w:right w:w="56" w:type="dxa"/>
            </w:tcMar>
            <w:hideMark/>
          </w:tcPr>
          <w:p w14:paraId="470B3F2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1625" w:type="pct"/>
            <w:tcMar>
              <w:top w:w="56" w:type="dxa"/>
              <w:left w:w="56" w:type="dxa"/>
              <w:bottom w:w="56" w:type="dxa"/>
              <w:right w:w="56" w:type="dxa"/>
            </w:tcMar>
            <w:hideMark/>
          </w:tcPr>
          <w:p w14:paraId="15824044"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2ABC6EDF" w14:textId="77777777" w:rsidTr="0062545B">
        <w:trPr>
          <w:tblCellSpacing w:w="15" w:type="dxa"/>
        </w:trPr>
        <w:tc>
          <w:tcPr>
            <w:tcW w:w="669" w:type="pct"/>
            <w:tcMar>
              <w:top w:w="56" w:type="dxa"/>
              <w:left w:w="56" w:type="dxa"/>
              <w:bottom w:w="56" w:type="dxa"/>
              <w:right w:w="56" w:type="dxa"/>
            </w:tcMar>
            <w:hideMark/>
          </w:tcPr>
          <w:p w14:paraId="26C6331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总体治疗效用</w:t>
            </w:r>
          </w:p>
        </w:tc>
        <w:tc>
          <w:tcPr>
            <w:tcW w:w="503" w:type="pct"/>
            <w:tcMar>
              <w:top w:w="56" w:type="dxa"/>
              <w:left w:w="56" w:type="dxa"/>
              <w:bottom w:w="56" w:type="dxa"/>
              <w:right w:w="56" w:type="dxa"/>
            </w:tcMar>
            <w:hideMark/>
          </w:tcPr>
          <w:p w14:paraId="1CA35F5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32" w:type="pct"/>
            <w:tcMar>
              <w:top w:w="56" w:type="dxa"/>
              <w:left w:w="56" w:type="dxa"/>
              <w:bottom w:w="56" w:type="dxa"/>
              <w:right w:w="56" w:type="dxa"/>
            </w:tcMar>
            <w:hideMark/>
          </w:tcPr>
          <w:p w14:paraId="428C44F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8" w:type="pct"/>
            <w:tcMar>
              <w:top w:w="56" w:type="dxa"/>
              <w:left w:w="56" w:type="dxa"/>
              <w:bottom w:w="56" w:type="dxa"/>
              <w:right w:w="56" w:type="dxa"/>
            </w:tcMar>
            <w:hideMark/>
          </w:tcPr>
          <w:p w14:paraId="1A3FC8A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w:t>
            </w:r>
          </w:p>
        </w:tc>
        <w:tc>
          <w:tcPr>
            <w:tcW w:w="227" w:type="pct"/>
            <w:tcMar>
              <w:top w:w="56" w:type="dxa"/>
              <w:left w:w="56" w:type="dxa"/>
              <w:bottom w:w="56" w:type="dxa"/>
              <w:right w:w="56" w:type="dxa"/>
            </w:tcMar>
            <w:hideMark/>
          </w:tcPr>
          <w:p w14:paraId="1C0246C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1E610C8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0C2AED57"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65DFE8F6"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59F914B6"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439C60C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613AC51B"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1625" w:type="pct"/>
            <w:tcMar>
              <w:top w:w="56" w:type="dxa"/>
              <w:left w:w="56" w:type="dxa"/>
              <w:bottom w:w="56" w:type="dxa"/>
              <w:right w:w="56" w:type="dxa"/>
            </w:tcMar>
            <w:hideMark/>
          </w:tcPr>
          <w:p w14:paraId="26A889D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7B0C0F56" w14:textId="77777777" w:rsidTr="0062545B">
        <w:trPr>
          <w:tblCellSpacing w:w="15" w:type="dxa"/>
        </w:trPr>
        <w:tc>
          <w:tcPr>
            <w:tcW w:w="669" w:type="pct"/>
            <w:tcMar>
              <w:top w:w="56" w:type="dxa"/>
              <w:left w:w="56" w:type="dxa"/>
              <w:bottom w:w="56" w:type="dxa"/>
              <w:right w:w="56" w:type="dxa"/>
            </w:tcMar>
            <w:hideMark/>
          </w:tcPr>
          <w:p w14:paraId="19F6273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毒性</w:t>
            </w:r>
          </w:p>
        </w:tc>
        <w:tc>
          <w:tcPr>
            <w:tcW w:w="503" w:type="pct"/>
            <w:tcMar>
              <w:top w:w="56" w:type="dxa"/>
              <w:left w:w="56" w:type="dxa"/>
              <w:bottom w:w="56" w:type="dxa"/>
              <w:right w:w="56" w:type="dxa"/>
            </w:tcMar>
            <w:hideMark/>
          </w:tcPr>
          <w:p w14:paraId="134B70C1"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基线测量</w:t>
            </w:r>
            <w:hyperlink r:id="rId39" w:anchor="TF6" w:history="1">
              <w:r w:rsidRPr="0062545B">
                <w:rPr>
                  <w:rFonts w:ascii="微软雅黑" w:eastAsia="微软雅黑" w:hAnsi="微软雅黑" w:cs="宋体"/>
                  <w:kern w:val="0"/>
                  <w:sz w:val="24"/>
                  <w:szCs w:val="24"/>
                  <w:u w:val="single"/>
                  <w:vertAlign w:val="superscript"/>
                </w:rPr>
                <w:t>e</w:t>
              </w:r>
            </w:hyperlink>
            <w:r w:rsidRPr="0062545B">
              <w:rPr>
                <w:rFonts w:ascii="微软雅黑" w:eastAsia="微软雅黑" w:hAnsi="微软雅黑" w:cs="宋体"/>
                <w:kern w:val="0"/>
                <w:sz w:val="24"/>
                <w:szCs w:val="24"/>
              </w:rPr>
              <w:t>（临床、血液</w:t>
            </w:r>
            <w:r w:rsidRPr="0062545B">
              <w:rPr>
                <w:rFonts w:ascii="微软雅黑" w:eastAsia="微软雅黑" w:hAnsi="微软雅黑" w:cs="宋体"/>
                <w:kern w:val="0"/>
                <w:sz w:val="24"/>
                <w:szCs w:val="24"/>
              </w:rPr>
              <w:lastRenderedPageBreak/>
              <w:t>分析）</w:t>
            </w:r>
          </w:p>
        </w:tc>
        <w:tc>
          <w:tcPr>
            <w:tcW w:w="232" w:type="pct"/>
            <w:tcMar>
              <w:top w:w="56" w:type="dxa"/>
              <w:left w:w="56" w:type="dxa"/>
              <w:bottom w:w="56" w:type="dxa"/>
              <w:right w:w="56" w:type="dxa"/>
            </w:tcMar>
            <w:hideMark/>
          </w:tcPr>
          <w:p w14:paraId="503154A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 </w:t>
            </w:r>
          </w:p>
        </w:tc>
        <w:tc>
          <w:tcPr>
            <w:tcW w:w="1899" w:type="pct"/>
            <w:gridSpan w:val="8"/>
            <w:tcMar>
              <w:top w:w="56" w:type="dxa"/>
              <w:left w:w="56" w:type="dxa"/>
              <w:bottom w:w="56" w:type="dxa"/>
              <w:right w:w="56" w:type="dxa"/>
            </w:tcMar>
            <w:hideMark/>
          </w:tcPr>
          <w:p w14:paraId="0F8A9CB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每个疗程开始前以及 CDK4/6 抑制剂停用后最多 28 天</w:t>
            </w:r>
          </w:p>
        </w:tc>
        <w:tc>
          <w:tcPr>
            <w:tcW w:w="1625" w:type="pct"/>
            <w:tcMar>
              <w:top w:w="56" w:type="dxa"/>
              <w:left w:w="56" w:type="dxa"/>
              <w:bottom w:w="56" w:type="dxa"/>
              <w:right w:w="56" w:type="dxa"/>
            </w:tcMar>
            <w:hideMark/>
          </w:tcPr>
          <w:p w14:paraId="53ABA5FF"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r>
      <w:tr w:rsidR="0062545B" w:rsidRPr="0062545B" w14:paraId="049FBEA5" w14:textId="77777777" w:rsidTr="0062545B">
        <w:trPr>
          <w:tblCellSpacing w:w="15" w:type="dxa"/>
        </w:trPr>
        <w:tc>
          <w:tcPr>
            <w:tcW w:w="669" w:type="pct"/>
            <w:tcMar>
              <w:top w:w="56" w:type="dxa"/>
              <w:left w:w="56" w:type="dxa"/>
              <w:bottom w:w="56" w:type="dxa"/>
              <w:right w:w="56" w:type="dxa"/>
            </w:tcMar>
            <w:hideMark/>
          </w:tcPr>
          <w:p w14:paraId="18B53F1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生存随访信息</w:t>
            </w:r>
          </w:p>
        </w:tc>
        <w:tc>
          <w:tcPr>
            <w:tcW w:w="503" w:type="pct"/>
            <w:tcMar>
              <w:top w:w="56" w:type="dxa"/>
              <w:left w:w="56" w:type="dxa"/>
              <w:bottom w:w="56" w:type="dxa"/>
              <w:right w:w="56" w:type="dxa"/>
            </w:tcMar>
            <w:hideMark/>
          </w:tcPr>
          <w:p w14:paraId="7C414D8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32" w:type="pct"/>
            <w:tcMar>
              <w:top w:w="56" w:type="dxa"/>
              <w:left w:w="56" w:type="dxa"/>
              <w:bottom w:w="56" w:type="dxa"/>
              <w:right w:w="56" w:type="dxa"/>
            </w:tcMar>
            <w:hideMark/>
          </w:tcPr>
          <w:p w14:paraId="7047685D"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8" w:type="pct"/>
            <w:tcMar>
              <w:top w:w="56" w:type="dxa"/>
              <w:left w:w="56" w:type="dxa"/>
              <w:bottom w:w="56" w:type="dxa"/>
              <w:right w:w="56" w:type="dxa"/>
            </w:tcMar>
            <w:hideMark/>
          </w:tcPr>
          <w:p w14:paraId="7E7BA69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68B354A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42C3B4D5"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68FD164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504BDBBC"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7" w:type="pct"/>
            <w:tcMar>
              <w:top w:w="56" w:type="dxa"/>
              <w:left w:w="56" w:type="dxa"/>
              <w:bottom w:w="56" w:type="dxa"/>
              <w:right w:w="56" w:type="dxa"/>
            </w:tcMar>
            <w:hideMark/>
          </w:tcPr>
          <w:p w14:paraId="09399B8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020F8666"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226" w:type="pct"/>
            <w:tcMar>
              <w:top w:w="56" w:type="dxa"/>
              <w:left w:w="56" w:type="dxa"/>
              <w:bottom w:w="56" w:type="dxa"/>
              <w:right w:w="56" w:type="dxa"/>
            </w:tcMar>
            <w:hideMark/>
          </w:tcPr>
          <w:p w14:paraId="28A3A51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 </w:t>
            </w:r>
          </w:p>
        </w:tc>
        <w:tc>
          <w:tcPr>
            <w:tcW w:w="1625" w:type="pct"/>
            <w:tcMar>
              <w:top w:w="56" w:type="dxa"/>
              <w:left w:w="56" w:type="dxa"/>
              <w:bottom w:w="56" w:type="dxa"/>
              <w:right w:w="56" w:type="dxa"/>
            </w:tcMar>
            <w:hideMark/>
          </w:tcPr>
          <w:p w14:paraId="29001E86"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CDK4/6 抑制剂治疗后疾病进展的日期（对于在试验治疗阶段后继续接受此治疗的患者）；任何后续治疗策略；死亡日期和原因。</w:t>
            </w:r>
          </w:p>
        </w:tc>
      </w:tr>
    </w:tbl>
    <w:p w14:paraId="5722D23A"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rPr>
        <w:t>X 表示适用于相应研究阶段的程序，即筛选阶段、治疗阶段和治疗后阶段。</w:t>
      </w:r>
    </w:p>
    <w:p w14:paraId="6DE7CF10"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vertAlign w:val="superscript"/>
        </w:rPr>
        <w:t>一个</w:t>
      </w:r>
    </w:p>
    <w:p w14:paraId="70FF8A67"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直至疾病进展、参与者/医生决定停止治疗或死亡。</w:t>
      </w:r>
    </w:p>
    <w:p w14:paraId="166D7959"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vertAlign w:val="superscript"/>
        </w:rPr>
        <w:t>b</w:t>
      </w:r>
    </w:p>
    <w:p w14:paraId="00D4FC6A"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CDK4/6抑制剂治疗应在随机分组后14天内开始。</w:t>
      </w:r>
    </w:p>
    <w:p w14:paraId="05E42103"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vertAlign w:val="superscript"/>
        </w:rPr>
        <w:t>c</w:t>
      </w:r>
    </w:p>
    <w:p w14:paraId="1BD333E7"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建议内分泌治疗与 CDK4/6 抑制剂同时开始，但允许在 CDK4/6 抑制剂治疗前最多 28 天开始内分泌治疗。</w:t>
      </w:r>
    </w:p>
    <w:p w14:paraId="107AF2A8"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vertAlign w:val="superscript"/>
        </w:rPr>
        <w:t>d</w:t>
      </w:r>
    </w:p>
    <w:p w14:paraId="57BBC107"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体格检查包括对患者身体状况的评估以及对任何临床发现的转移性病变的临床评估。</w:t>
      </w:r>
    </w:p>
    <w:p w14:paraId="58E90F42" w14:textId="77777777" w:rsidR="0062545B" w:rsidRPr="0062545B" w:rsidRDefault="0062545B" w:rsidP="0062545B">
      <w:pPr>
        <w:widowControl/>
        <w:rPr>
          <w:rFonts w:ascii="微软雅黑" w:eastAsia="微软雅黑" w:hAnsi="微软雅黑" w:cs="宋体"/>
          <w:kern w:val="0"/>
          <w:sz w:val="24"/>
          <w:szCs w:val="24"/>
        </w:rPr>
      </w:pPr>
      <w:r w:rsidRPr="0062545B">
        <w:rPr>
          <w:rFonts w:ascii="微软雅黑" w:eastAsia="微软雅黑" w:hAnsi="微软雅黑" w:cs="宋体"/>
          <w:kern w:val="0"/>
          <w:sz w:val="24"/>
          <w:szCs w:val="24"/>
          <w:vertAlign w:val="superscript"/>
        </w:rPr>
        <w:t>e</w:t>
      </w:r>
    </w:p>
    <w:p w14:paraId="7FFB33BC"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血液检查包括全血细胞计数、肝功能检查和肾功能检查。任何其他检查均取决于患者的健康状况，并由研究者酌情决定。</w:t>
      </w:r>
    </w:p>
    <w:p w14:paraId="62FCAE8D"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2.6 样本量</w:t>
      </w:r>
    </w:p>
    <w:p w14:paraId="12C14FC9"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本研究采用</w:t>
      </w:r>
      <w:proofErr w:type="gramStart"/>
      <w:r w:rsidRPr="0062545B">
        <w:rPr>
          <w:rFonts w:ascii="微软雅黑" w:eastAsia="微软雅黑" w:hAnsi="微软雅黑" w:cs="宋体"/>
          <w:kern w:val="0"/>
          <w:sz w:val="24"/>
          <w:szCs w:val="24"/>
        </w:rPr>
        <w:t>非劣效性</w:t>
      </w:r>
      <w:proofErr w:type="gramEnd"/>
      <w:r w:rsidRPr="0062545B">
        <w:rPr>
          <w:rFonts w:ascii="微软雅黑" w:eastAsia="微软雅黑" w:hAnsi="微软雅黑" w:cs="宋体"/>
          <w:kern w:val="0"/>
          <w:sz w:val="24"/>
          <w:szCs w:val="24"/>
        </w:rPr>
        <w:t>研究设计，针对体弱/脆弱人群。试验组的至治疗失败时间（TTF）预计为18个月，标准组为16个月，试验组的优势较小，这是由于预期毒性导致的停药率较低。考虑到单侧5%的显著性水平和80%的统计功效，</w:t>
      </w:r>
      <w:proofErr w:type="gramStart"/>
      <w:r w:rsidRPr="0062545B">
        <w:rPr>
          <w:rFonts w:ascii="微软雅黑" w:eastAsia="微软雅黑" w:hAnsi="微软雅黑" w:cs="宋体"/>
          <w:kern w:val="0"/>
          <w:sz w:val="24"/>
          <w:szCs w:val="24"/>
        </w:rPr>
        <w:t>非劣效性风险比界值</w:t>
      </w:r>
      <w:proofErr w:type="gramEnd"/>
      <w:r w:rsidRPr="0062545B">
        <w:rPr>
          <w:rFonts w:ascii="微软雅黑" w:eastAsia="微软雅黑" w:hAnsi="微软雅黑" w:cs="宋体"/>
          <w:kern w:val="0"/>
          <w:sz w:val="24"/>
          <w:szCs w:val="24"/>
        </w:rPr>
        <w:t>为1.19（相当于TTF的绝对界值为2.5个月），以及10%的脱落率，需要随机分配346名患者，以证明低初始剂量治疗策略在TTF方面不劣于全剂量治疗策略。</w:t>
      </w:r>
    </w:p>
    <w:p w14:paraId="1D1E8F77"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对于健康状况良好的患者组，不会进行正式的统计学分析，但会采用描述性统计方法进行分析。考虑到健康状况良好的患者占30%，体弱/虚弱患者占70%，本研究需要筛选495名患者。因此，健康状况良好的患者组中将有149名患者接受治疗和随访，体弱/虚弱患者组中的346名患者将被随机分组</w:t>
      </w:r>
      <w:r w:rsidRPr="0062545B">
        <w:rPr>
          <w:rFonts w:ascii="MS Gothic" w:eastAsia="MS Gothic" w:hAnsi="MS Gothic" w:cs="MS Gothic" w:hint="eastAsia"/>
          <w:kern w:val="0"/>
          <w:sz w:val="24"/>
          <w:szCs w:val="24"/>
        </w:rPr>
        <w:t>​​</w:t>
      </w:r>
      <w:r w:rsidRPr="0062545B">
        <w:rPr>
          <w:rFonts w:ascii="微软雅黑" w:eastAsia="微软雅黑" w:hAnsi="微软雅黑" w:cs="宋体"/>
          <w:kern w:val="0"/>
          <w:sz w:val="24"/>
          <w:szCs w:val="24"/>
        </w:rPr>
        <w:t>。</w:t>
      </w:r>
    </w:p>
    <w:p w14:paraId="3872799C"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2.7 招聘</w:t>
      </w:r>
    </w:p>
    <w:p w14:paraId="1AB0240D"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患者将直接从参与试验的临床中心招募（</w:t>
      </w:r>
      <w:hyperlink r:id="rId40" w:anchor="T0001" w:history="1">
        <w:r w:rsidRPr="0062545B">
          <w:rPr>
            <w:rFonts w:ascii="微软雅黑" w:eastAsia="微软雅黑" w:hAnsi="微软雅黑" w:cs="宋体"/>
            <w:kern w:val="0"/>
            <w:sz w:val="24"/>
            <w:szCs w:val="24"/>
            <w:u w:val="single"/>
          </w:rPr>
          <w:t>表1</w:t>
        </w:r>
      </w:hyperlink>
      <w:r w:rsidRPr="0062545B">
        <w:rPr>
          <w:rFonts w:ascii="微软雅黑" w:eastAsia="微软雅黑" w:hAnsi="微软雅黑" w:cs="宋体"/>
          <w:kern w:val="0"/>
          <w:sz w:val="24"/>
          <w:szCs w:val="24"/>
        </w:rPr>
        <w:t>），或由附近医院转诊。允许各临床中心之间进行竞争性招募。入组期为30个月，在此期间，各机构的具体情况可能会影响相应临床中心的入组率。允许竞争性招募有助于提高入组期结束时成功完成入组的可能性。</w:t>
      </w:r>
    </w:p>
    <w:p w14:paraId="7263BA0C" w14:textId="77777777" w:rsidR="0062545B" w:rsidRPr="0062545B" w:rsidRDefault="0062545B" w:rsidP="0062545B">
      <w:pPr>
        <w:widowControl/>
        <w:pBdr>
          <w:bottom w:val="single" w:sz="6" w:space="0" w:color="97B1C8"/>
        </w:pBdr>
        <w:spacing w:line="450" w:lineRule="atLeast"/>
        <w:outlineLvl w:val="1"/>
        <w:rPr>
          <w:rFonts w:ascii="微软雅黑" w:eastAsia="微软雅黑" w:hAnsi="微软雅黑" w:cs="宋体"/>
          <w:kern w:val="0"/>
          <w:sz w:val="34"/>
          <w:szCs w:val="34"/>
        </w:rPr>
      </w:pPr>
      <w:r w:rsidRPr="0062545B">
        <w:rPr>
          <w:rFonts w:ascii="微软雅黑" w:eastAsia="微软雅黑" w:hAnsi="微软雅黑" w:cs="宋体"/>
          <w:kern w:val="0"/>
          <w:sz w:val="34"/>
          <w:szCs w:val="34"/>
        </w:rPr>
        <w:t>3. 方法：随机化</w:t>
      </w:r>
    </w:p>
    <w:p w14:paraId="76E54874"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随机化采用Greenlight Guru Clinical电子病例报告表（eCRF）集中进行。随机化时需要以下信息：分层因素详情；入组资格确认；书面知情同意书确认及签署日期；以及基线综合老年评估（CGA）完成情况确认。</w:t>
      </w:r>
    </w:p>
    <w:p w14:paraId="55199222"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随机分组将根据所使用的 CDK4/6 抑制剂类型（帕博西尼、瑞博西尼或阿贝西利）、内分泌治疗类型（芳香化酶抑制剂或</w:t>
      </w:r>
      <w:proofErr w:type="gramStart"/>
      <w:r w:rsidRPr="0062545B">
        <w:rPr>
          <w:rFonts w:ascii="微软雅黑" w:eastAsia="微软雅黑" w:hAnsi="微软雅黑" w:cs="宋体"/>
          <w:kern w:val="0"/>
          <w:sz w:val="24"/>
          <w:szCs w:val="24"/>
        </w:rPr>
        <w:t>氟维司群</w:t>
      </w:r>
      <w:proofErr w:type="gramEnd"/>
      <w:r w:rsidRPr="0062545B">
        <w:rPr>
          <w:rFonts w:ascii="微软雅黑" w:eastAsia="微软雅黑" w:hAnsi="微软雅黑" w:cs="宋体"/>
          <w:kern w:val="0"/>
          <w:sz w:val="24"/>
          <w:szCs w:val="24"/>
        </w:rPr>
        <w:t>）以及脆弱程度（脆弱或虚弱）进行分层。这些分层因素将有助于平衡研究结果，消除与药理学特性（不同的 CDK4/6 抑制剂）、疾病生物学（如内分泌耐药性，不同的内分泌治疗）或健康状况（脆弱或虚弱）相关的潜在差异。</w:t>
      </w:r>
    </w:p>
    <w:p w14:paraId="51081644" w14:textId="77777777" w:rsidR="0062545B" w:rsidRPr="0062545B" w:rsidRDefault="0062545B" w:rsidP="0062545B">
      <w:pPr>
        <w:widowControl/>
        <w:pBdr>
          <w:bottom w:val="single" w:sz="6" w:space="0" w:color="97B1C8"/>
        </w:pBdr>
        <w:spacing w:line="450" w:lineRule="atLeast"/>
        <w:outlineLvl w:val="1"/>
        <w:rPr>
          <w:rFonts w:ascii="微软雅黑" w:eastAsia="微软雅黑" w:hAnsi="微软雅黑" w:cs="宋体"/>
          <w:kern w:val="0"/>
          <w:sz w:val="34"/>
          <w:szCs w:val="34"/>
        </w:rPr>
      </w:pPr>
      <w:r w:rsidRPr="0062545B">
        <w:rPr>
          <w:rFonts w:ascii="微软雅黑" w:eastAsia="微软雅黑" w:hAnsi="微软雅黑" w:cs="宋体"/>
          <w:kern w:val="0"/>
          <w:sz w:val="34"/>
          <w:szCs w:val="34"/>
        </w:rPr>
        <w:t>4. 方法：数据收集、管理与分析</w:t>
      </w:r>
    </w:p>
    <w:p w14:paraId="3E4B0878"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4.1 数据收集方法及管理</w:t>
      </w:r>
    </w:p>
    <w:p w14:paraId="5F90AE4C"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本研究根据欧盟2016/679号通用数据保护条例（GDPR）实施数据保护和安全措施，用于收集、存储和处理参与者数据。患者相关数据将通过电子病例报告表（eCRF）系统从医疗记录中收集。本试验采用混合分散式方法，即患者首次就诊需到院，而疗效和毒性评估的访视可根据当地惯例以线</w:t>
      </w:r>
      <w:proofErr w:type="gramStart"/>
      <w:r w:rsidRPr="0062545B">
        <w:rPr>
          <w:rFonts w:ascii="微软雅黑" w:eastAsia="微软雅黑" w:hAnsi="微软雅黑" w:cs="宋体"/>
          <w:kern w:val="0"/>
          <w:sz w:val="24"/>
          <w:szCs w:val="24"/>
        </w:rPr>
        <w:t>上方式</w:t>
      </w:r>
      <w:proofErr w:type="gramEnd"/>
      <w:r w:rsidRPr="0062545B">
        <w:rPr>
          <w:rFonts w:ascii="微软雅黑" w:eastAsia="微软雅黑" w:hAnsi="微软雅黑" w:cs="宋体"/>
          <w:kern w:val="0"/>
          <w:sz w:val="24"/>
          <w:szCs w:val="24"/>
        </w:rPr>
        <w:t>进行。所有患者报告结局指标将主要通过eCRF系统以电子方式收集，从而支持试验的分散式方法。如果患者无法使用电子设备，则将通过邮寄方式向患者发送问卷，从而无需患者亲自到院即可收集数据。</w:t>
      </w:r>
    </w:p>
    <w:p w14:paraId="4C7B771F"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IMPORTANT试验指导委员会已根据研究方案和监管要求，确定了相关数据，以便申办方能够验证假设或解答与试验相关的问题。收集的数据将进行匿名化处理，密钥文件将根据各临床试验中心的标准操作规程（SOP）妥善保管。</w:t>
      </w:r>
    </w:p>
    <w:p w14:paraId="3795AE1D"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4.2 统计方法</w:t>
      </w:r>
    </w:p>
    <w:p w14:paraId="04455DD0"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疗效分析将基于意向性治疗分析集。该人群定义为所有随机分配</w:t>
      </w:r>
      <w:proofErr w:type="gramStart"/>
      <w:r w:rsidRPr="0062545B">
        <w:rPr>
          <w:rFonts w:ascii="微软雅黑" w:eastAsia="微软雅黑" w:hAnsi="微软雅黑" w:cs="宋体"/>
          <w:kern w:val="0"/>
          <w:sz w:val="24"/>
          <w:szCs w:val="24"/>
        </w:rPr>
        <w:t>至研究</w:t>
      </w:r>
      <w:proofErr w:type="gramEnd"/>
      <w:r w:rsidRPr="0062545B">
        <w:rPr>
          <w:rFonts w:ascii="微软雅黑" w:eastAsia="微软雅黑" w:hAnsi="微软雅黑" w:cs="宋体"/>
          <w:kern w:val="0"/>
          <w:sz w:val="24"/>
          <w:szCs w:val="24"/>
        </w:rPr>
        <w:t>治疗组的患者。符合条件的患者队列将作为对照组单独进行分析。安全性分析将基于治疗人群，该人群定义为所有至少接受过一次 CDK4/6 抑制剂治疗的患者。对于相关终点，可能会进行敏感性分析，例如，如果存在大量缺失数据，则会考虑不同的缺失数据假设，这些分析将在完整的统计分析计划中详细说明。</w:t>
      </w:r>
    </w:p>
    <w:p w14:paraId="742CAEC7"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对于生存时间变量，将采用Kaplan-Meier法绘制基于治疗组的生存曲线，并按治疗组列出中位数估计值及其对应的95%置信区间（CI）。对于化疗开始时间和生活质量恶化时间，将任何原因导致的死亡视为竞争事件，并使用累积发生率函数进行可视化。如果适用，还将使用Cox比例风险模型（调整相关协变量）比</w:t>
      </w:r>
      <w:r w:rsidRPr="0062545B">
        <w:rPr>
          <w:rFonts w:ascii="微软雅黑" w:eastAsia="微软雅黑" w:hAnsi="微软雅黑" w:cs="宋体"/>
          <w:kern w:val="0"/>
          <w:sz w:val="24"/>
          <w:szCs w:val="24"/>
        </w:rPr>
        <w:lastRenderedPageBreak/>
        <w:t>较各治疗组间的生存时间变量。所有纳入模型的变量均将列出治疗和</w:t>
      </w:r>
      <w:proofErr w:type="gramStart"/>
      <w:r w:rsidRPr="0062545B">
        <w:rPr>
          <w:rFonts w:ascii="微软雅黑" w:eastAsia="微软雅黑" w:hAnsi="微软雅黑" w:cs="宋体"/>
          <w:kern w:val="0"/>
          <w:sz w:val="24"/>
          <w:szCs w:val="24"/>
        </w:rPr>
        <w:t>协变量</w:t>
      </w:r>
      <w:proofErr w:type="gramEnd"/>
      <w:r w:rsidRPr="0062545B">
        <w:rPr>
          <w:rFonts w:ascii="微软雅黑" w:eastAsia="微软雅黑" w:hAnsi="微软雅黑" w:cs="宋体"/>
          <w:kern w:val="0"/>
          <w:sz w:val="24"/>
          <w:szCs w:val="24"/>
        </w:rPr>
        <w:t>估计值、风险比和95% CI。对于OTU，将使用有序logistic回归比较各治疗组，并调整相关协变量。所有纳入模型的变量均将列出治疗和</w:t>
      </w:r>
      <w:proofErr w:type="gramStart"/>
      <w:r w:rsidRPr="0062545B">
        <w:rPr>
          <w:rFonts w:ascii="微软雅黑" w:eastAsia="微软雅黑" w:hAnsi="微软雅黑" w:cs="宋体"/>
          <w:kern w:val="0"/>
          <w:sz w:val="24"/>
          <w:szCs w:val="24"/>
        </w:rPr>
        <w:t>协变量</w:t>
      </w:r>
      <w:proofErr w:type="gramEnd"/>
      <w:r w:rsidRPr="0062545B">
        <w:rPr>
          <w:rFonts w:ascii="微软雅黑" w:eastAsia="微软雅黑" w:hAnsi="微软雅黑" w:cs="宋体"/>
          <w:kern w:val="0"/>
          <w:sz w:val="24"/>
          <w:szCs w:val="24"/>
        </w:rPr>
        <w:t>估计值、比值比和95% CI。对于毒性，将对每个治疗组的每位受试者每种毒性的最高等级以及总体和每个周期的毒性发生率进行描述性总结。将使用调整后的基线平均分和 95% 置信区间，对每个治疗组在每个随机分组后时间点的生活质量 (QoL) 方面进行总结。这些总结以及治疗组之间的差异将使用</w:t>
      </w:r>
      <w:proofErr w:type="gramStart"/>
      <w:r w:rsidRPr="0062545B">
        <w:rPr>
          <w:rFonts w:ascii="微软雅黑" w:eastAsia="微软雅黑" w:hAnsi="微软雅黑" w:cs="宋体"/>
          <w:kern w:val="0"/>
          <w:sz w:val="24"/>
          <w:szCs w:val="24"/>
        </w:rPr>
        <w:t>多水平</w:t>
      </w:r>
      <w:proofErr w:type="gramEnd"/>
      <w:r w:rsidRPr="0062545B">
        <w:rPr>
          <w:rFonts w:ascii="微软雅黑" w:eastAsia="微软雅黑" w:hAnsi="微软雅黑" w:cs="宋体"/>
          <w:kern w:val="0"/>
          <w:sz w:val="24"/>
          <w:szCs w:val="24"/>
        </w:rPr>
        <w:t>重复测量模型获得并进行比较，该模型考虑了所有基线后时间点的数据。数据还将使用条形图、箱线图和汇总表进行描述性总结。将基于分层因素对每个研究终点进行预定义的亚组分析，而对于潜在的感兴趣变量，可能会进行探索性亚组分析。</w:t>
      </w:r>
    </w:p>
    <w:p w14:paraId="713A0DAA" w14:textId="77777777" w:rsidR="0062545B" w:rsidRPr="0062545B" w:rsidRDefault="0062545B" w:rsidP="0062545B">
      <w:pPr>
        <w:widowControl/>
        <w:pBdr>
          <w:bottom w:val="single" w:sz="6" w:space="0" w:color="97B1C8"/>
        </w:pBdr>
        <w:spacing w:line="450" w:lineRule="atLeast"/>
        <w:outlineLvl w:val="1"/>
        <w:rPr>
          <w:rFonts w:ascii="微软雅黑" w:eastAsia="微软雅黑" w:hAnsi="微软雅黑" w:cs="宋体"/>
          <w:kern w:val="0"/>
          <w:sz w:val="34"/>
          <w:szCs w:val="34"/>
        </w:rPr>
      </w:pPr>
      <w:r w:rsidRPr="0062545B">
        <w:rPr>
          <w:rFonts w:ascii="微软雅黑" w:eastAsia="微软雅黑" w:hAnsi="微软雅黑" w:cs="宋体"/>
          <w:kern w:val="0"/>
          <w:sz w:val="34"/>
          <w:szCs w:val="34"/>
        </w:rPr>
        <w:t>5. 方法：监测</w:t>
      </w:r>
    </w:p>
    <w:p w14:paraId="5B2B18E2"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5.1 数据监控</w:t>
      </w:r>
    </w:p>
    <w:p w14:paraId="1F66861F"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申办方与合同研究组织 (CRO) 合作，制定了一套系统化、优先排序且基于风险的临床试验监测方法。该方法将从系统层面（标准操作规程、计算机系统、人员）和临床试验层面（试验设计、数据收集、知情同意流程）评估临床试验流程和临床试验数据面临的风险，并对照现有风险控制措施进行评估。评估内容包括：错误发生的可能性；此类错误的可检测程度；以及此类错误对受试者保护和试验结果可靠性的影响。</w:t>
      </w:r>
    </w:p>
    <w:p w14:paraId="3B341BF1"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5.2. 危害</w:t>
      </w:r>
    </w:p>
    <w:p w14:paraId="5920CDBB"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lastRenderedPageBreak/>
        <w:t>临床试验质量管理采用基于风险的方法。该方法首先评估关键数据和流程，以确保试验参与者的安全和结果的可靠性，并识别和评估相关风险。持续的风险审查和评估可能导致对试验实施、试验设计或监测方法的调整。</w:t>
      </w:r>
    </w:p>
    <w:p w14:paraId="5A816F53"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在对特定试验策略进行风险获益评估时，患者信息中包含对纳入研究的潜在利弊的详细描述。具体而言，将综合老年评估（CGA）纳入决策过程有助于临床医生更好地了解患者的健康状况。此外，参与研究将有助于研究者更深入地了解 CDK4/6 抑制剂在 70 岁以上乳腺癌患者中的应用。关于潜在的弊端，虽然目前尚未证实较低起始剂量的 CDK4/6 抑制剂在 70 岁以上患者中疗效低于全剂量，但不能完全排除较低起始剂量疗效略低于全剂量的可能性。为降低这种风险，将采取适当的随访策略，以调查治疗效果，并指导研究者如何继续治疗。此外，对于随机分配至较低起始剂量组的患者，研究者可酌情决定是否将剂量增加至全剂量。参与这项研究的另一个缺点是需要额外时间填写与试验相关的问卷。研究参与者不会接受任何额外的诊断或监测。</w:t>
      </w:r>
    </w:p>
    <w:p w14:paraId="3298AEAD"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老年患者特有的风险是多重用药的风险。试验参与者将接受额外的药物治疗（CDK4/6抑制剂和内分泌治疗），但即使在试验之外，患者的治疗策略也将保持不变，因为符合条件的患者是指经主治医生评估认为适合使用CDK4/6抑制剂治疗的患者。因此，试验期间不会给予额外的药物。</w:t>
      </w:r>
    </w:p>
    <w:p w14:paraId="2671EF6D"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作为IMPORTANT试验风险/获益评估的一部分，当纳入100例患者后，将进行一项以毒性为导向的中期分析，以评估毒性发生率，并评估是否需要针对体弱/脆弱患者群体调整初始剂量策略。一个由三位肿瘤学和老年医学领域的独立临</w:t>
      </w:r>
      <w:r w:rsidRPr="0062545B">
        <w:rPr>
          <w:rFonts w:ascii="微软雅黑" w:eastAsia="微软雅黑" w:hAnsi="微软雅黑" w:cs="宋体"/>
          <w:kern w:val="0"/>
          <w:sz w:val="24"/>
          <w:szCs w:val="24"/>
        </w:rPr>
        <w:lastRenderedPageBreak/>
        <w:t>床专家组成的独立数据监察委员会（IDMC）负责对IMPORTANT试验的患者安全进行外部监督，该监督独立于IMPORTANT试验指导委员会。IDMC在审查汇总的毒性数据后，可能会建议试验继续进行而不作任何修改、在进行特定修改后继续进行，或因安全问题而终止试验。因安全问题而终止试验没有预先设定的规则。IDMC的建议将传达给IMPORTANT试验指导委员会。</w:t>
      </w:r>
    </w:p>
    <w:p w14:paraId="7BFAF47F" w14:textId="77777777" w:rsidR="0062545B" w:rsidRPr="0062545B" w:rsidRDefault="0062545B" w:rsidP="0062545B">
      <w:pPr>
        <w:widowControl/>
        <w:spacing w:line="450" w:lineRule="atLeast"/>
        <w:outlineLvl w:val="2"/>
        <w:rPr>
          <w:rFonts w:ascii="微软雅黑" w:eastAsia="微软雅黑" w:hAnsi="微软雅黑" w:cs="宋体"/>
          <w:kern w:val="0"/>
          <w:sz w:val="32"/>
          <w:szCs w:val="32"/>
        </w:rPr>
      </w:pPr>
      <w:r w:rsidRPr="0062545B">
        <w:rPr>
          <w:rFonts w:ascii="微软雅黑" w:eastAsia="微软雅黑" w:hAnsi="微软雅黑" w:cs="宋体"/>
          <w:kern w:val="0"/>
          <w:sz w:val="32"/>
          <w:szCs w:val="32"/>
        </w:rPr>
        <w:t>5.3 审计</w:t>
      </w:r>
    </w:p>
    <w:p w14:paraId="6582AC69"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研究者/机构应允</w:t>
      </w:r>
      <w:proofErr w:type="gramStart"/>
      <w:r w:rsidRPr="0062545B">
        <w:rPr>
          <w:rFonts w:ascii="微软雅黑" w:eastAsia="微软雅黑" w:hAnsi="微软雅黑" w:cs="宋体"/>
          <w:kern w:val="0"/>
          <w:sz w:val="24"/>
          <w:szCs w:val="24"/>
        </w:rPr>
        <w:t>许开展</w:t>
      </w:r>
      <w:proofErr w:type="gramEnd"/>
      <w:r w:rsidRPr="0062545B">
        <w:rPr>
          <w:rFonts w:ascii="微软雅黑" w:eastAsia="微软雅黑" w:hAnsi="微软雅黑" w:cs="宋体"/>
          <w:kern w:val="0"/>
          <w:sz w:val="24"/>
          <w:szCs w:val="24"/>
        </w:rPr>
        <w:t>与试验相关的现场监查、审计、机构审查委员会/独立伦理委员会审查以及监管机构检查。必须提供病例报告表 (CRF) 和所有原始文件/数据（包括进展记录、实验室和医学检验结果副本）的直接访问权限，这些文件必须始终可供监查员、审计员和监管机构检查员（例如，欧洲药品管理局和美国食品药品监督管理局）查阅。数据的准确性将通过与原始文件直接比对来验证。申办方和合同研究组织 (CRO) 也将监督试验方案和良好临床规范 (GCP) 的执行情况。研究者应立即将任何此类检查通知申办方和 CRO。审计和检查可能在研究期间或研究结束后随时进行。</w:t>
      </w:r>
    </w:p>
    <w:p w14:paraId="611D3725" w14:textId="77777777" w:rsidR="0062545B" w:rsidRPr="0062545B" w:rsidRDefault="0062545B" w:rsidP="0062545B">
      <w:pPr>
        <w:widowControl/>
        <w:pBdr>
          <w:bottom w:val="single" w:sz="6" w:space="0" w:color="97B1C8"/>
        </w:pBdr>
        <w:spacing w:line="450" w:lineRule="atLeast"/>
        <w:outlineLvl w:val="1"/>
        <w:rPr>
          <w:rFonts w:ascii="微软雅黑" w:eastAsia="微软雅黑" w:hAnsi="微软雅黑" w:cs="宋体"/>
          <w:kern w:val="0"/>
          <w:sz w:val="34"/>
          <w:szCs w:val="34"/>
        </w:rPr>
      </w:pPr>
      <w:r w:rsidRPr="0062545B">
        <w:rPr>
          <w:rFonts w:ascii="微软雅黑" w:eastAsia="微软雅黑" w:hAnsi="微软雅黑" w:cs="宋体"/>
          <w:kern w:val="0"/>
          <w:sz w:val="34"/>
          <w:szCs w:val="34"/>
        </w:rPr>
        <w:t>6. 伦理与传播</w:t>
      </w:r>
    </w:p>
    <w:p w14:paraId="38D98213"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本试验将严格按照试验方案、《赫尔辛基宣言》所列伦理原则、国际人用药品注册技术协调会（ICH）GCP协调指南、相关有效标准操作规程（SOP）、欧盟临床试验条例（EU）No 536/2014、通用数据保护条例（GDPR）、良好临床实践原则及其他相关法规进行。研究者和研究中心工作人员必须遵守这些原则。任何偏离试验方案、ICH GCP原则或适用法规的行为均将被视为“方案偏离”。研</w:t>
      </w:r>
      <w:r w:rsidRPr="0062545B">
        <w:rPr>
          <w:rFonts w:ascii="微软雅黑" w:eastAsia="微软雅黑" w:hAnsi="微软雅黑" w:cs="宋体"/>
          <w:kern w:val="0"/>
          <w:sz w:val="24"/>
          <w:szCs w:val="24"/>
        </w:rPr>
        <w:lastRenderedPageBreak/>
        <w:t>究者应立即将为保护受试者免受任何直接危险而采取的任何紧急安全措施，以及任何严重违反试验方案或ICH GCP的行为告知申办方和合同研究组织（CRO）。</w:t>
      </w:r>
    </w:p>
    <w:p w14:paraId="0B5FE181"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在参与试验前，必须根据ICH-GCP以及参与国的相关法规和法律要求，获得每位受试者的书面知情同意。每份知情同意书必须</w:t>
      </w:r>
      <w:proofErr w:type="gramStart"/>
      <w:r w:rsidRPr="0062545B">
        <w:rPr>
          <w:rFonts w:ascii="微软雅黑" w:eastAsia="微软雅黑" w:hAnsi="微软雅黑" w:cs="宋体"/>
          <w:kern w:val="0"/>
          <w:sz w:val="24"/>
          <w:szCs w:val="24"/>
        </w:rPr>
        <w:t>由签署</w:t>
      </w:r>
      <w:proofErr w:type="gramEnd"/>
      <w:r w:rsidRPr="0062545B">
        <w:rPr>
          <w:rFonts w:ascii="微软雅黑" w:eastAsia="微软雅黑" w:hAnsi="微软雅黑" w:cs="宋体"/>
          <w:kern w:val="0"/>
          <w:sz w:val="24"/>
          <w:szCs w:val="24"/>
        </w:rPr>
        <w:t>人本人签名并注明日期，且研究者必须将知情同意书作为试验记录的一部分妥善保存。每位受试者或其法定代表人必须获得一份签署的知情同意书副本。</w:t>
      </w:r>
    </w:p>
    <w:p w14:paraId="785ADA17"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在传播策略方面，IMPORTANT试验采用开放获取模式，以提高其结果的开放性、完整性和可重复性。试验周期内发表的科学论文，无论是会议论文还是期刊论文，都将聚焦于与IMPORTANT试验相关的内容。此外，试验的科学论文也将以开放获取原则发表。</w:t>
      </w:r>
    </w:p>
    <w:p w14:paraId="506DA874" w14:textId="77777777" w:rsidR="0062545B" w:rsidRPr="0062545B" w:rsidRDefault="0062545B" w:rsidP="0062545B">
      <w:pPr>
        <w:widowControl/>
        <w:pBdr>
          <w:bottom w:val="single" w:sz="6" w:space="0" w:color="97B1C8"/>
        </w:pBdr>
        <w:spacing w:line="450" w:lineRule="atLeast"/>
        <w:outlineLvl w:val="1"/>
        <w:rPr>
          <w:rFonts w:ascii="微软雅黑" w:eastAsia="微软雅黑" w:hAnsi="微软雅黑" w:cs="宋体"/>
          <w:kern w:val="0"/>
          <w:sz w:val="34"/>
          <w:szCs w:val="34"/>
        </w:rPr>
      </w:pPr>
      <w:r w:rsidRPr="0062545B">
        <w:rPr>
          <w:rFonts w:ascii="微软雅黑" w:eastAsia="微软雅黑" w:hAnsi="微软雅黑" w:cs="宋体"/>
          <w:kern w:val="0"/>
          <w:sz w:val="34"/>
          <w:szCs w:val="34"/>
        </w:rPr>
        <w:t>7. 结论</w:t>
      </w:r>
    </w:p>
    <w:p w14:paraId="19E44CF9"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一级证据支持在老年癌症患者中实施综合老年评估（CGA），以降低治疗相关毒性并提高生活质量[ </w:t>
      </w:r>
      <w:hyperlink r:id="rId41" w:anchor="CIT00008" w:history="1">
        <w:r w:rsidRPr="0062545B">
          <w:rPr>
            <w:rFonts w:ascii="微软雅黑" w:eastAsia="微软雅黑" w:hAnsi="微软雅黑" w:cs="宋体"/>
            <w:kern w:val="0"/>
            <w:sz w:val="24"/>
            <w:szCs w:val="24"/>
            <w:u w:val="single"/>
          </w:rPr>
          <w:t>8-12</w:t>
        </w:r>
      </w:hyperlink>
      <w:r w:rsidRPr="0062545B">
        <w:rPr>
          <w:rFonts w:ascii="微软雅黑" w:eastAsia="微软雅黑" w:hAnsi="微软雅黑" w:cs="宋体"/>
          <w:kern w:val="0"/>
          <w:sz w:val="24"/>
          <w:szCs w:val="24"/>
        </w:rPr>
        <w:t> ]。基于多项关键性随机试验的一级证据，CDK4/6抑制剂联合内分泌治疗是晚期HR+/HER2-乳腺癌患者的首选治疗方案[ </w:t>
      </w:r>
      <w:hyperlink r:id="rId42" w:anchor="CIT00001" w:history="1">
        <w:r w:rsidRPr="0062545B">
          <w:rPr>
            <w:rFonts w:ascii="微软雅黑" w:eastAsia="微软雅黑" w:hAnsi="微软雅黑" w:cs="宋体"/>
            <w:kern w:val="0"/>
            <w:sz w:val="24"/>
            <w:szCs w:val="24"/>
            <w:u w:val="single"/>
          </w:rPr>
          <w:t>1</w:t>
        </w:r>
      </w:hyperlink>
      <w:r w:rsidRPr="0062545B">
        <w:rPr>
          <w:rFonts w:ascii="微软雅黑" w:eastAsia="微软雅黑" w:hAnsi="微软雅黑" w:cs="宋体"/>
          <w:kern w:val="0"/>
          <w:sz w:val="24"/>
          <w:szCs w:val="24"/>
        </w:rPr>
        <w:t> ]。此外，根据国际指南，该联合方案也是该患者亚组的首选治疗选择[ </w:t>
      </w:r>
      <w:hyperlink r:id="rId43" w:anchor="CIT00014" w:history="1">
        <w:r w:rsidRPr="0062545B">
          <w:rPr>
            <w:rFonts w:ascii="微软雅黑" w:eastAsia="微软雅黑" w:hAnsi="微软雅黑" w:cs="宋体"/>
            <w:kern w:val="0"/>
            <w:sz w:val="24"/>
            <w:szCs w:val="24"/>
            <w:u w:val="single"/>
          </w:rPr>
          <w:t>14</w:t>
        </w:r>
      </w:hyperlink>
      <w:r w:rsidRPr="0062545B">
        <w:rPr>
          <w:rFonts w:ascii="微软雅黑" w:eastAsia="微软雅黑" w:hAnsi="微软雅黑" w:cs="宋体"/>
          <w:kern w:val="0"/>
          <w:sz w:val="24"/>
          <w:szCs w:val="24"/>
        </w:rPr>
        <w:t> ]。欧洲老年医学会（EUSOMA）和国际老年肿瘤学会（SIOG）针对老年乳腺癌患者的指南认可CDK4/6抑制剂联合内分泌治疗是老年患者的合适治疗方案，但强调可能需要频繁调整剂量[ </w:t>
      </w:r>
      <w:hyperlink r:id="rId44" w:anchor="CIT00014" w:history="1">
        <w:r w:rsidRPr="0062545B">
          <w:rPr>
            <w:rFonts w:ascii="微软雅黑" w:eastAsia="微软雅黑" w:hAnsi="微软雅黑" w:cs="宋体"/>
            <w:kern w:val="0"/>
            <w:sz w:val="24"/>
            <w:szCs w:val="24"/>
            <w:u w:val="single"/>
          </w:rPr>
          <w:t>14</w:t>
        </w:r>
      </w:hyperlink>
      <w:r w:rsidRPr="0062545B">
        <w:rPr>
          <w:rFonts w:ascii="微软雅黑" w:eastAsia="微软雅黑" w:hAnsi="微软雅黑" w:cs="宋体"/>
          <w:kern w:val="0"/>
          <w:sz w:val="24"/>
          <w:szCs w:val="24"/>
        </w:rPr>
        <w:t> ]。在老年乳腺癌患者中，CDK4/6抑制剂的起始剂量降低是一种相对常见的临床实践，但相关证据有限[ </w:t>
      </w:r>
      <w:hyperlink r:id="rId45" w:anchor="CIT00004" w:history="1">
        <w:r w:rsidRPr="0062545B">
          <w:rPr>
            <w:rFonts w:ascii="微软雅黑" w:eastAsia="微软雅黑" w:hAnsi="微软雅黑" w:cs="宋体"/>
            <w:kern w:val="0"/>
            <w:sz w:val="24"/>
            <w:szCs w:val="24"/>
            <w:u w:val="single"/>
          </w:rPr>
          <w:t>4</w:t>
        </w:r>
      </w:hyperlink>
      <w:r w:rsidRPr="0062545B">
        <w:rPr>
          <w:rFonts w:ascii="微软雅黑" w:eastAsia="微软雅黑" w:hAnsi="微软雅黑" w:cs="宋体"/>
          <w:kern w:val="0"/>
          <w:sz w:val="24"/>
          <w:szCs w:val="24"/>
        </w:rPr>
        <w:t> , </w:t>
      </w:r>
      <w:hyperlink r:id="rId46" w:anchor="CIT00005" w:history="1">
        <w:r w:rsidRPr="0062545B">
          <w:rPr>
            <w:rFonts w:ascii="微软雅黑" w:eastAsia="微软雅黑" w:hAnsi="微软雅黑" w:cs="宋体"/>
            <w:kern w:val="0"/>
            <w:sz w:val="24"/>
            <w:szCs w:val="24"/>
            <w:u w:val="single"/>
          </w:rPr>
          <w:t>5</w:t>
        </w:r>
      </w:hyperlink>
      <w:r w:rsidRPr="0062545B">
        <w:rPr>
          <w:rFonts w:ascii="微软雅黑" w:eastAsia="微软雅黑" w:hAnsi="微软雅黑" w:cs="宋体"/>
          <w:kern w:val="0"/>
          <w:sz w:val="24"/>
          <w:szCs w:val="24"/>
        </w:rPr>
        <w:t> ]。综上所述，对于有充分证</w:t>
      </w:r>
      <w:r w:rsidRPr="0062545B">
        <w:rPr>
          <w:rFonts w:ascii="微软雅黑" w:eastAsia="微软雅黑" w:hAnsi="微软雅黑" w:cs="宋体"/>
          <w:kern w:val="0"/>
          <w:sz w:val="24"/>
          <w:szCs w:val="24"/>
        </w:rPr>
        <w:lastRenderedPageBreak/>
        <w:t>据表明毒性风险较高且因毒性而停止治疗的老年患者群体而言，在 CDK4/6 抑制剂剂量优化决策中实施基于 CGA 的方法，是一种很有吸引力的策略。</w:t>
      </w:r>
    </w:p>
    <w:p w14:paraId="6669B656"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IMPORTANT 试验采用了两种具有高水平证据的方法，即在老年癌症患者的治疗决策中使用 CGA 方法，以及使用 CDK4/6 抑制剂作为首选初始治疗，以研究一种证据确定性较低的常见临床实践（老年患者 CDK4/6 抑制剂的起始剂量减少）是否可以通过更个性化的方法进行标准化。</w:t>
      </w:r>
    </w:p>
    <w:p w14:paraId="0084DED5" w14:textId="77777777" w:rsidR="0062545B" w:rsidRPr="0062545B" w:rsidRDefault="0062545B" w:rsidP="0062545B">
      <w:pPr>
        <w:widowControl/>
        <w:spacing w:before="450"/>
        <w:rPr>
          <w:rFonts w:ascii="微软雅黑" w:eastAsia="微软雅黑" w:hAnsi="微软雅黑" w:cs="宋体"/>
          <w:kern w:val="0"/>
          <w:sz w:val="24"/>
          <w:szCs w:val="24"/>
        </w:rPr>
      </w:pPr>
      <w:r w:rsidRPr="0062545B">
        <w:rPr>
          <w:rFonts w:ascii="微软雅黑" w:eastAsia="微软雅黑" w:hAnsi="微软雅黑" w:cs="宋体"/>
          <w:kern w:val="0"/>
          <w:sz w:val="24"/>
          <w:szCs w:val="24"/>
        </w:rPr>
        <w:t>IMPORTANT 试验是首个采用基于 CGA 的策略来制定老年癌症患者靶</w:t>
      </w:r>
      <w:proofErr w:type="gramStart"/>
      <w:r w:rsidRPr="0062545B">
        <w:rPr>
          <w:rFonts w:ascii="微软雅黑" w:eastAsia="微软雅黑" w:hAnsi="微软雅黑" w:cs="宋体"/>
          <w:kern w:val="0"/>
          <w:sz w:val="24"/>
          <w:szCs w:val="24"/>
        </w:rPr>
        <w:t>向治疗</w:t>
      </w:r>
      <w:proofErr w:type="gramEnd"/>
      <w:r w:rsidRPr="0062545B">
        <w:rPr>
          <w:rFonts w:ascii="微软雅黑" w:eastAsia="微软雅黑" w:hAnsi="微软雅黑" w:cs="宋体"/>
          <w:kern w:val="0"/>
          <w:sz w:val="24"/>
          <w:szCs w:val="24"/>
        </w:rPr>
        <w:t>剂量优化决策的随机对照试验，并为如何设计和规划类似试验以研究老年患者的剂量优化干预措施提供了框架。</w:t>
      </w:r>
    </w:p>
    <w:p w14:paraId="65134D62" w14:textId="77777777" w:rsidR="008C1E37" w:rsidRPr="0062545B" w:rsidRDefault="008C1E37" w:rsidP="0062545B">
      <w:pPr>
        <w:rPr>
          <w:rFonts w:ascii="微软雅黑" w:eastAsia="微软雅黑" w:hAnsi="微软雅黑"/>
        </w:rPr>
      </w:pPr>
    </w:p>
    <w:sectPr w:rsidR="008C1E37" w:rsidRPr="0062545B">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F4168"/>
    <w:multiLevelType w:val="multilevel"/>
    <w:tmpl w:val="FD7AC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9535379"/>
    <w:multiLevelType w:val="multilevel"/>
    <w:tmpl w:val="FEE42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9125132"/>
    <w:multiLevelType w:val="multilevel"/>
    <w:tmpl w:val="77404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A44800"/>
    <w:multiLevelType w:val="multilevel"/>
    <w:tmpl w:val="DF206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0892127"/>
    <w:multiLevelType w:val="multilevel"/>
    <w:tmpl w:val="29368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BC118F4"/>
    <w:multiLevelType w:val="multilevel"/>
    <w:tmpl w:val="22545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5"/>
  </w:num>
  <w:num w:numId="3">
    <w:abstractNumId w:val="0"/>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E37"/>
    <w:rsid w:val="0062545B"/>
    <w:rsid w:val="008C1E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D1A8D"/>
  <w15:chartTrackingRefBased/>
  <w15:docId w15:val="{5FAD74FE-7EB7-48D6-86A4-71BD5E011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6254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62545B"/>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62545B"/>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62545B"/>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2545B"/>
    <w:rPr>
      <w:rFonts w:ascii="宋体" w:eastAsia="宋体" w:hAnsi="宋体" w:cs="宋体"/>
      <w:b/>
      <w:bCs/>
      <w:kern w:val="36"/>
      <w:sz w:val="48"/>
      <w:szCs w:val="48"/>
    </w:rPr>
  </w:style>
  <w:style w:type="character" w:customStyle="1" w:styleId="20">
    <w:name w:val="标题 2 字符"/>
    <w:basedOn w:val="a0"/>
    <w:link w:val="2"/>
    <w:uiPriority w:val="9"/>
    <w:rsid w:val="0062545B"/>
    <w:rPr>
      <w:rFonts w:ascii="宋体" w:eastAsia="宋体" w:hAnsi="宋体" w:cs="宋体"/>
      <w:b/>
      <w:bCs/>
      <w:kern w:val="0"/>
      <w:sz w:val="36"/>
      <w:szCs w:val="36"/>
    </w:rPr>
  </w:style>
  <w:style w:type="character" w:customStyle="1" w:styleId="30">
    <w:name w:val="标题 3 字符"/>
    <w:basedOn w:val="a0"/>
    <w:link w:val="3"/>
    <w:uiPriority w:val="9"/>
    <w:rsid w:val="0062545B"/>
    <w:rPr>
      <w:rFonts w:ascii="宋体" w:eastAsia="宋体" w:hAnsi="宋体" w:cs="宋体"/>
      <w:b/>
      <w:bCs/>
      <w:kern w:val="0"/>
      <w:sz w:val="27"/>
      <w:szCs w:val="27"/>
    </w:rPr>
  </w:style>
  <w:style w:type="character" w:customStyle="1" w:styleId="40">
    <w:name w:val="标题 4 字符"/>
    <w:basedOn w:val="a0"/>
    <w:link w:val="4"/>
    <w:uiPriority w:val="9"/>
    <w:rsid w:val="0062545B"/>
    <w:rPr>
      <w:rFonts w:ascii="宋体" w:eastAsia="宋体" w:hAnsi="宋体" w:cs="宋体"/>
      <w:b/>
      <w:bCs/>
      <w:kern w:val="0"/>
      <w:sz w:val="24"/>
      <w:szCs w:val="24"/>
    </w:rPr>
  </w:style>
  <w:style w:type="paragraph" w:customStyle="1" w:styleId="msonormal0">
    <w:name w:val="msonormal"/>
    <w:basedOn w:val="a"/>
    <w:rsid w:val="0062545B"/>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62545B"/>
    <w:rPr>
      <w:color w:val="0000FF"/>
      <w:u w:val="single"/>
    </w:rPr>
  </w:style>
  <w:style w:type="character" w:styleId="a4">
    <w:name w:val="FollowedHyperlink"/>
    <w:basedOn w:val="a0"/>
    <w:uiPriority w:val="99"/>
    <w:semiHidden/>
    <w:unhideWhenUsed/>
    <w:rsid w:val="0062545B"/>
    <w:rPr>
      <w:color w:val="800080"/>
      <w:u w:val="single"/>
    </w:rPr>
  </w:style>
  <w:style w:type="character" w:customStyle="1" w:styleId="name">
    <w:name w:val="name"/>
    <w:basedOn w:val="a0"/>
    <w:rsid w:val="0062545B"/>
  </w:style>
  <w:style w:type="paragraph" w:styleId="a5">
    <w:name w:val="Normal (Web)"/>
    <w:basedOn w:val="a"/>
    <w:uiPriority w:val="99"/>
    <w:semiHidden/>
    <w:unhideWhenUsed/>
    <w:rsid w:val="0062545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2545B"/>
    <w:rPr>
      <w:b/>
      <w:bCs/>
    </w:rPr>
  </w:style>
  <w:style w:type="character" w:styleId="a7">
    <w:name w:val="Emphasis"/>
    <w:basedOn w:val="a0"/>
    <w:uiPriority w:val="20"/>
    <w:qFormat/>
    <w:rsid w:val="0062545B"/>
    <w:rPr>
      <w:i/>
      <w:iCs/>
    </w:rPr>
  </w:style>
  <w:style w:type="paragraph" w:customStyle="1" w:styleId="img-box">
    <w:name w:val="img-box"/>
    <w:basedOn w:val="a"/>
    <w:rsid w:val="0062545B"/>
    <w:pPr>
      <w:widowControl/>
      <w:spacing w:before="100" w:beforeAutospacing="1" w:after="100" w:afterAutospacing="1"/>
      <w:jc w:val="left"/>
    </w:pPr>
    <w:rPr>
      <w:rFonts w:ascii="宋体" w:eastAsia="宋体" w:hAnsi="宋体" w:cs="宋体"/>
      <w:kern w:val="0"/>
      <w:sz w:val="24"/>
      <w:szCs w:val="24"/>
    </w:rPr>
  </w:style>
  <w:style w:type="paragraph" w:customStyle="1" w:styleId="display-inline">
    <w:name w:val="display-inline"/>
    <w:basedOn w:val="a"/>
    <w:rsid w:val="0062545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3749683">
      <w:bodyDiv w:val="1"/>
      <w:marLeft w:val="0"/>
      <w:marRight w:val="0"/>
      <w:marTop w:val="0"/>
      <w:marBottom w:val="0"/>
      <w:divBdr>
        <w:top w:val="none" w:sz="0" w:space="0" w:color="auto"/>
        <w:left w:val="none" w:sz="0" w:space="0" w:color="auto"/>
        <w:bottom w:val="none" w:sz="0" w:space="0" w:color="auto"/>
        <w:right w:val="none" w:sz="0" w:space="0" w:color="auto"/>
      </w:divBdr>
      <w:divsChild>
        <w:div w:id="473761178">
          <w:marLeft w:val="0"/>
          <w:marRight w:val="0"/>
          <w:marTop w:val="0"/>
          <w:marBottom w:val="0"/>
          <w:divBdr>
            <w:top w:val="none" w:sz="0" w:space="0" w:color="auto"/>
            <w:left w:val="none" w:sz="0" w:space="0" w:color="auto"/>
            <w:bottom w:val="none" w:sz="0" w:space="0" w:color="auto"/>
            <w:right w:val="none" w:sz="0" w:space="0" w:color="auto"/>
          </w:divBdr>
          <w:divsChild>
            <w:div w:id="1255868449">
              <w:marLeft w:val="0"/>
              <w:marRight w:val="0"/>
              <w:marTop w:val="225"/>
              <w:marBottom w:val="0"/>
              <w:divBdr>
                <w:top w:val="none" w:sz="0" w:space="0" w:color="auto"/>
                <w:left w:val="none" w:sz="0" w:space="0" w:color="auto"/>
                <w:bottom w:val="none" w:sz="0" w:space="0" w:color="auto"/>
                <w:right w:val="none" w:sz="0" w:space="0" w:color="auto"/>
              </w:divBdr>
            </w:div>
            <w:div w:id="275134892">
              <w:marLeft w:val="0"/>
              <w:marRight w:val="0"/>
              <w:marTop w:val="0"/>
              <w:marBottom w:val="0"/>
              <w:divBdr>
                <w:top w:val="none" w:sz="0" w:space="0" w:color="auto"/>
                <w:left w:val="none" w:sz="0" w:space="0" w:color="auto"/>
                <w:bottom w:val="none" w:sz="0" w:space="0" w:color="auto"/>
                <w:right w:val="none" w:sz="0" w:space="0" w:color="auto"/>
              </w:divBdr>
            </w:div>
          </w:divsChild>
        </w:div>
        <w:div w:id="1523740762">
          <w:marLeft w:val="0"/>
          <w:marRight w:val="0"/>
          <w:marTop w:val="450"/>
          <w:marBottom w:val="0"/>
          <w:divBdr>
            <w:top w:val="none" w:sz="0" w:space="0" w:color="auto"/>
            <w:left w:val="none" w:sz="0" w:space="0" w:color="auto"/>
            <w:bottom w:val="none" w:sz="0" w:space="0" w:color="auto"/>
            <w:right w:val="none" w:sz="0" w:space="0" w:color="auto"/>
          </w:divBdr>
        </w:div>
        <w:div w:id="579757845">
          <w:marLeft w:val="0"/>
          <w:marRight w:val="0"/>
          <w:marTop w:val="450"/>
          <w:marBottom w:val="0"/>
          <w:divBdr>
            <w:top w:val="none" w:sz="0" w:space="0" w:color="auto"/>
            <w:left w:val="none" w:sz="0" w:space="0" w:color="auto"/>
            <w:bottom w:val="none" w:sz="0" w:space="0" w:color="auto"/>
            <w:right w:val="none" w:sz="0" w:space="0" w:color="auto"/>
          </w:divBdr>
        </w:div>
        <w:div w:id="1177037158">
          <w:marLeft w:val="0"/>
          <w:marRight w:val="0"/>
          <w:marTop w:val="450"/>
          <w:marBottom w:val="0"/>
          <w:divBdr>
            <w:top w:val="none" w:sz="0" w:space="0" w:color="auto"/>
            <w:left w:val="none" w:sz="0" w:space="0" w:color="auto"/>
            <w:bottom w:val="none" w:sz="0" w:space="0" w:color="auto"/>
            <w:right w:val="none" w:sz="0" w:space="0" w:color="auto"/>
          </w:divBdr>
        </w:div>
        <w:div w:id="933787175">
          <w:marLeft w:val="0"/>
          <w:marRight w:val="0"/>
          <w:marTop w:val="450"/>
          <w:marBottom w:val="0"/>
          <w:divBdr>
            <w:top w:val="none" w:sz="0" w:space="0" w:color="auto"/>
            <w:left w:val="none" w:sz="0" w:space="0" w:color="auto"/>
            <w:bottom w:val="none" w:sz="0" w:space="0" w:color="auto"/>
            <w:right w:val="none" w:sz="0" w:space="0" w:color="auto"/>
          </w:divBdr>
        </w:div>
        <w:div w:id="1224751402">
          <w:marLeft w:val="0"/>
          <w:marRight w:val="0"/>
          <w:marTop w:val="450"/>
          <w:marBottom w:val="0"/>
          <w:divBdr>
            <w:top w:val="none" w:sz="0" w:space="0" w:color="auto"/>
            <w:left w:val="none" w:sz="0" w:space="0" w:color="auto"/>
            <w:bottom w:val="none" w:sz="0" w:space="0" w:color="auto"/>
            <w:right w:val="none" w:sz="0" w:space="0" w:color="auto"/>
          </w:divBdr>
        </w:div>
        <w:div w:id="495614960">
          <w:marLeft w:val="0"/>
          <w:marRight w:val="0"/>
          <w:marTop w:val="450"/>
          <w:marBottom w:val="0"/>
          <w:divBdr>
            <w:top w:val="none" w:sz="0" w:space="0" w:color="auto"/>
            <w:left w:val="none" w:sz="0" w:space="0" w:color="auto"/>
            <w:bottom w:val="none" w:sz="0" w:space="0" w:color="auto"/>
            <w:right w:val="none" w:sz="0" w:space="0" w:color="auto"/>
          </w:divBdr>
        </w:div>
        <w:div w:id="1147743212">
          <w:marLeft w:val="0"/>
          <w:marRight w:val="0"/>
          <w:marTop w:val="450"/>
          <w:marBottom w:val="0"/>
          <w:divBdr>
            <w:top w:val="none" w:sz="0" w:space="0" w:color="auto"/>
            <w:left w:val="none" w:sz="0" w:space="0" w:color="auto"/>
            <w:bottom w:val="none" w:sz="0" w:space="0" w:color="auto"/>
            <w:right w:val="none" w:sz="0" w:space="0" w:color="auto"/>
          </w:divBdr>
        </w:div>
        <w:div w:id="255288171">
          <w:marLeft w:val="0"/>
          <w:marRight w:val="0"/>
          <w:marTop w:val="450"/>
          <w:marBottom w:val="0"/>
          <w:divBdr>
            <w:top w:val="none" w:sz="0" w:space="0" w:color="auto"/>
            <w:left w:val="none" w:sz="0" w:space="0" w:color="auto"/>
            <w:bottom w:val="none" w:sz="0" w:space="0" w:color="auto"/>
            <w:right w:val="none" w:sz="0" w:space="0" w:color="auto"/>
          </w:divBdr>
        </w:div>
        <w:div w:id="2145929896">
          <w:marLeft w:val="0"/>
          <w:marRight w:val="0"/>
          <w:marTop w:val="450"/>
          <w:marBottom w:val="0"/>
          <w:divBdr>
            <w:top w:val="none" w:sz="0" w:space="0" w:color="auto"/>
            <w:left w:val="none" w:sz="0" w:space="0" w:color="auto"/>
            <w:bottom w:val="none" w:sz="0" w:space="0" w:color="auto"/>
            <w:right w:val="none" w:sz="0" w:space="0" w:color="auto"/>
          </w:divBdr>
        </w:div>
        <w:div w:id="943541707">
          <w:marLeft w:val="0"/>
          <w:marRight w:val="0"/>
          <w:marTop w:val="450"/>
          <w:marBottom w:val="0"/>
          <w:divBdr>
            <w:top w:val="none" w:sz="0" w:space="0" w:color="auto"/>
            <w:left w:val="none" w:sz="0" w:space="0" w:color="auto"/>
            <w:bottom w:val="none" w:sz="0" w:space="0" w:color="auto"/>
            <w:right w:val="none" w:sz="0" w:space="0" w:color="auto"/>
          </w:divBdr>
        </w:div>
        <w:div w:id="1503475328">
          <w:marLeft w:val="0"/>
          <w:marRight w:val="0"/>
          <w:marTop w:val="450"/>
          <w:marBottom w:val="0"/>
          <w:divBdr>
            <w:top w:val="none" w:sz="0" w:space="0" w:color="auto"/>
            <w:left w:val="none" w:sz="0" w:space="0" w:color="auto"/>
            <w:bottom w:val="none" w:sz="0" w:space="0" w:color="auto"/>
            <w:right w:val="none" w:sz="0" w:space="0" w:color="auto"/>
          </w:divBdr>
          <w:divsChild>
            <w:div w:id="2079747464">
              <w:marLeft w:val="0"/>
              <w:marRight w:val="0"/>
              <w:marTop w:val="0"/>
              <w:marBottom w:val="0"/>
              <w:divBdr>
                <w:top w:val="none" w:sz="0" w:space="0" w:color="auto"/>
                <w:left w:val="none" w:sz="0" w:space="0" w:color="auto"/>
                <w:bottom w:val="none" w:sz="0" w:space="0" w:color="auto"/>
                <w:right w:val="none" w:sz="0" w:space="0" w:color="auto"/>
              </w:divBdr>
            </w:div>
            <w:div w:id="286476560">
              <w:marLeft w:val="0"/>
              <w:marRight w:val="0"/>
              <w:marTop w:val="0"/>
              <w:marBottom w:val="0"/>
              <w:divBdr>
                <w:top w:val="none" w:sz="0" w:space="0" w:color="auto"/>
                <w:left w:val="none" w:sz="0" w:space="0" w:color="auto"/>
                <w:bottom w:val="none" w:sz="0" w:space="0" w:color="auto"/>
                <w:right w:val="none" w:sz="0" w:space="0" w:color="auto"/>
              </w:divBdr>
            </w:div>
            <w:div w:id="339896138">
              <w:marLeft w:val="0"/>
              <w:marRight w:val="0"/>
              <w:marTop w:val="0"/>
              <w:marBottom w:val="0"/>
              <w:divBdr>
                <w:top w:val="none" w:sz="0" w:space="0" w:color="auto"/>
                <w:left w:val="none" w:sz="0" w:space="0" w:color="auto"/>
                <w:bottom w:val="none" w:sz="0" w:space="0" w:color="auto"/>
                <w:right w:val="none" w:sz="0" w:space="0" w:color="auto"/>
              </w:divBdr>
            </w:div>
            <w:div w:id="365525146">
              <w:marLeft w:val="0"/>
              <w:marRight w:val="0"/>
              <w:marTop w:val="0"/>
              <w:marBottom w:val="0"/>
              <w:divBdr>
                <w:top w:val="none" w:sz="0" w:space="0" w:color="auto"/>
                <w:left w:val="none" w:sz="0" w:space="0" w:color="auto"/>
                <w:bottom w:val="none" w:sz="0" w:space="0" w:color="auto"/>
                <w:right w:val="none" w:sz="0" w:space="0" w:color="auto"/>
              </w:divBdr>
            </w:div>
            <w:div w:id="1661301147">
              <w:marLeft w:val="0"/>
              <w:marRight w:val="0"/>
              <w:marTop w:val="0"/>
              <w:marBottom w:val="0"/>
              <w:divBdr>
                <w:top w:val="none" w:sz="0" w:space="0" w:color="auto"/>
                <w:left w:val="none" w:sz="0" w:space="0" w:color="auto"/>
                <w:bottom w:val="none" w:sz="0" w:space="0" w:color="auto"/>
                <w:right w:val="none" w:sz="0" w:space="0" w:color="auto"/>
              </w:divBdr>
            </w:div>
            <w:div w:id="198484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mc.ncbi.nlm.nih.gov/articles/PMC11572072/" TargetMode="External"/><Relationship Id="rId18" Type="http://schemas.openxmlformats.org/officeDocument/2006/relationships/hyperlink" Target="https://pmc.ncbi.nlm.nih.gov/articles/PMC11572072/" TargetMode="External"/><Relationship Id="rId26" Type="http://schemas.openxmlformats.org/officeDocument/2006/relationships/hyperlink" Target="https://pmc.ncbi.nlm.nih.gov/articles/PMC11572072/" TargetMode="External"/><Relationship Id="rId39" Type="http://schemas.openxmlformats.org/officeDocument/2006/relationships/hyperlink" Target="https://pmc.ncbi.nlm.nih.gov/articles/PMC11572072/" TargetMode="External"/><Relationship Id="rId21" Type="http://schemas.openxmlformats.org/officeDocument/2006/relationships/hyperlink" Target="https://pmc.ncbi.nlm.nih.gov/articles/PMC11572072/" TargetMode="External"/><Relationship Id="rId34" Type="http://schemas.openxmlformats.org/officeDocument/2006/relationships/hyperlink" Target="https://pmc.ncbi.nlm.nih.gov/articles/PMC11572072/" TargetMode="External"/><Relationship Id="rId42" Type="http://schemas.openxmlformats.org/officeDocument/2006/relationships/hyperlink" Target="https://pmc.ncbi.nlm.nih.gov/articles/PMC11572072/" TargetMode="External"/><Relationship Id="rId47" Type="http://schemas.openxmlformats.org/officeDocument/2006/relationships/fontTable" Target="fontTable.xml"/><Relationship Id="rId7" Type="http://schemas.openxmlformats.org/officeDocument/2006/relationships/hyperlink" Target="https://pmc.ncbi.nlm.nih.gov/articles/PMC11572072/" TargetMode="External"/><Relationship Id="rId2" Type="http://schemas.openxmlformats.org/officeDocument/2006/relationships/styles" Target="styles.xml"/><Relationship Id="rId16" Type="http://schemas.openxmlformats.org/officeDocument/2006/relationships/hyperlink" Target="https://pmc.ncbi.nlm.nih.gov/articles/PMC11572072/" TargetMode="External"/><Relationship Id="rId29" Type="http://schemas.openxmlformats.org/officeDocument/2006/relationships/hyperlink" Target="https://pmc.ncbi.nlm.nih.gov/articles/PMC11572072/" TargetMode="External"/><Relationship Id="rId1" Type="http://schemas.openxmlformats.org/officeDocument/2006/relationships/numbering" Target="numbering.xml"/><Relationship Id="rId6" Type="http://schemas.openxmlformats.org/officeDocument/2006/relationships/hyperlink" Target="https://pmc.ncbi.nlm.nih.gov/articles/PMC11572072/" TargetMode="External"/><Relationship Id="rId11" Type="http://schemas.openxmlformats.org/officeDocument/2006/relationships/hyperlink" Target="https://pmc.ncbi.nlm.nih.gov/articles/PMC11572072/" TargetMode="External"/><Relationship Id="rId24" Type="http://schemas.openxmlformats.org/officeDocument/2006/relationships/image" Target="media/image1.jpeg"/><Relationship Id="rId32" Type="http://schemas.openxmlformats.org/officeDocument/2006/relationships/hyperlink" Target="https://pmc.ncbi.nlm.nih.gov/articles/PMC11572072/" TargetMode="External"/><Relationship Id="rId37" Type="http://schemas.openxmlformats.org/officeDocument/2006/relationships/image" Target="media/image2.jpeg"/><Relationship Id="rId40" Type="http://schemas.openxmlformats.org/officeDocument/2006/relationships/hyperlink" Target="https://pmc.ncbi.nlm.nih.gov/articles/PMC11572072/" TargetMode="External"/><Relationship Id="rId45" Type="http://schemas.openxmlformats.org/officeDocument/2006/relationships/hyperlink" Target="https://pmc.ncbi.nlm.nih.gov/articles/PMC11572072/" TargetMode="External"/><Relationship Id="rId5" Type="http://schemas.openxmlformats.org/officeDocument/2006/relationships/hyperlink" Target="https://pmc.ncbi.nlm.nih.gov/articles/PMC11572072/" TargetMode="External"/><Relationship Id="rId15" Type="http://schemas.openxmlformats.org/officeDocument/2006/relationships/hyperlink" Target="https://pmc.ncbi.nlm.nih.gov/articles/PMC11572072/" TargetMode="External"/><Relationship Id="rId23" Type="http://schemas.openxmlformats.org/officeDocument/2006/relationships/hyperlink" Target="https://pmc.ncbi.nlm.nih.gov/articles/PMC11572072/" TargetMode="External"/><Relationship Id="rId28" Type="http://schemas.openxmlformats.org/officeDocument/2006/relationships/hyperlink" Target="https://pmc.ncbi.nlm.nih.gov/articles/PMC11572072/" TargetMode="External"/><Relationship Id="rId36" Type="http://schemas.openxmlformats.org/officeDocument/2006/relationships/hyperlink" Target="https://pmc.ncbi.nlm.nih.gov/articles/PMC11572072/" TargetMode="External"/><Relationship Id="rId10" Type="http://schemas.openxmlformats.org/officeDocument/2006/relationships/hyperlink" Target="https://pmc.ncbi.nlm.nih.gov/articles/PMC11572072/" TargetMode="External"/><Relationship Id="rId19" Type="http://schemas.openxmlformats.org/officeDocument/2006/relationships/hyperlink" Target="https://pmc.ncbi.nlm.nih.gov/articles/PMC11572072/" TargetMode="External"/><Relationship Id="rId31" Type="http://schemas.openxmlformats.org/officeDocument/2006/relationships/hyperlink" Target="https://pmc.ncbi.nlm.nih.gov/articles/PMC11572072/" TargetMode="External"/><Relationship Id="rId44" Type="http://schemas.openxmlformats.org/officeDocument/2006/relationships/hyperlink" Target="https://pmc.ncbi.nlm.nih.gov/articles/PMC11572072/" TargetMode="External"/><Relationship Id="rId4" Type="http://schemas.openxmlformats.org/officeDocument/2006/relationships/webSettings" Target="webSettings.xml"/><Relationship Id="rId9" Type="http://schemas.openxmlformats.org/officeDocument/2006/relationships/hyperlink" Target="https://pmc.ncbi.nlm.nih.gov/articles/PMC11572072/" TargetMode="External"/><Relationship Id="rId14" Type="http://schemas.openxmlformats.org/officeDocument/2006/relationships/hyperlink" Target="https://pmc.ncbi.nlm.nih.gov/articles/PMC11572072/" TargetMode="External"/><Relationship Id="rId22" Type="http://schemas.openxmlformats.org/officeDocument/2006/relationships/hyperlink" Target="https://pmc.ncbi.nlm.nih.gov/articles/PMC11572072/" TargetMode="External"/><Relationship Id="rId27" Type="http://schemas.openxmlformats.org/officeDocument/2006/relationships/hyperlink" Target="https://pmc.ncbi.nlm.nih.gov/articles/PMC11572072/" TargetMode="External"/><Relationship Id="rId30" Type="http://schemas.openxmlformats.org/officeDocument/2006/relationships/hyperlink" Target="https://pmc.ncbi.nlm.nih.gov/articles/PMC11572072/" TargetMode="External"/><Relationship Id="rId35" Type="http://schemas.openxmlformats.org/officeDocument/2006/relationships/hyperlink" Target="https://pmc.ncbi.nlm.nih.gov/articles/PMC11572072/" TargetMode="External"/><Relationship Id="rId43" Type="http://schemas.openxmlformats.org/officeDocument/2006/relationships/hyperlink" Target="https://pmc.ncbi.nlm.nih.gov/articles/PMC11572072/" TargetMode="External"/><Relationship Id="rId48" Type="http://schemas.openxmlformats.org/officeDocument/2006/relationships/theme" Target="theme/theme1.xml"/><Relationship Id="rId8" Type="http://schemas.openxmlformats.org/officeDocument/2006/relationships/hyperlink" Target="https://pmc.ncbi.nlm.nih.gov/articles/PMC11572072/" TargetMode="External"/><Relationship Id="rId3" Type="http://schemas.openxmlformats.org/officeDocument/2006/relationships/settings" Target="settings.xml"/><Relationship Id="rId12" Type="http://schemas.openxmlformats.org/officeDocument/2006/relationships/hyperlink" Target="https://pmc.ncbi.nlm.nih.gov/articles/PMC11572072/" TargetMode="External"/><Relationship Id="rId17" Type="http://schemas.openxmlformats.org/officeDocument/2006/relationships/hyperlink" Target="https://pmc.ncbi.nlm.nih.gov/articles/PMC11572072/" TargetMode="External"/><Relationship Id="rId25" Type="http://schemas.openxmlformats.org/officeDocument/2006/relationships/hyperlink" Target="https://pmc.ncbi.nlm.nih.gov/articles/PMC11572072/" TargetMode="External"/><Relationship Id="rId33" Type="http://schemas.openxmlformats.org/officeDocument/2006/relationships/hyperlink" Target="https://pmc.ncbi.nlm.nih.gov/articles/PMC11572072/" TargetMode="External"/><Relationship Id="rId38" Type="http://schemas.openxmlformats.org/officeDocument/2006/relationships/hyperlink" Target="https://pmc.ncbi.nlm.nih.gov/articles/PMC11572072/" TargetMode="External"/><Relationship Id="rId46" Type="http://schemas.openxmlformats.org/officeDocument/2006/relationships/hyperlink" Target="https://pmc.ncbi.nlm.nih.gov/articles/PMC11572072/" TargetMode="External"/><Relationship Id="rId20" Type="http://schemas.openxmlformats.org/officeDocument/2006/relationships/hyperlink" Target="https://pmc.ncbi.nlm.nih.gov/articles/PMC11572072/" TargetMode="External"/><Relationship Id="rId41" Type="http://schemas.openxmlformats.org/officeDocument/2006/relationships/hyperlink" Target="https://pmc.ncbi.nlm.nih.gov/articles/PMC1157207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26</Pages>
  <Words>2439</Words>
  <Characters>13904</Characters>
  <Application>Microsoft Office Word</Application>
  <DocSecurity>0</DocSecurity>
  <Lines>115</Lines>
  <Paragraphs>32</Paragraphs>
  <ScaleCrop>false</ScaleCrop>
  <Company/>
  <LinksUpToDate>false</LinksUpToDate>
  <CharactersWithSpaces>16311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2026-01-11T06:04:00Z</dcterms:created>
  <dcterms:modified xsi:type="dcterms:W3CDTF">2026-01-11T06:07:00Z</dcterms:modified>
</cp:coreProperties>
</file>