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76456" w14:textId="1A11911C" w:rsidR="00375456" w:rsidRPr="00375456" w:rsidRDefault="00375456" w:rsidP="00375456">
      <w:pPr>
        <w:widowControl/>
        <w:spacing w:line="450" w:lineRule="atLeast"/>
        <w:outlineLvl w:val="0"/>
        <w:rPr>
          <w:rFonts w:ascii="微软雅黑" w:eastAsia="微软雅黑" w:hAnsi="微软雅黑" w:cs="宋体"/>
          <w:b/>
          <w:bCs/>
          <w:kern w:val="36"/>
          <w:sz w:val="36"/>
          <w:szCs w:val="36"/>
        </w:rPr>
      </w:pPr>
      <w:r w:rsidRPr="00375456">
        <w:rPr>
          <w:rFonts w:ascii="微软雅黑" w:eastAsia="微软雅黑" w:hAnsi="微软雅黑" w:cs="宋体"/>
          <w:b/>
          <w:bCs/>
          <w:kern w:val="36"/>
          <w:sz w:val="36"/>
          <w:szCs w:val="36"/>
        </w:rPr>
        <w:t>CDK4/6 和 AKT 与内分泌疗法联合靶向可阻止 CDK4/6 抑制剂和内分泌疗法耐药性乳腺癌的进展。</w:t>
      </w:r>
      <w:r w:rsidRPr="00375456">
        <w:rPr>
          <w:rFonts w:ascii="微软雅黑" w:eastAsia="微软雅黑" w:hAnsi="微软雅黑" w:cs="宋体"/>
          <w:kern w:val="0"/>
          <w:sz w:val="25"/>
          <w:szCs w:val="25"/>
        </w:rPr>
        <w:t>。</w:t>
      </w:r>
    </w:p>
    <w:p w14:paraId="27011F78" w14:textId="5E60FD80" w:rsidR="00375456" w:rsidRPr="00375456" w:rsidRDefault="00375456" w:rsidP="00375456">
      <w:pPr>
        <w:widowControl/>
        <w:pBdr>
          <w:bottom w:val="single" w:sz="6" w:space="0" w:color="97B1C8"/>
        </w:pBdr>
        <w:spacing w:line="450" w:lineRule="atLeast"/>
        <w:outlineLvl w:val="1"/>
        <w:rPr>
          <w:rFonts w:ascii="微软雅黑" w:eastAsia="微软雅黑" w:hAnsi="微软雅黑" w:cs="宋体"/>
          <w:kern w:val="0"/>
          <w:sz w:val="34"/>
          <w:szCs w:val="34"/>
        </w:rPr>
      </w:pPr>
      <w:r w:rsidRPr="00375456">
        <w:rPr>
          <w:rFonts w:ascii="微软雅黑" w:eastAsia="微软雅黑" w:hAnsi="微软雅黑" w:cs="宋体" w:hint="eastAsia"/>
          <w:kern w:val="0"/>
          <w:sz w:val="34"/>
          <w:szCs w:val="34"/>
        </w:rPr>
        <w:t>摘要</w:t>
      </w:r>
    </w:p>
    <w:p w14:paraId="71210B8B"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CDK4/6抑制剂（CDK4/6i）联合内分泌治疗在雌激素受体阳性晚期乳腺癌中显示出显著疗效。然而，大多数患者最终会经历疾病进展，这凸显了开发有效后续治疗或改进初始治疗方案的必要性。本研究表明，</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、CDK4/6i和AKT抑制剂（</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）的三重抑制方案能够持久抑制乳腺癌细胞的生长，阻止疾病进展，并减少对CDK4/6i-</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联合治疗或单用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耐药的肿瘤异种移植模型的转移。重要的是，在对</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联合</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的双联治疗产生耐药性后，即使停止</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联合CDK4/6i治疗，转而使用</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治疗也无法阻止肿瘤进展。此外，</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三</w:t>
      </w:r>
      <w:proofErr w:type="gramStart"/>
      <w:r w:rsidRPr="00375456">
        <w:rPr>
          <w:rFonts w:ascii="微软雅黑" w:eastAsia="微软雅黑" w:hAnsi="微软雅黑" w:cs="宋体"/>
          <w:kern w:val="0"/>
          <w:sz w:val="24"/>
          <w:szCs w:val="24"/>
        </w:rPr>
        <w:t>联方案</w:t>
      </w:r>
      <w:proofErr w:type="gramEnd"/>
      <w:r w:rsidRPr="00375456">
        <w:rPr>
          <w:rFonts w:ascii="微软雅黑" w:eastAsia="微软雅黑" w:hAnsi="微软雅黑" w:cs="宋体"/>
          <w:kern w:val="0"/>
          <w:sz w:val="24"/>
          <w:szCs w:val="24"/>
        </w:rPr>
        <w:t>能够显著抑制对CDK4/6i联合</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耐药的患者来源异种移植模型的生长。最后，在接受 CDK4/6 抑制剂联合内分泌治疗的乳腺癌患者中，转移灶内高水平的磷酸化 AKT 与较短的无进展生存期相关。我们的研究结果支持在 CDK4/6 抑制剂联合内分泌治疗进展后，以及在磷酸化 AKT 水平较高（与较差的临床预后相关）的肿瘤中，开展 ER、CDK4/6 和 AKT 联合靶</w:t>
      </w:r>
      <w:proofErr w:type="gramStart"/>
      <w:r w:rsidRPr="00375456">
        <w:rPr>
          <w:rFonts w:ascii="微软雅黑" w:eastAsia="微软雅黑" w:hAnsi="微软雅黑" w:cs="宋体"/>
          <w:kern w:val="0"/>
          <w:sz w:val="24"/>
          <w:szCs w:val="24"/>
        </w:rPr>
        <w:t>向治疗</w:t>
      </w:r>
      <w:proofErr w:type="gramEnd"/>
      <w:r w:rsidRPr="00375456">
        <w:rPr>
          <w:rFonts w:ascii="微软雅黑" w:eastAsia="微软雅黑" w:hAnsi="微软雅黑" w:cs="宋体"/>
          <w:kern w:val="0"/>
          <w:sz w:val="24"/>
          <w:szCs w:val="24"/>
        </w:rPr>
        <w:t>策略的临床开发。</w:t>
      </w:r>
    </w:p>
    <w:p w14:paraId="1BC4C23E"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b/>
          <w:bCs/>
          <w:kern w:val="0"/>
          <w:sz w:val="24"/>
          <w:szCs w:val="24"/>
        </w:rPr>
        <w:t>主题词：</w:t>
      </w:r>
      <w:r w:rsidRPr="00375456">
        <w:rPr>
          <w:rFonts w:ascii="微软雅黑" w:eastAsia="微软雅黑" w:hAnsi="微软雅黑" w:cs="宋体"/>
          <w:kern w:val="0"/>
          <w:sz w:val="24"/>
          <w:szCs w:val="24"/>
        </w:rPr>
        <w:t>转化研究，乳腺癌</w:t>
      </w:r>
    </w:p>
    <w:p w14:paraId="665C89FB"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pict w14:anchorId="37B3FE68">
          <v:rect id="_x0000_i1025" style="width:0;height:0" o:hralign="center" o:hrstd="t" o:hr="t" fillcolor="#a0a0a0" stroked="f"/>
        </w:pict>
      </w:r>
    </w:p>
    <w:p w14:paraId="07264AA3"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CDK4/6抑制剂联合内分泌治疗已显示出对ER阳性乳腺癌患者的疗效，但仍可能出现耐药性。本文作者证明，将CDK4/6和AKT与内分泌治疗联合使用可以预防获得性耐药和治疗适应性。</w:t>
      </w:r>
    </w:p>
    <w:p w14:paraId="630A0AA2" w14:textId="77777777" w:rsidR="00375456" w:rsidRPr="00375456" w:rsidRDefault="00375456" w:rsidP="00375456">
      <w:pPr>
        <w:widowControl/>
        <w:pBdr>
          <w:bottom w:val="single" w:sz="6" w:space="0" w:color="97B1C8"/>
        </w:pBdr>
        <w:spacing w:line="450" w:lineRule="atLeast"/>
        <w:outlineLvl w:val="1"/>
        <w:rPr>
          <w:rFonts w:ascii="微软雅黑" w:eastAsia="微软雅黑" w:hAnsi="微软雅黑" w:cs="宋体"/>
          <w:kern w:val="0"/>
          <w:sz w:val="34"/>
          <w:szCs w:val="34"/>
        </w:rPr>
      </w:pPr>
      <w:r w:rsidRPr="00375456">
        <w:rPr>
          <w:rFonts w:ascii="微软雅黑" w:eastAsia="微软雅黑" w:hAnsi="微软雅黑" w:cs="宋体"/>
          <w:kern w:val="0"/>
          <w:sz w:val="34"/>
          <w:szCs w:val="34"/>
        </w:rPr>
        <w:lastRenderedPageBreak/>
        <w:t>介绍</w:t>
      </w:r>
    </w:p>
    <w:p w14:paraId="1346C444"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内分泌治疗是治疗雌激素受体阳性（ER+）乳腺癌最有效的靶向疗法。然而，对这些药物产生耐药性仍然是临床上面临的主要挑战。细胞周期蛋白D-CDK4/6信号通路在ER+乳腺癌的肿瘤发生和内分泌耐药中的作用已被充分阐明&lt;sup&gt;1-5&lt;/sup&gt;。重要的是，研究表明ER+乳腺癌对</w:t>
      </w:r>
      <w:hyperlink r:id="rId5" w:anchor="CR1" w:history="1">
        <w:r w:rsidRPr="00375456">
          <w:rPr>
            <w:rFonts w:ascii="微软雅黑" w:eastAsia="微软雅黑" w:hAnsi="微软雅黑" w:cs="宋体"/>
            <w:kern w:val="0"/>
            <w:sz w:val="24"/>
            <w:szCs w:val="24"/>
          </w:rPr>
          <w:t>内分泌</w:t>
        </w:r>
      </w:hyperlink>
      <w:hyperlink r:id="rId6" w:anchor="CR5" w:history="1">
        <w:r w:rsidRPr="00375456">
          <w:rPr>
            <w:rFonts w:ascii="微软雅黑" w:eastAsia="微软雅黑" w:hAnsi="微软雅黑" w:cs="宋体"/>
            <w:kern w:val="0"/>
            <w:sz w:val="24"/>
            <w:szCs w:val="24"/>
          </w:rPr>
          <w:t>治疗</w:t>
        </w:r>
      </w:hyperlink>
      <w:r w:rsidRPr="00375456">
        <w:rPr>
          <w:rFonts w:ascii="微软雅黑" w:eastAsia="微软雅黑" w:hAnsi="微软雅黑" w:cs="宋体"/>
          <w:kern w:val="0"/>
          <w:sz w:val="24"/>
          <w:szCs w:val="24"/>
        </w:rPr>
        <w:t>的耐药性依赖于细胞周期蛋白D-CDK4/6通路</w:t>
      </w:r>
      <w:r w:rsidRPr="00375456">
        <w:rPr>
          <w:rFonts w:ascii="微软雅黑" w:eastAsia="微软雅黑" w:hAnsi="微软雅黑" w:cs="宋体"/>
          <w:kern w:val="0"/>
          <w:sz w:val="24"/>
          <w:szCs w:val="24"/>
          <w:vertAlign w:val="superscript"/>
        </w:rPr>
        <w:t>&lt;sup&gt; 6,7 </w:t>
      </w:r>
      <w:hyperlink r:id="rId7" w:anchor="CR6" w:history="1">
        <w:r w:rsidRPr="00375456">
          <w:rPr>
            <w:rFonts w:ascii="微软雅黑" w:eastAsia="微软雅黑" w:hAnsi="微软雅黑" w:cs="宋体"/>
            <w:kern w:val="0"/>
            <w:sz w:val="24"/>
            <w:szCs w:val="24"/>
            <w:vertAlign w:val="superscript"/>
          </w:rPr>
          <w:t>&lt;/sup&gt; </w:t>
        </w:r>
      </w:hyperlink>
      <w:hyperlink r:id="rId8" w:anchor="CR7" w:history="1">
        <w:r w:rsidRPr="00375456">
          <w:rPr>
            <w:rFonts w:ascii="微软雅黑" w:eastAsia="微软雅黑" w:hAnsi="微软雅黑" w:cs="宋体"/>
            <w:kern w:val="0"/>
            <w:sz w:val="24"/>
            <w:szCs w:val="24"/>
            <w:u w:val="single"/>
            <w:vertAlign w:val="superscript"/>
          </w:rPr>
          <w:t>。</w:t>
        </w:r>
      </w:hyperlink>
      <w:r w:rsidRPr="00375456">
        <w:rPr>
          <w:rFonts w:ascii="微软雅黑" w:eastAsia="微软雅黑" w:hAnsi="微软雅黑" w:cs="宋体"/>
          <w:kern w:val="0"/>
          <w:sz w:val="24"/>
          <w:szCs w:val="24"/>
        </w:rPr>
        <w:t>这些数据共同支持了多种CDK4/6抑制剂（CDK4/6i）联合内分泌治疗的临床研究，这些抑制剂包括帕博西尼、瑞博西尼和阿贝西利。临床研究表明，在ER阳性晚期乳腺癌患者中，与单独内分泌治疗相比，CDK4/6抑制剂联合内分泌治疗可显著改善无进展生存期（PFS）和总生存期（OS），因此CDK4/6抑制剂</w:t>
      </w:r>
      <w:proofErr w:type="gramStart"/>
      <w:r w:rsidRPr="00375456">
        <w:rPr>
          <w:rFonts w:ascii="微软雅黑" w:eastAsia="微软雅黑" w:hAnsi="微软雅黑" w:cs="宋体"/>
          <w:kern w:val="0"/>
          <w:sz w:val="24"/>
          <w:szCs w:val="24"/>
        </w:rPr>
        <w:t>获批与芳香</w:t>
      </w:r>
      <w:proofErr w:type="gramEnd"/>
      <w:r w:rsidRPr="00375456">
        <w:rPr>
          <w:rFonts w:ascii="微软雅黑" w:eastAsia="微软雅黑" w:hAnsi="微软雅黑" w:cs="宋体"/>
          <w:kern w:val="0"/>
          <w:sz w:val="24"/>
          <w:szCs w:val="24"/>
        </w:rPr>
        <w:t>化酶抑制剂（AI）联合用于一线治疗。此外，CDK4/6抑制剂与ER降解</w:t>
      </w:r>
      <w:proofErr w:type="gramStart"/>
      <w:r w:rsidRPr="00375456">
        <w:rPr>
          <w:rFonts w:ascii="微软雅黑" w:eastAsia="微软雅黑" w:hAnsi="微软雅黑" w:cs="宋体"/>
          <w:kern w:val="0"/>
          <w:sz w:val="24"/>
          <w:szCs w:val="24"/>
        </w:rPr>
        <w:t>剂氟维司群</w:t>
      </w:r>
      <w:proofErr w:type="gramEnd"/>
      <w:r w:rsidRPr="00375456">
        <w:rPr>
          <w:rFonts w:ascii="微软雅黑" w:eastAsia="微软雅黑" w:hAnsi="微软雅黑" w:cs="宋体"/>
          <w:kern w:val="0"/>
          <w:sz w:val="24"/>
          <w:szCs w:val="24"/>
        </w:rPr>
        <w:t>联合用于一线AI单药治疗后疾病进展的患者</w:t>
      </w:r>
      <w:r w:rsidRPr="00375456">
        <w:rPr>
          <w:rFonts w:ascii="微软雅黑" w:eastAsia="微软雅黑" w:hAnsi="微软雅黑" w:cs="宋体"/>
          <w:kern w:val="0"/>
          <w:sz w:val="24"/>
          <w:szCs w:val="24"/>
          <w:vertAlign w:val="superscript"/>
        </w:rPr>
        <w:fldChar w:fldCharType="begin"/>
      </w:r>
      <w:r w:rsidRPr="00375456">
        <w:rPr>
          <w:rFonts w:ascii="微软雅黑" w:eastAsia="微软雅黑" w:hAnsi="微软雅黑" w:cs="宋体"/>
          <w:kern w:val="0"/>
          <w:sz w:val="24"/>
          <w:szCs w:val="24"/>
          <w:vertAlign w:val="superscript"/>
        </w:rPr>
        <w:instrText xml:space="preserve"> HYPERLINK "https://pmc.ncbi.nlm.nih.gov/articles/PMC8387387/" \l "CR13" </w:instrText>
      </w:r>
      <w:r w:rsidRPr="00375456">
        <w:rPr>
          <w:rFonts w:ascii="微软雅黑" w:eastAsia="微软雅黑" w:hAnsi="微软雅黑" w:cs="宋体"/>
          <w:kern w:val="0"/>
          <w:sz w:val="24"/>
          <w:szCs w:val="24"/>
          <w:vertAlign w:val="superscript"/>
        </w:rPr>
        <w:fldChar w:fldCharType="separate"/>
      </w:r>
      <w:r w:rsidRPr="00375456">
        <w:rPr>
          <w:rFonts w:ascii="微软雅黑" w:eastAsia="微软雅黑" w:hAnsi="微软雅黑" w:cs="宋体"/>
          <w:kern w:val="0"/>
          <w:sz w:val="24"/>
          <w:szCs w:val="24"/>
          <w:u w:val="single"/>
          <w:vertAlign w:val="superscript"/>
        </w:rPr>
        <w:t>&lt;sup&gt; </w:t>
      </w:r>
      <w:r w:rsidRPr="00375456">
        <w:rPr>
          <w:rFonts w:ascii="微软雅黑" w:eastAsia="微软雅黑" w:hAnsi="微软雅黑" w:cs="宋体"/>
          <w:kern w:val="0"/>
          <w:sz w:val="24"/>
          <w:szCs w:val="24"/>
          <w:vertAlign w:val="superscript"/>
        </w:rPr>
        <w:fldChar w:fldCharType="end"/>
      </w:r>
      <w:hyperlink r:id="rId9" w:anchor="CR8" w:history="1">
        <w:r w:rsidRPr="00375456">
          <w:rPr>
            <w:rFonts w:ascii="微软雅黑" w:eastAsia="微软雅黑" w:hAnsi="微软雅黑" w:cs="宋体"/>
            <w:kern w:val="0"/>
            <w:sz w:val="24"/>
            <w:szCs w:val="24"/>
            <w:u w:val="single"/>
            <w:vertAlign w:val="superscript"/>
          </w:rPr>
          <w:t>8-13</w:t>
        </w:r>
      </w:hyperlink>
      <w:r w:rsidRPr="00375456">
        <w:rPr>
          <w:rFonts w:ascii="微软雅黑" w:eastAsia="微软雅黑" w:hAnsi="微软雅黑" w:cs="宋体"/>
          <w:kern w:val="0"/>
          <w:sz w:val="24"/>
          <w:szCs w:val="24"/>
          <w:vertAlign w:val="superscript"/>
        </w:rPr>
        <w:t> &lt;/sup&gt;</w:t>
      </w:r>
      <w:r w:rsidRPr="00375456">
        <w:rPr>
          <w:rFonts w:ascii="微软雅黑" w:eastAsia="微软雅黑" w:hAnsi="微软雅黑" w:cs="宋体"/>
          <w:kern w:val="0"/>
          <w:sz w:val="24"/>
          <w:szCs w:val="24"/>
        </w:rPr>
        <w:t>。</w:t>
      </w:r>
    </w:p>
    <w:p w14:paraId="1CE42F42"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PI3K/AKT-mTOR通路失调与内分泌耐药之间的联系已广为人知</w:t>
      </w:r>
      <w:r w:rsidRPr="00375456">
        <w:rPr>
          <w:rFonts w:ascii="微软雅黑" w:eastAsia="微软雅黑" w:hAnsi="微软雅黑" w:cs="宋体"/>
          <w:kern w:val="0"/>
          <w:sz w:val="24"/>
          <w:szCs w:val="24"/>
          <w:vertAlign w:val="superscript"/>
        </w:rPr>
        <w:t>&lt;sup&gt; </w:t>
      </w:r>
      <w:hyperlink r:id="rId10" w:anchor="CR14" w:history="1">
        <w:r w:rsidRPr="00375456">
          <w:rPr>
            <w:rFonts w:ascii="微软雅黑" w:eastAsia="微软雅黑" w:hAnsi="微软雅黑" w:cs="宋体"/>
            <w:kern w:val="0"/>
            <w:sz w:val="24"/>
            <w:szCs w:val="24"/>
            <w:vertAlign w:val="superscript"/>
          </w:rPr>
          <w:t>14&lt;/sup&gt;</w:t>
        </w:r>
      </w:hyperlink>
      <w:r w:rsidRPr="00375456">
        <w:rPr>
          <w:rFonts w:ascii="微软雅黑" w:eastAsia="微软雅黑" w:hAnsi="微软雅黑" w:cs="宋体"/>
          <w:kern w:val="0"/>
          <w:sz w:val="24"/>
          <w:szCs w:val="24"/>
          <w:vertAlign w:val="superscript"/>
        </w:rPr>
        <w:t>。</w:t>
      </w:r>
      <w:r w:rsidRPr="00375456">
        <w:rPr>
          <w:rFonts w:ascii="微软雅黑" w:eastAsia="微软雅黑" w:hAnsi="微软雅黑" w:cs="宋体"/>
          <w:kern w:val="0"/>
          <w:sz w:val="24"/>
          <w:szCs w:val="24"/>
        </w:rPr>
        <w:t>mTORC1抑制剂依维莫司与芳香化酶抑制剂依西美坦联合使用，可延长ER阳性晚期乳腺癌患者在非</w:t>
      </w:r>
      <w:proofErr w:type="gramStart"/>
      <w:r w:rsidRPr="00375456">
        <w:rPr>
          <w:rFonts w:ascii="微软雅黑" w:eastAsia="微软雅黑" w:hAnsi="微软雅黑" w:cs="宋体"/>
          <w:kern w:val="0"/>
          <w:sz w:val="24"/>
          <w:szCs w:val="24"/>
        </w:rPr>
        <w:t>甾</w:t>
      </w:r>
      <w:proofErr w:type="gramEnd"/>
      <w:r w:rsidRPr="00375456">
        <w:rPr>
          <w:rFonts w:ascii="微软雅黑" w:eastAsia="微软雅黑" w:hAnsi="微软雅黑" w:cs="宋体"/>
          <w:kern w:val="0"/>
          <w:sz w:val="24"/>
          <w:szCs w:val="24"/>
        </w:rPr>
        <w:t>体类芳香化酶抑制剂治疗后疾病进展的无进展生存期</w:t>
      </w:r>
      <w:r w:rsidRPr="00375456">
        <w:rPr>
          <w:rFonts w:ascii="微软雅黑" w:eastAsia="微软雅黑" w:hAnsi="微软雅黑" w:cs="宋体"/>
          <w:kern w:val="0"/>
          <w:sz w:val="24"/>
          <w:szCs w:val="24"/>
          <w:u w:val="single"/>
          <w:vertAlign w:val="superscript"/>
        </w:rPr>
        <w:t>&lt;sup&gt; </w:t>
      </w:r>
      <w:hyperlink r:id="rId11" w:anchor="CR15" w:history="1">
        <w:r w:rsidRPr="00375456">
          <w:rPr>
            <w:rFonts w:ascii="微软雅黑" w:eastAsia="微软雅黑" w:hAnsi="微软雅黑" w:cs="宋体"/>
            <w:kern w:val="0"/>
            <w:sz w:val="24"/>
            <w:szCs w:val="24"/>
            <w:u w:val="single"/>
            <w:vertAlign w:val="superscript"/>
          </w:rPr>
          <w:t>15&lt;/sup&gt;</w:t>
        </w:r>
      </w:hyperlink>
      <w:r w:rsidRPr="00375456">
        <w:rPr>
          <w:rFonts w:ascii="微软雅黑" w:eastAsia="微软雅黑" w:hAnsi="微软雅黑" w:cs="宋体"/>
          <w:kern w:val="0"/>
          <w:sz w:val="24"/>
          <w:szCs w:val="24"/>
        </w:rPr>
        <w:t>。然而，mTORC1抑制剂会诱导负反馈环路激活AKT，从而限制mTORC1抑制剂的疗效</w:t>
      </w:r>
      <w:r w:rsidRPr="00375456">
        <w:rPr>
          <w:rFonts w:ascii="微软雅黑" w:eastAsia="微软雅黑" w:hAnsi="微软雅黑" w:cs="宋体"/>
          <w:kern w:val="0"/>
          <w:sz w:val="24"/>
          <w:szCs w:val="24"/>
          <w:u w:val="single"/>
          <w:vertAlign w:val="superscript"/>
        </w:rPr>
        <w:t>&lt;sup&gt; </w:t>
      </w:r>
      <w:hyperlink r:id="rId12" w:anchor="CR16" w:history="1">
        <w:r w:rsidRPr="00375456">
          <w:rPr>
            <w:rFonts w:ascii="微软雅黑" w:eastAsia="微软雅黑" w:hAnsi="微软雅黑" w:cs="宋体"/>
            <w:kern w:val="0"/>
            <w:sz w:val="24"/>
            <w:szCs w:val="24"/>
            <w:u w:val="single"/>
            <w:vertAlign w:val="superscript"/>
          </w:rPr>
          <w:t>16&lt;/sup&gt;</w:t>
        </w:r>
      </w:hyperlink>
      <w:r w:rsidRPr="00375456">
        <w:rPr>
          <w:rFonts w:ascii="微软雅黑" w:eastAsia="微软雅黑" w:hAnsi="微软雅黑" w:cs="宋体"/>
          <w:kern w:val="0"/>
          <w:sz w:val="24"/>
          <w:szCs w:val="24"/>
        </w:rPr>
        <w:t>。此外，α特异性PI3K抑制剂（PI3Ki）阿培利西布近期获</w:t>
      </w:r>
      <w:proofErr w:type="gramStart"/>
      <w:r w:rsidRPr="00375456">
        <w:rPr>
          <w:rFonts w:ascii="微软雅黑" w:eastAsia="微软雅黑" w:hAnsi="微软雅黑" w:cs="宋体"/>
          <w:kern w:val="0"/>
          <w:sz w:val="24"/>
          <w:szCs w:val="24"/>
        </w:rPr>
        <w:t>批用于</w:t>
      </w:r>
      <w:proofErr w:type="gramEnd"/>
      <w:r w:rsidRPr="00375456">
        <w:rPr>
          <w:rFonts w:ascii="微软雅黑" w:eastAsia="微软雅黑" w:hAnsi="微软雅黑" w:cs="宋体"/>
          <w:kern w:val="0"/>
          <w:sz w:val="24"/>
          <w:szCs w:val="24"/>
        </w:rPr>
        <w:t>治疗既往内分泌治疗后疾病进展的</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突变ER阳性晚期乳腺癌</w:t>
      </w:r>
      <w:r w:rsidRPr="00375456">
        <w:rPr>
          <w:rFonts w:ascii="微软雅黑" w:eastAsia="微软雅黑" w:hAnsi="微软雅黑" w:cs="宋体"/>
          <w:kern w:val="0"/>
          <w:sz w:val="24"/>
          <w:szCs w:val="24"/>
          <w:u w:val="single"/>
          <w:vertAlign w:val="superscript"/>
        </w:rPr>
        <w:t>&lt;sup&gt; </w:t>
      </w:r>
      <w:hyperlink r:id="rId13" w:anchor="CR17" w:history="1">
        <w:r w:rsidRPr="00375456">
          <w:rPr>
            <w:rFonts w:ascii="微软雅黑" w:eastAsia="微软雅黑" w:hAnsi="微软雅黑" w:cs="宋体"/>
            <w:kern w:val="0"/>
            <w:sz w:val="24"/>
            <w:szCs w:val="24"/>
            <w:u w:val="single"/>
            <w:vertAlign w:val="superscript"/>
          </w:rPr>
          <w:t>17&lt;/sup&gt;</w:t>
        </w:r>
      </w:hyperlink>
      <w:r w:rsidRPr="00375456">
        <w:rPr>
          <w:rFonts w:ascii="微软雅黑" w:eastAsia="微软雅黑" w:hAnsi="微软雅黑" w:cs="宋体"/>
          <w:i/>
          <w:iCs/>
          <w:kern w:val="0"/>
          <w:sz w:val="24"/>
          <w:szCs w:val="24"/>
        </w:rPr>
        <w:t> 。值得注意的是，有研究表明，直接阻断AKT可能为内分泌耐药乳腺癌提供更好的治疗选择，其作用机制包括影响PIK3CA</w:t>
      </w:r>
      <w:r w:rsidRPr="00375456">
        <w:rPr>
          <w:rFonts w:ascii="微软雅黑" w:eastAsia="微软雅黑" w:hAnsi="微软雅黑" w:cs="宋体"/>
          <w:kern w:val="0"/>
          <w:sz w:val="24"/>
          <w:szCs w:val="24"/>
        </w:rPr>
        <w:t>突变型和野生型肿瘤的细胞存活和ER配体非依赖性信号传导</w:t>
      </w:r>
      <w:r w:rsidRPr="00375456">
        <w:rPr>
          <w:rFonts w:ascii="微软雅黑" w:eastAsia="微软雅黑" w:hAnsi="微软雅黑" w:cs="宋体"/>
          <w:kern w:val="0"/>
          <w:sz w:val="24"/>
          <w:szCs w:val="24"/>
          <w:u w:val="single"/>
          <w:vertAlign w:val="superscript"/>
        </w:rPr>
        <w:t>&lt;sup&gt; </w:t>
      </w:r>
      <w:hyperlink r:id="rId14" w:anchor="CR18" w:history="1">
        <w:r w:rsidRPr="00375456">
          <w:rPr>
            <w:rFonts w:ascii="微软雅黑" w:eastAsia="微软雅黑" w:hAnsi="微软雅黑" w:cs="宋体"/>
            <w:kern w:val="0"/>
            <w:sz w:val="24"/>
            <w:szCs w:val="24"/>
            <w:u w:val="single"/>
            <w:vertAlign w:val="superscript"/>
          </w:rPr>
          <w:t>18</w:t>
        </w:r>
      </w:hyperlink>
      <w:r w:rsidRPr="00375456">
        <w:rPr>
          <w:rFonts w:ascii="微软雅黑" w:eastAsia="微软雅黑" w:hAnsi="微软雅黑" w:cs="宋体"/>
          <w:kern w:val="0"/>
          <w:sz w:val="24"/>
          <w:szCs w:val="24"/>
          <w:u w:val="single"/>
          <w:vertAlign w:val="superscript"/>
        </w:rPr>
        <w:t> &lt;/sup&gt;</w:t>
      </w:r>
      <w:r w:rsidRPr="00375456">
        <w:rPr>
          <w:rFonts w:ascii="微软雅黑" w:eastAsia="微软雅黑" w:hAnsi="微软雅黑" w:cs="宋体"/>
          <w:kern w:val="0"/>
          <w:sz w:val="24"/>
          <w:szCs w:val="24"/>
        </w:rPr>
        <w:t xml:space="preserve"> 。目前，有多种</w:t>
      </w:r>
      <w:r w:rsidRPr="00375456">
        <w:rPr>
          <w:rFonts w:ascii="微软雅黑" w:eastAsia="微软雅黑" w:hAnsi="微软雅黑" w:cs="宋体"/>
          <w:kern w:val="0"/>
          <w:sz w:val="24"/>
          <w:szCs w:val="24"/>
        </w:rPr>
        <w:lastRenderedPageBreak/>
        <w:t>AKT抑制剂（</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）正在进行临床研究，其中包括泛AKT激酶催化抑制剂</w:t>
      </w:r>
      <w:proofErr w:type="spellStart"/>
      <w:r w:rsidRPr="00375456">
        <w:rPr>
          <w:rFonts w:ascii="微软雅黑" w:eastAsia="微软雅黑" w:hAnsi="微软雅黑" w:cs="宋体"/>
          <w:kern w:val="0"/>
          <w:sz w:val="24"/>
          <w:szCs w:val="24"/>
        </w:rPr>
        <w:t>capivasertib</w:t>
      </w:r>
      <w:proofErr w:type="spellEnd"/>
      <w:r w:rsidRPr="00375456">
        <w:rPr>
          <w:rFonts w:ascii="微软雅黑" w:eastAsia="微软雅黑" w:hAnsi="微软雅黑" w:cs="宋体"/>
          <w:kern w:val="0"/>
          <w:sz w:val="24"/>
          <w:szCs w:val="24"/>
        </w:rPr>
        <w:t>（AZD5363）。最近的研究表明，</w:t>
      </w:r>
      <w:proofErr w:type="spellStart"/>
      <w:r w:rsidRPr="00375456">
        <w:rPr>
          <w:rFonts w:ascii="微软雅黑" w:eastAsia="微软雅黑" w:hAnsi="微软雅黑" w:cs="宋体"/>
          <w:kern w:val="0"/>
          <w:sz w:val="24"/>
          <w:szCs w:val="24"/>
        </w:rPr>
        <w:t>capivasertib</w:t>
      </w:r>
      <w:proofErr w:type="spellEnd"/>
      <w:r w:rsidRPr="00375456">
        <w:rPr>
          <w:rFonts w:ascii="微软雅黑" w:eastAsia="微软雅黑" w:hAnsi="微软雅黑" w:cs="宋体"/>
          <w:kern w:val="0"/>
          <w:sz w:val="24"/>
          <w:szCs w:val="24"/>
        </w:rPr>
        <w:t>与</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联合使用，可改善接受芳香化酶抑制剂（AI）治疗后肿瘤进展的ER阳性转移性乳腺癌患者的无进展生存期（PFS）</w:t>
      </w:r>
      <w:r w:rsidRPr="00375456">
        <w:rPr>
          <w:rFonts w:ascii="微软雅黑" w:eastAsia="微软雅黑" w:hAnsi="微软雅黑" w:cs="宋体"/>
          <w:kern w:val="0"/>
          <w:sz w:val="24"/>
          <w:szCs w:val="24"/>
          <w:u w:val="single"/>
          <w:vertAlign w:val="superscript"/>
        </w:rPr>
        <w:t>&lt;sup&gt; </w:t>
      </w:r>
      <w:hyperlink r:id="rId15" w:anchor="CR19" w:history="1">
        <w:r w:rsidRPr="00375456">
          <w:rPr>
            <w:rFonts w:ascii="微软雅黑" w:eastAsia="微软雅黑" w:hAnsi="微软雅黑" w:cs="宋体"/>
            <w:kern w:val="0"/>
            <w:sz w:val="24"/>
            <w:szCs w:val="24"/>
            <w:u w:val="single"/>
            <w:vertAlign w:val="superscript"/>
          </w:rPr>
          <w:t>19</w:t>
        </w:r>
      </w:hyperlink>
      <w:r w:rsidRPr="00375456">
        <w:rPr>
          <w:rFonts w:ascii="微软雅黑" w:eastAsia="微软雅黑" w:hAnsi="微软雅黑" w:cs="宋体"/>
          <w:kern w:val="0"/>
          <w:sz w:val="24"/>
          <w:szCs w:val="24"/>
          <w:u w:val="single"/>
          <w:vertAlign w:val="superscript"/>
        </w:rPr>
        <w:t> &lt;/sup&gt;</w:t>
      </w:r>
      <w:r w:rsidRPr="00375456">
        <w:rPr>
          <w:rFonts w:ascii="微软雅黑" w:eastAsia="微软雅黑" w:hAnsi="微软雅黑" w:cs="宋体"/>
          <w:kern w:val="0"/>
          <w:sz w:val="24"/>
          <w:szCs w:val="24"/>
        </w:rPr>
        <w:t>。值得注意的是，PI3K/PTEN/AKT基因改变导致PI3K/PTEN/AKT通路激活的肿瘤与未发生此类基因改变的肿瘤在疗效上并无差异。目前，一项III期临床试验（CAPItello-291）正在评估</w:t>
      </w:r>
      <w:proofErr w:type="spellStart"/>
      <w:r w:rsidRPr="00375456">
        <w:rPr>
          <w:rFonts w:ascii="微软雅黑" w:eastAsia="微软雅黑" w:hAnsi="微软雅黑" w:cs="宋体"/>
          <w:kern w:val="0"/>
          <w:sz w:val="24"/>
          <w:szCs w:val="24"/>
        </w:rPr>
        <w:t>capivasertib</w:t>
      </w:r>
      <w:proofErr w:type="spellEnd"/>
      <w:r w:rsidRPr="00375456">
        <w:rPr>
          <w:rFonts w:ascii="微软雅黑" w:eastAsia="微软雅黑" w:hAnsi="微软雅黑" w:cs="宋体"/>
          <w:kern w:val="0"/>
          <w:sz w:val="24"/>
          <w:szCs w:val="24"/>
        </w:rPr>
        <w:t>联合</w:t>
      </w:r>
      <w:proofErr w:type="gramStart"/>
      <w:r w:rsidRPr="00375456">
        <w:rPr>
          <w:rFonts w:ascii="微软雅黑" w:eastAsia="微软雅黑" w:hAnsi="微软雅黑" w:cs="宋体"/>
          <w:kern w:val="0"/>
          <w:sz w:val="24"/>
          <w:szCs w:val="24"/>
        </w:rPr>
        <w:t>氟维司群治疗</w:t>
      </w:r>
      <w:proofErr w:type="gramEnd"/>
      <w:r w:rsidRPr="00375456">
        <w:rPr>
          <w:rFonts w:ascii="微软雅黑" w:eastAsia="微软雅黑" w:hAnsi="微软雅黑" w:cs="宋体"/>
          <w:kern w:val="0"/>
          <w:sz w:val="24"/>
          <w:szCs w:val="24"/>
        </w:rPr>
        <w:t xml:space="preserve">接受AI治疗后肿瘤进展的ER阳性转移性乳腺癌患者的疗效。此外，目前正在进行一项 </w:t>
      </w:r>
      <w:proofErr w:type="spellStart"/>
      <w:r w:rsidRPr="00375456">
        <w:rPr>
          <w:rFonts w:ascii="微软雅黑" w:eastAsia="微软雅黑" w:hAnsi="微软雅黑" w:cs="宋体"/>
          <w:kern w:val="0"/>
          <w:sz w:val="24"/>
          <w:szCs w:val="24"/>
        </w:rPr>
        <w:t>Ib</w:t>
      </w:r>
      <w:proofErr w:type="spellEnd"/>
      <w:r w:rsidRPr="00375456">
        <w:rPr>
          <w:rFonts w:ascii="微软雅黑" w:eastAsia="微软雅黑" w:hAnsi="微软雅黑" w:cs="宋体"/>
          <w:kern w:val="0"/>
          <w:sz w:val="24"/>
          <w:szCs w:val="24"/>
        </w:rPr>
        <w:t xml:space="preserve">/III 期试验，评估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w:t>
      </w:r>
      <w:proofErr w:type="spellStart"/>
      <w:r w:rsidRPr="00375456">
        <w:rPr>
          <w:rFonts w:ascii="微软雅黑" w:eastAsia="微软雅黑" w:hAnsi="微软雅黑" w:cs="宋体"/>
          <w:kern w:val="0"/>
          <w:sz w:val="24"/>
          <w:szCs w:val="24"/>
        </w:rPr>
        <w:t>capivasertib</w:t>
      </w:r>
      <w:proofErr w:type="spellEnd"/>
      <w:r w:rsidRPr="00375456">
        <w:rPr>
          <w:rFonts w:ascii="微软雅黑" w:eastAsia="微软雅黑" w:hAnsi="微软雅黑" w:cs="宋体"/>
          <w:kern w:val="0"/>
          <w:sz w:val="24"/>
          <w:szCs w:val="24"/>
        </w:rPr>
        <w:t xml:space="preserve"> 加 </w:t>
      </w:r>
      <w:proofErr w:type="spellStart"/>
      <w:r w:rsidRPr="00375456">
        <w:rPr>
          <w:rFonts w:ascii="微软雅黑" w:eastAsia="微软雅黑" w:hAnsi="微软雅黑" w:cs="宋体"/>
          <w:kern w:val="0"/>
          <w:sz w:val="24"/>
          <w:szCs w:val="24"/>
        </w:rPr>
        <w:t>palbociclib</w:t>
      </w:r>
      <w:proofErr w:type="spellEnd"/>
      <w:r w:rsidRPr="00375456">
        <w:rPr>
          <w:rFonts w:ascii="微软雅黑" w:eastAsia="微软雅黑" w:hAnsi="微软雅黑" w:cs="宋体"/>
          <w:kern w:val="0"/>
          <w:sz w:val="24"/>
          <w:szCs w:val="24"/>
        </w:rPr>
        <w:t xml:space="preserve"> 和 </w:t>
      </w:r>
      <w:proofErr w:type="spellStart"/>
      <w:r w:rsidRPr="00375456">
        <w:rPr>
          <w:rFonts w:ascii="微软雅黑" w:eastAsia="微软雅黑" w:hAnsi="微软雅黑" w:cs="宋体"/>
          <w:kern w:val="0"/>
          <w:sz w:val="24"/>
          <w:szCs w:val="24"/>
        </w:rPr>
        <w:t>fulvestrant</w:t>
      </w:r>
      <w:proofErr w:type="spellEnd"/>
      <w:r w:rsidRPr="00375456">
        <w:rPr>
          <w:rFonts w:ascii="微软雅黑" w:eastAsia="微软雅黑" w:hAnsi="微软雅黑" w:cs="宋体"/>
          <w:kern w:val="0"/>
          <w:sz w:val="24"/>
          <w:szCs w:val="24"/>
        </w:rPr>
        <w:t xml:space="preserve"> 与 </w:t>
      </w:r>
      <w:proofErr w:type="spellStart"/>
      <w:r w:rsidRPr="00375456">
        <w:rPr>
          <w:rFonts w:ascii="微软雅黑" w:eastAsia="微软雅黑" w:hAnsi="微软雅黑" w:cs="宋体"/>
          <w:kern w:val="0"/>
          <w:sz w:val="24"/>
          <w:szCs w:val="24"/>
        </w:rPr>
        <w:t>palbociclib</w:t>
      </w:r>
      <w:proofErr w:type="spellEnd"/>
      <w:r w:rsidRPr="00375456">
        <w:rPr>
          <w:rFonts w:ascii="微软雅黑" w:eastAsia="微软雅黑" w:hAnsi="微软雅黑" w:cs="宋体"/>
          <w:kern w:val="0"/>
          <w:sz w:val="24"/>
          <w:szCs w:val="24"/>
        </w:rPr>
        <w:t xml:space="preserve"> 和 </w:t>
      </w:r>
      <w:proofErr w:type="spellStart"/>
      <w:r w:rsidRPr="00375456">
        <w:rPr>
          <w:rFonts w:ascii="微软雅黑" w:eastAsia="微软雅黑" w:hAnsi="微软雅黑" w:cs="宋体"/>
          <w:kern w:val="0"/>
          <w:sz w:val="24"/>
          <w:szCs w:val="24"/>
        </w:rPr>
        <w:t>fulvestrant</w:t>
      </w:r>
      <w:proofErr w:type="spellEnd"/>
      <w:r w:rsidRPr="00375456">
        <w:rPr>
          <w:rFonts w:ascii="微软雅黑" w:eastAsia="微软雅黑" w:hAnsi="微软雅黑" w:cs="宋体"/>
          <w:kern w:val="0"/>
          <w:sz w:val="24"/>
          <w:szCs w:val="24"/>
        </w:rPr>
        <w:t xml:space="preserve"> 治疗 ER+ 局部晚期、不可切除或转移性乳腺癌的疗效 (CAPItello-292)。</w:t>
      </w:r>
    </w:p>
    <w:p w14:paraId="78F5C68C"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然而，部分患者的肿瘤对 CDK4/6 抑制剂无反应，且相当一部分最初对这些药物有反应的肿瘤患者最终会出现疾病进展，这凸显了识别生物标志物和开发更合理的药物组合的必要性。近期研究发现，CDK4/6 抑制剂可增强</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突变肿瘤对 PI3K 抑制剂的敏感性，反之，mTORC1/2 抑制剂则可抑制 CDK4/6 抑制剂耐药细胞的生长</w:t>
      </w:r>
      <w:r w:rsidRPr="00375456">
        <w:rPr>
          <w:rFonts w:ascii="微软雅黑" w:eastAsia="微软雅黑" w:hAnsi="微软雅黑" w:cs="宋体"/>
          <w:kern w:val="0"/>
          <w:sz w:val="24"/>
          <w:szCs w:val="24"/>
          <w:vertAlign w:val="superscript"/>
        </w:rPr>
        <w:t>&lt;sup&gt; </w:t>
      </w:r>
      <w:hyperlink r:id="rId16" w:anchor="CR20" w:history="1">
        <w:r w:rsidRPr="00375456">
          <w:rPr>
            <w:rFonts w:ascii="微软雅黑" w:eastAsia="微软雅黑" w:hAnsi="微软雅黑" w:cs="宋体"/>
            <w:kern w:val="0"/>
            <w:sz w:val="24"/>
            <w:szCs w:val="24"/>
            <w:u w:val="single"/>
            <w:vertAlign w:val="superscript"/>
          </w:rPr>
          <w:t>20,21 </w:t>
        </w:r>
      </w:hyperlink>
      <w:hyperlink r:id="rId17" w:anchor="CR21" w:history="1">
        <w:r w:rsidRPr="00375456">
          <w:rPr>
            <w:rFonts w:ascii="微软雅黑" w:eastAsia="微软雅黑" w:hAnsi="微软雅黑" w:cs="宋体"/>
            <w:kern w:val="0"/>
            <w:sz w:val="24"/>
            <w:szCs w:val="24"/>
            <w:u w:val="single"/>
            <w:vertAlign w:val="superscript"/>
          </w:rPr>
          <w:t>&lt;/sup&gt;</w:t>
        </w:r>
      </w:hyperlink>
      <w:r w:rsidRPr="00375456">
        <w:rPr>
          <w:rFonts w:ascii="微软雅黑" w:eastAsia="微软雅黑" w:hAnsi="微软雅黑" w:cs="宋体"/>
          <w:kern w:val="0"/>
          <w:sz w:val="24"/>
          <w:szCs w:val="24"/>
        </w:rPr>
        <w:t>。此外，PI3K/AKT-mTOR 通路的激活已被证实是 CDK4/6 抑制剂早期适应性耐药的机制之一</w:t>
      </w:r>
      <w:r w:rsidRPr="00375456">
        <w:rPr>
          <w:rFonts w:ascii="微软雅黑" w:eastAsia="微软雅黑" w:hAnsi="微软雅黑" w:cs="宋体"/>
          <w:kern w:val="0"/>
          <w:sz w:val="24"/>
          <w:szCs w:val="24"/>
          <w:u w:val="single"/>
          <w:vertAlign w:val="superscript"/>
        </w:rPr>
        <w:t>&lt;sup&gt; </w:t>
      </w:r>
      <w:hyperlink r:id="rId18" w:anchor="CR22" w:history="1">
        <w:r w:rsidRPr="00375456">
          <w:rPr>
            <w:rFonts w:ascii="微软雅黑" w:eastAsia="微软雅黑" w:hAnsi="微软雅黑" w:cs="宋体"/>
            <w:kern w:val="0"/>
            <w:sz w:val="24"/>
            <w:szCs w:val="24"/>
            <w:u w:val="single"/>
            <w:vertAlign w:val="superscript"/>
          </w:rPr>
          <w:t>22&lt;/sup&gt;</w:t>
        </w:r>
      </w:hyperlink>
      <w:r w:rsidRPr="00375456">
        <w:rPr>
          <w:rFonts w:ascii="微软雅黑" w:eastAsia="微软雅黑" w:hAnsi="微软雅黑" w:cs="宋体"/>
          <w:kern w:val="0"/>
          <w:sz w:val="24"/>
          <w:szCs w:val="24"/>
        </w:rPr>
        <w:t>。这些数据支持采用靶向这两个通路的治疗策略，以预防药物耐药中涉及的代偿性通路激活。然而，将现有的靶向PI3K/AKT-mTOR通路药物与已获批准的CDK4/6抑制剂和ER靶向疗法联合使用，会产生多种可能的组合方案，这些方案适用于不同的治疗线，这使得确定个体患者的最佳治疗策略变得复杂。此外，靶</w:t>
      </w:r>
      <w:proofErr w:type="gramStart"/>
      <w:r w:rsidRPr="00375456">
        <w:rPr>
          <w:rFonts w:ascii="微软雅黑" w:eastAsia="微软雅黑" w:hAnsi="微软雅黑" w:cs="宋体"/>
          <w:kern w:val="0"/>
          <w:sz w:val="24"/>
          <w:szCs w:val="24"/>
        </w:rPr>
        <w:t>向药物</w:t>
      </w:r>
      <w:proofErr w:type="gramEnd"/>
      <w:r w:rsidRPr="00375456">
        <w:rPr>
          <w:rFonts w:ascii="微软雅黑" w:eastAsia="微软雅黑" w:hAnsi="微软雅黑" w:cs="宋体"/>
          <w:kern w:val="0"/>
          <w:sz w:val="24"/>
          <w:szCs w:val="24"/>
        </w:rPr>
        <w:t>的毒性</w:t>
      </w:r>
      <w:r w:rsidRPr="00375456">
        <w:rPr>
          <w:rFonts w:ascii="微软雅黑" w:eastAsia="微软雅黑" w:hAnsi="微软雅黑" w:cs="宋体"/>
          <w:kern w:val="0"/>
          <w:sz w:val="24"/>
          <w:szCs w:val="24"/>
        </w:rPr>
        <w:lastRenderedPageBreak/>
        <w:t>重叠和高昂的费用也进一步增加了</w:t>
      </w:r>
      <w:proofErr w:type="gramStart"/>
      <w:r w:rsidRPr="00375456">
        <w:rPr>
          <w:rFonts w:ascii="微软雅黑" w:eastAsia="微软雅黑" w:hAnsi="微软雅黑" w:cs="宋体"/>
          <w:kern w:val="0"/>
          <w:sz w:val="24"/>
          <w:szCs w:val="24"/>
        </w:rPr>
        <w:t>将靶向药物</w:t>
      </w:r>
      <w:proofErr w:type="gramEnd"/>
      <w:r w:rsidRPr="00375456">
        <w:rPr>
          <w:rFonts w:ascii="微软雅黑" w:eastAsia="微软雅黑" w:hAnsi="微软雅黑" w:cs="宋体"/>
          <w:kern w:val="0"/>
          <w:sz w:val="24"/>
          <w:szCs w:val="24"/>
        </w:rPr>
        <w:t>添加到标准治疗方案中的难度</w:t>
      </w:r>
      <w:r w:rsidRPr="00375456">
        <w:rPr>
          <w:rFonts w:ascii="微软雅黑" w:eastAsia="微软雅黑" w:hAnsi="微软雅黑" w:cs="宋体"/>
          <w:kern w:val="0"/>
          <w:sz w:val="24"/>
          <w:szCs w:val="24"/>
          <w:u w:val="single"/>
          <w:vertAlign w:val="superscript"/>
        </w:rPr>
        <w:t>&lt;sup&gt; </w:t>
      </w:r>
      <w:hyperlink r:id="rId19" w:anchor="CR23" w:history="1">
        <w:r w:rsidRPr="00375456">
          <w:rPr>
            <w:rFonts w:ascii="微软雅黑" w:eastAsia="微软雅黑" w:hAnsi="微软雅黑" w:cs="宋体"/>
            <w:kern w:val="0"/>
            <w:sz w:val="24"/>
            <w:szCs w:val="24"/>
            <w:u w:val="single"/>
            <w:vertAlign w:val="superscript"/>
          </w:rPr>
          <w:t>23&lt;/sup&gt;</w:t>
        </w:r>
      </w:hyperlink>
      <w:r w:rsidRPr="00375456">
        <w:rPr>
          <w:rFonts w:ascii="微软雅黑" w:eastAsia="微软雅黑" w:hAnsi="微软雅黑" w:cs="宋体"/>
          <w:kern w:val="0"/>
          <w:sz w:val="24"/>
          <w:szCs w:val="24"/>
        </w:rPr>
        <w:t>。</w:t>
      </w:r>
    </w:p>
    <w:p w14:paraId="07CEE552"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本文证明，</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、CDK4/6i 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的三联疗法是持久抑制 ER+ 乳腺癌细胞系和肿瘤异种移植模型生长并阻止其进展的必要条件，这些模型此前已对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 CDK4/6i 或单</w:t>
      </w:r>
      <w:proofErr w:type="gramStart"/>
      <w:r w:rsidRPr="00375456">
        <w:rPr>
          <w:rFonts w:ascii="微软雅黑" w:eastAsia="微软雅黑" w:hAnsi="微软雅黑" w:cs="宋体"/>
          <w:kern w:val="0"/>
          <w:sz w:val="24"/>
          <w:szCs w:val="24"/>
        </w:rPr>
        <w:t>药氟维司群治疗</w:t>
      </w:r>
      <w:proofErr w:type="gramEnd"/>
      <w:r w:rsidRPr="00375456">
        <w:rPr>
          <w:rFonts w:ascii="微软雅黑" w:eastAsia="微软雅黑" w:hAnsi="微软雅黑" w:cs="宋体"/>
          <w:kern w:val="0"/>
          <w:sz w:val="24"/>
          <w:szCs w:val="24"/>
        </w:rPr>
        <w:t>产生耐药性。此外，该三联疗法显著抑制了对 CDK4/6i 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联合治疗产生耐药性的患者来源异种移植模型 (PDX) 的生长。重要的是，在产生耐药性后，</w:t>
      </w:r>
      <w:proofErr w:type="gramStart"/>
      <w:r w:rsidRPr="00375456">
        <w:rPr>
          <w:rFonts w:ascii="微软雅黑" w:eastAsia="微软雅黑" w:hAnsi="微软雅黑" w:cs="宋体"/>
          <w:kern w:val="0"/>
          <w:sz w:val="24"/>
          <w:szCs w:val="24"/>
        </w:rPr>
        <w:t>从氟维司群</w:t>
      </w:r>
      <w:proofErr w:type="gramEnd"/>
      <w:r w:rsidRPr="00375456">
        <w:rPr>
          <w:rFonts w:ascii="微软雅黑" w:eastAsia="微软雅黑" w:hAnsi="微软雅黑" w:cs="宋体"/>
          <w:kern w:val="0"/>
          <w:sz w:val="24"/>
          <w:szCs w:val="24"/>
        </w:rPr>
        <w:t xml:space="preserve">和 CDK4/6i 联合治疗转换为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联合治疗并不能阻止肿瘤进展。这些数据表明，</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、CDK4/6i 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的三联疗法为那些在单</w:t>
      </w:r>
      <w:proofErr w:type="gramStart"/>
      <w:r w:rsidRPr="00375456">
        <w:rPr>
          <w:rFonts w:ascii="微软雅黑" w:eastAsia="微软雅黑" w:hAnsi="微软雅黑" w:cs="宋体"/>
          <w:kern w:val="0"/>
          <w:sz w:val="24"/>
          <w:szCs w:val="24"/>
        </w:rPr>
        <w:t>药氟维司群</w:t>
      </w:r>
      <w:proofErr w:type="gramEnd"/>
      <w:r w:rsidRPr="00375456">
        <w:rPr>
          <w:rFonts w:ascii="微软雅黑" w:eastAsia="微软雅黑" w:hAnsi="微软雅黑" w:cs="宋体"/>
          <w:kern w:val="0"/>
          <w:sz w:val="24"/>
          <w:szCs w:val="24"/>
        </w:rPr>
        <w:t>或联合 CDK4/6i 标准治疗后复发的肿瘤提供了一种新的治疗选择。此外，我们发现，在接受内分泌治疗联合 CDK4/6 抑制剂治疗的晚期 ER+ 乳腺癌患者的转移灶中，高水平的磷酸化 AKT (p-AKT) 与较短的无进展生存期 (PFS) 相关。我们的研究结果支持在既往接受过治疗的 ER+ 晚期乳腺癌患者中，特别是 p-AKT 水平较高的肿瘤中，开发</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、CDK4/6 抑制剂和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三联疗法，以期改善患者的生存期。</w:t>
      </w:r>
    </w:p>
    <w:p w14:paraId="27402307" w14:textId="77777777" w:rsidR="00375456" w:rsidRPr="00375456" w:rsidRDefault="00375456" w:rsidP="00375456">
      <w:pPr>
        <w:widowControl/>
        <w:pBdr>
          <w:bottom w:val="single" w:sz="6" w:space="0" w:color="97B1C8"/>
        </w:pBdr>
        <w:spacing w:line="450" w:lineRule="atLeast"/>
        <w:outlineLvl w:val="1"/>
        <w:rPr>
          <w:rFonts w:ascii="微软雅黑" w:eastAsia="微软雅黑" w:hAnsi="微软雅黑" w:cs="宋体"/>
          <w:kern w:val="0"/>
          <w:sz w:val="34"/>
          <w:szCs w:val="34"/>
        </w:rPr>
      </w:pPr>
      <w:r w:rsidRPr="00375456">
        <w:rPr>
          <w:rFonts w:ascii="微软雅黑" w:eastAsia="微软雅黑" w:hAnsi="微软雅黑" w:cs="宋体"/>
          <w:kern w:val="0"/>
          <w:sz w:val="34"/>
          <w:szCs w:val="34"/>
        </w:rPr>
        <w:t>结果</w:t>
      </w:r>
    </w:p>
    <w:p w14:paraId="628C8BC6"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对于</w:t>
      </w:r>
      <w:proofErr w:type="gramStart"/>
      <w:r w:rsidRPr="00375456">
        <w:rPr>
          <w:rFonts w:ascii="微软雅黑" w:eastAsia="微软雅黑" w:hAnsi="微软雅黑" w:cs="宋体"/>
          <w:kern w:val="0"/>
          <w:sz w:val="32"/>
          <w:szCs w:val="32"/>
        </w:rPr>
        <w:t>氟维司群</w:t>
      </w:r>
      <w:proofErr w:type="gramEnd"/>
      <w:r w:rsidRPr="00375456">
        <w:rPr>
          <w:rFonts w:ascii="微软雅黑" w:eastAsia="微软雅黑" w:hAnsi="微软雅黑" w:cs="宋体"/>
          <w:kern w:val="0"/>
          <w:sz w:val="32"/>
          <w:szCs w:val="32"/>
        </w:rPr>
        <w:t>耐药的乳腺癌细胞，需要采用</w:t>
      </w:r>
      <w:proofErr w:type="gramStart"/>
      <w:r w:rsidRPr="00375456">
        <w:rPr>
          <w:rFonts w:ascii="微软雅黑" w:eastAsia="微软雅黑" w:hAnsi="微软雅黑" w:cs="宋体"/>
          <w:kern w:val="0"/>
          <w:sz w:val="32"/>
          <w:szCs w:val="32"/>
        </w:rPr>
        <w:t>氟维司群</w:t>
      </w:r>
      <w:proofErr w:type="gramEnd"/>
      <w:r w:rsidRPr="00375456">
        <w:rPr>
          <w:rFonts w:ascii="微软雅黑" w:eastAsia="微软雅黑" w:hAnsi="微软雅黑" w:cs="宋体"/>
          <w:kern w:val="0"/>
          <w:sz w:val="32"/>
          <w:szCs w:val="32"/>
        </w:rPr>
        <w:t>、CDK4/6抑制剂和</w:t>
      </w:r>
      <w:proofErr w:type="spellStart"/>
      <w:r w:rsidRPr="00375456">
        <w:rPr>
          <w:rFonts w:ascii="微软雅黑" w:eastAsia="微软雅黑" w:hAnsi="微软雅黑" w:cs="宋体"/>
          <w:kern w:val="0"/>
          <w:sz w:val="32"/>
          <w:szCs w:val="32"/>
        </w:rPr>
        <w:t>AKTi</w:t>
      </w:r>
      <w:proofErr w:type="spellEnd"/>
      <w:r w:rsidRPr="00375456">
        <w:rPr>
          <w:rFonts w:ascii="微软雅黑" w:eastAsia="微软雅黑" w:hAnsi="微软雅黑" w:cs="宋体"/>
          <w:kern w:val="0"/>
          <w:sz w:val="32"/>
          <w:szCs w:val="32"/>
        </w:rPr>
        <w:t>三联疗法才能持久抑制其生长。</w:t>
      </w:r>
    </w:p>
    <w:p w14:paraId="44DB08AA"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我们此前已证实，CDK6 和 AKT 之间的协同作用可使 ER+ 乳腺癌细胞系对</w:t>
      </w:r>
      <w:proofErr w:type="gramStart"/>
      <w:r w:rsidRPr="00375456">
        <w:rPr>
          <w:rFonts w:ascii="微软雅黑" w:eastAsia="微软雅黑" w:hAnsi="微软雅黑" w:cs="宋体"/>
          <w:kern w:val="0"/>
          <w:sz w:val="24"/>
          <w:szCs w:val="24"/>
        </w:rPr>
        <w:t>氟维司群产生</w:t>
      </w:r>
      <w:proofErr w:type="gramEnd"/>
      <w:r w:rsidRPr="00375456">
        <w:rPr>
          <w:rFonts w:ascii="微软雅黑" w:eastAsia="微软雅黑" w:hAnsi="微软雅黑" w:cs="宋体"/>
          <w:kern w:val="0"/>
          <w:sz w:val="24"/>
          <w:szCs w:val="24"/>
        </w:rPr>
        <w:t>耐药性</w:t>
      </w:r>
      <w:r w:rsidRPr="00375456">
        <w:rPr>
          <w:rFonts w:ascii="微软雅黑" w:eastAsia="微软雅黑" w:hAnsi="微软雅黑" w:cs="宋体"/>
          <w:kern w:val="0"/>
          <w:sz w:val="24"/>
          <w:szCs w:val="24"/>
          <w:u w:val="single"/>
          <w:vertAlign w:val="superscript"/>
        </w:rPr>
        <w:t>&lt;sup&gt; </w:t>
      </w:r>
      <w:hyperlink r:id="rId20" w:anchor="CR24" w:history="1">
        <w:r w:rsidRPr="00375456">
          <w:rPr>
            <w:rFonts w:ascii="微软雅黑" w:eastAsia="微软雅黑" w:hAnsi="微软雅黑" w:cs="宋体"/>
            <w:kern w:val="0"/>
            <w:sz w:val="24"/>
            <w:szCs w:val="24"/>
            <w:u w:val="single"/>
            <w:vertAlign w:val="superscript"/>
          </w:rPr>
          <w:t>24</w:t>
        </w:r>
      </w:hyperlink>
      <w:r w:rsidRPr="00375456">
        <w:rPr>
          <w:rFonts w:ascii="微软雅黑" w:eastAsia="微软雅黑" w:hAnsi="微软雅黑" w:cs="宋体"/>
          <w:kern w:val="0"/>
          <w:sz w:val="24"/>
          <w:szCs w:val="24"/>
          <w:u w:val="single"/>
          <w:vertAlign w:val="superscript"/>
        </w:rPr>
        <w:t> &lt;/sup&gt;</w:t>
      </w:r>
      <w:r w:rsidRPr="00375456">
        <w:rPr>
          <w:rFonts w:ascii="微软雅黑" w:eastAsia="微软雅黑" w:hAnsi="微软雅黑" w:cs="宋体"/>
          <w:kern w:val="0"/>
          <w:sz w:val="24"/>
          <w:szCs w:val="24"/>
        </w:rPr>
        <w:t xml:space="preserve"> 。此外，近期研究表明，PI3K/AKT-mTOR 通路抑制剂与靶向细胞周期蛋白 D/CDK4-6/Rb 轴的药物具有协同作用，这支持</w:t>
      </w:r>
      <w:r w:rsidRPr="00375456">
        <w:rPr>
          <w:rFonts w:ascii="微软雅黑" w:eastAsia="微软雅黑" w:hAnsi="微软雅黑" w:cs="宋体"/>
          <w:kern w:val="0"/>
          <w:sz w:val="24"/>
          <w:szCs w:val="24"/>
        </w:rPr>
        <w:lastRenderedPageBreak/>
        <w:t>了使用两条通路抑制剂联合治疗的策略</w:t>
      </w:r>
      <w:r w:rsidRPr="00375456">
        <w:rPr>
          <w:rFonts w:ascii="微软雅黑" w:eastAsia="微软雅黑" w:hAnsi="微软雅黑" w:cs="宋体"/>
          <w:kern w:val="0"/>
          <w:sz w:val="24"/>
          <w:szCs w:val="24"/>
          <w:vertAlign w:val="superscript"/>
        </w:rPr>
        <w:fldChar w:fldCharType="begin"/>
      </w:r>
      <w:r w:rsidRPr="00375456">
        <w:rPr>
          <w:rFonts w:ascii="微软雅黑" w:eastAsia="微软雅黑" w:hAnsi="微软雅黑" w:cs="宋体"/>
          <w:kern w:val="0"/>
          <w:sz w:val="24"/>
          <w:szCs w:val="24"/>
          <w:vertAlign w:val="superscript"/>
        </w:rPr>
        <w:instrText xml:space="preserve"> HYPERLINK "https://pmc.ncbi.nlm.nih.gov/articles/PMC8387387/" \l "CR21" </w:instrText>
      </w:r>
      <w:r w:rsidRPr="00375456">
        <w:rPr>
          <w:rFonts w:ascii="微软雅黑" w:eastAsia="微软雅黑" w:hAnsi="微软雅黑" w:cs="宋体"/>
          <w:kern w:val="0"/>
          <w:sz w:val="24"/>
          <w:szCs w:val="24"/>
          <w:vertAlign w:val="superscript"/>
        </w:rPr>
        <w:fldChar w:fldCharType="separate"/>
      </w:r>
      <w:r w:rsidRPr="00375456">
        <w:rPr>
          <w:rFonts w:ascii="微软雅黑" w:eastAsia="微软雅黑" w:hAnsi="微软雅黑" w:cs="宋体"/>
          <w:kern w:val="0"/>
          <w:sz w:val="24"/>
          <w:szCs w:val="24"/>
          <w:u w:val="single"/>
          <w:vertAlign w:val="superscript"/>
        </w:rPr>
        <w:t>&lt;sup&gt;21</w:t>
      </w:r>
      <w:r w:rsidRPr="00375456">
        <w:rPr>
          <w:rFonts w:ascii="微软雅黑" w:eastAsia="微软雅黑" w:hAnsi="微软雅黑" w:cs="宋体"/>
          <w:kern w:val="0"/>
          <w:sz w:val="24"/>
          <w:szCs w:val="24"/>
          <w:vertAlign w:val="superscript"/>
        </w:rPr>
        <w:fldChar w:fldCharType="end"/>
      </w:r>
      <w:r w:rsidRPr="00375456">
        <w:rPr>
          <w:rFonts w:ascii="微软雅黑" w:eastAsia="微软雅黑" w:hAnsi="微软雅黑" w:cs="宋体"/>
          <w:kern w:val="0"/>
          <w:sz w:val="24"/>
          <w:szCs w:val="24"/>
          <w:vertAlign w:val="superscript"/>
        </w:rPr>
        <w:t> , </w:t>
      </w:r>
      <w:hyperlink r:id="rId21" w:anchor="CR25" w:history="1">
        <w:r w:rsidRPr="00375456">
          <w:rPr>
            <w:rFonts w:ascii="微软雅黑" w:eastAsia="微软雅黑" w:hAnsi="微软雅黑" w:cs="宋体"/>
            <w:kern w:val="0"/>
            <w:sz w:val="24"/>
            <w:szCs w:val="24"/>
            <w:u w:val="single"/>
            <w:vertAlign w:val="superscript"/>
          </w:rPr>
          <w:t>25</w:t>
        </w:r>
      </w:hyperlink>
      <w:r w:rsidRPr="00375456">
        <w:rPr>
          <w:rFonts w:ascii="微软雅黑" w:eastAsia="微软雅黑" w:hAnsi="微软雅黑" w:cs="宋体"/>
          <w:kern w:val="0"/>
          <w:sz w:val="24"/>
          <w:szCs w:val="24"/>
          <w:vertAlign w:val="superscript"/>
        </w:rPr>
        <w:t> , </w:t>
      </w:r>
      <w:hyperlink r:id="rId22" w:anchor="CR26" w:history="1">
        <w:r w:rsidRPr="00375456">
          <w:rPr>
            <w:rFonts w:ascii="微软雅黑" w:eastAsia="微软雅黑" w:hAnsi="微软雅黑" w:cs="宋体"/>
            <w:kern w:val="0"/>
            <w:sz w:val="24"/>
            <w:szCs w:val="24"/>
            <w:u w:val="single"/>
            <w:vertAlign w:val="superscript"/>
          </w:rPr>
          <w:t>26&lt;/sup&gt;</w:t>
        </w:r>
      </w:hyperlink>
      <w:r w:rsidRPr="00375456">
        <w:rPr>
          <w:rFonts w:ascii="微软雅黑" w:eastAsia="微软雅黑" w:hAnsi="微软雅黑" w:cs="宋体"/>
          <w:kern w:val="0"/>
          <w:sz w:val="24"/>
          <w:szCs w:val="24"/>
        </w:rPr>
        <w:t>。然而，对于内分泌耐药和内分泌敏感肿瘤，哪种治疗策略作为一线治疗方案最佳，仍有待确定，例如内分泌治疗联合 CDK4/6 或 PI3K/AKT-mTOR 抑制剂、这些联合疗法的序贯治疗，还是直接采用三联疗法。本文评估了</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卡</w:t>
      </w:r>
      <w:proofErr w:type="gramStart"/>
      <w:r w:rsidRPr="00375456">
        <w:rPr>
          <w:rFonts w:ascii="微软雅黑" w:eastAsia="微软雅黑" w:hAnsi="微软雅黑" w:cs="宋体"/>
          <w:kern w:val="0"/>
          <w:sz w:val="24"/>
          <w:szCs w:val="24"/>
        </w:rPr>
        <w:t>帕替尼</w:t>
      </w:r>
      <w:proofErr w:type="gramEnd"/>
      <w:r w:rsidRPr="00375456">
        <w:rPr>
          <w:rFonts w:ascii="微软雅黑" w:eastAsia="微软雅黑" w:hAnsi="微软雅黑" w:cs="宋体"/>
          <w:kern w:val="0"/>
          <w:sz w:val="24"/>
          <w:szCs w:val="24"/>
        </w:rPr>
        <w:t>、CDK4/6抑制剂帕博西尼和ER降解</w:t>
      </w:r>
      <w:proofErr w:type="gramStart"/>
      <w:r w:rsidRPr="00375456">
        <w:rPr>
          <w:rFonts w:ascii="微软雅黑" w:eastAsia="微软雅黑" w:hAnsi="微软雅黑" w:cs="宋体"/>
          <w:kern w:val="0"/>
          <w:sz w:val="24"/>
          <w:szCs w:val="24"/>
        </w:rPr>
        <w:t>剂氟维司群</w:t>
      </w:r>
      <w:proofErr w:type="gramEnd"/>
      <w:r w:rsidRPr="00375456">
        <w:rPr>
          <w:rFonts w:ascii="微软雅黑" w:eastAsia="微软雅黑" w:hAnsi="微软雅黑" w:cs="宋体"/>
          <w:kern w:val="0"/>
          <w:sz w:val="24"/>
          <w:szCs w:val="24"/>
        </w:rPr>
        <w:t>作为单药以及双药和三药联合用药在ER+MCF-7、T47D和ZR-75-1</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耐药和敏感乳腺癌细胞模型中的疗效。所用CDK4/6抑制剂和</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的浓度是根据各细胞模型亲代细胞系和耐药细胞系之间最高的IC50值确定的</w:t>
      </w:r>
      <w:r w:rsidRPr="00375456">
        <w:rPr>
          <w:rFonts w:ascii="微软雅黑" w:eastAsia="微软雅黑" w:hAnsi="微软雅黑" w:cs="宋体"/>
          <w:kern w:val="0"/>
          <w:sz w:val="24"/>
          <w:szCs w:val="24"/>
          <w:vertAlign w:val="subscript"/>
        </w:rPr>
        <w:t>（</w:t>
      </w:r>
      <w:r w:rsidRPr="00375456">
        <w:rPr>
          <w:rFonts w:ascii="微软雅黑" w:eastAsia="微软雅黑" w:hAnsi="微软雅黑" w:cs="宋体"/>
          <w:kern w:val="0"/>
          <w:sz w:val="24"/>
          <w:szCs w:val="24"/>
        </w:rPr>
        <w:t>补充图 </w:t>
      </w:r>
      <w:hyperlink r:id="rId23" w:anchor="MOESM1" w:history="1">
        <w:r w:rsidRPr="00375456">
          <w:rPr>
            <w:rFonts w:ascii="微软雅黑" w:eastAsia="微软雅黑" w:hAnsi="微软雅黑" w:cs="宋体"/>
            <w:kern w:val="0"/>
            <w:sz w:val="24"/>
            <w:szCs w:val="24"/>
            <w:u w:val="single"/>
          </w:rPr>
          <w:t>S1</w:t>
        </w:r>
      </w:hyperlink>
      <w:r w:rsidRPr="00375456">
        <w:rPr>
          <w:rFonts w:ascii="微软雅黑" w:eastAsia="微软雅黑" w:hAnsi="微软雅黑" w:cs="宋体"/>
          <w:kern w:val="0"/>
          <w:sz w:val="24"/>
          <w:szCs w:val="24"/>
        </w:rPr>
        <w:t>）。正如预期的那样，</w:t>
      </w:r>
      <w:proofErr w:type="gramStart"/>
      <w:r w:rsidRPr="00375456">
        <w:rPr>
          <w:rFonts w:ascii="微软雅黑" w:eastAsia="微软雅黑" w:hAnsi="微软雅黑" w:cs="宋体"/>
          <w:kern w:val="0"/>
          <w:sz w:val="24"/>
          <w:szCs w:val="24"/>
        </w:rPr>
        <w:t>氟维司群单</w:t>
      </w:r>
      <w:proofErr w:type="gramEnd"/>
      <w:r w:rsidRPr="00375456">
        <w:rPr>
          <w:rFonts w:ascii="微软雅黑" w:eastAsia="微软雅黑" w:hAnsi="微软雅黑" w:cs="宋体"/>
          <w:kern w:val="0"/>
          <w:sz w:val="24"/>
          <w:szCs w:val="24"/>
        </w:rPr>
        <w:t>药治疗显著抑制了</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敏感细胞的生长（图 </w:t>
      </w:r>
      <w:hyperlink r:id="rId24" w:anchor="Fig1" w:history="1">
        <w:r w:rsidRPr="00375456">
          <w:rPr>
            <w:rFonts w:ascii="微软雅黑" w:eastAsia="微软雅黑" w:hAnsi="微软雅黑" w:cs="宋体"/>
            <w:kern w:val="0"/>
            <w:sz w:val="24"/>
            <w:szCs w:val="24"/>
            <w:u w:val="single"/>
          </w:rPr>
          <w:t>1A、E和I</w:t>
        </w:r>
      </w:hyperlink>
      <w:r w:rsidRPr="00375456">
        <w:rPr>
          <w:rFonts w:ascii="微软雅黑" w:eastAsia="微软雅黑" w:hAnsi="微软雅黑" w:cs="宋体"/>
          <w:kern w:val="0"/>
          <w:sz w:val="24"/>
          <w:szCs w:val="24"/>
        </w:rPr>
        <w:t>）。尽管</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与 CDK4/6 抑制剂联合用药几乎完全抑制了所有</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敏感细胞系和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耐药的 ZR-75-1 R 细胞的生长，但其对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耐药的 182R-1（基于 MCF-7）和 T47D R 细胞的抑制作用有限（图 </w:t>
      </w:r>
      <w:hyperlink r:id="rId25" w:anchor="Fig1" w:history="1">
        <w:r w:rsidRPr="00375456">
          <w:rPr>
            <w:rFonts w:ascii="微软雅黑" w:eastAsia="微软雅黑" w:hAnsi="微软雅黑" w:cs="宋体"/>
            <w:kern w:val="0"/>
            <w:sz w:val="24"/>
            <w:szCs w:val="24"/>
            <w:u w:val="single"/>
          </w:rPr>
          <w:t>1A-B、E-F 和 I-J</w:t>
        </w:r>
      </w:hyperlink>
      <w:r w:rsidRPr="00375456">
        <w:rPr>
          <w:rFonts w:ascii="微软雅黑" w:eastAsia="微软雅黑" w:hAnsi="微软雅黑" w:cs="宋体"/>
          <w:kern w:val="0"/>
          <w:sz w:val="24"/>
          <w:szCs w:val="24"/>
        </w:rPr>
        <w:t>）。此外，</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、CDK4/6 抑制剂和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三联用药对细胞生长的抑制作用比单独使用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 CDK4/6 抑制剂更为显著，且是维持对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耐药的 182R-1 和 T47D R 细胞生长抑制所必需的（图 </w:t>
      </w:r>
      <w:hyperlink r:id="rId26" w:anchor="Fig1" w:history="1">
        <w:r w:rsidRPr="00375456">
          <w:rPr>
            <w:rFonts w:ascii="微软雅黑" w:eastAsia="微软雅黑" w:hAnsi="微软雅黑" w:cs="宋体"/>
            <w:kern w:val="0"/>
            <w:sz w:val="24"/>
            <w:szCs w:val="24"/>
            <w:u w:val="single"/>
          </w:rPr>
          <w:t>1A-B 和 E-F</w:t>
        </w:r>
      </w:hyperlink>
      <w:r w:rsidRPr="00375456">
        <w:rPr>
          <w:rFonts w:ascii="微软雅黑" w:eastAsia="微软雅黑" w:hAnsi="微软雅黑" w:cs="宋体"/>
          <w:kern w:val="0"/>
          <w:sz w:val="24"/>
          <w:szCs w:val="24"/>
        </w:rPr>
        <w:t>）。与这些发现一致，我们观察到，与</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 CDK4/6i 联合用药相比，三联用药对所有细胞系的活力抑制作用更强（图 </w:t>
      </w:r>
      <w:hyperlink r:id="rId27" w:anchor="Fig1" w:history="1">
        <w:r w:rsidRPr="00375456">
          <w:rPr>
            <w:rFonts w:ascii="微软雅黑" w:eastAsia="微软雅黑" w:hAnsi="微软雅黑" w:cs="宋体"/>
            <w:kern w:val="0"/>
            <w:sz w:val="24"/>
            <w:szCs w:val="24"/>
            <w:u w:val="single"/>
          </w:rPr>
          <w:t>1C–D、G–H 和 K–L）</w:t>
        </w:r>
      </w:hyperlink>
      <w:r w:rsidRPr="00375456">
        <w:rPr>
          <w:rFonts w:ascii="微软雅黑" w:eastAsia="微软雅黑" w:hAnsi="微软雅黑" w:cs="宋体"/>
          <w:kern w:val="0"/>
          <w:sz w:val="24"/>
          <w:szCs w:val="24"/>
        </w:rPr>
        <w:t>。</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和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联合用药的疗效与已批准的</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 CDK4/6i 联合用药相当（图 </w:t>
      </w:r>
      <w:hyperlink r:id="rId28" w:anchor="Fig1" w:history="1">
        <w:r w:rsidRPr="00375456">
          <w:rPr>
            <w:rFonts w:ascii="微软雅黑" w:eastAsia="微软雅黑" w:hAnsi="微软雅黑" w:cs="宋体"/>
            <w:kern w:val="0"/>
            <w:sz w:val="24"/>
            <w:szCs w:val="24"/>
            <w:u w:val="single"/>
          </w:rPr>
          <w:t>1A–L</w:t>
        </w:r>
      </w:hyperlink>
      <w:r w:rsidRPr="00375456">
        <w:rPr>
          <w:rFonts w:ascii="微软雅黑" w:eastAsia="微软雅黑" w:hAnsi="微软雅黑" w:cs="宋体"/>
          <w:kern w:val="0"/>
          <w:sz w:val="24"/>
          <w:szCs w:val="24"/>
        </w:rPr>
        <w:t>）。与标准的</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 CDK4/6i 联合用药相比，三联用药的额外生长抑制作用至少部分是由于诱导细胞凋亡（图 </w:t>
      </w:r>
      <w:hyperlink r:id="rId29" w:anchor="Fig2" w:history="1">
        <w:r w:rsidRPr="00375456">
          <w:rPr>
            <w:rFonts w:ascii="微软雅黑" w:eastAsia="微软雅黑" w:hAnsi="微软雅黑" w:cs="宋体"/>
            <w:kern w:val="0"/>
            <w:sz w:val="24"/>
            <w:szCs w:val="24"/>
            <w:u w:val="single"/>
          </w:rPr>
          <w:t>2A–C</w:t>
        </w:r>
      </w:hyperlink>
      <w:r w:rsidRPr="00375456">
        <w:rPr>
          <w:rFonts w:ascii="微软雅黑" w:eastAsia="微软雅黑" w:hAnsi="微软雅黑" w:cs="宋体"/>
          <w:kern w:val="0"/>
          <w:sz w:val="24"/>
          <w:szCs w:val="24"/>
        </w:rPr>
        <w:t>）和 cleaved-PARP 水平升高（图 </w:t>
      </w:r>
      <w:hyperlink r:id="rId30" w:anchor="Fig2" w:history="1">
        <w:r w:rsidRPr="00375456">
          <w:rPr>
            <w:rFonts w:ascii="微软雅黑" w:eastAsia="微软雅黑" w:hAnsi="微软雅黑" w:cs="宋体"/>
            <w:kern w:val="0"/>
            <w:sz w:val="24"/>
            <w:szCs w:val="24"/>
            <w:u w:val="single"/>
          </w:rPr>
          <w:t>2D</w:t>
        </w:r>
      </w:hyperlink>
      <w:r w:rsidRPr="00375456">
        <w:rPr>
          <w:rFonts w:ascii="微软雅黑" w:eastAsia="微软雅黑" w:hAnsi="微软雅黑" w:cs="宋体"/>
          <w:kern w:val="0"/>
          <w:sz w:val="24"/>
          <w:szCs w:val="24"/>
        </w:rPr>
        <w:t>）所致。联合指数 (CI) 的计算表明，</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、CDK4/6i 和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联合用药表现出协同活性，</w:t>
      </w:r>
      <w:proofErr w:type="gramStart"/>
      <w:r w:rsidRPr="00375456">
        <w:rPr>
          <w:rFonts w:ascii="微软雅黑" w:eastAsia="微软雅黑" w:hAnsi="微软雅黑" w:cs="宋体"/>
          <w:kern w:val="0"/>
          <w:sz w:val="24"/>
          <w:szCs w:val="24"/>
        </w:rPr>
        <w:t>但氟维司群</w:t>
      </w:r>
      <w:proofErr w:type="gramEnd"/>
      <w:r w:rsidRPr="00375456">
        <w:rPr>
          <w:rFonts w:ascii="微软雅黑" w:eastAsia="微软雅黑" w:hAnsi="微软雅黑" w:cs="宋体"/>
          <w:kern w:val="0"/>
          <w:sz w:val="24"/>
          <w:szCs w:val="24"/>
        </w:rPr>
        <w:t xml:space="preserve">和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联合用药在 ZR-75-1 R 细胞中除外（补充图）。  </w:t>
      </w:r>
      <w:hyperlink r:id="rId31" w:anchor="MOESM1" w:history="1">
        <w:r w:rsidRPr="00375456">
          <w:rPr>
            <w:rFonts w:ascii="微软雅黑" w:eastAsia="微软雅黑" w:hAnsi="微软雅黑" w:cs="宋体"/>
            <w:kern w:val="0"/>
            <w:sz w:val="24"/>
            <w:szCs w:val="24"/>
            <w:u w:val="single"/>
          </w:rPr>
          <w:t>S2</w:t>
        </w:r>
      </w:hyperlink>
      <w:r w:rsidRPr="00375456">
        <w:rPr>
          <w:rFonts w:ascii="微软雅黑" w:eastAsia="微软雅黑" w:hAnsi="微软雅黑" w:cs="宋体"/>
          <w:kern w:val="0"/>
          <w:sz w:val="24"/>
          <w:szCs w:val="24"/>
        </w:rPr>
        <w:t>最后，我们检测了三联疗法是</w:t>
      </w:r>
      <w:r w:rsidRPr="00375456">
        <w:rPr>
          <w:rFonts w:ascii="微软雅黑" w:eastAsia="微软雅黑" w:hAnsi="微软雅黑" w:cs="宋体"/>
          <w:kern w:val="0"/>
          <w:sz w:val="24"/>
          <w:szCs w:val="24"/>
        </w:rPr>
        <w:lastRenderedPageBreak/>
        <w:t>否能延缓克隆形成实验中耐药性的出现（图 </w:t>
      </w:r>
      <w:hyperlink r:id="rId32" w:anchor="Fig1" w:history="1">
        <w:r w:rsidRPr="00375456">
          <w:rPr>
            <w:rFonts w:ascii="微软雅黑" w:eastAsia="微软雅黑" w:hAnsi="微软雅黑" w:cs="宋体"/>
            <w:kern w:val="0"/>
            <w:sz w:val="24"/>
            <w:szCs w:val="24"/>
            <w:u w:val="single"/>
          </w:rPr>
          <w:t>1M-P</w:t>
        </w:r>
      </w:hyperlink>
      <w:r w:rsidRPr="00375456">
        <w:rPr>
          <w:rFonts w:ascii="微软雅黑" w:eastAsia="微软雅黑" w:hAnsi="微软雅黑" w:cs="宋体"/>
          <w:kern w:val="0"/>
          <w:sz w:val="24"/>
          <w:szCs w:val="24"/>
        </w:rPr>
        <w:t>和补充图 </w:t>
      </w:r>
      <w:hyperlink r:id="rId33" w:anchor="MOESM1" w:history="1">
        <w:r w:rsidRPr="00375456">
          <w:rPr>
            <w:rFonts w:ascii="微软雅黑" w:eastAsia="微软雅黑" w:hAnsi="微软雅黑" w:cs="宋体"/>
            <w:kern w:val="0"/>
            <w:sz w:val="24"/>
            <w:szCs w:val="24"/>
            <w:u w:val="single"/>
          </w:rPr>
          <w:t>S3</w:t>
        </w:r>
      </w:hyperlink>
      <w:r w:rsidRPr="00375456">
        <w:rPr>
          <w:rFonts w:ascii="微软雅黑" w:eastAsia="微软雅黑" w:hAnsi="微软雅黑" w:cs="宋体"/>
          <w:kern w:val="0"/>
          <w:sz w:val="24"/>
          <w:szCs w:val="24"/>
        </w:rPr>
        <w:t>）。我们观察到，三联疗法抑制了182R-1细胞长达8周的生长，并在整个12周的治疗期间抑制了T47D R细胞的生长（图 </w:t>
      </w:r>
      <w:hyperlink r:id="rId34" w:anchor="Fig1" w:history="1">
        <w:r w:rsidRPr="00375456">
          <w:rPr>
            <w:rFonts w:ascii="微软雅黑" w:eastAsia="微软雅黑" w:hAnsi="微软雅黑" w:cs="宋体"/>
            <w:kern w:val="0"/>
            <w:sz w:val="24"/>
            <w:szCs w:val="24"/>
            <w:u w:val="single"/>
          </w:rPr>
          <w:t>1N和P</w:t>
        </w:r>
      </w:hyperlink>
      <w:r w:rsidRPr="00375456">
        <w:rPr>
          <w:rFonts w:ascii="微软雅黑" w:eastAsia="微软雅黑" w:hAnsi="微软雅黑" w:cs="宋体"/>
          <w:kern w:val="0"/>
          <w:sz w:val="24"/>
          <w:szCs w:val="24"/>
        </w:rPr>
        <w:t>）。而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联合CDK4/6抑制剂或</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则导致细胞生长相对迅速（182R-1细胞1周，T47D R细胞3-5周）。相比之下，用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联合CDK4/6抑制剂或</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，或三联疗法治疗亲代MCF-7和T47D细胞时，未观察到或仅观察到极缓慢的细胞生长（图 </w:t>
      </w:r>
      <w:hyperlink r:id="rId35" w:anchor="Fig1" w:history="1">
        <w:r w:rsidRPr="00375456">
          <w:rPr>
            <w:rFonts w:ascii="微软雅黑" w:eastAsia="微软雅黑" w:hAnsi="微软雅黑" w:cs="宋体"/>
            <w:kern w:val="0"/>
            <w:sz w:val="24"/>
            <w:szCs w:val="24"/>
            <w:u w:val="single"/>
          </w:rPr>
          <w:t>1M和O</w:t>
        </w:r>
      </w:hyperlink>
      <w:r w:rsidRPr="00375456">
        <w:rPr>
          <w:rFonts w:ascii="微软雅黑" w:eastAsia="微软雅黑" w:hAnsi="微软雅黑" w:cs="宋体"/>
          <w:kern w:val="0"/>
          <w:sz w:val="24"/>
          <w:szCs w:val="24"/>
        </w:rPr>
        <w:t xml:space="preserve">）。在长期生长实验中，ZR-75-1 R 细胞对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和 CDK4/6i 单</w:t>
      </w:r>
      <w:proofErr w:type="gramStart"/>
      <w:r w:rsidRPr="00375456">
        <w:rPr>
          <w:rFonts w:ascii="微软雅黑" w:eastAsia="微软雅黑" w:hAnsi="微软雅黑" w:cs="宋体"/>
          <w:kern w:val="0"/>
          <w:sz w:val="24"/>
          <w:szCs w:val="24"/>
        </w:rPr>
        <w:t>药表现</w:t>
      </w:r>
      <w:proofErr w:type="gramEnd"/>
      <w:r w:rsidRPr="00375456">
        <w:rPr>
          <w:rFonts w:ascii="微软雅黑" w:eastAsia="微软雅黑" w:hAnsi="微软雅黑" w:cs="宋体"/>
          <w:kern w:val="0"/>
          <w:sz w:val="24"/>
          <w:szCs w:val="24"/>
        </w:rPr>
        <w:t>出高度敏感性（补充图 </w:t>
      </w:r>
      <w:hyperlink r:id="rId36" w:anchor="MOESM1" w:history="1">
        <w:r w:rsidRPr="00375456">
          <w:rPr>
            <w:rFonts w:ascii="微软雅黑" w:eastAsia="微软雅黑" w:hAnsi="微软雅黑" w:cs="宋体"/>
            <w:kern w:val="0"/>
            <w:sz w:val="24"/>
            <w:szCs w:val="24"/>
            <w:u w:val="single"/>
          </w:rPr>
          <w:t>S3B ）。值得注意的是，基于</w:t>
        </w:r>
      </w:hyperlink>
      <w:r w:rsidRPr="00375456">
        <w:rPr>
          <w:rFonts w:ascii="微软雅黑" w:eastAsia="微软雅黑" w:hAnsi="微软雅黑" w:cs="宋体"/>
          <w:kern w:val="0"/>
          <w:sz w:val="24"/>
          <w:szCs w:val="24"/>
          <w:vertAlign w:val="subscript"/>
        </w:rPr>
        <w:t>IC50</w:t>
      </w:r>
      <w:r w:rsidRPr="00375456">
        <w:rPr>
          <w:rFonts w:ascii="微软雅黑" w:eastAsia="微软雅黑" w:hAnsi="微软雅黑" w:cs="宋体"/>
          <w:kern w:val="0"/>
          <w:sz w:val="24"/>
          <w:szCs w:val="24"/>
        </w:rPr>
        <w:t>值，ZR-75-1 细胞中使用的 CDK4/6i 浓度相当高（补充图 </w:t>
      </w:r>
      <w:hyperlink r:id="rId37" w:anchor="MOESM1" w:history="1">
        <w:r w:rsidRPr="00375456">
          <w:rPr>
            <w:rFonts w:ascii="微软雅黑" w:eastAsia="微软雅黑" w:hAnsi="微软雅黑" w:cs="宋体"/>
            <w:kern w:val="0"/>
            <w:sz w:val="24"/>
            <w:szCs w:val="24"/>
            <w:u w:val="single"/>
          </w:rPr>
          <w:t>S1A</w:t>
        </w:r>
      </w:hyperlink>
      <w:r w:rsidRPr="00375456">
        <w:rPr>
          <w:rFonts w:ascii="微软雅黑" w:eastAsia="微软雅黑" w:hAnsi="微软雅黑" w:cs="宋体"/>
          <w:kern w:val="0"/>
          <w:sz w:val="24"/>
          <w:szCs w:val="24"/>
        </w:rPr>
        <w:t>），而帕博西尼已被证实可在 2 µM 浓度下抑制蛋白酶体调节因子 DYRK1A </w:t>
      </w:r>
      <w:hyperlink r:id="rId38" w:anchor="CR27" w:history="1">
        <w:r w:rsidRPr="00375456">
          <w:rPr>
            <w:rFonts w:ascii="微软雅黑" w:eastAsia="微软雅黑" w:hAnsi="微软雅黑" w:cs="宋体"/>
            <w:kern w:val="0"/>
            <w:sz w:val="24"/>
            <w:szCs w:val="24"/>
            <w:u w:val="single"/>
            <w:vertAlign w:val="superscript"/>
          </w:rPr>
          <w:t>&lt;sup&gt;27&lt;/sup&gt;</w:t>
        </w:r>
      </w:hyperlink>
      <w:r w:rsidRPr="00375456">
        <w:rPr>
          <w:rFonts w:ascii="微软雅黑" w:eastAsia="微软雅黑" w:hAnsi="微软雅黑" w:cs="宋体"/>
          <w:kern w:val="0"/>
          <w:sz w:val="24"/>
          <w:szCs w:val="24"/>
        </w:rPr>
        <w:t>，这表明帕博西尼对 ZR-75-1 细胞生长具有非特异性作用。尽管如此，我们的数据表明，已获批准的</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 CDK4/6i 治疗方案可有效抑制内分泌敏感型和部分内分泌耐药型乳腺癌细胞的生长，但要持久抑制大多数不同乳腺癌模型中内分泌耐药细胞的生长，则需要同时抑制 ER、CDK4/6 和 AKT。</w:t>
      </w:r>
    </w:p>
    <w:p w14:paraId="21E84484" w14:textId="77777777" w:rsidR="00375456" w:rsidRPr="00375456" w:rsidRDefault="00375456" w:rsidP="00375456">
      <w:pPr>
        <w:widowControl/>
        <w:spacing w:line="450" w:lineRule="atLeast"/>
        <w:outlineLvl w:val="3"/>
        <w:rPr>
          <w:rFonts w:ascii="微软雅黑" w:eastAsia="微软雅黑" w:hAnsi="微软雅黑" w:cs="宋体"/>
          <w:kern w:val="0"/>
          <w:sz w:val="30"/>
          <w:szCs w:val="30"/>
        </w:rPr>
      </w:pPr>
      <w:r w:rsidRPr="00375456">
        <w:rPr>
          <w:rFonts w:ascii="微软雅黑" w:eastAsia="微软雅黑" w:hAnsi="微软雅黑" w:cs="宋体"/>
          <w:kern w:val="0"/>
          <w:sz w:val="30"/>
          <w:szCs w:val="30"/>
        </w:rPr>
        <w:t xml:space="preserve">图 1. </w:t>
      </w:r>
      <w:proofErr w:type="gramStart"/>
      <w:r w:rsidRPr="00375456">
        <w:rPr>
          <w:rFonts w:ascii="微软雅黑" w:eastAsia="微软雅黑" w:hAnsi="微软雅黑" w:cs="宋体"/>
          <w:kern w:val="0"/>
          <w:sz w:val="30"/>
          <w:szCs w:val="30"/>
        </w:rPr>
        <w:t>氟维司群</w:t>
      </w:r>
      <w:proofErr w:type="gramEnd"/>
      <w:r w:rsidRPr="00375456">
        <w:rPr>
          <w:rFonts w:ascii="微软雅黑" w:eastAsia="微软雅黑" w:hAnsi="微软雅黑" w:cs="宋体"/>
          <w:kern w:val="0"/>
          <w:sz w:val="30"/>
          <w:szCs w:val="30"/>
        </w:rPr>
        <w:t xml:space="preserve">、CDK4/6i 和 </w:t>
      </w:r>
      <w:proofErr w:type="spellStart"/>
      <w:r w:rsidRPr="00375456">
        <w:rPr>
          <w:rFonts w:ascii="微软雅黑" w:eastAsia="微软雅黑" w:hAnsi="微软雅黑" w:cs="宋体"/>
          <w:kern w:val="0"/>
          <w:sz w:val="30"/>
          <w:szCs w:val="30"/>
        </w:rPr>
        <w:t>AKTi</w:t>
      </w:r>
      <w:proofErr w:type="spellEnd"/>
      <w:r w:rsidRPr="00375456">
        <w:rPr>
          <w:rFonts w:ascii="微软雅黑" w:eastAsia="微软雅黑" w:hAnsi="微软雅黑" w:cs="宋体"/>
          <w:kern w:val="0"/>
          <w:sz w:val="30"/>
          <w:szCs w:val="30"/>
        </w:rPr>
        <w:t xml:space="preserve"> 联合使用才能显著且持久地抑制 ER+ </w:t>
      </w:r>
      <w:proofErr w:type="gramStart"/>
      <w:r w:rsidRPr="00375456">
        <w:rPr>
          <w:rFonts w:ascii="微软雅黑" w:eastAsia="微软雅黑" w:hAnsi="微软雅黑" w:cs="宋体"/>
          <w:kern w:val="0"/>
          <w:sz w:val="30"/>
          <w:szCs w:val="30"/>
        </w:rPr>
        <w:t>氟维司群</w:t>
      </w:r>
      <w:proofErr w:type="gramEnd"/>
      <w:r w:rsidRPr="00375456">
        <w:rPr>
          <w:rFonts w:ascii="微软雅黑" w:eastAsia="微软雅黑" w:hAnsi="微软雅黑" w:cs="宋体"/>
          <w:kern w:val="0"/>
          <w:sz w:val="30"/>
          <w:szCs w:val="30"/>
        </w:rPr>
        <w:t>耐药乳腺癌细胞系的生长。</w:t>
      </w:r>
    </w:p>
    <w:p w14:paraId="66993EDD" w14:textId="4A649B80"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noProof/>
          <w:kern w:val="0"/>
          <w:sz w:val="24"/>
          <w:szCs w:val="24"/>
        </w:rPr>
        <w:lastRenderedPageBreak/>
        <w:drawing>
          <wp:inline distT="0" distB="0" distL="0" distR="0" wp14:anchorId="0F33A238" wp14:editId="1A1C4A8C">
            <wp:extent cx="5167630" cy="8863330"/>
            <wp:effectExtent l="0" t="0" r="0" b="0"/>
            <wp:docPr id="7" name="图片 7" descr="图 1">
              <a:hlinkClick xmlns:a="http://schemas.openxmlformats.org/drawingml/2006/main" r:id="rId3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665" descr="图 1">
                      <a:hlinkClick r:id="rId39" tgtFrame="&quot;_blank&quo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167630" cy="8863330"/>
                    </a:xfrm>
                    <a:prstGeom prst="rect">
                      <a:avLst/>
                    </a:prstGeom>
                    <a:noFill/>
                    <a:ln>
                      <a:noFill/>
                    </a:ln>
                  </pic:spPr>
                </pic:pic>
              </a:graphicData>
            </a:graphic>
          </wp:inline>
        </w:drawing>
      </w:r>
    </w:p>
    <w:p w14:paraId="41DA35B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lastRenderedPageBreak/>
        <w:t>在为期 6 天的实验中，我们评估了</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w:t>
      </w:r>
      <w:proofErr w:type="spellStart"/>
      <w:r w:rsidRPr="00375456">
        <w:rPr>
          <w:rFonts w:ascii="微软雅黑" w:eastAsia="微软雅黑" w:hAnsi="微软雅黑" w:cs="宋体"/>
          <w:kern w:val="0"/>
          <w:sz w:val="24"/>
          <w:szCs w:val="24"/>
        </w:rPr>
        <w:t>Fulv</w:t>
      </w:r>
      <w:proofErr w:type="spellEnd"/>
      <w:r w:rsidRPr="00375456">
        <w:rPr>
          <w:rFonts w:ascii="微软雅黑" w:eastAsia="微软雅黑" w:hAnsi="微软雅黑" w:cs="宋体"/>
          <w:kern w:val="0"/>
          <w:sz w:val="24"/>
          <w:szCs w:val="24"/>
        </w:rPr>
        <w:t xml:space="preserve">，100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）、CDK4/6 抑制剂（CDK4/6i，帕博西尼，在 MCF-7 和 T47D 细胞模型中为 200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；在 ZR-75-1 细胞模型中为 5 µM）和 AKT 抑制剂（</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，卡</w:t>
      </w:r>
      <w:proofErr w:type="gramStart"/>
      <w:r w:rsidRPr="00375456">
        <w:rPr>
          <w:rFonts w:ascii="微软雅黑" w:eastAsia="微软雅黑" w:hAnsi="微软雅黑" w:cs="宋体"/>
          <w:kern w:val="0"/>
          <w:sz w:val="24"/>
          <w:szCs w:val="24"/>
        </w:rPr>
        <w:t>帕替尼</w:t>
      </w:r>
      <w:proofErr w:type="gramEnd"/>
      <w:r w:rsidRPr="00375456">
        <w:rPr>
          <w:rFonts w:ascii="微软雅黑" w:eastAsia="微软雅黑" w:hAnsi="微软雅黑" w:cs="宋体"/>
          <w:kern w:val="0"/>
          <w:sz w:val="24"/>
          <w:szCs w:val="24"/>
        </w:rPr>
        <w:t xml:space="preserve">，在 MCF-7 细胞模型中为 500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；在 T47D 模型中为 200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；在 ZR-75-1 细胞模型中为 150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）作为单一药物或双重和三重组合在所有细胞系中的作用，方法是结晶紫生长试验（</w:t>
      </w:r>
      <w:r w:rsidRPr="00375456">
        <w:rPr>
          <w:rFonts w:ascii="微软雅黑" w:eastAsia="微软雅黑" w:hAnsi="微软雅黑" w:cs="宋体"/>
          <w:b/>
          <w:bCs/>
          <w:kern w:val="0"/>
          <w:sz w:val="24"/>
          <w:szCs w:val="24"/>
        </w:rPr>
        <w:t>A</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B</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E</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F</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I</w:t>
      </w:r>
      <w:r w:rsidRPr="00375456">
        <w:rPr>
          <w:rFonts w:ascii="微软雅黑" w:eastAsia="微软雅黑" w:hAnsi="微软雅黑" w:cs="宋体"/>
          <w:kern w:val="0"/>
          <w:sz w:val="24"/>
          <w:szCs w:val="24"/>
        </w:rPr>
        <w:t>和</w:t>
      </w:r>
      <w:r w:rsidRPr="00375456">
        <w:rPr>
          <w:rFonts w:ascii="微软雅黑" w:eastAsia="微软雅黑" w:hAnsi="微软雅黑" w:cs="宋体"/>
          <w:b/>
          <w:bCs/>
          <w:kern w:val="0"/>
          <w:sz w:val="24"/>
          <w:szCs w:val="24"/>
        </w:rPr>
        <w:t>J</w:t>
      </w:r>
      <w:r w:rsidRPr="00375456">
        <w:rPr>
          <w:rFonts w:ascii="微软雅黑" w:eastAsia="微软雅黑" w:hAnsi="微软雅黑" w:cs="宋体"/>
          <w:kern w:val="0"/>
          <w:sz w:val="24"/>
          <w:szCs w:val="24"/>
        </w:rPr>
        <w:t xml:space="preserve">）和 </w:t>
      </w:r>
      <w:proofErr w:type="spellStart"/>
      <w:r w:rsidRPr="00375456">
        <w:rPr>
          <w:rFonts w:ascii="微软雅黑" w:eastAsia="微软雅黑" w:hAnsi="微软雅黑" w:cs="宋体"/>
          <w:kern w:val="0"/>
          <w:sz w:val="24"/>
          <w:szCs w:val="24"/>
        </w:rPr>
        <w:t>CellTiter</w:t>
      </w:r>
      <w:proofErr w:type="spellEnd"/>
      <w:r w:rsidRPr="00375456">
        <w:rPr>
          <w:rFonts w:ascii="微软雅黑" w:eastAsia="微软雅黑" w:hAnsi="微软雅黑" w:cs="宋体"/>
          <w:kern w:val="0"/>
          <w:sz w:val="24"/>
          <w:szCs w:val="24"/>
        </w:rPr>
        <w:t>-Blue 活力试验（</w:t>
      </w:r>
      <w:r w:rsidRPr="00375456">
        <w:rPr>
          <w:rFonts w:ascii="微软雅黑" w:eastAsia="微软雅黑" w:hAnsi="微软雅黑" w:cs="宋体"/>
          <w:b/>
          <w:bCs/>
          <w:kern w:val="0"/>
          <w:sz w:val="24"/>
          <w:szCs w:val="24"/>
        </w:rPr>
        <w:t>C</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D</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G</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H</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K</w:t>
      </w:r>
      <w:r w:rsidRPr="00375456">
        <w:rPr>
          <w:rFonts w:ascii="微软雅黑" w:eastAsia="微软雅黑" w:hAnsi="微软雅黑" w:cs="宋体"/>
          <w:kern w:val="0"/>
          <w:sz w:val="24"/>
          <w:szCs w:val="24"/>
        </w:rPr>
        <w:t>和</w:t>
      </w:r>
      <w:r w:rsidRPr="00375456">
        <w:rPr>
          <w:rFonts w:ascii="微软雅黑" w:eastAsia="微软雅黑" w:hAnsi="微软雅黑" w:cs="宋体"/>
          <w:b/>
          <w:bCs/>
          <w:kern w:val="0"/>
          <w:sz w:val="24"/>
          <w:szCs w:val="24"/>
        </w:rPr>
        <w:t>L</w:t>
      </w:r>
      <w:r w:rsidRPr="00375456">
        <w:rPr>
          <w:rFonts w:ascii="微软雅黑" w:eastAsia="微软雅黑" w:hAnsi="微软雅黑" w:cs="宋体"/>
          <w:kern w:val="0"/>
          <w:sz w:val="24"/>
          <w:szCs w:val="24"/>
        </w:rPr>
        <w:t>）。在MCF-7（</w:t>
      </w:r>
      <w:r w:rsidRPr="00375456">
        <w:rPr>
          <w:rFonts w:ascii="微软雅黑" w:eastAsia="微软雅黑" w:hAnsi="微软雅黑" w:cs="宋体"/>
          <w:b/>
          <w:bCs/>
          <w:kern w:val="0"/>
          <w:sz w:val="24"/>
          <w:szCs w:val="24"/>
        </w:rPr>
        <w:t>M</w:t>
      </w:r>
      <w:r w:rsidRPr="00375456">
        <w:rPr>
          <w:rFonts w:ascii="微软雅黑" w:eastAsia="微软雅黑" w:hAnsi="微软雅黑" w:cs="宋体"/>
          <w:kern w:val="0"/>
          <w:sz w:val="24"/>
          <w:szCs w:val="24"/>
        </w:rPr>
        <w:t>和</w:t>
      </w:r>
      <w:r w:rsidRPr="00375456">
        <w:rPr>
          <w:rFonts w:ascii="微软雅黑" w:eastAsia="微软雅黑" w:hAnsi="微软雅黑" w:cs="宋体"/>
          <w:b/>
          <w:bCs/>
          <w:kern w:val="0"/>
          <w:sz w:val="24"/>
          <w:szCs w:val="24"/>
        </w:rPr>
        <w:t>N</w:t>
      </w:r>
      <w:r w:rsidRPr="00375456">
        <w:rPr>
          <w:rFonts w:ascii="微软雅黑" w:eastAsia="微软雅黑" w:hAnsi="微软雅黑" w:cs="宋体"/>
          <w:kern w:val="0"/>
          <w:sz w:val="24"/>
          <w:szCs w:val="24"/>
        </w:rPr>
        <w:t>）和T47D模型（</w:t>
      </w:r>
      <w:r w:rsidRPr="00375456">
        <w:rPr>
          <w:rFonts w:ascii="微软雅黑" w:eastAsia="微软雅黑" w:hAnsi="微软雅黑" w:cs="宋体"/>
          <w:b/>
          <w:bCs/>
          <w:kern w:val="0"/>
          <w:sz w:val="24"/>
          <w:szCs w:val="24"/>
        </w:rPr>
        <w:t>O</w:t>
      </w:r>
      <w:r w:rsidRPr="00375456">
        <w:rPr>
          <w:rFonts w:ascii="微软雅黑" w:eastAsia="微软雅黑" w:hAnsi="微软雅黑" w:cs="宋体"/>
          <w:kern w:val="0"/>
          <w:sz w:val="24"/>
          <w:szCs w:val="24"/>
        </w:rPr>
        <w:t>和</w:t>
      </w:r>
      <w:r w:rsidRPr="00375456">
        <w:rPr>
          <w:rFonts w:ascii="微软雅黑" w:eastAsia="微软雅黑" w:hAnsi="微软雅黑" w:cs="宋体"/>
          <w:b/>
          <w:bCs/>
          <w:kern w:val="0"/>
          <w:sz w:val="24"/>
          <w:szCs w:val="24"/>
        </w:rPr>
        <w:t>P</w:t>
      </w:r>
      <w:r w:rsidRPr="00375456">
        <w:rPr>
          <w:rFonts w:ascii="微软雅黑" w:eastAsia="微软雅黑" w:hAnsi="微软雅黑" w:cs="宋体"/>
          <w:kern w:val="0"/>
          <w:sz w:val="24"/>
          <w:szCs w:val="24"/>
        </w:rPr>
        <w:t>）中，通过每周评估48孔中汇合度达到50%或以上（阳性孔）的百分比，持续12周，研究了耐药菌落的生长情况。实验设置了三个生物学重复，数据以平均值±标准误（SEM）表示。星号表示第6天单因素方差分析（ANOVA）检验中存在显著差异（*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0.05，**0.001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0.01，***0.0001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0.001，****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0.0001）。</w:t>
      </w:r>
    </w:p>
    <w:p w14:paraId="6B4BA284" w14:textId="77777777" w:rsidR="00375456" w:rsidRPr="00375456" w:rsidRDefault="00375456" w:rsidP="00375456">
      <w:pPr>
        <w:widowControl/>
        <w:spacing w:line="450" w:lineRule="atLeast"/>
        <w:outlineLvl w:val="3"/>
        <w:rPr>
          <w:rFonts w:ascii="微软雅黑" w:eastAsia="微软雅黑" w:hAnsi="微软雅黑" w:cs="宋体"/>
          <w:kern w:val="0"/>
          <w:sz w:val="30"/>
          <w:szCs w:val="30"/>
        </w:rPr>
      </w:pPr>
      <w:r w:rsidRPr="00375456">
        <w:rPr>
          <w:rFonts w:ascii="微软雅黑" w:eastAsia="微软雅黑" w:hAnsi="微软雅黑" w:cs="宋体"/>
          <w:kern w:val="0"/>
          <w:sz w:val="30"/>
          <w:szCs w:val="30"/>
        </w:rPr>
        <w:t>图 2. ER、CDK4/6 和 AKT 的联合靶向可有效抑制 ER+ 乳腺癌细胞系中的细胞周期蛋白 D/CDK4-6/Rb 和 PI3K/AKT-mTOR 通路。</w:t>
      </w:r>
    </w:p>
    <w:p w14:paraId="4FA69784" w14:textId="7127B64E"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noProof/>
          <w:kern w:val="0"/>
          <w:sz w:val="24"/>
          <w:szCs w:val="24"/>
        </w:rPr>
        <w:lastRenderedPageBreak/>
        <w:drawing>
          <wp:inline distT="0" distB="0" distL="0" distR="0" wp14:anchorId="4AE2E7EE" wp14:editId="4C8DA60A">
            <wp:extent cx="5274310" cy="7384415"/>
            <wp:effectExtent l="0" t="0" r="2540" b="6985"/>
            <wp:docPr id="6" name="图片 6" descr="图 2">
              <a:hlinkClick xmlns:a="http://schemas.openxmlformats.org/drawingml/2006/main" r:id="rId4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707" descr="图 2">
                      <a:hlinkClick r:id="rId41" tgtFrame="&quot;_blank&quot;"/>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7384415"/>
                    </a:xfrm>
                    <a:prstGeom prst="rect">
                      <a:avLst/>
                    </a:prstGeom>
                    <a:noFill/>
                    <a:ln>
                      <a:noFill/>
                    </a:ln>
                  </pic:spPr>
                </pic:pic>
              </a:graphicData>
            </a:graphic>
          </wp:inline>
        </w:drawing>
      </w:r>
    </w:p>
    <w:p w14:paraId="7E2D89AC"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b/>
          <w:bCs/>
          <w:kern w:val="0"/>
          <w:sz w:val="24"/>
          <w:szCs w:val="24"/>
        </w:rPr>
        <w:t>采用ELISA细胞死亡检测法，通过评估MCF-7 ( A</w:t>
      </w:r>
      <w:r w:rsidRPr="00375456">
        <w:rPr>
          <w:rFonts w:ascii="微软雅黑" w:eastAsia="微软雅黑" w:hAnsi="微软雅黑" w:cs="宋体"/>
          <w:kern w:val="0"/>
          <w:sz w:val="24"/>
          <w:szCs w:val="24"/>
        </w:rPr>
        <w:t> )、T47D ( </w:t>
      </w:r>
      <w:r w:rsidRPr="00375456">
        <w:rPr>
          <w:rFonts w:ascii="微软雅黑" w:eastAsia="微软雅黑" w:hAnsi="微软雅黑" w:cs="宋体"/>
          <w:b/>
          <w:bCs/>
          <w:kern w:val="0"/>
          <w:sz w:val="24"/>
          <w:szCs w:val="24"/>
        </w:rPr>
        <w:t>B</w:t>
      </w:r>
      <w:r w:rsidRPr="00375456">
        <w:rPr>
          <w:rFonts w:ascii="微软雅黑" w:eastAsia="微软雅黑" w:hAnsi="微软雅黑" w:cs="宋体"/>
          <w:kern w:val="0"/>
          <w:sz w:val="24"/>
          <w:szCs w:val="24"/>
        </w:rPr>
        <w:t> )和ZR-75-1 ( </w:t>
      </w:r>
      <w:r w:rsidRPr="00375456">
        <w:rPr>
          <w:rFonts w:ascii="微软雅黑" w:eastAsia="微软雅黑" w:hAnsi="微软雅黑" w:cs="宋体"/>
          <w:b/>
          <w:bCs/>
          <w:kern w:val="0"/>
          <w:sz w:val="24"/>
          <w:szCs w:val="24"/>
        </w:rPr>
        <w:t>C</w:t>
      </w:r>
      <w:r w:rsidRPr="00375456">
        <w:rPr>
          <w:rFonts w:ascii="微软雅黑" w:eastAsia="微软雅黑" w:hAnsi="微软雅黑" w:cs="宋体"/>
          <w:kern w:val="0"/>
          <w:sz w:val="24"/>
          <w:szCs w:val="24"/>
        </w:rPr>
        <w:t> )细胞中胞质核小体的存在来确定细胞凋亡水平。数据以误差线表示，代表三个生物学重复的平均值±标准误。星号表示单因素方差分析中的显著性差异</w:t>
      </w:r>
      <w:r w:rsidRPr="00375456">
        <w:rPr>
          <w:rFonts w:ascii="微软雅黑" w:eastAsia="微软雅黑" w:hAnsi="微软雅黑" w:cs="宋体"/>
          <w:kern w:val="0"/>
          <w:sz w:val="24"/>
          <w:szCs w:val="24"/>
        </w:rPr>
        <w:lastRenderedPageBreak/>
        <w:t>（*0.01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0.05，**0.001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0.01，***0.0001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0.001，****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0.0001）。D </w:t>
      </w:r>
      <w:r w:rsidRPr="00375456">
        <w:rPr>
          <w:rFonts w:ascii="微软雅黑" w:eastAsia="微软雅黑" w:hAnsi="微软雅黑" w:cs="宋体"/>
          <w:b/>
          <w:bCs/>
          <w:kern w:val="0"/>
          <w:sz w:val="24"/>
          <w:szCs w:val="24"/>
        </w:rPr>
        <w:t>.</w:t>
      </w:r>
      <w:r w:rsidRPr="00375456">
        <w:rPr>
          <w:rFonts w:ascii="微软雅黑" w:eastAsia="微软雅黑" w:hAnsi="微软雅黑" w:cs="宋体"/>
          <w:kern w:val="0"/>
          <w:sz w:val="24"/>
          <w:szCs w:val="24"/>
        </w:rPr>
        <w:t>对三种</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耐药乳腺癌模型中的细胞凋亡标志物进行Western blot分析。使用ImageJ软件对cleaved-PARP的Western blot条带进行密度分析。数据以曲线下面积（AUC）表示，并已</w:t>
      </w:r>
      <w:proofErr w:type="gramStart"/>
      <w:r w:rsidRPr="00375456">
        <w:rPr>
          <w:rFonts w:ascii="微软雅黑" w:eastAsia="微软雅黑" w:hAnsi="微软雅黑" w:cs="宋体"/>
          <w:kern w:val="0"/>
          <w:sz w:val="24"/>
          <w:szCs w:val="24"/>
        </w:rPr>
        <w:t>根据上样对照</w:t>
      </w:r>
      <w:proofErr w:type="gramEnd"/>
      <w:r w:rsidRPr="00375456">
        <w:rPr>
          <w:rFonts w:ascii="微软雅黑" w:eastAsia="微软雅黑" w:hAnsi="微软雅黑" w:cs="宋体"/>
          <w:kern w:val="0"/>
          <w:sz w:val="24"/>
          <w:szCs w:val="24"/>
        </w:rPr>
        <w:t>进行标准化。</w:t>
      </w:r>
      <w:r w:rsidRPr="00375456">
        <w:rPr>
          <w:rFonts w:ascii="微软雅黑" w:eastAsia="微软雅黑" w:hAnsi="微软雅黑" w:cs="宋体"/>
          <w:b/>
          <w:bCs/>
          <w:kern w:val="0"/>
          <w:sz w:val="24"/>
          <w:szCs w:val="24"/>
        </w:rPr>
        <w:t>E.</w:t>
      </w:r>
      <w:r w:rsidRPr="00375456">
        <w:rPr>
          <w:rFonts w:ascii="微软雅黑" w:eastAsia="微软雅黑" w:hAnsi="微软雅黑" w:cs="宋体"/>
          <w:kern w:val="0"/>
          <w:sz w:val="24"/>
          <w:szCs w:val="24"/>
        </w:rPr>
        <w:t>对三种</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耐药乳腺癌模型中关键信号转导蛋白进行Western blot分析。F </w:t>
      </w:r>
      <w:r w:rsidRPr="00375456">
        <w:rPr>
          <w:rFonts w:ascii="微软雅黑" w:eastAsia="微软雅黑" w:hAnsi="微软雅黑" w:cs="宋体"/>
          <w:b/>
          <w:bCs/>
          <w:kern w:val="0"/>
          <w:sz w:val="24"/>
          <w:szCs w:val="24"/>
        </w:rPr>
        <w:t>.</w:t>
      </w:r>
      <w:r w:rsidRPr="00375456">
        <w:rPr>
          <w:rFonts w:ascii="微软雅黑" w:eastAsia="微软雅黑" w:hAnsi="微软雅黑" w:cs="宋体"/>
          <w:kern w:val="0"/>
          <w:sz w:val="24"/>
          <w:szCs w:val="24"/>
        </w:rPr>
        <w:t>对三种</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耐药乳腺癌模型中p-AKT (S473) 和总AKT表达进行Western blot分析。使用ImageJ软件对p-AKT (S473) 和总AKT的Western blot条带进行密度分析。数据以曲线下面积 (AUC) 表示，并已</w:t>
      </w:r>
      <w:proofErr w:type="gramStart"/>
      <w:r w:rsidRPr="00375456">
        <w:rPr>
          <w:rFonts w:ascii="微软雅黑" w:eastAsia="微软雅黑" w:hAnsi="微软雅黑" w:cs="宋体"/>
          <w:kern w:val="0"/>
          <w:sz w:val="24"/>
          <w:szCs w:val="24"/>
        </w:rPr>
        <w:t>根据上样对照</w:t>
      </w:r>
      <w:proofErr w:type="gramEnd"/>
      <w:r w:rsidRPr="00375456">
        <w:rPr>
          <w:rFonts w:ascii="微软雅黑" w:eastAsia="微软雅黑" w:hAnsi="微软雅黑" w:cs="宋体"/>
          <w:kern w:val="0"/>
          <w:sz w:val="24"/>
          <w:szCs w:val="24"/>
        </w:rPr>
        <w:t>进行标准化。GAPDH用作Western blot分析</w:t>
      </w:r>
      <w:proofErr w:type="gramStart"/>
      <w:r w:rsidRPr="00375456">
        <w:rPr>
          <w:rFonts w:ascii="微软雅黑" w:eastAsia="微软雅黑" w:hAnsi="微软雅黑" w:cs="宋体"/>
          <w:kern w:val="0"/>
          <w:sz w:val="24"/>
          <w:szCs w:val="24"/>
        </w:rPr>
        <w:t>的上样对照</w:t>
      </w:r>
      <w:proofErr w:type="gramEnd"/>
      <w:r w:rsidRPr="00375456">
        <w:rPr>
          <w:rFonts w:ascii="微软雅黑" w:eastAsia="微软雅黑" w:hAnsi="微软雅黑" w:cs="宋体"/>
          <w:kern w:val="0"/>
          <w:sz w:val="24"/>
          <w:szCs w:val="24"/>
        </w:rPr>
        <w:t>。所有Western blot结果均显示两个生物学重复的代表性结果。在用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w:t>
      </w:r>
      <w:proofErr w:type="spellStart"/>
      <w:r w:rsidRPr="00375456">
        <w:rPr>
          <w:rFonts w:ascii="微软雅黑" w:eastAsia="微软雅黑" w:hAnsi="微软雅黑" w:cs="宋体"/>
          <w:kern w:val="0"/>
          <w:sz w:val="24"/>
          <w:szCs w:val="24"/>
        </w:rPr>
        <w:t>Fulv</w:t>
      </w:r>
      <w:proofErr w:type="spellEnd"/>
      <w:r w:rsidRPr="00375456">
        <w:rPr>
          <w:rFonts w:ascii="微软雅黑" w:eastAsia="微软雅黑" w:hAnsi="微软雅黑" w:cs="宋体"/>
          <w:kern w:val="0"/>
          <w:sz w:val="24"/>
          <w:szCs w:val="24"/>
        </w:rPr>
        <w:t xml:space="preserve">，100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）、CDK4/6 抑制剂（CDK4/6i，帕博西尼，MCF-7 和 T47D 细胞模型中为 200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；ZR-75-1 细胞模型中为 5 µM）和 AKT 抑制剂（</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，卡</w:t>
      </w:r>
      <w:proofErr w:type="gramStart"/>
      <w:r w:rsidRPr="00375456">
        <w:rPr>
          <w:rFonts w:ascii="微软雅黑" w:eastAsia="微软雅黑" w:hAnsi="微软雅黑" w:cs="宋体"/>
          <w:kern w:val="0"/>
          <w:sz w:val="24"/>
          <w:szCs w:val="24"/>
        </w:rPr>
        <w:t>帕替尼</w:t>
      </w:r>
      <w:proofErr w:type="gramEnd"/>
      <w:r w:rsidRPr="00375456">
        <w:rPr>
          <w:rFonts w:ascii="微软雅黑" w:eastAsia="微软雅黑" w:hAnsi="微软雅黑" w:cs="宋体"/>
          <w:kern w:val="0"/>
          <w:sz w:val="24"/>
          <w:szCs w:val="24"/>
        </w:rPr>
        <w:t xml:space="preserve">，MCF-7 细胞模型中为 500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；T47D 模型中为 200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；ZR-75-1 细胞模型中为 150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）处理 3 天后，进行细胞凋亡检测和蛋白质收集以进行蛋白质印迹分析。</w:t>
      </w:r>
    </w:p>
    <w:p w14:paraId="3407937B"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联合靶向 CDK4/6 和 AKT 可有效抑制 ER+ 乳腺癌细胞系中的细胞周期蛋白 D/CDK4-6/Rb 和 PI3K/AKT-mTOR 通路。</w:t>
      </w:r>
    </w:p>
    <w:p w14:paraId="21B1A33D"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接下来，我们在MCF-7、T47D和ZR-75-1乳腺癌细胞系模型中，评估了靶向抑制剂</w:t>
      </w:r>
      <w:proofErr w:type="spellStart"/>
      <w:r w:rsidRPr="00375456">
        <w:rPr>
          <w:rFonts w:ascii="微软雅黑" w:eastAsia="微软雅黑" w:hAnsi="微软雅黑" w:cs="宋体"/>
          <w:kern w:val="0"/>
          <w:sz w:val="24"/>
          <w:szCs w:val="24"/>
        </w:rPr>
        <w:t>capivasertib</w:t>
      </w:r>
      <w:proofErr w:type="spellEnd"/>
      <w:r w:rsidRPr="00375456">
        <w:rPr>
          <w:rFonts w:ascii="微软雅黑" w:eastAsia="微软雅黑" w:hAnsi="微软雅黑" w:cs="宋体"/>
          <w:kern w:val="0"/>
          <w:sz w:val="24"/>
          <w:szCs w:val="24"/>
        </w:rPr>
        <w:t>、</w:t>
      </w:r>
      <w:proofErr w:type="spellStart"/>
      <w:r w:rsidRPr="00375456">
        <w:rPr>
          <w:rFonts w:ascii="微软雅黑" w:eastAsia="微软雅黑" w:hAnsi="微软雅黑" w:cs="宋体"/>
          <w:kern w:val="0"/>
          <w:sz w:val="24"/>
          <w:szCs w:val="24"/>
        </w:rPr>
        <w:t>palbociclib</w:t>
      </w:r>
      <w:proofErr w:type="spellEnd"/>
      <w:r w:rsidRPr="00375456">
        <w:rPr>
          <w:rFonts w:ascii="微软雅黑" w:eastAsia="微软雅黑" w:hAnsi="微软雅黑" w:cs="宋体"/>
          <w:kern w:val="0"/>
          <w:sz w:val="24"/>
          <w:szCs w:val="24"/>
        </w:rPr>
        <w:t>和</w:t>
      </w:r>
      <w:proofErr w:type="spellStart"/>
      <w:r w:rsidRPr="00375456">
        <w:rPr>
          <w:rFonts w:ascii="微软雅黑" w:eastAsia="微软雅黑" w:hAnsi="微软雅黑" w:cs="宋体"/>
          <w:kern w:val="0"/>
          <w:sz w:val="24"/>
          <w:szCs w:val="24"/>
        </w:rPr>
        <w:t>fulvestrant</w:t>
      </w:r>
      <w:proofErr w:type="spellEnd"/>
      <w:r w:rsidRPr="00375456">
        <w:rPr>
          <w:rFonts w:ascii="微软雅黑" w:eastAsia="微软雅黑" w:hAnsi="微软雅黑" w:cs="宋体"/>
          <w:kern w:val="0"/>
          <w:sz w:val="24"/>
          <w:szCs w:val="24"/>
        </w:rPr>
        <w:t>处理72小时后，三种细胞信号通路（ER、cyclin D/CDK4-6/Rb和PI3K/AKT-mTOR）关键分子的表达和激</w:t>
      </w:r>
      <w:r w:rsidRPr="00375456">
        <w:rPr>
          <w:rFonts w:ascii="微软雅黑" w:eastAsia="微软雅黑" w:hAnsi="微软雅黑" w:cs="宋体"/>
          <w:kern w:val="0"/>
          <w:sz w:val="24"/>
          <w:szCs w:val="24"/>
        </w:rPr>
        <w:lastRenderedPageBreak/>
        <w:t>活情况（图 </w:t>
      </w:r>
      <w:hyperlink r:id="rId43" w:anchor="Fig2" w:history="1">
        <w:r w:rsidRPr="00375456">
          <w:rPr>
            <w:rFonts w:ascii="微软雅黑" w:eastAsia="微软雅黑" w:hAnsi="微软雅黑" w:cs="宋体"/>
            <w:kern w:val="0"/>
            <w:sz w:val="24"/>
            <w:szCs w:val="24"/>
            <w:u w:val="single"/>
          </w:rPr>
          <w:t>2E</w:t>
        </w:r>
      </w:hyperlink>
      <w:r w:rsidRPr="00375456">
        <w:rPr>
          <w:rFonts w:ascii="微软雅黑" w:eastAsia="微软雅黑" w:hAnsi="微软雅黑" w:cs="宋体"/>
          <w:kern w:val="0"/>
          <w:sz w:val="24"/>
          <w:szCs w:val="24"/>
        </w:rPr>
        <w:t>），因为此时</w:t>
      </w:r>
      <w:proofErr w:type="spellStart"/>
      <w:r w:rsidRPr="00375456">
        <w:rPr>
          <w:rFonts w:ascii="微软雅黑" w:eastAsia="微软雅黑" w:hAnsi="微软雅黑" w:cs="宋体"/>
          <w:kern w:val="0"/>
          <w:sz w:val="24"/>
          <w:szCs w:val="24"/>
        </w:rPr>
        <w:t>palbociclib</w:t>
      </w:r>
      <w:proofErr w:type="spellEnd"/>
      <w:r w:rsidRPr="00375456">
        <w:rPr>
          <w:rFonts w:ascii="微软雅黑" w:eastAsia="微软雅黑" w:hAnsi="微软雅黑" w:cs="宋体"/>
          <w:kern w:val="0"/>
          <w:sz w:val="24"/>
          <w:szCs w:val="24"/>
        </w:rPr>
        <w:t>诱导的即时生长抑制作用已解除</w:t>
      </w:r>
      <w:r w:rsidRPr="00375456">
        <w:rPr>
          <w:rFonts w:ascii="微软雅黑" w:eastAsia="微软雅黑" w:hAnsi="微软雅黑" w:cs="宋体"/>
          <w:kern w:val="0"/>
          <w:sz w:val="24"/>
          <w:szCs w:val="24"/>
          <w:u w:val="single"/>
          <w:vertAlign w:val="superscript"/>
        </w:rPr>
        <w:t>&lt;sup&gt; </w:t>
      </w:r>
      <w:hyperlink r:id="rId44" w:anchor="CR22" w:history="1">
        <w:r w:rsidRPr="00375456">
          <w:rPr>
            <w:rFonts w:ascii="微软雅黑" w:eastAsia="微软雅黑" w:hAnsi="微软雅黑" w:cs="宋体"/>
            <w:kern w:val="0"/>
            <w:sz w:val="24"/>
            <w:szCs w:val="24"/>
            <w:u w:val="single"/>
            <w:vertAlign w:val="superscript"/>
          </w:rPr>
          <w:t>22&lt;/sup&gt;</w:t>
        </w:r>
      </w:hyperlink>
      <w:r w:rsidRPr="00375456">
        <w:rPr>
          <w:rFonts w:ascii="微软雅黑" w:eastAsia="微软雅黑" w:hAnsi="微软雅黑" w:cs="宋体"/>
          <w:kern w:val="0"/>
          <w:sz w:val="24"/>
          <w:szCs w:val="24"/>
        </w:rPr>
        <w:t>。我们观察到，三联疗法显著降低了ER的表达，并显著降低了</w:t>
      </w:r>
      <w:proofErr w:type="spellStart"/>
      <w:r w:rsidRPr="00375456">
        <w:rPr>
          <w:rFonts w:ascii="微软雅黑" w:eastAsia="微软雅黑" w:hAnsi="微软雅黑" w:cs="宋体"/>
          <w:kern w:val="0"/>
          <w:sz w:val="24"/>
          <w:szCs w:val="24"/>
        </w:rPr>
        <w:t>fulvestrant</w:t>
      </w:r>
      <w:proofErr w:type="spellEnd"/>
      <w:r w:rsidRPr="00375456">
        <w:rPr>
          <w:rFonts w:ascii="微软雅黑" w:eastAsia="微软雅黑" w:hAnsi="微软雅黑" w:cs="宋体"/>
          <w:kern w:val="0"/>
          <w:sz w:val="24"/>
          <w:szCs w:val="24"/>
        </w:rPr>
        <w:t>敏感和耐药细胞中Rb、PRAS40和S6蛋白的磷酸化水平（图 </w:t>
      </w:r>
      <w:hyperlink r:id="rId45" w:anchor="Fig2" w:history="1">
        <w:r w:rsidRPr="00375456">
          <w:rPr>
            <w:rFonts w:ascii="微软雅黑" w:eastAsia="微软雅黑" w:hAnsi="微软雅黑" w:cs="宋体"/>
            <w:kern w:val="0"/>
            <w:sz w:val="24"/>
            <w:szCs w:val="24"/>
            <w:u w:val="single"/>
          </w:rPr>
          <w:t>2E</w:t>
        </w:r>
      </w:hyperlink>
      <w:r w:rsidRPr="00375456">
        <w:rPr>
          <w:rFonts w:ascii="微软雅黑" w:eastAsia="微软雅黑" w:hAnsi="微软雅黑" w:cs="宋体"/>
          <w:kern w:val="0"/>
          <w:sz w:val="24"/>
          <w:szCs w:val="24"/>
        </w:rPr>
        <w:t>），表明ER、cyclin D/CDK4-6/Rb和PI3K/AKT-mTOR通路均受到抑制。如前所述</w:t>
      </w:r>
      <w:r w:rsidRPr="00375456">
        <w:rPr>
          <w:rFonts w:ascii="微软雅黑" w:eastAsia="微软雅黑" w:hAnsi="微软雅黑" w:cs="宋体"/>
          <w:kern w:val="0"/>
          <w:sz w:val="24"/>
          <w:szCs w:val="24"/>
          <w:u w:val="single"/>
          <w:vertAlign w:val="superscript"/>
        </w:rPr>
        <w:t>&lt;sup&gt; </w:t>
      </w:r>
      <w:hyperlink r:id="rId46" w:anchor="CR18" w:history="1">
        <w:r w:rsidRPr="00375456">
          <w:rPr>
            <w:rFonts w:ascii="微软雅黑" w:eastAsia="微软雅黑" w:hAnsi="微软雅黑" w:cs="宋体"/>
            <w:kern w:val="0"/>
            <w:sz w:val="24"/>
            <w:szCs w:val="24"/>
            <w:u w:val="single"/>
            <w:vertAlign w:val="superscript"/>
          </w:rPr>
          <w:t>18&lt;/sup&gt;</w:t>
        </w:r>
      </w:hyperlink>
      <w:r w:rsidRPr="00375456">
        <w:rPr>
          <w:rFonts w:ascii="微软雅黑" w:eastAsia="微软雅黑" w:hAnsi="微软雅黑" w:cs="宋体"/>
          <w:kern w:val="0"/>
          <w:sz w:val="24"/>
          <w:szCs w:val="24"/>
        </w:rPr>
        <w:t>，</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治疗诱导AKT磷酸化，使该蛋白维持在高磷酸化、催化失活的状态。值得注意的是，与三联疗法相比，任何未同时靶向AKT和CDK4/6的单药或联合疗法均未能对这三条通路下游靶点产生同样显著的抑制作用，尤其是在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耐药细胞中（图 </w:t>
      </w:r>
      <w:hyperlink r:id="rId47" w:anchor="Fig2" w:history="1">
        <w:r w:rsidRPr="00375456">
          <w:rPr>
            <w:rFonts w:ascii="微软雅黑" w:eastAsia="微软雅黑" w:hAnsi="微软雅黑" w:cs="宋体"/>
            <w:kern w:val="0"/>
            <w:sz w:val="24"/>
            <w:szCs w:val="24"/>
            <w:u w:val="single"/>
          </w:rPr>
          <w:t>2E</w:t>
        </w:r>
      </w:hyperlink>
      <w:r w:rsidRPr="00375456">
        <w:rPr>
          <w:rFonts w:ascii="微软雅黑" w:eastAsia="微软雅黑" w:hAnsi="微软雅黑" w:cs="宋体"/>
          <w:kern w:val="0"/>
          <w:sz w:val="24"/>
          <w:szCs w:val="24"/>
        </w:rPr>
        <w:t>）。有趣的是，我们观察到，与相应的亲代细胞系相比，182R-1和ZR-75-1&lt;sup&gt;R&lt;/sup&gt;</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耐药细胞中p-AKT水平更高，而T47D&lt;sup&gt;R&lt;/sup&gt;细胞中p-AKT表达略低于亲代细胞（图 </w:t>
      </w:r>
      <w:hyperlink r:id="rId48" w:anchor="Fig2" w:history="1">
        <w:r w:rsidRPr="00375456">
          <w:rPr>
            <w:rFonts w:ascii="微软雅黑" w:eastAsia="微软雅黑" w:hAnsi="微软雅黑" w:cs="宋体"/>
            <w:kern w:val="0"/>
            <w:sz w:val="24"/>
            <w:szCs w:val="24"/>
            <w:u w:val="single"/>
          </w:rPr>
          <w:t>2F</w:t>
        </w:r>
      </w:hyperlink>
      <w:r w:rsidRPr="00375456">
        <w:rPr>
          <w:rFonts w:ascii="微软雅黑" w:eastAsia="微软雅黑" w:hAnsi="微软雅黑" w:cs="宋体"/>
          <w:kern w:val="0"/>
          <w:sz w:val="24"/>
          <w:szCs w:val="24"/>
        </w:rPr>
        <w:t>）。在三种</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耐药细胞模型中，耐药细胞与敏感细胞的总AKT水平未见显著变化（图 </w:t>
      </w:r>
      <w:hyperlink r:id="rId49" w:anchor="Fig2" w:history="1">
        <w:r w:rsidRPr="00375456">
          <w:rPr>
            <w:rFonts w:ascii="微软雅黑" w:eastAsia="微软雅黑" w:hAnsi="微软雅黑" w:cs="宋体"/>
            <w:kern w:val="0"/>
            <w:sz w:val="24"/>
            <w:szCs w:val="24"/>
            <w:u w:val="single"/>
          </w:rPr>
          <w:t>2F</w:t>
        </w:r>
      </w:hyperlink>
      <w:r w:rsidRPr="00375456">
        <w:rPr>
          <w:rFonts w:ascii="微软雅黑" w:eastAsia="微软雅黑" w:hAnsi="微软雅黑" w:cs="宋体"/>
          <w:kern w:val="0"/>
          <w:sz w:val="24"/>
          <w:szCs w:val="24"/>
        </w:rPr>
        <w:t>）。值得注意的是，182R-1 是</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突变体，而 ZR-75-1 R 是</w:t>
      </w:r>
      <w:r w:rsidRPr="00375456">
        <w:rPr>
          <w:rFonts w:ascii="微软雅黑" w:eastAsia="微软雅黑" w:hAnsi="微软雅黑" w:cs="宋体"/>
          <w:i/>
          <w:iCs/>
          <w:kern w:val="0"/>
          <w:sz w:val="24"/>
          <w:szCs w:val="24"/>
        </w:rPr>
        <w:t>PIK3CA野生型，这表明 AKT 激活与PIK3CA</w:t>
      </w:r>
      <w:r w:rsidRPr="00375456">
        <w:rPr>
          <w:rFonts w:ascii="微软雅黑" w:eastAsia="微软雅黑" w:hAnsi="微软雅黑" w:cs="宋体"/>
          <w:kern w:val="0"/>
          <w:sz w:val="24"/>
          <w:szCs w:val="24"/>
        </w:rPr>
        <w:t>突变状态无关。此外，在所有模型中，MCF-7 细胞的 p-AKT S473 水平最低（图 </w:t>
      </w:r>
      <w:hyperlink r:id="rId50" w:anchor="Fig2" w:history="1">
        <w:r w:rsidRPr="00375456">
          <w:rPr>
            <w:rFonts w:ascii="微软雅黑" w:eastAsia="微软雅黑" w:hAnsi="微软雅黑" w:cs="宋体"/>
            <w:kern w:val="0"/>
            <w:sz w:val="24"/>
            <w:szCs w:val="24"/>
            <w:u w:val="single"/>
          </w:rPr>
          <w:t>2F</w:t>
        </w:r>
      </w:hyperlink>
      <w:r w:rsidRPr="00375456">
        <w:rPr>
          <w:rFonts w:ascii="微软雅黑" w:eastAsia="微软雅黑" w:hAnsi="微软雅黑" w:cs="宋体"/>
          <w:kern w:val="0"/>
          <w:sz w:val="24"/>
          <w:szCs w:val="24"/>
        </w:rPr>
        <w:t xml:space="preserve">），且接受了最高剂量的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（500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）处理；而 ZR-75-1 和 T47D 细胞的 p-AKT S473 水平较高，且分别接受了较低剂量的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（150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 和 200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）处理。这表明高水平的 p-AKT S473 与更高的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敏感性相关，正如先前报道的那样</w:t>
      </w:r>
      <w:r w:rsidRPr="00375456">
        <w:rPr>
          <w:rFonts w:ascii="微软雅黑" w:eastAsia="微软雅黑" w:hAnsi="微软雅黑" w:cs="宋体"/>
          <w:kern w:val="0"/>
          <w:sz w:val="24"/>
          <w:szCs w:val="24"/>
          <w:u w:val="single"/>
          <w:vertAlign w:val="superscript"/>
        </w:rPr>
        <w:t>&lt;sup&gt; </w:t>
      </w:r>
      <w:hyperlink r:id="rId51" w:anchor="CR28" w:history="1">
        <w:r w:rsidRPr="00375456">
          <w:rPr>
            <w:rFonts w:ascii="微软雅黑" w:eastAsia="微软雅黑" w:hAnsi="微软雅黑" w:cs="宋体"/>
            <w:kern w:val="0"/>
            <w:sz w:val="24"/>
            <w:szCs w:val="24"/>
            <w:u w:val="single"/>
            <w:vertAlign w:val="superscript"/>
          </w:rPr>
          <w:t>28</w:t>
        </w:r>
      </w:hyperlink>
      <w:r w:rsidRPr="00375456">
        <w:rPr>
          <w:rFonts w:ascii="微软雅黑" w:eastAsia="微软雅黑" w:hAnsi="微软雅黑" w:cs="宋体"/>
          <w:kern w:val="0"/>
          <w:sz w:val="24"/>
          <w:szCs w:val="24"/>
          <w:u w:val="single"/>
          <w:vertAlign w:val="superscript"/>
        </w:rPr>
        <w:t> &lt;/sup&gt;</w:t>
      </w:r>
      <w:r w:rsidRPr="00375456">
        <w:rPr>
          <w:rFonts w:ascii="微软雅黑" w:eastAsia="微软雅黑" w:hAnsi="微软雅黑" w:cs="宋体"/>
          <w:kern w:val="0"/>
          <w:sz w:val="24"/>
          <w:szCs w:val="24"/>
        </w:rPr>
        <w:t>。T47D/T47D R 细胞中 p-AKT 表达模式的差异可能与其在 T47D 细胞中显著高于其他敏感细胞系的表达水平有关。尽管如此，这些观察结果表明，p-AKT 可能是识别</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耐药肿瘤的潜在标志物，这些肿瘤可能受益于三联疗法。</w:t>
      </w:r>
    </w:p>
    <w:p w14:paraId="36D00E90"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联合靶向 CDK4/6 和 AKT 可阻止对</w:t>
      </w:r>
      <w:proofErr w:type="gramStart"/>
      <w:r w:rsidRPr="00375456">
        <w:rPr>
          <w:rFonts w:ascii="微软雅黑" w:eastAsia="微软雅黑" w:hAnsi="微软雅黑" w:cs="宋体"/>
          <w:kern w:val="0"/>
          <w:sz w:val="32"/>
          <w:szCs w:val="32"/>
        </w:rPr>
        <w:t>氟维司群</w:t>
      </w:r>
      <w:proofErr w:type="gramEnd"/>
      <w:r w:rsidRPr="00375456">
        <w:rPr>
          <w:rFonts w:ascii="微软雅黑" w:eastAsia="微软雅黑" w:hAnsi="微软雅黑" w:cs="宋体"/>
          <w:kern w:val="0"/>
          <w:sz w:val="32"/>
          <w:szCs w:val="32"/>
        </w:rPr>
        <w:t>耐药的 ER+ 乳腺癌异种移植瘤的进展</w:t>
      </w:r>
    </w:p>
    <w:p w14:paraId="66CB7504"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lastRenderedPageBreak/>
        <w:t>接下来，我们使用荷瘤小鼠（182R-1肿瘤）评估了</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（100 mg/kg）、CDK4/6抑制剂（50 mg/kg）和</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（100 mg/kg）作为单药疗法以及不同联合疗法在体内的疗效。CDK4/6抑制剂和</w:t>
      </w:r>
      <w:proofErr w:type="spellStart"/>
      <w:r w:rsidRPr="00375456">
        <w:rPr>
          <w:rFonts w:ascii="微软雅黑" w:eastAsia="微软雅黑" w:hAnsi="微软雅黑" w:cs="宋体"/>
          <w:kern w:val="0"/>
          <w:sz w:val="24"/>
          <w:szCs w:val="24"/>
        </w:rPr>
        <w:t>AKTi</w:t>
      </w:r>
      <w:proofErr w:type="spellEnd"/>
      <w:proofErr w:type="gramStart"/>
      <w:r w:rsidRPr="00375456">
        <w:rPr>
          <w:rFonts w:ascii="微软雅黑" w:eastAsia="微软雅黑" w:hAnsi="微软雅黑" w:cs="宋体"/>
          <w:kern w:val="0"/>
          <w:sz w:val="24"/>
          <w:szCs w:val="24"/>
        </w:rPr>
        <w:t>均每周</w:t>
      </w:r>
      <w:proofErr w:type="gramEnd"/>
      <w:r w:rsidRPr="00375456">
        <w:rPr>
          <w:rFonts w:ascii="微软雅黑" w:eastAsia="微软雅黑" w:hAnsi="微软雅黑" w:cs="宋体"/>
          <w:kern w:val="0"/>
          <w:sz w:val="24"/>
          <w:szCs w:val="24"/>
        </w:rPr>
        <w:t>口服5天，而</w:t>
      </w:r>
      <w:proofErr w:type="gramStart"/>
      <w:r w:rsidRPr="00375456">
        <w:rPr>
          <w:rFonts w:ascii="微软雅黑" w:eastAsia="微软雅黑" w:hAnsi="微软雅黑" w:cs="宋体"/>
          <w:kern w:val="0"/>
          <w:sz w:val="24"/>
          <w:szCs w:val="24"/>
        </w:rPr>
        <w:t>氟维司群每</w:t>
      </w:r>
      <w:proofErr w:type="gramEnd"/>
      <w:r w:rsidRPr="00375456">
        <w:rPr>
          <w:rFonts w:ascii="微软雅黑" w:eastAsia="微软雅黑" w:hAnsi="微软雅黑" w:cs="宋体"/>
          <w:kern w:val="0"/>
          <w:sz w:val="24"/>
          <w:szCs w:val="24"/>
        </w:rPr>
        <w:t>周皮下注射1次。</w:t>
      </w:r>
      <w:proofErr w:type="gramStart"/>
      <w:r w:rsidRPr="00375456">
        <w:rPr>
          <w:rFonts w:ascii="微软雅黑" w:eastAsia="微软雅黑" w:hAnsi="微软雅黑" w:cs="宋体"/>
          <w:kern w:val="0"/>
          <w:sz w:val="24"/>
          <w:szCs w:val="24"/>
        </w:rPr>
        <w:t>氟维司群单</w:t>
      </w:r>
      <w:proofErr w:type="gramEnd"/>
      <w:r w:rsidRPr="00375456">
        <w:rPr>
          <w:rFonts w:ascii="微软雅黑" w:eastAsia="微软雅黑" w:hAnsi="微软雅黑" w:cs="宋体"/>
          <w:kern w:val="0"/>
          <w:sz w:val="24"/>
          <w:szCs w:val="24"/>
        </w:rPr>
        <w:t>药治疗可使MCF-7异种移植瘤消退（图 </w:t>
      </w:r>
      <w:hyperlink r:id="rId52" w:anchor="Fig3" w:history="1">
        <w:r w:rsidRPr="00375456">
          <w:rPr>
            <w:rFonts w:ascii="微软雅黑" w:eastAsia="微软雅黑" w:hAnsi="微软雅黑" w:cs="宋体"/>
            <w:kern w:val="0"/>
            <w:sz w:val="24"/>
            <w:szCs w:val="24"/>
            <w:u w:val="single"/>
          </w:rPr>
          <w:t>3A和C</w:t>
        </w:r>
      </w:hyperlink>
      <w:r w:rsidRPr="00375456">
        <w:rPr>
          <w:rFonts w:ascii="微软雅黑" w:eastAsia="微软雅黑" w:hAnsi="微软雅黑" w:cs="宋体"/>
          <w:kern w:val="0"/>
          <w:sz w:val="24"/>
          <w:szCs w:val="24"/>
        </w:rPr>
        <w:t>），并且正如预期的那样，对182R-1</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耐药肿瘤的生长没有影响（图 </w:t>
      </w:r>
      <w:hyperlink r:id="rId53" w:anchor="Fig3" w:history="1">
        <w:r w:rsidRPr="00375456">
          <w:rPr>
            <w:rFonts w:ascii="微软雅黑" w:eastAsia="微软雅黑" w:hAnsi="微软雅黑" w:cs="宋体"/>
            <w:kern w:val="0"/>
            <w:sz w:val="24"/>
            <w:szCs w:val="24"/>
            <w:u w:val="single"/>
          </w:rPr>
          <w:t>3B和C</w:t>
        </w:r>
      </w:hyperlink>
      <w:r w:rsidRPr="00375456">
        <w:rPr>
          <w:rFonts w:ascii="微软雅黑" w:eastAsia="微软雅黑" w:hAnsi="微软雅黑" w:cs="宋体"/>
          <w:kern w:val="0"/>
          <w:sz w:val="24"/>
          <w:szCs w:val="24"/>
        </w:rPr>
        <w:t>）。比较终点肿瘤重量时也观察到了类似的结果（补充图 </w:t>
      </w:r>
      <w:hyperlink r:id="rId54" w:anchor="MOESM1" w:history="1">
        <w:r w:rsidRPr="00375456">
          <w:rPr>
            <w:rFonts w:ascii="微软雅黑" w:eastAsia="微软雅黑" w:hAnsi="微软雅黑" w:cs="宋体"/>
            <w:kern w:val="0"/>
            <w:sz w:val="24"/>
            <w:szCs w:val="24"/>
            <w:u w:val="single"/>
          </w:rPr>
          <w:t>S4A</w:t>
        </w:r>
      </w:hyperlink>
      <w:r w:rsidRPr="00375456">
        <w:rPr>
          <w:rFonts w:ascii="微软雅黑" w:eastAsia="微软雅黑" w:hAnsi="微软雅黑" w:cs="宋体"/>
          <w:kern w:val="0"/>
          <w:sz w:val="24"/>
          <w:szCs w:val="24"/>
        </w:rPr>
        <w:t>和</w:t>
      </w:r>
      <w:r w:rsidRPr="00375456">
        <w:rPr>
          <w:rFonts w:ascii="微软雅黑" w:eastAsia="微软雅黑" w:hAnsi="微软雅黑" w:cs="宋体"/>
          <w:kern w:val="0"/>
          <w:sz w:val="24"/>
          <w:szCs w:val="24"/>
        </w:rPr>
        <w:fldChar w:fldCharType="begin"/>
      </w:r>
      <w:r w:rsidRPr="00375456">
        <w:rPr>
          <w:rFonts w:ascii="微软雅黑" w:eastAsia="微软雅黑" w:hAnsi="微软雅黑" w:cs="宋体"/>
          <w:kern w:val="0"/>
          <w:sz w:val="24"/>
          <w:szCs w:val="24"/>
        </w:rPr>
        <w:instrText xml:space="preserve"> HYPERLINK "https://pmc.ncbi.nlm.nih.gov/articles/PMC8387387/" \l "MOESM1" </w:instrText>
      </w:r>
      <w:r w:rsidRPr="00375456">
        <w:rPr>
          <w:rFonts w:ascii="微软雅黑" w:eastAsia="微软雅黑" w:hAnsi="微软雅黑" w:cs="宋体"/>
          <w:kern w:val="0"/>
          <w:sz w:val="24"/>
          <w:szCs w:val="24"/>
        </w:rPr>
        <w:fldChar w:fldCharType="separate"/>
      </w:r>
      <w:r w:rsidRPr="00375456">
        <w:rPr>
          <w:rFonts w:ascii="微软雅黑" w:eastAsia="微软雅黑" w:hAnsi="微软雅黑" w:cs="宋体"/>
          <w:kern w:val="0"/>
          <w:sz w:val="24"/>
          <w:szCs w:val="24"/>
          <w:u w:val="single"/>
        </w:rPr>
        <w:t>S4B</w:t>
      </w:r>
      <w:r w:rsidRPr="00375456">
        <w:rPr>
          <w:rFonts w:ascii="微软雅黑" w:eastAsia="微软雅黑" w:hAnsi="微软雅黑" w:cs="宋体"/>
          <w:kern w:val="0"/>
          <w:sz w:val="24"/>
          <w:szCs w:val="24"/>
        </w:rPr>
        <w:fldChar w:fldCharType="end"/>
      </w:r>
      <w:r w:rsidRPr="00375456">
        <w:rPr>
          <w:rFonts w:ascii="微软雅黑" w:eastAsia="微软雅黑" w:hAnsi="微软雅黑" w:cs="宋体"/>
          <w:kern w:val="0"/>
          <w:sz w:val="24"/>
          <w:szCs w:val="24"/>
        </w:rPr>
        <w:t>）。 CDK4/6抑制剂单药治疗可在6周内抑制肿瘤生长，但双药联合和三药联合治疗对肿瘤生长的抑制作用更强（分别为</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0.02和</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0.01），并导致肿瘤消退（图 </w:t>
      </w:r>
      <w:hyperlink r:id="rId55" w:anchor="Fig3" w:history="1">
        <w:r w:rsidRPr="00375456">
          <w:rPr>
            <w:rFonts w:ascii="微软雅黑" w:eastAsia="微软雅黑" w:hAnsi="微软雅黑" w:cs="宋体"/>
            <w:kern w:val="0"/>
            <w:sz w:val="24"/>
            <w:szCs w:val="24"/>
            <w:u w:val="single"/>
          </w:rPr>
          <w:t>3D</w:t>
        </w:r>
      </w:hyperlink>
      <w:r w:rsidRPr="00375456">
        <w:rPr>
          <w:rFonts w:ascii="微软雅黑" w:eastAsia="微软雅黑" w:hAnsi="微软雅黑" w:cs="宋体"/>
          <w:kern w:val="0"/>
          <w:sz w:val="24"/>
          <w:szCs w:val="24"/>
        </w:rPr>
        <w:t>和补充图 </w:t>
      </w:r>
      <w:hyperlink r:id="rId56" w:anchor="MOESM1" w:history="1">
        <w:r w:rsidRPr="00375456">
          <w:rPr>
            <w:rFonts w:ascii="微软雅黑" w:eastAsia="微软雅黑" w:hAnsi="微软雅黑" w:cs="宋体"/>
            <w:kern w:val="0"/>
            <w:sz w:val="24"/>
            <w:szCs w:val="24"/>
            <w:u w:val="single"/>
          </w:rPr>
          <w:t>S4C</w:t>
        </w:r>
      </w:hyperlink>
      <w:r w:rsidRPr="00375456">
        <w:rPr>
          <w:rFonts w:ascii="微软雅黑" w:eastAsia="微软雅黑" w:hAnsi="微软雅黑" w:cs="宋体"/>
          <w:kern w:val="0"/>
          <w:sz w:val="24"/>
          <w:szCs w:val="24"/>
        </w:rPr>
        <w:t>）。有趣的是，对分别接受载体、</w:t>
      </w:r>
      <w:proofErr w:type="gramStart"/>
      <w:r w:rsidRPr="00375456">
        <w:rPr>
          <w:rFonts w:ascii="微软雅黑" w:eastAsia="微软雅黑" w:hAnsi="微软雅黑" w:cs="宋体"/>
          <w:kern w:val="0"/>
          <w:sz w:val="24"/>
          <w:szCs w:val="24"/>
        </w:rPr>
        <w:t>氟维司群单</w:t>
      </w:r>
      <w:proofErr w:type="gramEnd"/>
      <w:r w:rsidRPr="00375456">
        <w:rPr>
          <w:rFonts w:ascii="微软雅黑" w:eastAsia="微软雅黑" w:hAnsi="微软雅黑" w:cs="宋体"/>
          <w:kern w:val="0"/>
          <w:sz w:val="24"/>
          <w:szCs w:val="24"/>
        </w:rPr>
        <w:t>药、</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联合CDK4/6抑制剂以及三药联合</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治疗6周的182R-1肿瘤进行苏木精-伊红（HE）染色显示，载体或</w:t>
      </w:r>
      <w:proofErr w:type="gramStart"/>
      <w:r w:rsidRPr="00375456">
        <w:rPr>
          <w:rFonts w:ascii="微软雅黑" w:eastAsia="微软雅黑" w:hAnsi="微软雅黑" w:cs="宋体"/>
          <w:kern w:val="0"/>
          <w:sz w:val="24"/>
          <w:szCs w:val="24"/>
        </w:rPr>
        <w:t>氟维司群单</w:t>
      </w:r>
      <w:proofErr w:type="gramEnd"/>
      <w:r w:rsidRPr="00375456">
        <w:rPr>
          <w:rFonts w:ascii="微软雅黑" w:eastAsia="微软雅黑" w:hAnsi="微软雅黑" w:cs="宋体"/>
          <w:kern w:val="0"/>
          <w:sz w:val="24"/>
          <w:szCs w:val="24"/>
        </w:rPr>
        <w:t>药治疗的肿瘤主要由存活的肿瘤细胞组成。CDK4/6抑制剂联合</w:t>
      </w:r>
      <w:proofErr w:type="gramStart"/>
      <w:r w:rsidRPr="00375456">
        <w:rPr>
          <w:rFonts w:ascii="微软雅黑" w:eastAsia="微软雅黑" w:hAnsi="微软雅黑" w:cs="宋体"/>
          <w:kern w:val="0"/>
          <w:sz w:val="24"/>
          <w:szCs w:val="24"/>
        </w:rPr>
        <w:t>氟维司群治疗</w:t>
      </w:r>
      <w:proofErr w:type="gramEnd"/>
      <w:r w:rsidRPr="00375456">
        <w:rPr>
          <w:rFonts w:ascii="微软雅黑" w:eastAsia="微软雅黑" w:hAnsi="微软雅黑" w:cs="宋体"/>
          <w:kern w:val="0"/>
          <w:sz w:val="24"/>
          <w:szCs w:val="24"/>
        </w:rPr>
        <w:t>的肿瘤体积较小，且含有浸润性脂肪细胞，而三药联合治疗的肿瘤中脂肪细胞浸润更为明显，仅观察到较小的肿瘤岛，其中包含被脂肪组织包绕的中心变性（补充图 </w:t>
      </w:r>
      <w:hyperlink r:id="rId57" w:anchor="MOESM1" w:history="1">
        <w:r w:rsidRPr="00375456">
          <w:rPr>
            <w:rFonts w:ascii="微软雅黑" w:eastAsia="微软雅黑" w:hAnsi="微软雅黑" w:cs="宋体"/>
            <w:kern w:val="0"/>
            <w:sz w:val="24"/>
            <w:szCs w:val="24"/>
            <w:u w:val="single"/>
          </w:rPr>
          <w:t>S4G</w:t>
        </w:r>
      </w:hyperlink>
      <w:r w:rsidRPr="00375456">
        <w:rPr>
          <w:rFonts w:ascii="微软雅黑" w:eastAsia="微软雅黑" w:hAnsi="微软雅黑" w:cs="宋体"/>
          <w:kern w:val="0"/>
          <w:sz w:val="24"/>
          <w:szCs w:val="24"/>
        </w:rPr>
        <w:t>）。</w:t>
      </w:r>
      <w:proofErr w:type="gramStart"/>
      <w:r w:rsidRPr="00375456">
        <w:rPr>
          <w:rFonts w:ascii="微软雅黑" w:eastAsia="微软雅黑" w:hAnsi="微软雅黑" w:cs="宋体"/>
          <w:kern w:val="0"/>
          <w:sz w:val="24"/>
          <w:szCs w:val="24"/>
        </w:rPr>
        <w:t>氟维司群单</w:t>
      </w:r>
      <w:proofErr w:type="gramEnd"/>
      <w:r w:rsidRPr="00375456">
        <w:rPr>
          <w:rFonts w:ascii="微软雅黑" w:eastAsia="微软雅黑" w:hAnsi="微软雅黑" w:cs="宋体"/>
          <w:kern w:val="0"/>
          <w:sz w:val="24"/>
          <w:szCs w:val="24"/>
        </w:rPr>
        <w:t>药治疗、</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单药治疗或</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治疗均未显著抑制肿瘤生长（补充图 </w:t>
      </w:r>
      <w:hyperlink r:id="rId58" w:anchor="MOESM1" w:history="1">
        <w:r w:rsidRPr="00375456">
          <w:rPr>
            <w:rFonts w:ascii="微软雅黑" w:eastAsia="微软雅黑" w:hAnsi="微软雅黑" w:cs="宋体"/>
            <w:kern w:val="0"/>
            <w:sz w:val="24"/>
            <w:szCs w:val="24"/>
            <w:u w:val="single"/>
          </w:rPr>
          <w:t>S4E</w:t>
        </w:r>
      </w:hyperlink>
      <w:r w:rsidRPr="00375456">
        <w:rPr>
          <w:rFonts w:ascii="微软雅黑" w:eastAsia="微软雅黑" w:hAnsi="微软雅黑" w:cs="宋体"/>
          <w:kern w:val="0"/>
          <w:sz w:val="24"/>
          <w:szCs w:val="24"/>
        </w:rPr>
        <w:t>和</w:t>
      </w:r>
      <w:r w:rsidRPr="00375456">
        <w:rPr>
          <w:rFonts w:ascii="微软雅黑" w:eastAsia="微软雅黑" w:hAnsi="微软雅黑" w:cs="宋体"/>
          <w:kern w:val="0"/>
          <w:sz w:val="24"/>
          <w:szCs w:val="24"/>
        </w:rPr>
        <w:fldChar w:fldCharType="begin"/>
      </w:r>
      <w:r w:rsidRPr="00375456">
        <w:rPr>
          <w:rFonts w:ascii="微软雅黑" w:eastAsia="微软雅黑" w:hAnsi="微软雅黑" w:cs="宋体"/>
          <w:kern w:val="0"/>
          <w:sz w:val="24"/>
          <w:szCs w:val="24"/>
        </w:rPr>
        <w:instrText xml:space="preserve"> HYPERLINK "https://pmc.ncbi.nlm.nih.gov/articles/PMC8387387/" \l "MOESM1" </w:instrText>
      </w:r>
      <w:r w:rsidRPr="00375456">
        <w:rPr>
          <w:rFonts w:ascii="微软雅黑" w:eastAsia="微软雅黑" w:hAnsi="微软雅黑" w:cs="宋体"/>
          <w:kern w:val="0"/>
          <w:sz w:val="24"/>
          <w:szCs w:val="24"/>
        </w:rPr>
        <w:fldChar w:fldCharType="separate"/>
      </w:r>
      <w:r w:rsidRPr="00375456">
        <w:rPr>
          <w:rFonts w:ascii="微软雅黑" w:eastAsia="微软雅黑" w:hAnsi="微软雅黑" w:cs="宋体"/>
          <w:kern w:val="0"/>
          <w:sz w:val="24"/>
          <w:szCs w:val="24"/>
          <w:u w:val="single"/>
        </w:rPr>
        <w:t>S4F</w:t>
      </w:r>
      <w:r w:rsidRPr="00375456">
        <w:rPr>
          <w:rFonts w:ascii="微软雅黑" w:eastAsia="微软雅黑" w:hAnsi="微软雅黑" w:cs="宋体"/>
          <w:kern w:val="0"/>
          <w:sz w:val="24"/>
          <w:szCs w:val="24"/>
        </w:rPr>
        <w:fldChar w:fldCharType="end"/>
      </w:r>
      <w:r w:rsidRPr="00375456">
        <w:rPr>
          <w:rFonts w:ascii="微软雅黑" w:eastAsia="微软雅黑" w:hAnsi="微软雅黑" w:cs="宋体"/>
          <w:kern w:val="0"/>
          <w:sz w:val="24"/>
          <w:szCs w:val="24"/>
        </w:rPr>
        <w:t>）。尽管</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联合CDK4/6抑制剂的标准方案与三</w:t>
      </w:r>
      <w:proofErr w:type="gramStart"/>
      <w:r w:rsidRPr="00375456">
        <w:rPr>
          <w:rFonts w:ascii="微软雅黑" w:eastAsia="微软雅黑" w:hAnsi="微软雅黑" w:cs="宋体"/>
          <w:kern w:val="0"/>
          <w:sz w:val="24"/>
          <w:szCs w:val="24"/>
        </w:rPr>
        <w:t>联方案</w:t>
      </w:r>
      <w:proofErr w:type="gramEnd"/>
      <w:r w:rsidRPr="00375456">
        <w:rPr>
          <w:rFonts w:ascii="微软雅黑" w:eastAsia="微软雅黑" w:hAnsi="微软雅黑" w:cs="宋体"/>
          <w:kern w:val="0"/>
          <w:sz w:val="24"/>
          <w:szCs w:val="24"/>
        </w:rPr>
        <w:t>之间的差异不显著，但三</w:t>
      </w:r>
      <w:proofErr w:type="gramStart"/>
      <w:r w:rsidRPr="00375456">
        <w:rPr>
          <w:rFonts w:ascii="微软雅黑" w:eastAsia="微软雅黑" w:hAnsi="微软雅黑" w:cs="宋体"/>
          <w:kern w:val="0"/>
          <w:sz w:val="24"/>
          <w:szCs w:val="24"/>
        </w:rPr>
        <w:t>联方案组</w:t>
      </w:r>
      <w:proofErr w:type="gramEnd"/>
      <w:r w:rsidRPr="00375456">
        <w:rPr>
          <w:rFonts w:ascii="微软雅黑" w:eastAsia="微软雅黑" w:hAnsi="微软雅黑" w:cs="宋体"/>
          <w:kern w:val="0"/>
          <w:sz w:val="24"/>
          <w:szCs w:val="24"/>
        </w:rPr>
        <w:t>的肿瘤体积和重量均值较小（图 </w:t>
      </w:r>
      <w:hyperlink r:id="rId59" w:anchor="Fig3" w:history="1">
        <w:r w:rsidRPr="00375456">
          <w:rPr>
            <w:rFonts w:ascii="微软雅黑" w:eastAsia="微软雅黑" w:hAnsi="微软雅黑" w:cs="宋体"/>
            <w:kern w:val="0"/>
            <w:sz w:val="24"/>
            <w:szCs w:val="24"/>
            <w:u w:val="single"/>
          </w:rPr>
          <w:t>3D</w:t>
        </w:r>
      </w:hyperlink>
      <w:r w:rsidRPr="00375456">
        <w:rPr>
          <w:rFonts w:ascii="微软雅黑" w:eastAsia="微软雅黑" w:hAnsi="微软雅黑" w:cs="宋体"/>
          <w:kern w:val="0"/>
          <w:sz w:val="24"/>
          <w:szCs w:val="24"/>
        </w:rPr>
        <w:t>和补充图 </w:t>
      </w:r>
      <w:hyperlink r:id="rId60" w:anchor="MOESM1" w:history="1">
        <w:r w:rsidRPr="00375456">
          <w:rPr>
            <w:rFonts w:ascii="微软雅黑" w:eastAsia="微软雅黑" w:hAnsi="微软雅黑" w:cs="宋体"/>
            <w:kern w:val="0"/>
            <w:sz w:val="24"/>
            <w:szCs w:val="24"/>
            <w:u w:val="single"/>
          </w:rPr>
          <w:t>S4C</w:t>
        </w:r>
      </w:hyperlink>
      <w:r w:rsidRPr="00375456">
        <w:rPr>
          <w:rFonts w:ascii="微软雅黑" w:eastAsia="微软雅黑" w:hAnsi="微软雅黑" w:cs="宋体"/>
          <w:kern w:val="0"/>
          <w:sz w:val="24"/>
          <w:szCs w:val="24"/>
        </w:rPr>
        <w:t>）。由于治疗开始时肿瘤相对较小（50 mm³ </w:t>
      </w:r>
      <w:r w:rsidRPr="00375456">
        <w:rPr>
          <w:rFonts w:ascii="微软雅黑" w:eastAsia="微软雅黑" w:hAnsi="微软雅黑" w:cs="宋体"/>
          <w:kern w:val="0"/>
          <w:sz w:val="24"/>
          <w:szCs w:val="24"/>
          <w:vertAlign w:val="superscript"/>
        </w:rPr>
        <w:t>）</w:t>
      </w:r>
      <w:r w:rsidRPr="00375456">
        <w:rPr>
          <w:rFonts w:ascii="微软雅黑" w:eastAsia="微软雅黑" w:hAnsi="微软雅黑" w:cs="宋体"/>
          <w:kern w:val="0"/>
          <w:sz w:val="24"/>
          <w:szCs w:val="24"/>
        </w:rPr>
        <w:t xml:space="preserve"> ，我们接下来研究了在开始治疗前，当肿瘤体积增大</w:t>
      </w:r>
      <w:proofErr w:type="gramStart"/>
      <w:r w:rsidRPr="00375456">
        <w:rPr>
          <w:rFonts w:ascii="微软雅黑" w:eastAsia="微软雅黑" w:hAnsi="微软雅黑" w:cs="宋体"/>
          <w:kern w:val="0"/>
          <w:sz w:val="24"/>
          <w:szCs w:val="24"/>
        </w:rPr>
        <w:t>至较大</w:t>
      </w:r>
      <w:proofErr w:type="gramEnd"/>
      <w:r w:rsidRPr="00375456">
        <w:rPr>
          <w:rFonts w:ascii="微软雅黑" w:eastAsia="微软雅黑" w:hAnsi="微软雅黑" w:cs="宋体"/>
          <w:kern w:val="0"/>
          <w:sz w:val="24"/>
          <w:szCs w:val="24"/>
        </w:rPr>
        <w:t>尺寸（250 mm³ ）时，三</w:t>
      </w:r>
      <w:proofErr w:type="gramStart"/>
      <w:r w:rsidRPr="00375456">
        <w:rPr>
          <w:rFonts w:ascii="微软雅黑" w:eastAsia="微软雅黑" w:hAnsi="微软雅黑" w:cs="宋体"/>
          <w:kern w:val="0"/>
          <w:sz w:val="24"/>
          <w:szCs w:val="24"/>
        </w:rPr>
        <w:t>联方案</w:t>
      </w:r>
      <w:proofErr w:type="gramEnd"/>
      <w:r w:rsidRPr="00375456">
        <w:rPr>
          <w:rFonts w:ascii="微软雅黑" w:eastAsia="微软雅黑" w:hAnsi="微软雅黑" w:cs="宋体"/>
          <w:kern w:val="0"/>
          <w:sz w:val="24"/>
          <w:szCs w:val="24"/>
        </w:rPr>
        <w:t>是否比标准双联方案更能有效地减少肿瘤体积。有趣的是，在终点时，与</w:t>
      </w:r>
      <w:proofErr w:type="gramStart"/>
      <w:r w:rsidRPr="00375456">
        <w:rPr>
          <w:rFonts w:ascii="微软雅黑" w:eastAsia="微软雅黑" w:hAnsi="微软雅黑" w:cs="宋体"/>
          <w:kern w:val="0"/>
          <w:sz w:val="24"/>
          <w:szCs w:val="24"/>
        </w:rPr>
        <w:t>标准双</w:t>
      </w:r>
      <w:proofErr w:type="gramEnd"/>
      <w:r w:rsidRPr="00375456">
        <w:rPr>
          <w:rFonts w:ascii="微软雅黑" w:eastAsia="微软雅黑" w:hAnsi="微软雅黑" w:cs="宋体"/>
          <w:kern w:val="0"/>
          <w:sz w:val="24"/>
          <w:szCs w:val="24"/>
        </w:rPr>
        <w:t>药疗法相比，三药联合疗法在这些较大的肿瘤中诱导了更显著的肿瘤消退，这通过参数</w:t>
      </w:r>
      <w:r w:rsidRPr="00375456">
        <w:rPr>
          <w:rFonts w:ascii="微软雅黑" w:eastAsia="微软雅黑" w:hAnsi="微软雅黑" w:cs="宋体"/>
          <w:i/>
          <w:iCs/>
          <w:kern w:val="0"/>
          <w:sz w:val="24"/>
          <w:szCs w:val="24"/>
        </w:rPr>
        <w:t>t</w:t>
      </w:r>
      <w:r w:rsidRPr="00375456">
        <w:rPr>
          <w:rFonts w:ascii="微软雅黑" w:eastAsia="微软雅黑" w:hAnsi="微软雅黑" w:cs="宋体"/>
          <w:kern w:val="0"/>
          <w:sz w:val="24"/>
          <w:szCs w:val="24"/>
        </w:rPr>
        <w:t>检验（</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0.01）和非参数 Wilcoxon 检验（</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0.009，图 </w:t>
      </w:r>
      <w:hyperlink r:id="rId61" w:anchor="Fig3" w:history="1">
        <w:r w:rsidRPr="00375456">
          <w:rPr>
            <w:rFonts w:ascii="微软雅黑" w:eastAsia="微软雅黑" w:hAnsi="微软雅黑" w:cs="宋体"/>
            <w:kern w:val="0"/>
            <w:sz w:val="24"/>
            <w:szCs w:val="24"/>
            <w:u w:val="single"/>
          </w:rPr>
          <w:t>3E</w:t>
        </w:r>
      </w:hyperlink>
      <w:r w:rsidRPr="00375456">
        <w:rPr>
          <w:rFonts w:ascii="微软雅黑" w:eastAsia="微软雅黑" w:hAnsi="微软雅黑" w:cs="宋体"/>
          <w:kern w:val="0"/>
          <w:sz w:val="24"/>
          <w:szCs w:val="24"/>
        </w:rPr>
        <w:t>和补充图 </w:t>
      </w:r>
      <w:hyperlink r:id="rId62" w:anchor="MOESM1" w:history="1">
        <w:r w:rsidRPr="00375456">
          <w:rPr>
            <w:rFonts w:ascii="微软雅黑" w:eastAsia="微软雅黑" w:hAnsi="微软雅黑" w:cs="宋体"/>
            <w:kern w:val="0"/>
            <w:sz w:val="24"/>
            <w:szCs w:val="24"/>
            <w:u w:val="single"/>
          </w:rPr>
          <w:t>S4D）进行了评估。</w:t>
        </w:r>
      </w:hyperlink>
      <w:r w:rsidRPr="00375456">
        <w:rPr>
          <w:rFonts w:ascii="微软雅黑" w:eastAsia="微软雅黑" w:hAnsi="微软雅黑" w:cs="宋体"/>
          <w:kern w:val="0"/>
          <w:sz w:val="24"/>
          <w:szCs w:val="24"/>
        </w:rPr>
        <w:t>值得</w:t>
      </w:r>
      <w:r w:rsidRPr="00375456">
        <w:rPr>
          <w:rFonts w:ascii="微软雅黑" w:eastAsia="微软雅黑" w:hAnsi="微软雅黑" w:cs="宋体"/>
          <w:kern w:val="0"/>
          <w:sz w:val="24"/>
          <w:szCs w:val="24"/>
        </w:rPr>
        <w:lastRenderedPageBreak/>
        <w:t>注意的是，肿瘤消退在治疗的前3周最为显著，随后在三联疗法组和双联疗法组中均趋于稳定（图 </w:t>
      </w:r>
      <w:hyperlink r:id="rId63" w:anchor="Fig3" w:history="1">
        <w:r w:rsidRPr="00375456">
          <w:rPr>
            <w:rFonts w:ascii="微软雅黑" w:eastAsia="微软雅黑" w:hAnsi="微软雅黑" w:cs="宋体"/>
            <w:kern w:val="0"/>
            <w:sz w:val="24"/>
            <w:szCs w:val="24"/>
            <w:u w:val="single"/>
          </w:rPr>
          <w:t>3E</w:t>
        </w:r>
      </w:hyperlink>
      <w:r w:rsidRPr="00375456">
        <w:rPr>
          <w:rFonts w:ascii="微软雅黑" w:eastAsia="微软雅黑" w:hAnsi="微软雅黑" w:cs="宋体"/>
          <w:kern w:val="0"/>
          <w:sz w:val="24"/>
          <w:szCs w:val="24"/>
        </w:rPr>
        <w:t>）。重要的是，三联疗法在8周的治疗期间完全抑制了肿瘤的复发，而接受</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和CDK4/6抑制剂标准双联疗法治疗的肿瘤在治疗6周后开始增大，提示耐药克隆的增殖（图 </w:t>
      </w:r>
      <w:hyperlink r:id="rId64" w:anchor="Fig3" w:history="1">
        <w:r w:rsidRPr="00375456">
          <w:rPr>
            <w:rFonts w:ascii="微软雅黑" w:eastAsia="微软雅黑" w:hAnsi="微软雅黑" w:cs="宋体"/>
            <w:kern w:val="0"/>
            <w:sz w:val="24"/>
            <w:szCs w:val="24"/>
            <w:u w:val="single"/>
          </w:rPr>
          <w:t>3E</w:t>
        </w:r>
      </w:hyperlink>
      <w:r w:rsidRPr="00375456">
        <w:rPr>
          <w:rFonts w:ascii="微软雅黑" w:eastAsia="微软雅黑" w:hAnsi="微软雅黑" w:cs="宋体"/>
          <w:kern w:val="0"/>
          <w:sz w:val="24"/>
          <w:szCs w:val="24"/>
        </w:rPr>
        <w:t>）。我们使用线性混合效应模型发现，双联疗法和三联疗法之间的肿瘤生长速率存在统计学上的显著差异（GR 7.47，</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0.009，CI 1.88–13.07）。尽管未观察到裂解型 caspase-3 的显著差异，但与双药联合治疗相比，我们观察到所有接受三药联合治疗的</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耐药肿瘤中增殖标志物 Ki67 的表达均降低（补充图 </w:t>
      </w:r>
      <w:hyperlink r:id="rId65" w:anchor="MOESM1" w:history="1">
        <w:r w:rsidRPr="00375456">
          <w:rPr>
            <w:rFonts w:ascii="微软雅黑" w:eastAsia="微软雅黑" w:hAnsi="微软雅黑" w:cs="宋体"/>
            <w:kern w:val="0"/>
            <w:sz w:val="24"/>
            <w:szCs w:val="24"/>
            <w:u w:val="single"/>
          </w:rPr>
          <w:t>S4H</w:t>
        </w:r>
      </w:hyperlink>
      <w:r w:rsidRPr="00375456">
        <w:rPr>
          <w:rFonts w:ascii="微软雅黑" w:eastAsia="微软雅黑" w:hAnsi="微软雅黑" w:cs="宋体"/>
          <w:kern w:val="0"/>
          <w:sz w:val="24"/>
          <w:szCs w:val="24"/>
        </w:rPr>
        <w:t>），这与我们的体外实验结果一致（图 </w:t>
      </w:r>
      <w:hyperlink r:id="rId66" w:anchor="Fig1" w:history="1">
        <w:r w:rsidRPr="00375456">
          <w:rPr>
            <w:rFonts w:ascii="微软雅黑" w:eastAsia="微软雅黑" w:hAnsi="微软雅黑" w:cs="宋体"/>
            <w:kern w:val="0"/>
            <w:sz w:val="24"/>
            <w:szCs w:val="24"/>
            <w:u w:val="single"/>
          </w:rPr>
          <w:t>1A-D</w:t>
        </w:r>
      </w:hyperlink>
      <w:r w:rsidRPr="00375456">
        <w:rPr>
          <w:rFonts w:ascii="微软雅黑" w:eastAsia="微软雅黑" w:hAnsi="微软雅黑" w:cs="宋体"/>
          <w:kern w:val="0"/>
          <w:sz w:val="24"/>
          <w:szCs w:val="24"/>
        </w:rPr>
        <w:t>）。此外，HE 染色显示，接受三药联合治疗的肿瘤中存在大片退行性变和反应性纤维化区域（图中圆圈所示），周围环绕着健康的肿瘤组织；而接受 CDK4/6 抑制剂和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联合治疗的肿瘤中仅观察到小片退行性变和反应性纤维化区域，且这些肿瘤中健康的肿瘤组织面积更大（补充图 </w:t>
      </w:r>
      <w:hyperlink r:id="rId67" w:anchor="MOESM1" w:history="1">
        <w:r w:rsidRPr="00375456">
          <w:rPr>
            <w:rFonts w:ascii="微软雅黑" w:eastAsia="微软雅黑" w:hAnsi="微软雅黑" w:cs="宋体"/>
            <w:kern w:val="0"/>
            <w:sz w:val="24"/>
            <w:szCs w:val="24"/>
            <w:u w:val="single"/>
          </w:rPr>
          <w:t>S4H</w:t>
        </w:r>
      </w:hyperlink>
      <w:r w:rsidRPr="00375456">
        <w:rPr>
          <w:rFonts w:ascii="微软雅黑" w:eastAsia="微软雅黑" w:hAnsi="微软雅黑" w:cs="宋体"/>
          <w:kern w:val="0"/>
          <w:sz w:val="24"/>
          <w:szCs w:val="24"/>
        </w:rPr>
        <w:t>）。综上所述，这些结果支持在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和 CDK4/6 抑制剂的标准联合治疗中加入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，以维持对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耐药肿瘤生长的抑制作用。</w:t>
      </w:r>
    </w:p>
    <w:p w14:paraId="2654F7F7" w14:textId="77777777" w:rsidR="00375456" w:rsidRPr="00375456" w:rsidRDefault="00375456" w:rsidP="00375456">
      <w:pPr>
        <w:widowControl/>
        <w:spacing w:line="450" w:lineRule="atLeast"/>
        <w:outlineLvl w:val="3"/>
        <w:rPr>
          <w:rFonts w:ascii="微软雅黑" w:eastAsia="微软雅黑" w:hAnsi="微软雅黑" w:cs="宋体"/>
          <w:kern w:val="0"/>
          <w:sz w:val="30"/>
          <w:szCs w:val="30"/>
        </w:rPr>
      </w:pPr>
      <w:r w:rsidRPr="00375456">
        <w:rPr>
          <w:rFonts w:ascii="微软雅黑" w:eastAsia="微软雅黑" w:hAnsi="微软雅黑" w:cs="宋体"/>
          <w:kern w:val="0"/>
          <w:sz w:val="30"/>
          <w:szCs w:val="30"/>
        </w:rPr>
        <w:t>图 3. CDK4/6 和 AKT 的联合抑制可阻止对</w:t>
      </w:r>
      <w:proofErr w:type="gramStart"/>
      <w:r w:rsidRPr="00375456">
        <w:rPr>
          <w:rFonts w:ascii="微软雅黑" w:eastAsia="微软雅黑" w:hAnsi="微软雅黑" w:cs="宋体"/>
          <w:kern w:val="0"/>
          <w:sz w:val="30"/>
          <w:szCs w:val="30"/>
        </w:rPr>
        <w:t>氟维司群</w:t>
      </w:r>
      <w:proofErr w:type="gramEnd"/>
      <w:r w:rsidRPr="00375456">
        <w:rPr>
          <w:rFonts w:ascii="微软雅黑" w:eastAsia="微软雅黑" w:hAnsi="微软雅黑" w:cs="宋体"/>
          <w:kern w:val="0"/>
          <w:sz w:val="30"/>
          <w:szCs w:val="30"/>
        </w:rPr>
        <w:t>耐药的肿瘤异种移植的进展。</w:t>
      </w:r>
    </w:p>
    <w:p w14:paraId="24B98C95" w14:textId="1C1C1EF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noProof/>
          <w:kern w:val="0"/>
          <w:sz w:val="24"/>
          <w:szCs w:val="24"/>
        </w:rPr>
        <w:lastRenderedPageBreak/>
        <w:drawing>
          <wp:inline distT="0" distB="0" distL="0" distR="0" wp14:anchorId="7DE86807" wp14:editId="6FB55F76">
            <wp:extent cx="5274310" cy="3589020"/>
            <wp:effectExtent l="0" t="0" r="2540" b="0"/>
            <wp:docPr id="5" name="图片 5" descr="图 3">
              <a:hlinkClick xmlns:a="http://schemas.openxmlformats.org/drawingml/2006/main" r:id="rId6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949" descr="图 3">
                      <a:hlinkClick r:id="rId68" tgtFrame="&quot;_blank&quot;"/>
                    </pic:cNvPr>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274310" cy="3589020"/>
                    </a:xfrm>
                    <a:prstGeom prst="rect">
                      <a:avLst/>
                    </a:prstGeom>
                    <a:noFill/>
                    <a:ln>
                      <a:noFill/>
                    </a:ln>
                  </pic:spPr>
                </pic:pic>
              </a:graphicData>
            </a:graphic>
          </wp:inline>
        </w:drawing>
      </w:r>
    </w:p>
    <w:p w14:paraId="741CF2FF"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b/>
          <w:bCs/>
          <w:kern w:val="0"/>
          <w:sz w:val="24"/>
          <w:szCs w:val="24"/>
        </w:rPr>
        <w:t>图A和图B</w:t>
      </w:r>
      <w:r w:rsidRPr="00375456">
        <w:rPr>
          <w:rFonts w:ascii="微软雅黑" w:eastAsia="微软雅黑" w:hAnsi="微软雅黑" w:cs="宋体"/>
          <w:kern w:val="0"/>
          <w:sz w:val="24"/>
          <w:szCs w:val="24"/>
        </w:rPr>
        <w:t>分别显示了MCF-7和182R-1肿瘤在接受</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w:t>
      </w:r>
      <w:proofErr w:type="spellStart"/>
      <w:r w:rsidRPr="00375456">
        <w:rPr>
          <w:rFonts w:ascii="微软雅黑" w:eastAsia="微软雅黑" w:hAnsi="微软雅黑" w:cs="宋体"/>
          <w:kern w:val="0"/>
          <w:sz w:val="24"/>
          <w:szCs w:val="24"/>
        </w:rPr>
        <w:t>Fulv</w:t>
      </w:r>
      <w:proofErr w:type="spellEnd"/>
      <w:r w:rsidRPr="00375456">
        <w:rPr>
          <w:rFonts w:ascii="微软雅黑" w:eastAsia="微软雅黑" w:hAnsi="微软雅黑" w:cs="宋体"/>
          <w:kern w:val="0"/>
          <w:sz w:val="24"/>
          <w:szCs w:val="24"/>
        </w:rPr>
        <w:t>，100 mg/kg体重；</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7）或赋形剂（蓖麻油，</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8）皮下注射治疗后的肿瘤生长曲线。每周一次给药。当肿瘤体积达到50 mm³时开始治疗</w:t>
      </w:r>
      <w:r w:rsidRPr="00375456">
        <w:rPr>
          <w:rFonts w:ascii="微软雅黑" w:eastAsia="微软雅黑" w:hAnsi="微软雅黑" w:cs="宋体"/>
          <w:kern w:val="0"/>
          <w:sz w:val="24"/>
          <w:szCs w:val="24"/>
          <w:vertAlign w:val="superscript"/>
        </w:rPr>
        <w:t>，</w:t>
      </w:r>
      <w:r w:rsidRPr="00375456">
        <w:rPr>
          <w:rFonts w:ascii="微软雅黑" w:eastAsia="微软雅黑" w:hAnsi="微软雅黑" w:cs="宋体"/>
          <w:kern w:val="0"/>
          <w:sz w:val="24"/>
          <w:szCs w:val="24"/>
        </w:rPr>
        <w:t>持续5周。图</w:t>
      </w:r>
      <w:r w:rsidRPr="00375456">
        <w:rPr>
          <w:rFonts w:ascii="微软雅黑" w:eastAsia="微软雅黑" w:hAnsi="微软雅黑" w:cs="宋体"/>
          <w:b/>
          <w:bCs/>
          <w:kern w:val="0"/>
          <w:sz w:val="24"/>
          <w:szCs w:val="24"/>
        </w:rPr>
        <w:t>C</w:t>
      </w:r>
      <w:r w:rsidRPr="00375456">
        <w:rPr>
          <w:rFonts w:ascii="微软雅黑" w:eastAsia="微软雅黑" w:hAnsi="微软雅黑" w:cs="宋体"/>
          <w:kern w:val="0"/>
          <w:sz w:val="24"/>
          <w:szCs w:val="24"/>
        </w:rPr>
        <w:t>显示了小鼠在第5周处死后切除MCF-7和182R-1肿瘤的情况。用 CDK4/6 抑制剂（CDK4/6i，帕博西尼，50 mg/Kg 体重；</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8）单独治疗（</w:t>
      </w:r>
      <w:r w:rsidRPr="00375456">
        <w:rPr>
          <w:rFonts w:ascii="微软雅黑" w:eastAsia="微软雅黑" w:hAnsi="微软雅黑" w:cs="宋体"/>
          <w:b/>
          <w:bCs/>
          <w:kern w:val="0"/>
          <w:sz w:val="24"/>
          <w:szCs w:val="24"/>
        </w:rPr>
        <w:t>D</w:t>
      </w:r>
      <w:r w:rsidRPr="00375456">
        <w:rPr>
          <w:rFonts w:ascii="微软雅黑" w:eastAsia="微软雅黑" w:hAnsi="微软雅黑" w:cs="宋体"/>
          <w:kern w:val="0"/>
          <w:sz w:val="24"/>
          <w:szCs w:val="24"/>
        </w:rPr>
        <w:t>），与</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（100 mg/Kg 体重；</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7 和</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10）联合治疗（</w:t>
      </w:r>
      <w:r w:rsidRPr="00375456">
        <w:rPr>
          <w:rFonts w:ascii="微软雅黑" w:eastAsia="微软雅黑" w:hAnsi="微软雅黑" w:cs="宋体"/>
          <w:b/>
          <w:bCs/>
          <w:kern w:val="0"/>
          <w:sz w:val="24"/>
          <w:szCs w:val="24"/>
        </w:rPr>
        <w:t>D</w:t>
      </w:r>
      <w:r w:rsidRPr="00375456">
        <w:rPr>
          <w:rFonts w:ascii="微软雅黑" w:eastAsia="微软雅黑" w:hAnsi="微软雅黑" w:cs="宋体"/>
          <w:kern w:val="0"/>
          <w:sz w:val="24"/>
          <w:szCs w:val="24"/>
        </w:rPr>
        <w:t>和</w:t>
      </w:r>
      <w:r w:rsidRPr="00375456">
        <w:rPr>
          <w:rFonts w:ascii="微软雅黑" w:eastAsia="微软雅黑" w:hAnsi="微软雅黑" w:cs="宋体"/>
          <w:b/>
          <w:bCs/>
          <w:kern w:val="0"/>
          <w:sz w:val="24"/>
          <w:szCs w:val="24"/>
        </w:rPr>
        <w:t>E ），或与 AKT 抑制剂（</w:t>
      </w:r>
      <w:proofErr w:type="spellStart"/>
      <w:r w:rsidRPr="00375456">
        <w:rPr>
          <w:rFonts w:ascii="微软雅黑" w:eastAsia="微软雅黑" w:hAnsi="微软雅黑" w:cs="宋体"/>
          <w:b/>
          <w:bCs/>
          <w:kern w:val="0"/>
          <w:sz w:val="24"/>
          <w:szCs w:val="24"/>
        </w:rPr>
        <w:t>AKTi</w:t>
      </w:r>
      <w:proofErr w:type="spellEnd"/>
      <w:r w:rsidRPr="00375456">
        <w:rPr>
          <w:rFonts w:ascii="微软雅黑" w:eastAsia="微软雅黑" w:hAnsi="微软雅黑" w:cs="宋体"/>
          <w:b/>
          <w:bCs/>
          <w:kern w:val="0"/>
          <w:sz w:val="24"/>
          <w:szCs w:val="24"/>
        </w:rPr>
        <w:t>，卡</w:t>
      </w:r>
      <w:proofErr w:type="gramStart"/>
      <w:r w:rsidRPr="00375456">
        <w:rPr>
          <w:rFonts w:ascii="微软雅黑" w:eastAsia="微软雅黑" w:hAnsi="微软雅黑" w:cs="宋体"/>
          <w:b/>
          <w:bCs/>
          <w:kern w:val="0"/>
          <w:sz w:val="24"/>
          <w:szCs w:val="24"/>
        </w:rPr>
        <w:t>帕替尼</w:t>
      </w:r>
      <w:proofErr w:type="gramEnd"/>
      <w:r w:rsidRPr="00375456">
        <w:rPr>
          <w:rFonts w:ascii="微软雅黑" w:eastAsia="微软雅黑" w:hAnsi="微软雅黑" w:cs="宋体"/>
          <w:b/>
          <w:bCs/>
          <w:kern w:val="0"/>
          <w:sz w:val="24"/>
          <w:szCs w:val="24"/>
        </w:rPr>
        <w:t xml:space="preserve"> 100 mg/Kg 体重）和</w:t>
      </w:r>
      <w:proofErr w:type="gramStart"/>
      <w:r w:rsidRPr="00375456">
        <w:rPr>
          <w:rFonts w:ascii="微软雅黑" w:eastAsia="微软雅黑" w:hAnsi="微软雅黑" w:cs="宋体"/>
          <w:b/>
          <w:bCs/>
          <w:kern w:val="0"/>
          <w:sz w:val="24"/>
          <w:szCs w:val="24"/>
        </w:rPr>
        <w:t>氟维</w:t>
      </w:r>
      <w:proofErr w:type="gramEnd"/>
      <w:r w:rsidRPr="00375456">
        <w:rPr>
          <w:rFonts w:ascii="微软雅黑" w:eastAsia="微软雅黑" w:hAnsi="微软雅黑" w:cs="宋体"/>
          <w:b/>
          <w:bCs/>
          <w:kern w:val="0"/>
          <w:sz w:val="24"/>
          <w:szCs w:val="24"/>
        </w:rPr>
        <w:t>司群（100 mg/Kg 体重； </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6和</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10）联合治疗（ </w:t>
      </w:r>
      <w:r w:rsidRPr="00375456">
        <w:rPr>
          <w:rFonts w:ascii="微软雅黑" w:eastAsia="微软雅黑" w:hAnsi="微软雅黑" w:cs="宋体"/>
          <w:b/>
          <w:bCs/>
          <w:kern w:val="0"/>
          <w:sz w:val="24"/>
          <w:szCs w:val="24"/>
        </w:rPr>
        <w:t>D</w:t>
      </w:r>
      <w:r w:rsidRPr="00375456">
        <w:rPr>
          <w:rFonts w:ascii="微软雅黑" w:eastAsia="微软雅黑" w:hAnsi="微软雅黑" w:cs="宋体"/>
          <w:kern w:val="0"/>
          <w:sz w:val="24"/>
          <w:szCs w:val="24"/>
        </w:rPr>
        <w:t>和</w:t>
      </w:r>
      <w:r w:rsidRPr="00375456">
        <w:rPr>
          <w:rFonts w:ascii="微软雅黑" w:eastAsia="微软雅黑" w:hAnsi="微软雅黑" w:cs="宋体"/>
          <w:b/>
          <w:bCs/>
          <w:kern w:val="0"/>
          <w:sz w:val="24"/>
          <w:szCs w:val="24"/>
        </w:rPr>
        <w:t>E</w:t>
      </w:r>
      <w:r w:rsidRPr="00375456">
        <w:rPr>
          <w:rFonts w:ascii="微软雅黑" w:eastAsia="微软雅黑" w:hAnsi="微软雅黑" w:cs="宋体"/>
          <w:kern w:val="0"/>
          <w:sz w:val="24"/>
          <w:szCs w:val="24"/>
        </w:rPr>
        <w:t>），或使用赋形剂（蓖麻油和 25% w/v HPB 环糊精；</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8）（</w:t>
      </w:r>
      <w:r w:rsidRPr="00375456">
        <w:rPr>
          <w:rFonts w:ascii="微软雅黑" w:eastAsia="微软雅黑" w:hAnsi="微软雅黑" w:cs="宋体"/>
          <w:b/>
          <w:bCs/>
          <w:kern w:val="0"/>
          <w:sz w:val="24"/>
          <w:szCs w:val="24"/>
        </w:rPr>
        <w:t>D</w:t>
      </w:r>
      <w:r w:rsidRPr="00375456">
        <w:rPr>
          <w:rFonts w:ascii="微软雅黑" w:eastAsia="微软雅黑" w:hAnsi="微软雅黑" w:cs="宋体"/>
          <w:kern w:val="0"/>
          <w:sz w:val="24"/>
          <w:szCs w:val="24"/>
        </w:rPr>
        <w:t>）治疗 182R-1 肿瘤，绘制肿瘤生长曲线。当肿瘤体积达到 50 </w:t>
      </w:r>
      <w:r w:rsidRPr="00375456">
        <w:rPr>
          <w:rFonts w:ascii="微软雅黑" w:eastAsia="微软雅黑" w:hAnsi="微软雅黑" w:cs="宋体"/>
          <w:kern w:val="0"/>
          <w:sz w:val="24"/>
          <w:szCs w:val="24"/>
          <w:vertAlign w:val="superscript"/>
        </w:rPr>
        <w:t>mm³</w:t>
      </w:r>
      <w:r w:rsidRPr="00375456">
        <w:rPr>
          <w:rFonts w:ascii="微软雅黑" w:eastAsia="微软雅黑" w:hAnsi="微软雅黑" w:cs="宋体"/>
          <w:kern w:val="0"/>
          <w:sz w:val="24"/>
          <w:szCs w:val="24"/>
        </w:rPr>
        <w:t> ( </w:t>
      </w:r>
      <w:r w:rsidRPr="00375456">
        <w:rPr>
          <w:rFonts w:ascii="微软雅黑" w:eastAsia="微软雅黑" w:hAnsi="微软雅黑" w:cs="宋体"/>
          <w:b/>
          <w:bCs/>
          <w:kern w:val="0"/>
          <w:sz w:val="24"/>
          <w:szCs w:val="24"/>
        </w:rPr>
        <w:t>D</w:t>
      </w:r>
      <w:r w:rsidRPr="00375456">
        <w:rPr>
          <w:rFonts w:ascii="微软雅黑" w:eastAsia="微软雅黑" w:hAnsi="微软雅黑" w:cs="宋体"/>
          <w:kern w:val="0"/>
          <w:sz w:val="24"/>
          <w:szCs w:val="24"/>
        </w:rPr>
        <w:t> ) 或 250 mm³ </w:t>
      </w:r>
      <w:r w:rsidRPr="00375456">
        <w:rPr>
          <w:rFonts w:ascii="微软雅黑" w:eastAsia="微软雅黑" w:hAnsi="微软雅黑" w:cs="宋体"/>
          <w:kern w:val="0"/>
          <w:sz w:val="24"/>
          <w:szCs w:val="24"/>
          <w:vertAlign w:val="superscript"/>
        </w:rPr>
        <w:t>(</w:t>
      </w:r>
      <w:r w:rsidRPr="00375456">
        <w:rPr>
          <w:rFonts w:ascii="微软雅黑" w:eastAsia="微软雅黑" w:hAnsi="微软雅黑" w:cs="宋体"/>
          <w:kern w:val="0"/>
          <w:sz w:val="24"/>
          <w:szCs w:val="24"/>
        </w:rPr>
        <w:t> E </w:t>
      </w:r>
      <w:r w:rsidRPr="00375456">
        <w:rPr>
          <w:rFonts w:ascii="微软雅黑" w:eastAsia="微软雅黑" w:hAnsi="微软雅黑" w:cs="宋体"/>
          <w:b/>
          <w:bCs/>
          <w:kern w:val="0"/>
          <w:sz w:val="24"/>
          <w:szCs w:val="24"/>
        </w:rPr>
        <w:t>)</w:t>
      </w:r>
      <w:r w:rsidRPr="00375456">
        <w:rPr>
          <w:rFonts w:ascii="微软雅黑" w:eastAsia="微软雅黑" w:hAnsi="微软雅黑" w:cs="宋体"/>
          <w:kern w:val="0"/>
          <w:sz w:val="24"/>
          <w:szCs w:val="24"/>
        </w:rPr>
        <w:t xml:space="preserve">时，采用灌胃法每日一次、每周 5 </w:t>
      </w:r>
      <w:proofErr w:type="gramStart"/>
      <w:r w:rsidRPr="00375456">
        <w:rPr>
          <w:rFonts w:ascii="微软雅黑" w:eastAsia="微软雅黑" w:hAnsi="微软雅黑" w:cs="宋体"/>
          <w:kern w:val="0"/>
          <w:sz w:val="24"/>
          <w:szCs w:val="24"/>
        </w:rPr>
        <w:t>天给予</w:t>
      </w:r>
      <w:proofErr w:type="gramEnd"/>
      <w:r w:rsidRPr="00375456">
        <w:rPr>
          <w:rFonts w:ascii="微软雅黑" w:eastAsia="微软雅黑" w:hAnsi="微软雅黑" w:cs="宋体"/>
          <w:kern w:val="0"/>
          <w:sz w:val="24"/>
          <w:szCs w:val="24"/>
        </w:rPr>
        <w:t xml:space="preserve"> CDK4/6i 和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治疗，治疗持续至多 8 周。数据以平均肿瘤体积 ± 标准误 (SEM) 表示。星号表示在终点时，单因素方差分析 ( </w:t>
      </w:r>
      <w:r w:rsidRPr="00375456">
        <w:rPr>
          <w:rFonts w:ascii="微软雅黑" w:eastAsia="微软雅黑" w:hAnsi="微软雅黑" w:cs="宋体"/>
          <w:b/>
          <w:bCs/>
          <w:kern w:val="0"/>
          <w:sz w:val="24"/>
          <w:szCs w:val="24"/>
        </w:rPr>
        <w:t>D</w:t>
      </w:r>
      <w:r w:rsidRPr="00375456">
        <w:rPr>
          <w:rFonts w:ascii="微软雅黑" w:eastAsia="微软雅黑" w:hAnsi="微软雅黑" w:cs="宋体"/>
          <w:kern w:val="0"/>
          <w:sz w:val="24"/>
          <w:szCs w:val="24"/>
        </w:rPr>
        <w:t> ) 或双</w:t>
      </w:r>
      <w:r w:rsidRPr="00375456">
        <w:rPr>
          <w:rFonts w:ascii="微软雅黑" w:eastAsia="微软雅黑" w:hAnsi="微软雅黑" w:cs="宋体"/>
          <w:kern w:val="0"/>
          <w:sz w:val="24"/>
          <w:szCs w:val="24"/>
        </w:rPr>
        <w:lastRenderedPageBreak/>
        <w:t>尾</w:t>
      </w:r>
      <w:r w:rsidRPr="00375456">
        <w:rPr>
          <w:rFonts w:ascii="微软雅黑" w:eastAsia="微软雅黑" w:hAnsi="微软雅黑" w:cs="宋体"/>
          <w:i/>
          <w:iCs/>
          <w:kern w:val="0"/>
          <w:sz w:val="24"/>
          <w:szCs w:val="24"/>
        </w:rPr>
        <w:t>t</w:t>
      </w:r>
      <w:r w:rsidRPr="00375456">
        <w:rPr>
          <w:rFonts w:ascii="微软雅黑" w:eastAsia="微软雅黑" w:hAnsi="微软雅黑" w:cs="宋体"/>
          <w:kern w:val="0"/>
          <w:sz w:val="24"/>
          <w:szCs w:val="24"/>
        </w:rPr>
        <w:t>检验 ( </w:t>
      </w:r>
      <w:r w:rsidRPr="00375456">
        <w:rPr>
          <w:rFonts w:ascii="微软雅黑" w:eastAsia="微软雅黑" w:hAnsi="微软雅黑" w:cs="宋体"/>
          <w:b/>
          <w:bCs/>
          <w:kern w:val="0"/>
          <w:sz w:val="24"/>
          <w:szCs w:val="24"/>
        </w:rPr>
        <w:t>A</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B</w:t>
      </w:r>
      <w:r w:rsidRPr="00375456">
        <w:rPr>
          <w:rFonts w:ascii="微软雅黑" w:eastAsia="微软雅黑" w:hAnsi="微软雅黑" w:cs="宋体"/>
          <w:kern w:val="0"/>
          <w:sz w:val="24"/>
          <w:szCs w:val="24"/>
        </w:rPr>
        <w:t>和</w:t>
      </w:r>
      <w:r w:rsidRPr="00375456">
        <w:rPr>
          <w:rFonts w:ascii="微软雅黑" w:eastAsia="微软雅黑" w:hAnsi="微软雅黑" w:cs="宋体"/>
          <w:b/>
          <w:bCs/>
          <w:kern w:val="0"/>
          <w:sz w:val="24"/>
          <w:szCs w:val="24"/>
        </w:rPr>
        <w:t>E</w:t>
      </w:r>
      <w:r w:rsidRPr="00375456">
        <w:rPr>
          <w:rFonts w:ascii="微软雅黑" w:eastAsia="微软雅黑" w:hAnsi="微软雅黑" w:cs="宋体"/>
          <w:kern w:val="0"/>
          <w:sz w:val="24"/>
          <w:szCs w:val="24"/>
        </w:rPr>
        <w:t> ) 中存在显著差异（*0.01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0.05，**0.001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0.01，***0.0001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0.001，****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0.0001）。</w:t>
      </w:r>
    </w:p>
    <w:p w14:paraId="15A32616"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对于对 CDK4/6 抑制剂和</w:t>
      </w:r>
      <w:proofErr w:type="gramStart"/>
      <w:r w:rsidRPr="00375456">
        <w:rPr>
          <w:rFonts w:ascii="微软雅黑" w:eastAsia="微软雅黑" w:hAnsi="微软雅黑" w:cs="宋体"/>
          <w:kern w:val="0"/>
          <w:sz w:val="32"/>
          <w:szCs w:val="32"/>
        </w:rPr>
        <w:t>氟维司群</w:t>
      </w:r>
      <w:proofErr w:type="gramEnd"/>
      <w:r w:rsidRPr="00375456">
        <w:rPr>
          <w:rFonts w:ascii="微软雅黑" w:eastAsia="微软雅黑" w:hAnsi="微软雅黑" w:cs="宋体"/>
          <w:kern w:val="0"/>
          <w:sz w:val="32"/>
          <w:szCs w:val="32"/>
        </w:rPr>
        <w:t>联合用药耐药的乳腺癌细胞系和肿瘤异种移植模型，需要联合使用</w:t>
      </w:r>
      <w:proofErr w:type="gramStart"/>
      <w:r w:rsidRPr="00375456">
        <w:rPr>
          <w:rFonts w:ascii="微软雅黑" w:eastAsia="微软雅黑" w:hAnsi="微软雅黑" w:cs="宋体"/>
          <w:kern w:val="0"/>
          <w:sz w:val="32"/>
          <w:szCs w:val="32"/>
        </w:rPr>
        <w:t>氟维司群</w:t>
      </w:r>
      <w:proofErr w:type="gramEnd"/>
      <w:r w:rsidRPr="00375456">
        <w:rPr>
          <w:rFonts w:ascii="微软雅黑" w:eastAsia="微软雅黑" w:hAnsi="微软雅黑" w:cs="宋体"/>
          <w:kern w:val="0"/>
          <w:sz w:val="32"/>
          <w:szCs w:val="32"/>
        </w:rPr>
        <w:t xml:space="preserve">、CDK4/6 抑制剂和 </w:t>
      </w:r>
      <w:proofErr w:type="spellStart"/>
      <w:r w:rsidRPr="00375456">
        <w:rPr>
          <w:rFonts w:ascii="微软雅黑" w:eastAsia="微软雅黑" w:hAnsi="微软雅黑" w:cs="宋体"/>
          <w:kern w:val="0"/>
          <w:sz w:val="32"/>
          <w:szCs w:val="32"/>
        </w:rPr>
        <w:t>AKTi</w:t>
      </w:r>
      <w:proofErr w:type="spellEnd"/>
      <w:r w:rsidRPr="00375456">
        <w:rPr>
          <w:rFonts w:ascii="微软雅黑" w:eastAsia="微软雅黑" w:hAnsi="微软雅黑" w:cs="宋体"/>
          <w:kern w:val="0"/>
          <w:sz w:val="32"/>
          <w:szCs w:val="32"/>
        </w:rPr>
        <w:t xml:space="preserve"> 来维持肿瘤生长抑制。</w:t>
      </w:r>
    </w:p>
    <w:p w14:paraId="2EF8E0CD"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既往研究表明，CDK4/6抑制剂联合内分泌治疗、CDK4/6抑制剂和PI3K抑制剂可预防肿瘤对CDK4/6抑制剂的早期耐药</w:t>
      </w:r>
      <w:r w:rsidRPr="00375456">
        <w:rPr>
          <w:rFonts w:ascii="微软雅黑" w:eastAsia="微软雅黑" w:hAnsi="微软雅黑" w:cs="宋体"/>
          <w:kern w:val="0"/>
          <w:sz w:val="24"/>
          <w:szCs w:val="24"/>
          <w:u w:val="single"/>
          <w:vertAlign w:val="superscript"/>
        </w:rPr>
        <w:t>&lt;sup&gt; </w:t>
      </w:r>
      <w:hyperlink r:id="rId70" w:anchor="CR22" w:history="1">
        <w:r w:rsidRPr="00375456">
          <w:rPr>
            <w:rFonts w:ascii="微软雅黑" w:eastAsia="微软雅黑" w:hAnsi="微软雅黑" w:cs="宋体"/>
            <w:kern w:val="0"/>
            <w:sz w:val="24"/>
            <w:szCs w:val="24"/>
            <w:u w:val="single"/>
            <w:vertAlign w:val="superscript"/>
          </w:rPr>
          <w:t>22&lt;/sup&gt;</w:t>
        </w:r>
      </w:hyperlink>
      <w:r w:rsidRPr="00375456">
        <w:rPr>
          <w:rFonts w:ascii="微软雅黑" w:eastAsia="微软雅黑" w:hAnsi="微软雅黑" w:cs="宋体"/>
          <w:kern w:val="0"/>
          <w:sz w:val="24"/>
          <w:szCs w:val="24"/>
        </w:rPr>
        <w:t>。然而，当肿瘤在CDK4/6抑制剂联合内分泌治疗后出现进展时，是否应继续维持CDK4/6抑制剂联合内分泌治疗并加用PI3K/AKT-mTOR通路抑制剂，还是应将CDK4/6抑制剂替换为PI3K/AKT-mTOR抑制剂，仍是一个悬而未决的问题。本研究评估了</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、CDK4/6抑制剂和AKT抑制剂作为单药以及不同联合用药方案在对CDK4/6抑制剂联合</w:t>
      </w:r>
      <w:proofErr w:type="gramStart"/>
      <w:r w:rsidRPr="00375456">
        <w:rPr>
          <w:rFonts w:ascii="微软雅黑" w:eastAsia="微软雅黑" w:hAnsi="微软雅黑" w:cs="宋体"/>
          <w:kern w:val="0"/>
          <w:sz w:val="24"/>
          <w:szCs w:val="24"/>
        </w:rPr>
        <w:t>氟维司群治疗</w:t>
      </w:r>
      <w:proofErr w:type="gramEnd"/>
      <w:r w:rsidRPr="00375456">
        <w:rPr>
          <w:rFonts w:ascii="微软雅黑" w:eastAsia="微软雅黑" w:hAnsi="微软雅黑" w:cs="宋体"/>
          <w:kern w:val="0"/>
          <w:sz w:val="24"/>
          <w:szCs w:val="24"/>
        </w:rPr>
        <w:t>产生耐药性的MCF-7和T47D乳腺癌细胞系（分别为MPF-R和TPF-R）中的疗效。这些细胞系是通过在3-4个月内持续暴露于高剂量</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和CDK4/6抑制剂而生成的，具体方法详见“方法”部分。MPF-R和TPF-R模型中使用的</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浓度与MCF-7和T47D</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耐药模型中使用的浓度相似，并根据各细胞模型中亲代细胞系和耐药细胞系之间最高的IC50值确定（补充图 </w:t>
      </w:r>
      <w:r w:rsidRPr="00375456">
        <w:rPr>
          <w:rFonts w:ascii="微软雅黑" w:eastAsia="微软雅黑" w:hAnsi="微软雅黑" w:cs="宋体"/>
          <w:kern w:val="0"/>
          <w:sz w:val="24"/>
          <w:szCs w:val="24"/>
          <w:vertAlign w:val="subscript"/>
        </w:rPr>
        <w:t>S1C </w:t>
      </w:r>
      <w:hyperlink r:id="rId71" w:anchor="MOESM1" w:history="1">
        <w:r w:rsidRPr="00375456">
          <w:rPr>
            <w:rFonts w:ascii="微软雅黑" w:eastAsia="微软雅黑" w:hAnsi="微软雅黑" w:cs="宋体"/>
            <w:kern w:val="0"/>
            <w:sz w:val="24"/>
            <w:szCs w:val="24"/>
            <w:u w:val="single"/>
          </w:rPr>
          <w:t>）</w:t>
        </w:r>
      </w:hyperlink>
      <w:r w:rsidRPr="00375456">
        <w:rPr>
          <w:rFonts w:ascii="微软雅黑" w:eastAsia="微软雅黑" w:hAnsi="微软雅黑" w:cs="宋体"/>
          <w:kern w:val="0"/>
          <w:sz w:val="24"/>
          <w:szCs w:val="24"/>
        </w:rPr>
        <w:t>。我们发现，</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、CDK4/6抑制剂和</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的三重联合用药显著抑制了MPF-R和TPF-R细胞系的生长和活力（图 </w:t>
      </w:r>
      <w:hyperlink r:id="rId72" w:anchor="Fig4" w:history="1">
        <w:r w:rsidRPr="00375456">
          <w:rPr>
            <w:rFonts w:ascii="微软雅黑" w:eastAsia="微软雅黑" w:hAnsi="微软雅黑" w:cs="宋体"/>
            <w:kern w:val="0"/>
            <w:sz w:val="24"/>
            <w:szCs w:val="24"/>
            <w:u w:val="single"/>
          </w:rPr>
          <w:t>4B、D、F和H</w:t>
        </w:r>
      </w:hyperlink>
      <w:r w:rsidRPr="00375456">
        <w:rPr>
          <w:rFonts w:ascii="微软雅黑" w:eastAsia="微软雅黑" w:hAnsi="微软雅黑" w:cs="宋体"/>
          <w:kern w:val="0"/>
          <w:sz w:val="24"/>
          <w:szCs w:val="24"/>
        </w:rPr>
        <w:t>）。尽管</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比</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联合CDK4/6i的标准方案更有效，但不足以维持对耐药细胞系MPF-R和TPF-R的细胞生长抑制（图 </w:t>
      </w:r>
      <w:hyperlink r:id="rId73" w:anchor="Fig4" w:history="1">
        <w:r w:rsidRPr="00375456">
          <w:rPr>
            <w:rFonts w:ascii="微软雅黑" w:eastAsia="微软雅黑" w:hAnsi="微软雅黑" w:cs="宋体"/>
            <w:kern w:val="0"/>
            <w:sz w:val="24"/>
            <w:szCs w:val="24"/>
            <w:u w:val="single"/>
          </w:rPr>
          <w:t>4B和F</w:t>
        </w:r>
      </w:hyperlink>
      <w:r w:rsidRPr="00375456">
        <w:rPr>
          <w:rFonts w:ascii="微软雅黑" w:eastAsia="微软雅黑" w:hAnsi="微软雅黑" w:cs="宋体"/>
          <w:kern w:val="0"/>
          <w:sz w:val="24"/>
          <w:szCs w:val="24"/>
        </w:rPr>
        <w:t>）。相反，</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与CDK4/6i或</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联合使用对敏感细胞非常有效（图 </w:t>
      </w:r>
      <w:hyperlink r:id="rId74" w:anchor="Fig4" w:history="1">
        <w:r w:rsidRPr="00375456">
          <w:rPr>
            <w:rFonts w:ascii="微软雅黑" w:eastAsia="微软雅黑" w:hAnsi="微软雅黑" w:cs="宋体"/>
            <w:kern w:val="0"/>
            <w:sz w:val="24"/>
            <w:szCs w:val="24"/>
            <w:u w:val="single"/>
          </w:rPr>
          <w:t>4A、</w:t>
        </w:r>
        <w:r w:rsidRPr="00375456">
          <w:rPr>
            <w:rFonts w:ascii="微软雅黑" w:eastAsia="微软雅黑" w:hAnsi="微软雅黑" w:cs="宋体"/>
            <w:kern w:val="0"/>
            <w:sz w:val="24"/>
            <w:szCs w:val="24"/>
            <w:u w:val="single"/>
          </w:rPr>
          <w:lastRenderedPageBreak/>
          <w:t>C、E和G</w:t>
        </w:r>
      </w:hyperlink>
      <w:r w:rsidRPr="00375456">
        <w:rPr>
          <w:rFonts w:ascii="微软雅黑" w:eastAsia="微软雅黑" w:hAnsi="微软雅黑" w:cs="宋体"/>
          <w:kern w:val="0"/>
          <w:sz w:val="24"/>
          <w:szCs w:val="24"/>
        </w:rPr>
        <w:t>）。此外，我们观察到，三</w:t>
      </w:r>
      <w:proofErr w:type="gramStart"/>
      <w:r w:rsidRPr="00375456">
        <w:rPr>
          <w:rFonts w:ascii="微软雅黑" w:eastAsia="微软雅黑" w:hAnsi="微软雅黑" w:cs="宋体"/>
          <w:kern w:val="0"/>
          <w:sz w:val="24"/>
          <w:szCs w:val="24"/>
        </w:rPr>
        <w:t>联方案</w:t>
      </w:r>
      <w:proofErr w:type="gramEnd"/>
      <w:r w:rsidRPr="00375456">
        <w:rPr>
          <w:rFonts w:ascii="微软雅黑" w:eastAsia="微软雅黑" w:hAnsi="微软雅黑" w:cs="宋体"/>
          <w:kern w:val="0"/>
          <w:sz w:val="24"/>
          <w:szCs w:val="24"/>
        </w:rPr>
        <w:t>在整个12周的治疗期间抑制了MPF-R和TPF-R细胞中耐药克隆的生长（图 </w:t>
      </w:r>
      <w:hyperlink r:id="rId75" w:anchor="Fig4" w:history="1">
        <w:r w:rsidRPr="00375456">
          <w:rPr>
            <w:rFonts w:ascii="微软雅黑" w:eastAsia="微软雅黑" w:hAnsi="微软雅黑" w:cs="宋体"/>
            <w:kern w:val="0"/>
            <w:sz w:val="24"/>
            <w:szCs w:val="24"/>
            <w:u w:val="single"/>
          </w:rPr>
          <w:t>4I-J</w:t>
        </w:r>
      </w:hyperlink>
      <w:r w:rsidRPr="00375456">
        <w:rPr>
          <w:rFonts w:ascii="微软雅黑" w:eastAsia="微软雅黑" w:hAnsi="微软雅黑" w:cs="宋体"/>
          <w:kern w:val="0"/>
          <w:sz w:val="24"/>
          <w:szCs w:val="24"/>
        </w:rPr>
        <w:t>）。综上所述，这些数据表明，对CDK4/6i联合内分泌治疗耐药的乳腺癌细胞在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治疗下会迅速进展，但可从CDK4/6i联合</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的标准方案中加入</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中获益。重要的是，我们评估了</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与其他CDK4/6抑制剂（包括</w:t>
      </w:r>
      <w:proofErr w:type="spellStart"/>
      <w:r w:rsidRPr="00375456">
        <w:rPr>
          <w:rFonts w:ascii="微软雅黑" w:eastAsia="微软雅黑" w:hAnsi="微软雅黑" w:cs="宋体"/>
          <w:kern w:val="0"/>
          <w:sz w:val="24"/>
          <w:szCs w:val="24"/>
        </w:rPr>
        <w:t>ribociclib</w:t>
      </w:r>
      <w:proofErr w:type="spellEnd"/>
      <w:r w:rsidRPr="00375456">
        <w:rPr>
          <w:rFonts w:ascii="微软雅黑" w:eastAsia="微软雅黑" w:hAnsi="微软雅黑" w:cs="宋体"/>
          <w:kern w:val="0"/>
          <w:sz w:val="24"/>
          <w:szCs w:val="24"/>
        </w:rPr>
        <w:t>和</w:t>
      </w:r>
      <w:proofErr w:type="spellStart"/>
      <w:r w:rsidRPr="00375456">
        <w:rPr>
          <w:rFonts w:ascii="微软雅黑" w:eastAsia="微软雅黑" w:hAnsi="微软雅黑" w:cs="宋体"/>
          <w:kern w:val="0"/>
          <w:sz w:val="24"/>
          <w:szCs w:val="24"/>
        </w:rPr>
        <w:t>abemaciclib</w:t>
      </w:r>
      <w:proofErr w:type="spellEnd"/>
      <w:r w:rsidRPr="00375456">
        <w:rPr>
          <w:rFonts w:ascii="微软雅黑" w:eastAsia="微软雅黑" w:hAnsi="微软雅黑" w:cs="宋体"/>
          <w:kern w:val="0"/>
          <w:sz w:val="24"/>
          <w:szCs w:val="24"/>
        </w:rPr>
        <w:t>）联合用药对帕博西尼耐药的MPF-R和TPF-R细胞的疗效（补充图 </w:t>
      </w:r>
      <w:hyperlink r:id="rId76" w:anchor="MOESM1" w:history="1">
        <w:r w:rsidRPr="00375456">
          <w:rPr>
            <w:rFonts w:ascii="微软雅黑" w:eastAsia="微软雅黑" w:hAnsi="微软雅黑" w:cs="宋体"/>
            <w:kern w:val="0"/>
            <w:sz w:val="24"/>
            <w:szCs w:val="24"/>
            <w:u w:val="single"/>
          </w:rPr>
          <w:t>S5</w:t>
        </w:r>
      </w:hyperlink>
      <w:r w:rsidRPr="00375456">
        <w:rPr>
          <w:rFonts w:ascii="微软雅黑" w:eastAsia="微软雅黑" w:hAnsi="微软雅黑" w:cs="宋体"/>
          <w:kern w:val="0"/>
          <w:sz w:val="24"/>
          <w:szCs w:val="24"/>
        </w:rPr>
        <w:t>），并观察到MPF-R和TPF-R细胞对这三种CDK4/6抑制剂的IC50值分别显著高于MS和TS细胞（补充图 </w:t>
      </w:r>
      <w:hyperlink r:id="rId77" w:anchor="MOESM1" w:history="1">
        <w:r w:rsidRPr="00375456">
          <w:rPr>
            <w:rFonts w:ascii="微软雅黑" w:eastAsia="微软雅黑" w:hAnsi="微软雅黑" w:cs="宋体"/>
            <w:kern w:val="0"/>
            <w:sz w:val="24"/>
            <w:szCs w:val="24"/>
            <w:u w:val="single"/>
          </w:rPr>
          <w:t>S5A</w:t>
        </w:r>
      </w:hyperlink>
      <w:r w:rsidRPr="00375456">
        <w:rPr>
          <w:rFonts w:ascii="微软雅黑" w:eastAsia="微软雅黑" w:hAnsi="微软雅黑" w:cs="宋体"/>
          <w:kern w:val="0"/>
          <w:sz w:val="24"/>
          <w:szCs w:val="24"/>
        </w:rPr>
        <w:t>）。与CDK4/6抑制剂联合</w:t>
      </w:r>
      <w:proofErr w:type="gramStart"/>
      <w:r w:rsidRPr="00375456">
        <w:rPr>
          <w:rFonts w:ascii="微软雅黑" w:eastAsia="微软雅黑" w:hAnsi="微软雅黑" w:cs="宋体"/>
          <w:kern w:val="0"/>
          <w:sz w:val="24"/>
          <w:szCs w:val="24"/>
        </w:rPr>
        <w:t>氟维司</w:t>
      </w:r>
      <w:proofErr w:type="gramEnd"/>
      <w:r w:rsidRPr="00375456">
        <w:rPr>
          <w:rFonts w:ascii="微软雅黑" w:eastAsia="微软雅黑" w:hAnsi="微软雅黑" w:cs="宋体"/>
          <w:kern w:val="0"/>
          <w:sz w:val="24"/>
          <w:szCs w:val="24"/>
        </w:rPr>
        <w:t>群相比，在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w:t>
      </w:r>
      <w:proofErr w:type="spellStart"/>
      <w:r w:rsidRPr="00375456">
        <w:rPr>
          <w:rFonts w:ascii="微软雅黑" w:eastAsia="微软雅黑" w:hAnsi="微软雅黑" w:cs="宋体"/>
          <w:kern w:val="0"/>
          <w:sz w:val="24"/>
          <w:szCs w:val="24"/>
        </w:rPr>
        <w:t>ribociclib</w:t>
      </w:r>
      <w:proofErr w:type="spellEnd"/>
      <w:r w:rsidRPr="00375456">
        <w:rPr>
          <w:rFonts w:ascii="微软雅黑" w:eastAsia="微软雅黑" w:hAnsi="微软雅黑" w:cs="宋体"/>
          <w:kern w:val="0"/>
          <w:sz w:val="24"/>
          <w:szCs w:val="24"/>
        </w:rPr>
        <w:t>或</w:t>
      </w:r>
      <w:proofErr w:type="spellStart"/>
      <w:r w:rsidRPr="00375456">
        <w:rPr>
          <w:rFonts w:ascii="微软雅黑" w:eastAsia="微软雅黑" w:hAnsi="微软雅黑" w:cs="宋体"/>
          <w:kern w:val="0"/>
          <w:sz w:val="24"/>
          <w:szCs w:val="24"/>
        </w:rPr>
        <w:t>abemaciclib</w:t>
      </w:r>
      <w:proofErr w:type="spellEnd"/>
      <w:r w:rsidRPr="00375456">
        <w:rPr>
          <w:rFonts w:ascii="微软雅黑" w:eastAsia="微软雅黑" w:hAnsi="微软雅黑" w:cs="宋体"/>
          <w:kern w:val="0"/>
          <w:sz w:val="24"/>
          <w:szCs w:val="24"/>
        </w:rPr>
        <w:t>的基础上添加</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可诱导更强的生长抑制（补充图 </w:t>
      </w:r>
      <w:hyperlink r:id="rId78" w:anchor="MOESM1" w:history="1">
        <w:r w:rsidRPr="00375456">
          <w:rPr>
            <w:rFonts w:ascii="微软雅黑" w:eastAsia="微软雅黑" w:hAnsi="微软雅黑" w:cs="宋体"/>
            <w:kern w:val="0"/>
            <w:sz w:val="24"/>
            <w:szCs w:val="24"/>
            <w:u w:val="single"/>
          </w:rPr>
          <w:t>S5B-C ）。</w:t>
        </w:r>
      </w:hyperlink>
      <w:r w:rsidRPr="00375456">
        <w:rPr>
          <w:rFonts w:ascii="微软雅黑" w:eastAsia="微软雅黑" w:hAnsi="微软雅黑" w:cs="宋体"/>
          <w:kern w:val="0"/>
          <w:sz w:val="24"/>
          <w:szCs w:val="24"/>
        </w:rPr>
        <w:t>这些数据表明，联合靶向 CDK4/6 和 AKT 对目前临床批准的三种 CDK4/6 抑制剂耐药的 ER+ 乳腺癌有效，这三种 CDK4/6 抑制剂</w:t>
      </w:r>
      <w:proofErr w:type="gramStart"/>
      <w:r w:rsidRPr="00375456">
        <w:rPr>
          <w:rFonts w:ascii="微软雅黑" w:eastAsia="微软雅黑" w:hAnsi="微软雅黑" w:cs="宋体"/>
          <w:kern w:val="0"/>
          <w:sz w:val="24"/>
          <w:szCs w:val="24"/>
        </w:rPr>
        <w:t>在靶激酶谱方面</w:t>
      </w:r>
      <w:proofErr w:type="gramEnd"/>
      <w:r w:rsidRPr="00375456">
        <w:rPr>
          <w:rFonts w:ascii="微软雅黑" w:eastAsia="微软雅黑" w:hAnsi="微软雅黑" w:cs="宋体"/>
          <w:kern w:val="0"/>
          <w:sz w:val="24"/>
          <w:szCs w:val="24"/>
        </w:rPr>
        <w:t>存在一些差异</w:t>
      </w:r>
      <w:r w:rsidRPr="00375456">
        <w:rPr>
          <w:rFonts w:ascii="微软雅黑" w:eastAsia="微软雅黑" w:hAnsi="微软雅黑" w:cs="宋体"/>
          <w:kern w:val="0"/>
          <w:sz w:val="24"/>
          <w:szCs w:val="24"/>
          <w:u w:val="single"/>
          <w:vertAlign w:val="superscript"/>
        </w:rPr>
        <w:t>&lt;sup&gt; </w:t>
      </w:r>
      <w:hyperlink r:id="rId79" w:anchor="CR29" w:history="1">
        <w:r w:rsidRPr="00375456">
          <w:rPr>
            <w:rFonts w:ascii="微软雅黑" w:eastAsia="微软雅黑" w:hAnsi="微软雅黑" w:cs="宋体"/>
            <w:kern w:val="0"/>
            <w:sz w:val="24"/>
            <w:szCs w:val="24"/>
            <w:u w:val="single"/>
            <w:vertAlign w:val="superscript"/>
          </w:rPr>
          <w:t>29</w:t>
        </w:r>
      </w:hyperlink>
      <w:r w:rsidRPr="00375456">
        <w:rPr>
          <w:rFonts w:ascii="微软雅黑" w:eastAsia="微软雅黑" w:hAnsi="微软雅黑" w:cs="宋体"/>
          <w:kern w:val="0"/>
          <w:sz w:val="24"/>
          <w:szCs w:val="24"/>
          <w:u w:val="single"/>
          <w:vertAlign w:val="superscript"/>
        </w:rPr>
        <w:t> &lt;/sup&gt;</w:t>
      </w:r>
      <w:r w:rsidRPr="00375456">
        <w:rPr>
          <w:rFonts w:ascii="微软雅黑" w:eastAsia="微软雅黑" w:hAnsi="微软雅黑" w:cs="宋体"/>
          <w:kern w:val="0"/>
          <w:sz w:val="24"/>
          <w:szCs w:val="24"/>
        </w:rPr>
        <w:t>。目前，有几项正在进行的临床试验正在评估由内分泌治疗、CDK4/6 抑制剂和其他 PI3K/AKT/mTOR 通路抑制剂组成的三联疗法在 CDK4/6 抑制剂治疗后进展的 ER+ 晚期乳腺癌中的疗效（</w:t>
      </w:r>
      <w:r w:rsidRPr="00375456">
        <w:rPr>
          <w:rFonts w:ascii="微软雅黑" w:eastAsia="微软雅黑" w:hAnsi="微软雅黑" w:cs="宋体"/>
          <w:kern w:val="0"/>
          <w:sz w:val="24"/>
          <w:szCs w:val="24"/>
        </w:rPr>
        <w:fldChar w:fldCharType="begin"/>
      </w:r>
      <w:r w:rsidRPr="00375456">
        <w:rPr>
          <w:rFonts w:ascii="微软雅黑" w:eastAsia="微软雅黑" w:hAnsi="微软雅黑" w:cs="宋体"/>
          <w:kern w:val="0"/>
          <w:sz w:val="24"/>
          <w:szCs w:val="24"/>
        </w:rPr>
        <w:instrText xml:space="preserve"> HYPERLINK "https://clinicaltrials.gov/ct2/show/NCT02871791" \t "_blank" </w:instrText>
      </w:r>
      <w:r w:rsidRPr="00375456">
        <w:rPr>
          <w:rFonts w:ascii="微软雅黑" w:eastAsia="微软雅黑" w:hAnsi="微软雅黑" w:cs="宋体"/>
          <w:kern w:val="0"/>
          <w:sz w:val="24"/>
          <w:szCs w:val="24"/>
        </w:rPr>
        <w:fldChar w:fldCharType="separate"/>
      </w:r>
      <w:r w:rsidRPr="00375456">
        <w:rPr>
          <w:rFonts w:ascii="微软雅黑" w:eastAsia="微软雅黑" w:hAnsi="微软雅黑" w:cs="宋体"/>
          <w:kern w:val="0"/>
          <w:sz w:val="24"/>
          <w:szCs w:val="24"/>
          <w:u w:val="single"/>
        </w:rPr>
        <w:t>NCT02871791</w:t>
      </w:r>
      <w:r w:rsidRPr="00375456">
        <w:rPr>
          <w:rFonts w:ascii="微软雅黑" w:eastAsia="微软雅黑" w:hAnsi="微软雅黑" w:cs="宋体"/>
          <w:kern w:val="0"/>
          <w:sz w:val="24"/>
          <w:szCs w:val="24"/>
        </w:rPr>
        <w:fldChar w:fldCharType="end"/>
      </w:r>
      <w:r w:rsidRPr="00375456">
        <w:rPr>
          <w:rFonts w:ascii="微软雅黑" w:eastAsia="微软雅黑" w:hAnsi="微软雅黑" w:cs="宋体"/>
          <w:kern w:val="0"/>
          <w:sz w:val="24"/>
          <w:szCs w:val="24"/>
        </w:rPr>
        <w:t>，</w:t>
      </w:r>
      <w:r w:rsidRPr="00375456">
        <w:rPr>
          <w:rFonts w:ascii="微软雅黑" w:eastAsia="微软雅黑" w:hAnsi="微软雅黑" w:cs="宋体"/>
          <w:kern w:val="0"/>
          <w:sz w:val="24"/>
          <w:szCs w:val="24"/>
        </w:rPr>
        <w:fldChar w:fldCharType="begin"/>
      </w:r>
      <w:r w:rsidRPr="00375456">
        <w:rPr>
          <w:rFonts w:ascii="微软雅黑" w:eastAsia="微软雅黑" w:hAnsi="微软雅黑" w:cs="宋体"/>
          <w:kern w:val="0"/>
          <w:sz w:val="24"/>
          <w:szCs w:val="24"/>
        </w:rPr>
        <w:instrText xml:space="preserve"> HYPERLINK "https://clinicaltrials.gov/ct2/show/NCT02732119" \t "_blank" </w:instrText>
      </w:r>
      <w:r w:rsidRPr="00375456">
        <w:rPr>
          <w:rFonts w:ascii="微软雅黑" w:eastAsia="微软雅黑" w:hAnsi="微软雅黑" w:cs="宋体"/>
          <w:kern w:val="0"/>
          <w:sz w:val="24"/>
          <w:szCs w:val="24"/>
        </w:rPr>
        <w:fldChar w:fldCharType="separate"/>
      </w:r>
      <w:r w:rsidRPr="00375456">
        <w:rPr>
          <w:rFonts w:ascii="微软雅黑" w:eastAsia="微软雅黑" w:hAnsi="微软雅黑" w:cs="宋体"/>
          <w:kern w:val="0"/>
          <w:sz w:val="24"/>
          <w:szCs w:val="24"/>
          <w:u w:val="single"/>
        </w:rPr>
        <w:t>NCT02732119</w:t>
      </w:r>
      <w:r w:rsidRPr="00375456">
        <w:rPr>
          <w:rFonts w:ascii="微软雅黑" w:eastAsia="微软雅黑" w:hAnsi="微软雅黑" w:cs="宋体"/>
          <w:kern w:val="0"/>
          <w:sz w:val="24"/>
          <w:szCs w:val="24"/>
        </w:rPr>
        <w:fldChar w:fldCharType="end"/>
      </w:r>
      <w:r w:rsidRPr="00375456">
        <w:rPr>
          <w:rFonts w:ascii="微软雅黑" w:eastAsia="微软雅黑" w:hAnsi="微软雅黑" w:cs="宋体"/>
          <w:kern w:val="0"/>
          <w:sz w:val="24"/>
          <w:szCs w:val="24"/>
        </w:rPr>
        <w:t>）。因此，我们比较了双重 PI3K/mTOR 抑制剂 (PI3K/</w:t>
      </w:r>
      <w:proofErr w:type="spellStart"/>
      <w:r w:rsidRPr="00375456">
        <w:rPr>
          <w:rFonts w:ascii="微软雅黑" w:eastAsia="微软雅黑" w:hAnsi="微软雅黑" w:cs="宋体"/>
          <w:kern w:val="0"/>
          <w:sz w:val="24"/>
          <w:szCs w:val="24"/>
        </w:rPr>
        <w:t>mTORi</w:t>
      </w:r>
      <w:proofErr w:type="spellEnd"/>
      <w:r w:rsidRPr="00375456">
        <w:rPr>
          <w:rFonts w:ascii="微软雅黑" w:eastAsia="微软雅黑" w:hAnsi="微软雅黑" w:cs="宋体"/>
          <w:kern w:val="0"/>
          <w:sz w:val="24"/>
          <w:szCs w:val="24"/>
        </w:rPr>
        <w:t xml:space="preserve">) </w:t>
      </w:r>
      <w:proofErr w:type="spellStart"/>
      <w:r w:rsidRPr="00375456">
        <w:rPr>
          <w:rFonts w:ascii="微软雅黑" w:eastAsia="微软雅黑" w:hAnsi="微软雅黑" w:cs="宋体"/>
          <w:kern w:val="0"/>
          <w:sz w:val="24"/>
          <w:szCs w:val="24"/>
        </w:rPr>
        <w:t>gedatolisib</w:t>
      </w:r>
      <w:proofErr w:type="spellEnd"/>
      <w:r w:rsidRPr="00375456">
        <w:rPr>
          <w:rFonts w:ascii="微软雅黑" w:eastAsia="微软雅黑" w:hAnsi="微软雅黑" w:cs="宋体"/>
          <w:kern w:val="0"/>
          <w:sz w:val="24"/>
          <w:szCs w:val="24"/>
        </w:rPr>
        <w:t xml:space="preserve"> 联合</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和 CDK4/6 抑制剂与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三联疗法在对 CDK4/6 抑制剂和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联合耐药的细胞系中的疗效（补充图 </w:t>
      </w:r>
      <w:hyperlink r:id="rId80" w:anchor="MOESM1" w:history="1">
        <w:r w:rsidRPr="00375456">
          <w:rPr>
            <w:rFonts w:ascii="微软雅黑" w:eastAsia="微软雅黑" w:hAnsi="微软雅黑" w:cs="宋体"/>
            <w:kern w:val="0"/>
            <w:sz w:val="24"/>
            <w:szCs w:val="24"/>
            <w:u w:val="single"/>
          </w:rPr>
          <w:t>S6</w:t>
        </w:r>
      </w:hyperlink>
      <w:r w:rsidRPr="00375456">
        <w:rPr>
          <w:rFonts w:ascii="微软雅黑" w:eastAsia="微软雅黑" w:hAnsi="微软雅黑" w:cs="宋体"/>
          <w:kern w:val="0"/>
          <w:sz w:val="24"/>
          <w:szCs w:val="24"/>
        </w:rPr>
        <w:t>）。我们发现，MPF-R 和 TPF-R 细胞中由双重 PI3K/</w:t>
      </w:r>
      <w:proofErr w:type="spellStart"/>
      <w:r w:rsidRPr="00375456">
        <w:rPr>
          <w:rFonts w:ascii="微软雅黑" w:eastAsia="微软雅黑" w:hAnsi="微软雅黑" w:cs="宋体"/>
          <w:kern w:val="0"/>
          <w:sz w:val="24"/>
          <w:szCs w:val="24"/>
        </w:rPr>
        <w:t>mTORi</w:t>
      </w:r>
      <w:proofErr w:type="spellEnd"/>
      <w:r w:rsidRPr="00375456">
        <w:rPr>
          <w:rFonts w:ascii="微软雅黑" w:eastAsia="微软雅黑" w:hAnsi="微软雅黑" w:cs="宋体"/>
          <w:kern w:val="0"/>
          <w:sz w:val="24"/>
          <w:szCs w:val="24"/>
        </w:rPr>
        <w:t xml:space="preserve"> 三联疗法引起的生长抑制与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三联疗法引起的生长抑制相似（图 </w:t>
      </w:r>
      <w:hyperlink r:id="rId81" w:anchor="Fig4" w:history="1">
        <w:r w:rsidRPr="00375456">
          <w:rPr>
            <w:rFonts w:ascii="微软雅黑" w:eastAsia="微软雅黑" w:hAnsi="微软雅黑" w:cs="宋体"/>
            <w:kern w:val="0"/>
            <w:sz w:val="24"/>
            <w:szCs w:val="24"/>
            <w:u w:val="single"/>
          </w:rPr>
          <w:t>4A、B、E 和 F</w:t>
        </w:r>
      </w:hyperlink>
      <w:r w:rsidRPr="00375456">
        <w:rPr>
          <w:rFonts w:ascii="微软雅黑" w:eastAsia="微软雅黑" w:hAnsi="微软雅黑" w:cs="宋体"/>
          <w:kern w:val="0"/>
          <w:sz w:val="24"/>
          <w:szCs w:val="24"/>
        </w:rPr>
        <w:t>），表明这些药物组合具有可比的疗效。</w:t>
      </w:r>
    </w:p>
    <w:p w14:paraId="1CD4E4E7" w14:textId="77777777" w:rsidR="00375456" w:rsidRPr="00375456" w:rsidRDefault="00375456" w:rsidP="00375456">
      <w:pPr>
        <w:widowControl/>
        <w:spacing w:line="450" w:lineRule="atLeast"/>
        <w:outlineLvl w:val="3"/>
        <w:rPr>
          <w:rFonts w:ascii="微软雅黑" w:eastAsia="微软雅黑" w:hAnsi="微软雅黑" w:cs="宋体"/>
          <w:kern w:val="0"/>
          <w:sz w:val="30"/>
          <w:szCs w:val="30"/>
        </w:rPr>
      </w:pPr>
      <w:r w:rsidRPr="00375456">
        <w:rPr>
          <w:rFonts w:ascii="微软雅黑" w:eastAsia="微软雅黑" w:hAnsi="微软雅黑" w:cs="宋体"/>
          <w:kern w:val="0"/>
          <w:sz w:val="30"/>
          <w:szCs w:val="30"/>
        </w:rPr>
        <w:t xml:space="preserve">图 4. </w:t>
      </w:r>
      <w:proofErr w:type="gramStart"/>
      <w:r w:rsidRPr="00375456">
        <w:rPr>
          <w:rFonts w:ascii="微软雅黑" w:eastAsia="微软雅黑" w:hAnsi="微软雅黑" w:cs="宋体"/>
          <w:kern w:val="0"/>
          <w:sz w:val="30"/>
          <w:szCs w:val="30"/>
        </w:rPr>
        <w:t>氟维司群</w:t>
      </w:r>
      <w:proofErr w:type="gramEnd"/>
      <w:r w:rsidRPr="00375456">
        <w:rPr>
          <w:rFonts w:ascii="微软雅黑" w:eastAsia="微软雅黑" w:hAnsi="微软雅黑" w:cs="宋体"/>
          <w:kern w:val="0"/>
          <w:sz w:val="30"/>
          <w:szCs w:val="30"/>
        </w:rPr>
        <w:t xml:space="preserve">、CDK4/6i 和 </w:t>
      </w:r>
      <w:proofErr w:type="spellStart"/>
      <w:r w:rsidRPr="00375456">
        <w:rPr>
          <w:rFonts w:ascii="微软雅黑" w:eastAsia="微软雅黑" w:hAnsi="微软雅黑" w:cs="宋体"/>
          <w:kern w:val="0"/>
          <w:sz w:val="30"/>
          <w:szCs w:val="30"/>
        </w:rPr>
        <w:t>AKTi</w:t>
      </w:r>
      <w:proofErr w:type="spellEnd"/>
      <w:r w:rsidRPr="00375456">
        <w:rPr>
          <w:rFonts w:ascii="微软雅黑" w:eastAsia="微软雅黑" w:hAnsi="微软雅黑" w:cs="宋体"/>
          <w:kern w:val="0"/>
          <w:sz w:val="30"/>
          <w:szCs w:val="30"/>
        </w:rPr>
        <w:t xml:space="preserve"> 联合用药对 CDK4/6i 和</w:t>
      </w:r>
      <w:proofErr w:type="gramStart"/>
      <w:r w:rsidRPr="00375456">
        <w:rPr>
          <w:rFonts w:ascii="微软雅黑" w:eastAsia="微软雅黑" w:hAnsi="微软雅黑" w:cs="宋体"/>
          <w:kern w:val="0"/>
          <w:sz w:val="30"/>
          <w:szCs w:val="30"/>
        </w:rPr>
        <w:t>氟维司群</w:t>
      </w:r>
      <w:proofErr w:type="gramEnd"/>
      <w:r w:rsidRPr="00375456">
        <w:rPr>
          <w:rFonts w:ascii="微软雅黑" w:eastAsia="微软雅黑" w:hAnsi="微软雅黑" w:cs="宋体"/>
          <w:kern w:val="0"/>
          <w:sz w:val="30"/>
          <w:szCs w:val="30"/>
        </w:rPr>
        <w:t>联合用药耐药的乳腺癌细胞系有效。</w:t>
      </w:r>
    </w:p>
    <w:p w14:paraId="2E5E2FE3" w14:textId="330AC56A"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noProof/>
          <w:kern w:val="0"/>
          <w:sz w:val="24"/>
          <w:szCs w:val="24"/>
        </w:rPr>
        <w:lastRenderedPageBreak/>
        <w:drawing>
          <wp:inline distT="0" distB="0" distL="0" distR="0" wp14:anchorId="57EBDB30" wp14:editId="06CE4A73">
            <wp:extent cx="5274310" cy="5471160"/>
            <wp:effectExtent l="0" t="0" r="2540" b="0"/>
            <wp:docPr id="4" name="图片 4" descr="图 4">
              <a:hlinkClick xmlns:a="http://schemas.openxmlformats.org/drawingml/2006/main" r:id="rId8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1052" descr="图 4">
                      <a:hlinkClick r:id="rId82" tgtFrame="&quot;_blank&quot;"/>
                    </pic:cNvPr>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274310" cy="5471160"/>
                    </a:xfrm>
                    <a:prstGeom prst="rect">
                      <a:avLst/>
                    </a:prstGeom>
                    <a:noFill/>
                    <a:ln>
                      <a:noFill/>
                    </a:ln>
                  </pic:spPr>
                </pic:pic>
              </a:graphicData>
            </a:graphic>
          </wp:inline>
        </w:drawing>
      </w:r>
    </w:p>
    <w:p w14:paraId="6D3862D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本研究评估了</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w:t>
      </w:r>
      <w:proofErr w:type="spellStart"/>
      <w:r w:rsidRPr="00375456">
        <w:rPr>
          <w:rFonts w:ascii="微软雅黑" w:eastAsia="微软雅黑" w:hAnsi="微软雅黑" w:cs="宋体"/>
          <w:kern w:val="0"/>
          <w:sz w:val="24"/>
          <w:szCs w:val="24"/>
        </w:rPr>
        <w:t>Fulv</w:t>
      </w:r>
      <w:proofErr w:type="spellEnd"/>
      <w:r w:rsidRPr="00375456">
        <w:rPr>
          <w:rFonts w:ascii="微软雅黑" w:eastAsia="微软雅黑" w:hAnsi="微软雅黑" w:cs="宋体"/>
          <w:kern w:val="0"/>
          <w:sz w:val="24"/>
          <w:szCs w:val="24"/>
        </w:rPr>
        <w:t xml:space="preserve">，100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）、CDK4/6抑制剂（CDK4/6i，帕博西尼，200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）和AKT抑制剂（</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，卡</w:t>
      </w:r>
      <w:proofErr w:type="gramStart"/>
      <w:r w:rsidRPr="00375456">
        <w:rPr>
          <w:rFonts w:ascii="微软雅黑" w:eastAsia="微软雅黑" w:hAnsi="微软雅黑" w:cs="宋体"/>
          <w:kern w:val="0"/>
          <w:sz w:val="24"/>
          <w:szCs w:val="24"/>
        </w:rPr>
        <w:t>帕替尼</w:t>
      </w:r>
      <w:proofErr w:type="gramEnd"/>
      <w:r w:rsidRPr="00375456">
        <w:rPr>
          <w:rFonts w:ascii="微软雅黑" w:eastAsia="微软雅黑" w:hAnsi="微软雅黑" w:cs="宋体"/>
          <w:kern w:val="0"/>
          <w:sz w:val="24"/>
          <w:szCs w:val="24"/>
        </w:rPr>
        <w:t xml:space="preserve">，MCF-7细胞模型中浓度为250–500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；T47D细胞模型中浓度为100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）作为单药或双药/三药联合用药时，对所有细胞系的疗效。评估方法包括结晶紫生长试验（</w:t>
      </w:r>
      <w:r w:rsidRPr="00375456">
        <w:rPr>
          <w:rFonts w:ascii="微软雅黑" w:eastAsia="微软雅黑" w:hAnsi="微软雅黑" w:cs="宋体"/>
          <w:b/>
          <w:bCs/>
          <w:kern w:val="0"/>
          <w:sz w:val="24"/>
          <w:szCs w:val="24"/>
        </w:rPr>
        <w:t>A</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B</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E</w:t>
      </w:r>
      <w:r w:rsidRPr="00375456">
        <w:rPr>
          <w:rFonts w:ascii="微软雅黑" w:eastAsia="微软雅黑" w:hAnsi="微软雅黑" w:cs="宋体"/>
          <w:kern w:val="0"/>
          <w:sz w:val="24"/>
          <w:szCs w:val="24"/>
        </w:rPr>
        <w:t>和</w:t>
      </w:r>
      <w:r w:rsidRPr="00375456">
        <w:rPr>
          <w:rFonts w:ascii="微软雅黑" w:eastAsia="微软雅黑" w:hAnsi="微软雅黑" w:cs="宋体"/>
          <w:b/>
          <w:bCs/>
          <w:kern w:val="0"/>
          <w:sz w:val="24"/>
          <w:szCs w:val="24"/>
        </w:rPr>
        <w:t>F</w:t>
      </w:r>
      <w:r w:rsidRPr="00375456">
        <w:rPr>
          <w:rFonts w:ascii="微软雅黑" w:eastAsia="微软雅黑" w:hAnsi="微软雅黑" w:cs="宋体"/>
          <w:kern w:val="0"/>
          <w:sz w:val="24"/>
          <w:szCs w:val="24"/>
        </w:rPr>
        <w:t>）和</w:t>
      </w:r>
      <w:proofErr w:type="spellStart"/>
      <w:r w:rsidRPr="00375456">
        <w:rPr>
          <w:rFonts w:ascii="微软雅黑" w:eastAsia="微软雅黑" w:hAnsi="微软雅黑" w:cs="宋体"/>
          <w:kern w:val="0"/>
          <w:sz w:val="24"/>
          <w:szCs w:val="24"/>
        </w:rPr>
        <w:t>CellTiter</w:t>
      </w:r>
      <w:proofErr w:type="spellEnd"/>
      <w:r w:rsidRPr="00375456">
        <w:rPr>
          <w:rFonts w:ascii="微软雅黑" w:eastAsia="微软雅黑" w:hAnsi="微软雅黑" w:cs="宋体"/>
          <w:kern w:val="0"/>
          <w:sz w:val="24"/>
          <w:szCs w:val="24"/>
        </w:rPr>
        <w:t>-Blue细胞活力试验（</w:t>
      </w:r>
      <w:r w:rsidRPr="00375456">
        <w:rPr>
          <w:rFonts w:ascii="微软雅黑" w:eastAsia="微软雅黑" w:hAnsi="微软雅黑" w:cs="宋体"/>
          <w:b/>
          <w:bCs/>
          <w:kern w:val="0"/>
          <w:sz w:val="24"/>
          <w:szCs w:val="24"/>
        </w:rPr>
        <w:t>C</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D</w:t>
      </w:r>
      <w:r w:rsidRPr="00375456">
        <w:rPr>
          <w:rFonts w:ascii="微软雅黑" w:eastAsia="微软雅黑" w:hAnsi="微软雅黑" w:cs="宋体"/>
          <w:kern w:val="0"/>
          <w:sz w:val="24"/>
          <w:szCs w:val="24"/>
        </w:rPr>
        <w:t>、</w:t>
      </w:r>
      <w:r w:rsidRPr="00375456">
        <w:rPr>
          <w:rFonts w:ascii="微软雅黑" w:eastAsia="微软雅黑" w:hAnsi="微软雅黑" w:cs="宋体"/>
          <w:b/>
          <w:bCs/>
          <w:kern w:val="0"/>
          <w:sz w:val="24"/>
          <w:szCs w:val="24"/>
        </w:rPr>
        <w:t>G</w:t>
      </w:r>
      <w:r w:rsidRPr="00375456">
        <w:rPr>
          <w:rFonts w:ascii="微软雅黑" w:eastAsia="微软雅黑" w:hAnsi="微软雅黑" w:cs="宋体"/>
          <w:kern w:val="0"/>
          <w:sz w:val="24"/>
          <w:szCs w:val="24"/>
        </w:rPr>
        <w:t>和</w:t>
      </w:r>
      <w:r w:rsidRPr="00375456">
        <w:rPr>
          <w:rFonts w:ascii="微软雅黑" w:eastAsia="微软雅黑" w:hAnsi="微软雅黑" w:cs="宋体"/>
          <w:b/>
          <w:bCs/>
          <w:kern w:val="0"/>
          <w:sz w:val="24"/>
          <w:szCs w:val="24"/>
        </w:rPr>
        <w:t>H</w:t>
      </w:r>
      <w:r w:rsidRPr="00375456">
        <w:rPr>
          <w:rFonts w:ascii="微软雅黑" w:eastAsia="微软雅黑" w:hAnsi="微软雅黑" w:cs="宋体"/>
          <w:kern w:val="0"/>
          <w:sz w:val="24"/>
          <w:szCs w:val="24"/>
        </w:rPr>
        <w:t>），试验持续6天。此外，本研究还通过每周评估48孔板中汇合度达到50%或以上的细胞（阳性孔）的百分比，持续12周，来研究MPF-R（</w:t>
      </w:r>
      <w:r w:rsidRPr="00375456">
        <w:rPr>
          <w:rFonts w:ascii="微软雅黑" w:eastAsia="微软雅黑" w:hAnsi="微软雅黑" w:cs="宋体"/>
          <w:b/>
          <w:bCs/>
          <w:kern w:val="0"/>
          <w:sz w:val="24"/>
          <w:szCs w:val="24"/>
        </w:rPr>
        <w:t>I</w:t>
      </w:r>
      <w:r w:rsidRPr="00375456">
        <w:rPr>
          <w:rFonts w:ascii="微软雅黑" w:eastAsia="微软雅黑" w:hAnsi="微软雅黑" w:cs="宋体"/>
          <w:kern w:val="0"/>
          <w:sz w:val="24"/>
          <w:szCs w:val="24"/>
        </w:rPr>
        <w:t>）和TPF-R（</w:t>
      </w:r>
      <w:r w:rsidRPr="00375456">
        <w:rPr>
          <w:rFonts w:ascii="微软雅黑" w:eastAsia="微软雅黑" w:hAnsi="微软雅黑" w:cs="宋体"/>
          <w:b/>
          <w:bCs/>
          <w:kern w:val="0"/>
          <w:sz w:val="24"/>
          <w:szCs w:val="24"/>
        </w:rPr>
        <w:t>J</w:t>
      </w:r>
      <w:r w:rsidRPr="00375456">
        <w:rPr>
          <w:rFonts w:ascii="微软雅黑" w:eastAsia="微软雅黑" w:hAnsi="微软雅黑" w:cs="宋体"/>
          <w:kern w:val="0"/>
          <w:sz w:val="24"/>
          <w:szCs w:val="24"/>
        </w:rPr>
        <w:t>）细胞中耐药克隆的生长情况。实验进行了三次生物学重复，数据以平均值±标准误表示。星号表示第 6 天单因</w:t>
      </w:r>
      <w:r w:rsidRPr="00375456">
        <w:rPr>
          <w:rFonts w:ascii="微软雅黑" w:eastAsia="微软雅黑" w:hAnsi="微软雅黑" w:cs="宋体"/>
          <w:kern w:val="0"/>
          <w:sz w:val="24"/>
          <w:szCs w:val="24"/>
        </w:rPr>
        <w:lastRenderedPageBreak/>
        <w:t>素方差分析检验中的显著差异（*0.01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0.05，**0.001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0.01，***0.0001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0.001，****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0.0001）。</w:t>
      </w:r>
    </w:p>
    <w:p w14:paraId="2735BB09"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此外，与标准</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 CDK4/6i 治疗组相比，我们观察到三联疗法处理的 MPF-R 细胞中凋亡和 cleaved-PARP 水平显著升高，而 TPF-R 细胞中未观察到这些变化（图 </w:t>
      </w:r>
      <w:hyperlink r:id="rId84" w:anchor="Fig5" w:history="1">
        <w:r w:rsidRPr="00375456">
          <w:rPr>
            <w:rFonts w:ascii="微软雅黑" w:eastAsia="微软雅黑" w:hAnsi="微软雅黑" w:cs="宋体"/>
            <w:kern w:val="0"/>
            <w:sz w:val="24"/>
            <w:szCs w:val="24"/>
            <w:u w:val="single"/>
          </w:rPr>
          <w:t>5A-C</w:t>
        </w:r>
      </w:hyperlink>
      <w:r w:rsidRPr="00375456">
        <w:rPr>
          <w:rFonts w:ascii="微软雅黑" w:eastAsia="微软雅黑" w:hAnsi="微软雅黑" w:cs="宋体"/>
          <w:kern w:val="0"/>
          <w:sz w:val="24"/>
          <w:szCs w:val="24"/>
        </w:rPr>
        <w:t>）。我们还发现，在 MS 和 TS 细胞中，单独使用 CDK4/6i 或联合</w:t>
      </w:r>
      <w:proofErr w:type="gramStart"/>
      <w:r w:rsidRPr="00375456">
        <w:rPr>
          <w:rFonts w:ascii="微软雅黑" w:eastAsia="微软雅黑" w:hAnsi="微软雅黑" w:cs="宋体"/>
          <w:kern w:val="0"/>
          <w:sz w:val="24"/>
          <w:szCs w:val="24"/>
        </w:rPr>
        <w:t>氟维司群治疗</w:t>
      </w:r>
      <w:proofErr w:type="gramEnd"/>
      <w:r w:rsidRPr="00375456">
        <w:rPr>
          <w:rFonts w:ascii="微软雅黑" w:eastAsia="微软雅黑" w:hAnsi="微软雅黑" w:cs="宋体"/>
          <w:kern w:val="0"/>
          <w:sz w:val="24"/>
          <w:szCs w:val="24"/>
        </w:rPr>
        <w:t>后，Rb 和 p-Rb S780 水平显著降低（补充图 </w:t>
      </w:r>
      <w:hyperlink r:id="rId85" w:anchor="MOESM1" w:history="1">
        <w:r w:rsidRPr="00375456">
          <w:rPr>
            <w:rFonts w:ascii="微软雅黑" w:eastAsia="微软雅黑" w:hAnsi="微软雅黑" w:cs="宋体"/>
            <w:kern w:val="0"/>
            <w:sz w:val="24"/>
            <w:szCs w:val="24"/>
            <w:u w:val="single"/>
          </w:rPr>
          <w:t>S7</w:t>
        </w:r>
      </w:hyperlink>
      <w:r w:rsidRPr="00375456">
        <w:rPr>
          <w:rFonts w:ascii="微软雅黑" w:eastAsia="微软雅黑" w:hAnsi="微软雅黑" w:cs="宋体"/>
          <w:kern w:val="0"/>
          <w:sz w:val="24"/>
          <w:szCs w:val="24"/>
        </w:rPr>
        <w:t>）。此外，我们观察到，与亲代细胞相比，单独使用 CDK4/6i 或联合</w:t>
      </w:r>
      <w:proofErr w:type="gramStart"/>
      <w:r w:rsidRPr="00375456">
        <w:rPr>
          <w:rFonts w:ascii="微软雅黑" w:eastAsia="微软雅黑" w:hAnsi="微软雅黑" w:cs="宋体"/>
          <w:kern w:val="0"/>
          <w:sz w:val="24"/>
          <w:szCs w:val="24"/>
        </w:rPr>
        <w:t>氟维司群治疗</w:t>
      </w:r>
      <w:proofErr w:type="gramEnd"/>
      <w:r w:rsidRPr="00375456">
        <w:rPr>
          <w:rFonts w:ascii="微软雅黑" w:eastAsia="微软雅黑" w:hAnsi="微软雅黑" w:cs="宋体"/>
          <w:kern w:val="0"/>
          <w:sz w:val="24"/>
          <w:szCs w:val="24"/>
        </w:rPr>
        <w:t>对 MPF-R 和 TPF-R 细胞中 Rb 水平的降低程度较小（补充图 </w:t>
      </w:r>
      <w:hyperlink r:id="rId86" w:anchor="MOESM1" w:history="1">
        <w:r w:rsidRPr="00375456">
          <w:rPr>
            <w:rFonts w:ascii="微软雅黑" w:eastAsia="微软雅黑" w:hAnsi="微软雅黑" w:cs="宋体"/>
            <w:kern w:val="0"/>
            <w:sz w:val="24"/>
            <w:szCs w:val="24"/>
            <w:u w:val="single"/>
          </w:rPr>
          <w:t>S7A</w:t>
        </w:r>
      </w:hyperlink>
      <w:r w:rsidRPr="00375456">
        <w:rPr>
          <w:rFonts w:ascii="微软雅黑" w:eastAsia="微软雅黑" w:hAnsi="微软雅黑" w:cs="宋体"/>
          <w:kern w:val="0"/>
          <w:sz w:val="24"/>
          <w:szCs w:val="24"/>
        </w:rPr>
        <w:t>）。与亲代细胞相比，MPF-R 和 TPF-R 细胞中 p-Rb S780 的基线水平也显著降低（补充图 </w:t>
      </w:r>
      <w:hyperlink r:id="rId87" w:anchor="MOESM1" w:history="1">
        <w:r w:rsidRPr="00375456">
          <w:rPr>
            <w:rFonts w:ascii="微软雅黑" w:eastAsia="微软雅黑" w:hAnsi="微软雅黑" w:cs="宋体"/>
            <w:kern w:val="0"/>
            <w:sz w:val="24"/>
            <w:szCs w:val="24"/>
            <w:u w:val="single"/>
          </w:rPr>
          <w:t>S7B</w:t>
        </w:r>
      </w:hyperlink>
      <w:r w:rsidRPr="00375456">
        <w:rPr>
          <w:rFonts w:ascii="微软雅黑" w:eastAsia="微软雅黑" w:hAnsi="微软雅黑" w:cs="宋体"/>
          <w:kern w:val="0"/>
          <w:sz w:val="24"/>
          <w:szCs w:val="24"/>
        </w:rPr>
        <w:t>）。这些数据支持MPF-R和TPF-R细胞对细胞周期蛋白D1-CDK4/6通路依赖性降低的观点，这与先前在其他对CDK4/6抑制剂耐药的细胞系模型中观察到的结果一致</w:t>
      </w:r>
      <w:r w:rsidRPr="00375456">
        <w:rPr>
          <w:rFonts w:ascii="微软雅黑" w:eastAsia="微软雅黑" w:hAnsi="微软雅黑" w:cs="宋体"/>
          <w:kern w:val="0"/>
          <w:sz w:val="24"/>
          <w:szCs w:val="24"/>
          <w:u w:val="single"/>
          <w:vertAlign w:val="superscript"/>
        </w:rPr>
        <w:t>&lt;sup&gt; </w:t>
      </w:r>
      <w:hyperlink r:id="rId88" w:anchor="CR22" w:history="1">
        <w:r w:rsidRPr="00375456">
          <w:rPr>
            <w:rFonts w:ascii="微软雅黑" w:eastAsia="微软雅黑" w:hAnsi="微软雅黑" w:cs="宋体"/>
            <w:kern w:val="0"/>
            <w:sz w:val="24"/>
            <w:szCs w:val="24"/>
            <w:u w:val="single"/>
            <w:vertAlign w:val="superscript"/>
          </w:rPr>
          <w:t>22</w:t>
        </w:r>
      </w:hyperlink>
      <w:r w:rsidRPr="00375456">
        <w:rPr>
          <w:rFonts w:ascii="微软雅黑" w:eastAsia="微软雅黑" w:hAnsi="微软雅黑" w:cs="宋体"/>
          <w:kern w:val="0"/>
          <w:sz w:val="24"/>
          <w:szCs w:val="24"/>
          <w:u w:val="single"/>
          <w:vertAlign w:val="superscript"/>
        </w:rPr>
        <w:t> &lt;/sup&gt;</w:t>
      </w:r>
      <w:r w:rsidRPr="00375456">
        <w:rPr>
          <w:rFonts w:ascii="微软雅黑" w:eastAsia="微软雅黑" w:hAnsi="微软雅黑" w:cs="宋体"/>
          <w:kern w:val="0"/>
          <w:sz w:val="24"/>
          <w:szCs w:val="24"/>
        </w:rPr>
        <w:t>。我们观察到，当用</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处理MPF-R和TPF-R细胞时，p-PRAS40和p-S6的表达</w:t>
      </w:r>
      <w:r w:rsidRPr="00375456">
        <w:rPr>
          <w:rFonts w:ascii="MS Gothic" w:eastAsia="MS Gothic" w:hAnsi="MS Gothic" w:cs="MS Gothic" w:hint="eastAsia"/>
          <w:kern w:val="0"/>
          <w:sz w:val="24"/>
          <w:szCs w:val="24"/>
        </w:rPr>
        <w:t>​​</w:t>
      </w:r>
      <w:r w:rsidRPr="00375456">
        <w:rPr>
          <w:rFonts w:ascii="微软雅黑" w:eastAsia="微软雅黑" w:hAnsi="微软雅黑" w:cs="宋体"/>
          <w:kern w:val="0"/>
          <w:sz w:val="24"/>
          <w:szCs w:val="24"/>
        </w:rPr>
        <w:t>显著降低（图 </w:t>
      </w:r>
      <w:hyperlink r:id="rId89" w:anchor="Fig5" w:history="1">
        <w:r w:rsidRPr="00375456">
          <w:rPr>
            <w:rFonts w:ascii="微软雅黑" w:eastAsia="微软雅黑" w:hAnsi="微软雅黑" w:cs="宋体"/>
            <w:kern w:val="0"/>
            <w:sz w:val="24"/>
            <w:szCs w:val="24"/>
            <w:u w:val="single"/>
          </w:rPr>
          <w:t>5D</w:t>
        </w:r>
      </w:hyperlink>
      <w:r w:rsidRPr="00375456">
        <w:rPr>
          <w:rFonts w:ascii="微软雅黑" w:eastAsia="微软雅黑" w:hAnsi="微软雅黑" w:cs="宋体"/>
          <w:kern w:val="0"/>
          <w:sz w:val="24"/>
          <w:szCs w:val="24"/>
        </w:rPr>
        <w:t>），这与PI3K/AKT-mTOR通路阻断相符。此外，与亲代MS细胞相比，MPF-R细胞中p-AKT水平更高，总AKT水平相似；而与亲代T47D敏感的TS细胞相比，TPF-R细胞中p-AKT表达略低，总AKT水平更高（图 </w:t>
      </w:r>
      <w:hyperlink r:id="rId90" w:anchor="Fig5" w:history="1">
        <w:r w:rsidRPr="00375456">
          <w:rPr>
            <w:rFonts w:ascii="微软雅黑" w:eastAsia="微软雅黑" w:hAnsi="微软雅黑" w:cs="宋体"/>
            <w:kern w:val="0"/>
            <w:sz w:val="24"/>
            <w:szCs w:val="24"/>
            <w:u w:val="single"/>
          </w:rPr>
          <w:t>5E</w:t>
        </w:r>
      </w:hyperlink>
      <w:r w:rsidRPr="00375456">
        <w:rPr>
          <w:rFonts w:ascii="微软雅黑" w:eastAsia="微软雅黑" w:hAnsi="微软雅黑" w:cs="宋体"/>
          <w:kern w:val="0"/>
          <w:sz w:val="24"/>
          <w:szCs w:val="24"/>
        </w:rPr>
        <w:t>）。</w:t>
      </w:r>
    </w:p>
    <w:p w14:paraId="535520C2" w14:textId="77777777" w:rsidR="00375456" w:rsidRPr="00375456" w:rsidRDefault="00375456" w:rsidP="00375456">
      <w:pPr>
        <w:widowControl/>
        <w:spacing w:line="450" w:lineRule="atLeast"/>
        <w:outlineLvl w:val="3"/>
        <w:rPr>
          <w:rFonts w:ascii="微软雅黑" w:eastAsia="微软雅黑" w:hAnsi="微软雅黑" w:cs="宋体"/>
          <w:kern w:val="0"/>
          <w:sz w:val="30"/>
          <w:szCs w:val="30"/>
        </w:rPr>
      </w:pPr>
      <w:r w:rsidRPr="00375456">
        <w:rPr>
          <w:rFonts w:ascii="微软雅黑" w:eastAsia="微软雅黑" w:hAnsi="微软雅黑" w:cs="宋体"/>
          <w:kern w:val="0"/>
          <w:sz w:val="30"/>
          <w:szCs w:val="30"/>
        </w:rPr>
        <w:t>图 5. 联合靶向 ER、CDK4/6 和 AKT 可有效抑制对 CDK4/6i 和</w:t>
      </w:r>
      <w:proofErr w:type="gramStart"/>
      <w:r w:rsidRPr="00375456">
        <w:rPr>
          <w:rFonts w:ascii="微软雅黑" w:eastAsia="微软雅黑" w:hAnsi="微软雅黑" w:cs="宋体"/>
          <w:kern w:val="0"/>
          <w:sz w:val="30"/>
          <w:szCs w:val="30"/>
        </w:rPr>
        <w:t>氟维司群</w:t>
      </w:r>
      <w:proofErr w:type="gramEnd"/>
      <w:r w:rsidRPr="00375456">
        <w:rPr>
          <w:rFonts w:ascii="微软雅黑" w:eastAsia="微软雅黑" w:hAnsi="微软雅黑" w:cs="宋体"/>
          <w:kern w:val="0"/>
          <w:sz w:val="30"/>
          <w:szCs w:val="30"/>
        </w:rPr>
        <w:t>联合治疗耐药的乳腺癌细胞中的细胞周期蛋白 D/CDK4-6/Rb 和 PI3K/AKT-mTOR 通路。</w:t>
      </w:r>
    </w:p>
    <w:p w14:paraId="03D6A02D" w14:textId="59CB4B5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noProof/>
          <w:kern w:val="0"/>
          <w:sz w:val="24"/>
          <w:szCs w:val="24"/>
        </w:rPr>
        <w:lastRenderedPageBreak/>
        <w:drawing>
          <wp:inline distT="0" distB="0" distL="0" distR="0" wp14:anchorId="0E44AA04" wp14:editId="7A9FA6B4">
            <wp:extent cx="5274310" cy="3025140"/>
            <wp:effectExtent l="0" t="0" r="2540" b="3810"/>
            <wp:docPr id="3" name="图片 3" descr="图 5">
              <a:hlinkClick xmlns:a="http://schemas.openxmlformats.org/drawingml/2006/main" r:id="rId9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1116" descr="图 5">
                      <a:hlinkClick r:id="rId91" tgtFrame="&quot;_blank&quot;"/>
                    </pic:cNvPr>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274310" cy="3025140"/>
                    </a:xfrm>
                    <a:prstGeom prst="rect">
                      <a:avLst/>
                    </a:prstGeom>
                    <a:noFill/>
                    <a:ln>
                      <a:noFill/>
                    </a:ln>
                  </pic:spPr>
                </pic:pic>
              </a:graphicData>
            </a:graphic>
          </wp:inline>
        </w:drawing>
      </w:r>
    </w:p>
    <w:p w14:paraId="2B33228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b/>
          <w:bCs/>
          <w:kern w:val="0"/>
          <w:sz w:val="24"/>
          <w:szCs w:val="24"/>
        </w:rPr>
        <w:t>采用ELISA细胞死亡检测法，通过评估MCF-7 ( A</w:t>
      </w:r>
      <w:r w:rsidRPr="00375456">
        <w:rPr>
          <w:rFonts w:ascii="微软雅黑" w:eastAsia="微软雅黑" w:hAnsi="微软雅黑" w:cs="宋体"/>
          <w:kern w:val="0"/>
          <w:sz w:val="24"/>
          <w:szCs w:val="24"/>
        </w:rPr>
        <w:t> ) 和T47D ( </w:t>
      </w:r>
      <w:r w:rsidRPr="00375456">
        <w:rPr>
          <w:rFonts w:ascii="微软雅黑" w:eastAsia="微软雅黑" w:hAnsi="微软雅黑" w:cs="宋体"/>
          <w:b/>
          <w:bCs/>
          <w:kern w:val="0"/>
          <w:sz w:val="24"/>
          <w:szCs w:val="24"/>
        </w:rPr>
        <w:t>B</w:t>
      </w:r>
      <w:r w:rsidRPr="00375456">
        <w:rPr>
          <w:rFonts w:ascii="微软雅黑" w:eastAsia="微软雅黑" w:hAnsi="微软雅黑" w:cs="宋体"/>
          <w:kern w:val="0"/>
          <w:sz w:val="24"/>
          <w:szCs w:val="24"/>
        </w:rPr>
        <w:t> ) 细胞模型中胞质核小体的存在来确定细胞凋亡水平。数据以误差线表示，代表三个生物学重复的平均值±标准误。星号表示单因素方差分析中的显著性差异（*0.01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0.05，**0.001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0.01，***0.0001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0.001，****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0.0001）。C </w:t>
      </w:r>
      <w:r w:rsidRPr="00375456">
        <w:rPr>
          <w:rFonts w:ascii="微软雅黑" w:eastAsia="微软雅黑" w:hAnsi="微软雅黑" w:cs="宋体"/>
          <w:b/>
          <w:bCs/>
          <w:kern w:val="0"/>
          <w:sz w:val="24"/>
          <w:szCs w:val="24"/>
        </w:rPr>
        <w:t>.</w:t>
      </w:r>
      <w:r w:rsidRPr="00375456">
        <w:rPr>
          <w:rFonts w:ascii="微软雅黑" w:eastAsia="微软雅黑" w:hAnsi="微软雅黑" w:cs="宋体"/>
          <w:kern w:val="0"/>
          <w:sz w:val="24"/>
          <w:szCs w:val="24"/>
        </w:rPr>
        <w:t>对两种对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和CDK4/6抑制剂联合治疗耐药的细胞模型进行凋亡标志物的Western blot分析。使用ImageJ软件对裂解PARP的Western blot条带进行密度分析。数据以曲线下面积（AUC）表示，并已</w:t>
      </w:r>
      <w:proofErr w:type="gramStart"/>
      <w:r w:rsidRPr="00375456">
        <w:rPr>
          <w:rFonts w:ascii="微软雅黑" w:eastAsia="微软雅黑" w:hAnsi="微软雅黑" w:cs="宋体"/>
          <w:kern w:val="0"/>
          <w:sz w:val="24"/>
          <w:szCs w:val="24"/>
        </w:rPr>
        <w:t>根据上样对照</w:t>
      </w:r>
      <w:proofErr w:type="gramEnd"/>
      <w:r w:rsidRPr="00375456">
        <w:rPr>
          <w:rFonts w:ascii="微软雅黑" w:eastAsia="微软雅黑" w:hAnsi="微软雅黑" w:cs="宋体"/>
          <w:kern w:val="0"/>
          <w:sz w:val="24"/>
          <w:szCs w:val="24"/>
        </w:rPr>
        <w:t>进行标准化。</w:t>
      </w:r>
      <w:r w:rsidRPr="00375456">
        <w:rPr>
          <w:rFonts w:ascii="微软雅黑" w:eastAsia="微软雅黑" w:hAnsi="微软雅黑" w:cs="宋体"/>
          <w:b/>
          <w:bCs/>
          <w:kern w:val="0"/>
          <w:sz w:val="24"/>
          <w:szCs w:val="24"/>
        </w:rPr>
        <w:t>D.</w:t>
      </w:r>
      <w:r w:rsidRPr="00375456">
        <w:rPr>
          <w:rFonts w:ascii="微软雅黑" w:eastAsia="微软雅黑" w:hAnsi="微软雅黑" w:cs="宋体"/>
          <w:kern w:val="0"/>
          <w:sz w:val="24"/>
          <w:szCs w:val="24"/>
        </w:rPr>
        <w:t>对耐 CDK4/6 抑制剂和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联合治疗的乳腺癌细胞模型中关键信号转导蛋白进行蛋白质印迹分析。E.</w:t>
      </w:r>
      <w:r w:rsidRPr="00375456">
        <w:rPr>
          <w:rFonts w:ascii="微软雅黑" w:eastAsia="微软雅黑" w:hAnsi="微软雅黑" w:cs="宋体"/>
          <w:b/>
          <w:bCs/>
          <w:kern w:val="0"/>
          <w:sz w:val="24"/>
          <w:szCs w:val="24"/>
        </w:rPr>
        <w:t>对</w:t>
      </w:r>
      <w:proofErr w:type="gramStart"/>
      <w:r w:rsidRPr="00375456">
        <w:rPr>
          <w:rFonts w:ascii="微软雅黑" w:eastAsia="微软雅黑" w:hAnsi="微软雅黑" w:cs="宋体"/>
          <w:kern w:val="0"/>
          <w:sz w:val="24"/>
          <w:szCs w:val="24"/>
        </w:rPr>
        <w:t>耐氟维司群</w:t>
      </w:r>
      <w:proofErr w:type="gramEnd"/>
      <w:r w:rsidRPr="00375456">
        <w:rPr>
          <w:rFonts w:ascii="微软雅黑" w:eastAsia="微软雅黑" w:hAnsi="微软雅黑" w:cs="宋体"/>
          <w:kern w:val="0"/>
          <w:sz w:val="24"/>
          <w:szCs w:val="24"/>
        </w:rPr>
        <w:t>和 CDK4/6 抑制剂联合治疗的乳腺癌细胞模型中 p-AKT (S473) 和总 AKT 的表达进行蛋白质印迹分析。使用 ImageJ 软件对 p-AKT (S473) 和总 AKT 的蛋白质印迹条带进行密度分析。数据以曲线下面积 (AUC) 表示，并已</w:t>
      </w:r>
      <w:proofErr w:type="gramStart"/>
      <w:r w:rsidRPr="00375456">
        <w:rPr>
          <w:rFonts w:ascii="微软雅黑" w:eastAsia="微软雅黑" w:hAnsi="微软雅黑" w:cs="宋体"/>
          <w:kern w:val="0"/>
          <w:sz w:val="24"/>
          <w:szCs w:val="24"/>
        </w:rPr>
        <w:t>根据上样对照</w:t>
      </w:r>
      <w:proofErr w:type="gramEnd"/>
      <w:r w:rsidRPr="00375456">
        <w:rPr>
          <w:rFonts w:ascii="微软雅黑" w:eastAsia="微软雅黑" w:hAnsi="微软雅黑" w:cs="宋体"/>
          <w:kern w:val="0"/>
          <w:sz w:val="24"/>
          <w:szCs w:val="24"/>
        </w:rPr>
        <w:t>进行标准化。GAPDH 用作蛋白质印迹分析</w:t>
      </w:r>
      <w:proofErr w:type="gramStart"/>
      <w:r w:rsidRPr="00375456">
        <w:rPr>
          <w:rFonts w:ascii="微软雅黑" w:eastAsia="微软雅黑" w:hAnsi="微软雅黑" w:cs="宋体"/>
          <w:kern w:val="0"/>
          <w:sz w:val="24"/>
          <w:szCs w:val="24"/>
        </w:rPr>
        <w:t>的上样对照</w:t>
      </w:r>
      <w:proofErr w:type="gramEnd"/>
      <w:r w:rsidRPr="00375456">
        <w:rPr>
          <w:rFonts w:ascii="微软雅黑" w:eastAsia="微软雅黑" w:hAnsi="微软雅黑" w:cs="宋体"/>
          <w:kern w:val="0"/>
          <w:sz w:val="24"/>
          <w:szCs w:val="24"/>
        </w:rPr>
        <w:t>。所有蛋白质印迹均显示两个生物学重复的代表性结果。在用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w:t>
      </w:r>
      <w:proofErr w:type="spellStart"/>
      <w:r w:rsidRPr="00375456">
        <w:rPr>
          <w:rFonts w:ascii="微软雅黑" w:eastAsia="微软雅黑" w:hAnsi="微软雅黑" w:cs="宋体"/>
          <w:kern w:val="0"/>
          <w:sz w:val="24"/>
          <w:szCs w:val="24"/>
        </w:rPr>
        <w:t>Fulv</w:t>
      </w:r>
      <w:proofErr w:type="spellEnd"/>
      <w:r w:rsidRPr="00375456">
        <w:rPr>
          <w:rFonts w:ascii="微软雅黑" w:eastAsia="微软雅黑" w:hAnsi="微软雅黑" w:cs="宋体"/>
          <w:kern w:val="0"/>
          <w:sz w:val="24"/>
          <w:szCs w:val="24"/>
        </w:rPr>
        <w:t xml:space="preserve">，100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）、CDK4/6 抑制剂（CDK4/6i，帕博西尼，</w:t>
      </w:r>
      <w:r w:rsidRPr="00375456">
        <w:rPr>
          <w:rFonts w:ascii="微软雅黑" w:eastAsia="微软雅黑" w:hAnsi="微软雅黑" w:cs="宋体"/>
          <w:kern w:val="0"/>
          <w:sz w:val="24"/>
          <w:szCs w:val="24"/>
        </w:rPr>
        <w:lastRenderedPageBreak/>
        <w:t xml:space="preserve">200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）和 AKT 抑制剂（</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，卡</w:t>
      </w:r>
      <w:proofErr w:type="gramStart"/>
      <w:r w:rsidRPr="00375456">
        <w:rPr>
          <w:rFonts w:ascii="微软雅黑" w:eastAsia="微软雅黑" w:hAnsi="微软雅黑" w:cs="宋体"/>
          <w:kern w:val="0"/>
          <w:sz w:val="24"/>
          <w:szCs w:val="24"/>
        </w:rPr>
        <w:t>帕替尼</w:t>
      </w:r>
      <w:proofErr w:type="gramEnd"/>
      <w:r w:rsidRPr="00375456">
        <w:rPr>
          <w:rFonts w:ascii="微软雅黑" w:eastAsia="微软雅黑" w:hAnsi="微软雅黑" w:cs="宋体"/>
          <w:kern w:val="0"/>
          <w:sz w:val="24"/>
          <w:szCs w:val="24"/>
        </w:rPr>
        <w:t xml:space="preserve">，250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，MCF-7 细胞模型；100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，T47D 细胞模型）处理 3 天后，进行细胞凋亡检测和蛋白质收集以进行蛋白质印迹分析。</w:t>
      </w:r>
    </w:p>
    <w:p w14:paraId="63BF46EA"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为了进一步验证我们的体外实验结果（图 </w:t>
      </w:r>
      <w:hyperlink r:id="rId93" w:anchor="Fig4" w:history="1">
        <w:r w:rsidRPr="00375456">
          <w:rPr>
            <w:rFonts w:ascii="微软雅黑" w:eastAsia="微软雅黑" w:hAnsi="微软雅黑" w:cs="宋体"/>
            <w:kern w:val="0"/>
            <w:sz w:val="24"/>
            <w:szCs w:val="24"/>
            <w:u w:val="single"/>
          </w:rPr>
          <w:t>4A-J</w:t>
        </w:r>
      </w:hyperlink>
      <w:r w:rsidRPr="00375456">
        <w:rPr>
          <w:rFonts w:ascii="微软雅黑" w:eastAsia="微软雅黑" w:hAnsi="微软雅黑" w:cs="宋体"/>
          <w:kern w:val="0"/>
          <w:sz w:val="24"/>
          <w:szCs w:val="24"/>
        </w:rPr>
        <w:t>），我们比较了三联疗法和双联疗法在MPF-R肿瘤异种移植模型中的疗效。将MPF-R细胞原位移植到小鼠乳腺脂肪垫中，当肿瘤体积达到约100 mm³时</w:t>
      </w:r>
      <w:r w:rsidRPr="00375456">
        <w:rPr>
          <w:rFonts w:ascii="微软雅黑" w:eastAsia="微软雅黑" w:hAnsi="微软雅黑" w:cs="宋体"/>
          <w:kern w:val="0"/>
          <w:sz w:val="24"/>
          <w:szCs w:val="24"/>
          <w:vertAlign w:val="superscript"/>
        </w:rPr>
        <w:t>，</w:t>
      </w:r>
      <w:r w:rsidRPr="00375456">
        <w:rPr>
          <w:rFonts w:ascii="微软雅黑" w:eastAsia="微软雅黑" w:hAnsi="微软雅黑" w:cs="宋体"/>
          <w:kern w:val="0"/>
          <w:sz w:val="24"/>
          <w:szCs w:val="24"/>
        </w:rPr>
        <w:t>开始使用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（100 mg/kg）和CDK4/6抑制剂（50 mg/kg）联合或不联合</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（100 mg/kg）进行治疗，持续7周。虽然与载体组相比，双联疗法显著抑制了MPF-R肿瘤的生长，但未能诱导肿瘤消退（图 </w:t>
      </w:r>
      <w:hyperlink r:id="rId94" w:anchor="Fig6" w:history="1">
        <w:r w:rsidRPr="00375456">
          <w:rPr>
            <w:rFonts w:ascii="微软雅黑" w:eastAsia="微软雅黑" w:hAnsi="微软雅黑" w:cs="宋体"/>
            <w:kern w:val="0"/>
            <w:sz w:val="24"/>
            <w:szCs w:val="24"/>
            <w:u w:val="single"/>
          </w:rPr>
          <w:t>6A</w:t>
        </w:r>
      </w:hyperlink>
      <w:r w:rsidRPr="00375456">
        <w:rPr>
          <w:rFonts w:ascii="微软雅黑" w:eastAsia="微软雅黑" w:hAnsi="微软雅黑" w:cs="宋体"/>
          <w:kern w:val="0"/>
          <w:sz w:val="24"/>
          <w:szCs w:val="24"/>
        </w:rPr>
        <w:t>），这与在182R-1</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耐药肿瘤中观察到的显著肿瘤消退形成鲜明对比（图 </w:t>
      </w:r>
      <w:hyperlink r:id="rId95" w:anchor="Fig3" w:history="1">
        <w:r w:rsidRPr="00375456">
          <w:rPr>
            <w:rFonts w:ascii="微软雅黑" w:eastAsia="微软雅黑" w:hAnsi="微软雅黑" w:cs="宋体"/>
            <w:kern w:val="0"/>
            <w:sz w:val="24"/>
            <w:szCs w:val="24"/>
            <w:u w:val="single"/>
          </w:rPr>
          <w:t>3E</w:t>
        </w:r>
      </w:hyperlink>
      <w:r w:rsidRPr="00375456">
        <w:rPr>
          <w:rFonts w:ascii="微软雅黑" w:eastAsia="微软雅黑" w:hAnsi="微软雅黑" w:cs="宋体"/>
          <w:kern w:val="0"/>
          <w:sz w:val="24"/>
          <w:szCs w:val="24"/>
        </w:rPr>
        <w:t>）。这表明MPF-R细胞对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和CDK4/6抑制剂的标准联合疗法的敏感性降低。更重要的是，三联疗法在7周的治疗期间几乎完全抑制了肿瘤生长，而双联疗法治疗的肿瘤在5周后开始复发（图 </w:t>
      </w:r>
      <w:hyperlink r:id="rId96" w:anchor="Fig6" w:history="1">
        <w:r w:rsidRPr="00375456">
          <w:rPr>
            <w:rFonts w:ascii="微软雅黑" w:eastAsia="微软雅黑" w:hAnsi="微软雅黑" w:cs="宋体"/>
            <w:kern w:val="0"/>
            <w:sz w:val="24"/>
            <w:szCs w:val="24"/>
            <w:u w:val="single"/>
          </w:rPr>
          <w:t>6A</w:t>
        </w:r>
      </w:hyperlink>
      <w:r w:rsidRPr="00375456">
        <w:rPr>
          <w:rFonts w:ascii="微软雅黑" w:eastAsia="微软雅黑" w:hAnsi="微软雅黑" w:cs="宋体"/>
          <w:kern w:val="0"/>
          <w:sz w:val="24"/>
          <w:szCs w:val="24"/>
        </w:rPr>
        <w:t>）。此外，通过参数</w:t>
      </w:r>
      <w:r w:rsidRPr="00375456">
        <w:rPr>
          <w:rFonts w:ascii="微软雅黑" w:eastAsia="微软雅黑" w:hAnsi="微软雅黑" w:cs="宋体"/>
          <w:i/>
          <w:iCs/>
          <w:kern w:val="0"/>
          <w:sz w:val="24"/>
          <w:szCs w:val="24"/>
        </w:rPr>
        <w:t>t</w:t>
      </w:r>
      <w:r w:rsidRPr="00375456">
        <w:rPr>
          <w:rFonts w:ascii="微软雅黑" w:eastAsia="微软雅黑" w:hAnsi="微软雅黑" w:cs="宋体"/>
          <w:kern w:val="0"/>
          <w:sz w:val="24"/>
          <w:szCs w:val="24"/>
        </w:rPr>
        <w:t>检验和非参数Wilcoxon检验评估，在治疗终点，三联疗法组和双联疗法组小鼠的肿瘤大小和重量存在统计学显著差异（图 </w:t>
      </w:r>
      <w:hyperlink r:id="rId97" w:anchor="Fig6" w:history="1">
        <w:r w:rsidRPr="00375456">
          <w:rPr>
            <w:rFonts w:ascii="微软雅黑" w:eastAsia="微软雅黑" w:hAnsi="微软雅黑" w:cs="宋体"/>
            <w:kern w:val="0"/>
            <w:sz w:val="24"/>
            <w:szCs w:val="24"/>
            <w:u w:val="single"/>
          </w:rPr>
          <w:t>6A</w:t>
        </w:r>
      </w:hyperlink>
      <w:r w:rsidRPr="00375456">
        <w:rPr>
          <w:rFonts w:ascii="微软雅黑" w:eastAsia="微软雅黑" w:hAnsi="微软雅黑" w:cs="宋体"/>
          <w:kern w:val="0"/>
          <w:sz w:val="24"/>
          <w:szCs w:val="24"/>
        </w:rPr>
        <w:t>和补充图 </w:t>
      </w:r>
      <w:hyperlink r:id="rId98" w:anchor="MOESM1" w:history="1">
        <w:r w:rsidRPr="00375456">
          <w:rPr>
            <w:rFonts w:ascii="微软雅黑" w:eastAsia="微软雅黑" w:hAnsi="微软雅黑" w:cs="宋体"/>
            <w:kern w:val="0"/>
            <w:sz w:val="24"/>
            <w:szCs w:val="24"/>
            <w:u w:val="single"/>
          </w:rPr>
          <w:t>S8A</w:t>
        </w:r>
      </w:hyperlink>
      <w:r w:rsidRPr="00375456">
        <w:rPr>
          <w:rFonts w:ascii="微软雅黑" w:eastAsia="微软雅黑" w:hAnsi="微软雅黑" w:cs="宋体"/>
          <w:kern w:val="0"/>
          <w:sz w:val="24"/>
          <w:szCs w:val="24"/>
        </w:rPr>
        <w:t>）。我们还使用线性混合效应模型发现，双联疗法组和三联疗法组的肿瘤生长速率存在统计学显著差异（GR 13.36，</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0.0001，CI 8.41–18.29）。</w:t>
      </w:r>
    </w:p>
    <w:p w14:paraId="3C10649C" w14:textId="77777777" w:rsidR="00375456" w:rsidRPr="00375456" w:rsidRDefault="00375456" w:rsidP="00375456">
      <w:pPr>
        <w:widowControl/>
        <w:spacing w:line="450" w:lineRule="atLeast"/>
        <w:outlineLvl w:val="3"/>
        <w:rPr>
          <w:rFonts w:ascii="微软雅黑" w:eastAsia="微软雅黑" w:hAnsi="微软雅黑" w:cs="宋体"/>
          <w:kern w:val="0"/>
          <w:sz w:val="30"/>
          <w:szCs w:val="30"/>
        </w:rPr>
      </w:pPr>
      <w:r w:rsidRPr="00375456">
        <w:rPr>
          <w:rFonts w:ascii="微软雅黑" w:eastAsia="微软雅黑" w:hAnsi="微软雅黑" w:cs="宋体"/>
          <w:kern w:val="0"/>
          <w:sz w:val="30"/>
          <w:szCs w:val="30"/>
        </w:rPr>
        <w:t xml:space="preserve">图 6. </w:t>
      </w:r>
      <w:proofErr w:type="gramStart"/>
      <w:r w:rsidRPr="00375456">
        <w:rPr>
          <w:rFonts w:ascii="微软雅黑" w:eastAsia="微软雅黑" w:hAnsi="微软雅黑" w:cs="宋体"/>
          <w:kern w:val="0"/>
          <w:sz w:val="30"/>
          <w:szCs w:val="30"/>
        </w:rPr>
        <w:t>氟维司群</w:t>
      </w:r>
      <w:proofErr w:type="gramEnd"/>
      <w:r w:rsidRPr="00375456">
        <w:rPr>
          <w:rFonts w:ascii="微软雅黑" w:eastAsia="微软雅黑" w:hAnsi="微软雅黑" w:cs="宋体"/>
          <w:kern w:val="0"/>
          <w:sz w:val="30"/>
          <w:szCs w:val="30"/>
        </w:rPr>
        <w:t xml:space="preserve">、CDK4/6i 和 </w:t>
      </w:r>
      <w:proofErr w:type="spellStart"/>
      <w:r w:rsidRPr="00375456">
        <w:rPr>
          <w:rFonts w:ascii="微软雅黑" w:eastAsia="微软雅黑" w:hAnsi="微软雅黑" w:cs="宋体"/>
          <w:kern w:val="0"/>
          <w:sz w:val="30"/>
          <w:szCs w:val="30"/>
        </w:rPr>
        <w:t>AKTi</w:t>
      </w:r>
      <w:proofErr w:type="spellEnd"/>
      <w:r w:rsidRPr="00375456">
        <w:rPr>
          <w:rFonts w:ascii="微软雅黑" w:eastAsia="微软雅黑" w:hAnsi="微软雅黑" w:cs="宋体"/>
          <w:kern w:val="0"/>
          <w:sz w:val="30"/>
          <w:szCs w:val="30"/>
        </w:rPr>
        <w:t xml:space="preserve"> 联合用药对 CDK4/6i 和</w:t>
      </w:r>
      <w:proofErr w:type="gramStart"/>
      <w:r w:rsidRPr="00375456">
        <w:rPr>
          <w:rFonts w:ascii="微软雅黑" w:eastAsia="微软雅黑" w:hAnsi="微软雅黑" w:cs="宋体"/>
          <w:kern w:val="0"/>
          <w:sz w:val="30"/>
          <w:szCs w:val="30"/>
        </w:rPr>
        <w:t>氟维司群</w:t>
      </w:r>
      <w:proofErr w:type="gramEnd"/>
      <w:r w:rsidRPr="00375456">
        <w:rPr>
          <w:rFonts w:ascii="微软雅黑" w:eastAsia="微软雅黑" w:hAnsi="微软雅黑" w:cs="宋体"/>
          <w:kern w:val="0"/>
          <w:sz w:val="30"/>
          <w:szCs w:val="30"/>
        </w:rPr>
        <w:t>联合用药耐药的肿瘤异种移植有效。</w:t>
      </w:r>
    </w:p>
    <w:p w14:paraId="5BF09A33" w14:textId="1793156A"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noProof/>
          <w:kern w:val="0"/>
          <w:sz w:val="24"/>
          <w:szCs w:val="24"/>
        </w:rPr>
        <w:lastRenderedPageBreak/>
        <w:drawing>
          <wp:inline distT="0" distB="0" distL="0" distR="0" wp14:anchorId="7B3B0C4E" wp14:editId="3C39FC5B">
            <wp:extent cx="5274310" cy="3107055"/>
            <wp:effectExtent l="0" t="0" r="2540" b="0"/>
            <wp:docPr id="2" name="图片 2" descr="图 6">
              <a:hlinkClick xmlns:a="http://schemas.openxmlformats.org/drawingml/2006/main" r:id="rId9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1241" descr="图 6">
                      <a:hlinkClick r:id="rId99" tgtFrame="&quot;_blank&quot;"/>
                    </pic:cNvPr>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274310" cy="3107055"/>
                    </a:xfrm>
                    <a:prstGeom prst="rect">
                      <a:avLst/>
                    </a:prstGeom>
                    <a:noFill/>
                    <a:ln>
                      <a:noFill/>
                    </a:ln>
                  </pic:spPr>
                </pic:pic>
              </a:graphicData>
            </a:graphic>
          </wp:inline>
        </w:drawing>
      </w:r>
    </w:p>
    <w:p w14:paraId="3490AFAC"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b/>
          <w:bCs/>
          <w:kern w:val="0"/>
          <w:sz w:val="24"/>
          <w:szCs w:val="24"/>
        </w:rPr>
        <w:t>图示</w:t>
      </w:r>
      <w:r w:rsidRPr="00375456">
        <w:rPr>
          <w:rFonts w:ascii="微软雅黑" w:eastAsia="微软雅黑" w:hAnsi="微软雅黑" w:cs="宋体"/>
          <w:kern w:val="0"/>
          <w:sz w:val="24"/>
          <w:szCs w:val="24"/>
        </w:rPr>
        <w:t>为接受 CDK4/6 抑制剂（CDK4/6i，帕博西尼，50 mg/kg 体重）联合</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w:t>
      </w:r>
      <w:proofErr w:type="spellStart"/>
      <w:r w:rsidRPr="00375456">
        <w:rPr>
          <w:rFonts w:ascii="微软雅黑" w:eastAsia="微软雅黑" w:hAnsi="微软雅黑" w:cs="宋体"/>
          <w:kern w:val="0"/>
          <w:sz w:val="24"/>
          <w:szCs w:val="24"/>
        </w:rPr>
        <w:t>Fulv</w:t>
      </w:r>
      <w:proofErr w:type="spellEnd"/>
      <w:r w:rsidRPr="00375456">
        <w:rPr>
          <w:rFonts w:ascii="微软雅黑" w:eastAsia="微软雅黑" w:hAnsi="微软雅黑" w:cs="宋体"/>
          <w:kern w:val="0"/>
          <w:sz w:val="24"/>
          <w:szCs w:val="24"/>
        </w:rPr>
        <w:t>，100 mg/kg 体重；</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9）或联合 AKT 抑制剂（</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，卡</w:t>
      </w:r>
      <w:proofErr w:type="gramStart"/>
      <w:r w:rsidRPr="00375456">
        <w:rPr>
          <w:rFonts w:ascii="微软雅黑" w:eastAsia="微软雅黑" w:hAnsi="微软雅黑" w:cs="宋体"/>
          <w:kern w:val="0"/>
          <w:sz w:val="24"/>
          <w:szCs w:val="24"/>
        </w:rPr>
        <w:t>帕替尼</w:t>
      </w:r>
      <w:proofErr w:type="gramEnd"/>
      <w:r w:rsidRPr="00375456">
        <w:rPr>
          <w:rFonts w:ascii="微软雅黑" w:eastAsia="微软雅黑" w:hAnsi="微软雅黑" w:cs="宋体"/>
          <w:kern w:val="0"/>
          <w:sz w:val="24"/>
          <w:szCs w:val="24"/>
        </w:rPr>
        <w:t>，100 mg/kg 体重）和</w:t>
      </w:r>
      <w:proofErr w:type="gramStart"/>
      <w:r w:rsidRPr="00375456">
        <w:rPr>
          <w:rFonts w:ascii="微软雅黑" w:eastAsia="微软雅黑" w:hAnsi="微软雅黑" w:cs="宋体"/>
          <w:kern w:val="0"/>
          <w:sz w:val="24"/>
          <w:szCs w:val="24"/>
        </w:rPr>
        <w:t>氟维</w:t>
      </w:r>
      <w:proofErr w:type="gramEnd"/>
      <w:r w:rsidRPr="00375456">
        <w:rPr>
          <w:rFonts w:ascii="微软雅黑" w:eastAsia="微软雅黑" w:hAnsi="微软雅黑" w:cs="宋体"/>
          <w:kern w:val="0"/>
          <w:sz w:val="24"/>
          <w:szCs w:val="24"/>
        </w:rPr>
        <w:t>司群（</w:t>
      </w:r>
      <w:proofErr w:type="spellStart"/>
      <w:r w:rsidRPr="00375456">
        <w:rPr>
          <w:rFonts w:ascii="微软雅黑" w:eastAsia="微软雅黑" w:hAnsi="微软雅黑" w:cs="宋体"/>
          <w:kern w:val="0"/>
          <w:sz w:val="24"/>
          <w:szCs w:val="24"/>
        </w:rPr>
        <w:t>Fulv</w:t>
      </w:r>
      <w:proofErr w:type="spellEnd"/>
      <w:r w:rsidRPr="00375456">
        <w:rPr>
          <w:rFonts w:ascii="微软雅黑" w:eastAsia="微软雅黑" w:hAnsi="微软雅黑" w:cs="宋体"/>
          <w:kern w:val="0"/>
          <w:sz w:val="24"/>
          <w:szCs w:val="24"/>
        </w:rPr>
        <w:t>，100 mg/kg 体重；</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10）治疗的原位 MPF-R 肿瘤的生长曲线，或接受赋形剂（蓖麻油和 25% w/v HPB 环糊精；</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xml:space="preserve">= 10）治疗的病例。CDK4/6i 和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均采用灌胃法给药，每日一次，每周 5 天；</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则采用皮下注射，每周一次。当肿瘤体积达到 100 mm³ 时开始治疗</w:t>
      </w:r>
      <w:r w:rsidRPr="00375456">
        <w:rPr>
          <w:rFonts w:ascii="微软雅黑" w:eastAsia="微软雅黑" w:hAnsi="微软雅黑" w:cs="宋体"/>
          <w:kern w:val="0"/>
          <w:sz w:val="24"/>
          <w:szCs w:val="24"/>
          <w:vertAlign w:val="superscript"/>
        </w:rPr>
        <w:t>，</w:t>
      </w:r>
      <w:r w:rsidRPr="00375456">
        <w:rPr>
          <w:rFonts w:ascii="微软雅黑" w:eastAsia="微软雅黑" w:hAnsi="微软雅黑" w:cs="宋体"/>
          <w:kern w:val="0"/>
          <w:sz w:val="24"/>
          <w:szCs w:val="24"/>
        </w:rPr>
        <w:t>疗程最长为 7 周。由于对照组小鼠肿瘤体积过大，于第6周处死并切除肿瘤；双联组和三联组小鼠于第7周处死并切除肿瘤。数据以平均肿瘤体积±标准误（SEM）表示。星号表示终点时</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双尾</w:t>
      </w:r>
      <w:r w:rsidRPr="00375456">
        <w:rPr>
          <w:rFonts w:ascii="微软雅黑" w:eastAsia="微软雅黑" w:hAnsi="微软雅黑" w:cs="宋体"/>
          <w:i/>
          <w:iCs/>
          <w:kern w:val="0"/>
          <w:sz w:val="24"/>
          <w:szCs w:val="24"/>
        </w:rPr>
        <w:t>t检验的显著性差异（*0.01 &lt; 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0.05，**0.001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0.01，***0.0001 &lt;</w:t>
      </w:r>
      <w:r w:rsidRPr="00375456">
        <w:rPr>
          <w:rFonts w:ascii="MS Gothic" w:eastAsia="MS Gothic" w:hAnsi="MS Gothic" w:cs="MS Gothic" w:hint="eastAsia"/>
          <w:kern w:val="0"/>
          <w:sz w:val="24"/>
          <w:szCs w:val="24"/>
        </w:rPr>
        <w:t> </w:t>
      </w:r>
      <w:r w:rsidRPr="00375456">
        <w:rPr>
          <w:rFonts w:ascii="微软雅黑" w:eastAsia="微软雅黑" w:hAnsi="微软雅黑" w:cs="宋体" w:hint="eastAsia"/>
          <w:kern w:val="0"/>
          <w:sz w:val="24"/>
          <w:szCs w:val="24"/>
        </w:rPr>
        <w:t>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0.001，**** </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0.0001）。B</w:t>
      </w:r>
      <w:r w:rsidRPr="00375456">
        <w:rPr>
          <w:rFonts w:ascii="微软雅黑" w:eastAsia="微软雅黑" w:hAnsi="微软雅黑" w:cs="宋体"/>
          <w:b/>
          <w:bCs/>
          <w:kern w:val="0"/>
          <w:sz w:val="24"/>
          <w:szCs w:val="24"/>
        </w:rPr>
        <w:t>图为</w:t>
      </w:r>
      <w:r w:rsidRPr="00375456">
        <w:rPr>
          <w:rFonts w:ascii="微软雅黑" w:eastAsia="微软雅黑" w:hAnsi="微软雅黑" w:cs="宋体"/>
          <w:kern w:val="0"/>
          <w:sz w:val="24"/>
          <w:szCs w:val="24"/>
        </w:rPr>
        <w:t>各治疗组小鼠处死时切除的3个肿瘤中关键信号转导蛋白的Western blot分析结果。GAPDH</w:t>
      </w:r>
      <w:proofErr w:type="gramStart"/>
      <w:r w:rsidRPr="00375456">
        <w:rPr>
          <w:rFonts w:ascii="微软雅黑" w:eastAsia="微软雅黑" w:hAnsi="微软雅黑" w:cs="宋体"/>
          <w:kern w:val="0"/>
          <w:sz w:val="24"/>
          <w:szCs w:val="24"/>
        </w:rPr>
        <w:t>用作上样对照</w:t>
      </w:r>
      <w:proofErr w:type="gramEnd"/>
      <w:r w:rsidRPr="00375456">
        <w:rPr>
          <w:rFonts w:ascii="微软雅黑" w:eastAsia="微软雅黑" w:hAnsi="微软雅黑" w:cs="宋体"/>
          <w:kern w:val="0"/>
          <w:sz w:val="24"/>
          <w:szCs w:val="24"/>
        </w:rPr>
        <w:t>。图中所示为两个独立实验的代表性结果。</w:t>
      </w:r>
      <w:r w:rsidRPr="00375456">
        <w:rPr>
          <w:rFonts w:ascii="微软雅黑" w:eastAsia="微软雅黑" w:hAnsi="微软雅黑" w:cs="宋体"/>
          <w:b/>
          <w:bCs/>
          <w:kern w:val="0"/>
          <w:sz w:val="24"/>
          <w:szCs w:val="24"/>
        </w:rPr>
        <w:t>C</w:t>
      </w:r>
      <w:r w:rsidRPr="00375456">
        <w:rPr>
          <w:rFonts w:ascii="微软雅黑" w:eastAsia="微软雅黑" w:hAnsi="微软雅黑" w:cs="宋体"/>
          <w:kern w:val="0"/>
          <w:sz w:val="24"/>
          <w:szCs w:val="24"/>
        </w:rPr>
        <w:t>未经治疗的亲代 PDX KCC_P_3837（蓝色）和接受 CDK4/6i 帕博西尼（25 mg/kg，溶于 2.5% DMSO、25% β-环糊精，每周 5 天，通过灌胃给药）和</w:t>
      </w:r>
      <w:proofErr w:type="gramStart"/>
      <w:r w:rsidRPr="00375456">
        <w:rPr>
          <w:rFonts w:ascii="微软雅黑" w:eastAsia="微软雅黑" w:hAnsi="微软雅黑" w:cs="宋体"/>
          <w:kern w:val="0"/>
          <w:sz w:val="24"/>
          <w:szCs w:val="24"/>
        </w:rPr>
        <w:t>氟</w:t>
      </w:r>
      <w:r w:rsidRPr="00375456">
        <w:rPr>
          <w:rFonts w:ascii="微软雅黑" w:eastAsia="微软雅黑" w:hAnsi="微软雅黑" w:cs="宋体"/>
          <w:kern w:val="0"/>
          <w:sz w:val="24"/>
          <w:szCs w:val="24"/>
        </w:rPr>
        <w:lastRenderedPageBreak/>
        <w:t>维</w:t>
      </w:r>
      <w:proofErr w:type="gramEnd"/>
      <w:r w:rsidRPr="00375456">
        <w:rPr>
          <w:rFonts w:ascii="微软雅黑" w:eastAsia="微软雅黑" w:hAnsi="微软雅黑" w:cs="宋体"/>
          <w:kern w:val="0"/>
          <w:sz w:val="24"/>
          <w:szCs w:val="24"/>
        </w:rPr>
        <w:t>司群（100 mg/kg，溶于蓖麻油，每周一次，通过皮下注射）联合治疗的亲代 PDX KCC_P_3837-FPR（红色）的肿瘤体积随时间的变化，这是在连续暴露于帕博西尼和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的第三代时的肿瘤体积。</w:t>
      </w:r>
      <w:r w:rsidRPr="00375456">
        <w:rPr>
          <w:rFonts w:ascii="微软雅黑" w:eastAsia="微软雅黑" w:hAnsi="微软雅黑" w:cs="宋体"/>
          <w:b/>
          <w:bCs/>
          <w:kern w:val="0"/>
          <w:sz w:val="24"/>
          <w:szCs w:val="24"/>
        </w:rPr>
        <w:t>D.</w:t>
      </w:r>
      <w:r w:rsidRPr="00375456">
        <w:rPr>
          <w:rFonts w:ascii="微软雅黑" w:eastAsia="微软雅黑" w:hAnsi="微软雅黑" w:cs="宋体"/>
          <w:kern w:val="0"/>
          <w:sz w:val="24"/>
          <w:szCs w:val="24"/>
        </w:rPr>
        <w:t xml:space="preserve"> PDX KCC_P_3837-FPR（对 CDK4/6 抑制剂和氟维司群联合治疗耐药）在接受 CDK4/6 抑制剂和氟维司群联合治疗，或不联合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卡帕替尼（100 mg/kg，溶于 2.5% DMSO 和 25% β-环糊精溶液中，每周 5 天，灌胃给药）治疗下的 Kaplan-Meier 生存曲线（分别为</w:t>
      </w:r>
      <w:proofErr w:type="gramStart"/>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w:t>
      </w:r>
      <w:proofErr w:type="gramEnd"/>
      <w:r w:rsidRPr="00375456">
        <w:rPr>
          <w:rFonts w:ascii="微软雅黑" w:eastAsia="微软雅黑" w:hAnsi="微软雅黑" w:cs="宋体"/>
          <w:kern w:val="0"/>
          <w:sz w:val="24"/>
          <w:szCs w:val="24"/>
        </w:rPr>
        <w:t xml:space="preserve"> 5 和</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 4）。疾病进展定义为肿瘤最短径生长至至少 5 mm。</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采用对数秩检验计算</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双侧</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值（</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&lt; 0.05） 。E、</w:t>
      </w:r>
      <w:r w:rsidRPr="00375456">
        <w:rPr>
          <w:rFonts w:ascii="微软雅黑" w:eastAsia="微软雅黑" w:hAnsi="微软雅黑" w:cs="宋体"/>
          <w:b/>
          <w:bCs/>
          <w:kern w:val="0"/>
          <w:sz w:val="24"/>
          <w:szCs w:val="24"/>
        </w:rPr>
        <w:t>F .</w:t>
      </w:r>
      <w:r w:rsidRPr="00375456">
        <w:rPr>
          <w:rFonts w:ascii="微软雅黑" w:eastAsia="微软雅黑" w:hAnsi="微软雅黑" w:cs="宋体"/>
          <w:kern w:val="0"/>
          <w:sz w:val="24"/>
          <w:szCs w:val="24"/>
        </w:rPr>
        <w:t>使用实验性转移模型评估终点（6 周）时转移</w:t>
      </w:r>
      <w:proofErr w:type="gramStart"/>
      <w:r w:rsidRPr="00375456">
        <w:rPr>
          <w:rFonts w:ascii="微软雅黑" w:eastAsia="微软雅黑" w:hAnsi="微软雅黑" w:cs="宋体"/>
          <w:kern w:val="0"/>
          <w:sz w:val="24"/>
          <w:szCs w:val="24"/>
        </w:rPr>
        <w:t>灶面积</w:t>
      </w:r>
      <w:proofErr w:type="gramEnd"/>
      <w:r w:rsidRPr="00375456">
        <w:rPr>
          <w:rFonts w:ascii="微软雅黑" w:eastAsia="微软雅黑" w:hAnsi="微软雅黑" w:cs="宋体"/>
          <w:kern w:val="0"/>
          <w:sz w:val="24"/>
          <w:szCs w:val="24"/>
        </w:rPr>
        <w:t xml:space="preserve"> &gt; 2500 µm²相对于肺面积的</w:t>
      </w:r>
      <w:r w:rsidRPr="00375456">
        <w:rPr>
          <w:rFonts w:ascii="微软雅黑" w:eastAsia="微软雅黑" w:hAnsi="微软雅黑" w:cs="宋体"/>
          <w:kern w:val="0"/>
          <w:sz w:val="24"/>
          <w:szCs w:val="24"/>
          <w:vertAlign w:val="superscript"/>
        </w:rPr>
        <w:t>比例</w:t>
      </w:r>
      <w:r w:rsidRPr="00375456">
        <w:rPr>
          <w:rFonts w:ascii="微软雅黑" w:eastAsia="微软雅黑" w:hAnsi="微软雅黑" w:cs="宋体"/>
          <w:kern w:val="0"/>
          <w:sz w:val="24"/>
          <w:szCs w:val="24"/>
        </w:rPr>
        <w:t>。 MPF-R 肿瘤采用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（100 mg/Kg 体重）联合 CDK4/6 抑制剂（帕博西尼，25 mg/Kg 体重）治疗；</w:t>
      </w:r>
      <w:r w:rsidRPr="00375456">
        <w:rPr>
          <w:rFonts w:ascii="微软雅黑" w:eastAsia="微软雅黑" w:hAnsi="微软雅黑" w:cs="宋体"/>
          <w:i/>
          <w:iCs/>
          <w:kern w:val="0"/>
          <w:sz w:val="24"/>
          <w:szCs w:val="24"/>
        </w:rPr>
        <w:t>N</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（n=10），</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（卡</w:t>
      </w:r>
      <w:proofErr w:type="gramStart"/>
      <w:r w:rsidRPr="00375456">
        <w:rPr>
          <w:rFonts w:ascii="微软雅黑" w:eastAsia="微软雅黑" w:hAnsi="微软雅黑" w:cs="宋体"/>
          <w:kern w:val="0"/>
          <w:sz w:val="24"/>
          <w:szCs w:val="24"/>
        </w:rPr>
        <w:t>伐替尼</w:t>
      </w:r>
      <w:proofErr w:type="gramEnd"/>
      <w:r w:rsidRPr="00375456">
        <w:rPr>
          <w:rFonts w:ascii="微软雅黑" w:eastAsia="微软雅黑" w:hAnsi="微软雅黑" w:cs="宋体"/>
          <w:kern w:val="0"/>
          <w:sz w:val="24"/>
          <w:szCs w:val="24"/>
        </w:rPr>
        <w:t>，100 mg/kg体重；</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=10），或三联疗法（</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=9）。TPF-R肿瘤采用相同剂量的</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和CDK4/6抑制剂以及50 mg/kg体重的</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治疗（</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联合CDK4/6抑制剂组</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=7，</w:t>
      </w:r>
      <w:r w:rsidRPr="00375456">
        <w:rPr>
          <w:rFonts w:ascii="MS Gothic" w:eastAsia="MS Gothic" w:hAnsi="MS Gothic" w:cs="MS Gothic" w:hint="eastAsia"/>
          <w:kern w:val="0"/>
          <w:sz w:val="24"/>
          <w:szCs w:val="24"/>
        </w:rPr>
        <w:t> </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组</w:t>
      </w:r>
      <w:r w:rsidRPr="00375456">
        <w:rPr>
          <w:rFonts w:ascii="微软雅黑" w:eastAsia="微软雅黑" w:hAnsi="微软雅黑" w:cs="宋体"/>
          <w:i/>
          <w:iCs/>
          <w:kern w:val="0"/>
          <w:sz w:val="24"/>
          <w:szCs w:val="24"/>
        </w:rPr>
        <w:t>n =10，三联疗法组n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=10）。CDK4/6抑制剂和</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采用灌胃法给药，每日一次，每周5天；</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采用皮下注射法给药，每周一次。治疗于尾静脉注射细胞前3天开始，持续至多6周。数据以均值±标准误（SEM）表示。显著性差异采用双尾Mann-Whitney U检验进行评估。</w:t>
      </w:r>
      <w:r w:rsidRPr="00375456">
        <w:rPr>
          <w:rFonts w:ascii="微软雅黑" w:eastAsia="微软雅黑" w:hAnsi="微软雅黑" w:cs="宋体"/>
          <w:b/>
          <w:bCs/>
          <w:kern w:val="0"/>
          <w:sz w:val="24"/>
          <w:szCs w:val="24"/>
        </w:rPr>
        <w:t>G</w:t>
      </w:r>
      <w:r w:rsidRPr="00375456">
        <w:rPr>
          <w:rFonts w:ascii="微软雅黑" w:eastAsia="微软雅黑" w:hAnsi="微软雅黑" w:cs="宋体"/>
          <w:kern w:val="0"/>
          <w:sz w:val="24"/>
          <w:szCs w:val="24"/>
        </w:rPr>
        <w:t>各治疗组小鼠肺中 MPF-R 和 TPF-R 肿瘤的代表性显微照片，显示免疫组织化学法检测的细胞角蛋白表达（比例尺，200 µm）。</w:t>
      </w:r>
    </w:p>
    <w:p w14:paraId="2DB03BCB"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此外，我们观察到，在接受三联疗法治疗的MPF-R肿瘤中，ER、p-Rb、p-AKT、p-PRAS40和p-S6的水平发生了显著变化（图 </w:t>
      </w:r>
      <w:hyperlink r:id="rId101" w:anchor="Fig6" w:history="1">
        <w:r w:rsidRPr="00375456">
          <w:rPr>
            <w:rFonts w:ascii="微软雅黑" w:eastAsia="微软雅黑" w:hAnsi="微软雅黑" w:cs="宋体"/>
            <w:kern w:val="0"/>
            <w:sz w:val="24"/>
            <w:szCs w:val="24"/>
            <w:u w:val="single"/>
          </w:rPr>
          <w:t>6B</w:t>
        </w:r>
      </w:hyperlink>
      <w:r w:rsidRPr="00375456">
        <w:rPr>
          <w:rFonts w:ascii="微软雅黑" w:eastAsia="微软雅黑" w:hAnsi="微软雅黑" w:cs="宋体"/>
          <w:kern w:val="0"/>
          <w:sz w:val="24"/>
          <w:szCs w:val="24"/>
        </w:rPr>
        <w:t>和补充图 </w:t>
      </w:r>
      <w:hyperlink r:id="rId102" w:anchor="MOESM1" w:history="1">
        <w:r w:rsidRPr="00375456">
          <w:rPr>
            <w:rFonts w:ascii="微软雅黑" w:eastAsia="微软雅黑" w:hAnsi="微软雅黑" w:cs="宋体"/>
            <w:kern w:val="0"/>
            <w:sz w:val="24"/>
            <w:szCs w:val="24"/>
            <w:u w:val="single"/>
          </w:rPr>
          <w:t>S8B</w:t>
        </w:r>
      </w:hyperlink>
      <w:r w:rsidRPr="00375456">
        <w:rPr>
          <w:rFonts w:ascii="微软雅黑" w:eastAsia="微软雅黑" w:hAnsi="微软雅黑" w:cs="宋体"/>
          <w:kern w:val="0"/>
          <w:sz w:val="24"/>
          <w:szCs w:val="24"/>
        </w:rPr>
        <w:t>），这与我们</w:t>
      </w:r>
      <w:r w:rsidRPr="00375456">
        <w:rPr>
          <w:rFonts w:ascii="微软雅黑" w:eastAsia="微软雅黑" w:hAnsi="微软雅黑" w:cs="宋体"/>
          <w:kern w:val="0"/>
          <w:sz w:val="24"/>
          <w:szCs w:val="24"/>
        </w:rPr>
        <w:lastRenderedPageBreak/>
        <w:t>的体外实验结果相似（图 </w:t>
      </w:r>
      <w:hyperlink r:id="rId103" w:anchor="Fig5" w:history="1">
        <w:r w:rsidRPr="00375456">
          <w:rPr>
            <w:rFonts w:ascii="微软雅黑" w:eastAsia="微软雅黑" w:hAnsi="微软雅黑" w:cs="宋体"/>
            <w:kern w:val="0"/>
            <w:sz w:val="24"/>
            <w:szCs w:val="24"/>
            <w:u w:val="single"/>
          </w:rPr>
          <w:t>5D</w:t>
        </w:r>
      </w:hyperlink>
      <w:r w:rsidRPr="00375456">
        <w:rPr>
          <w:rFonts w:ascii="微软雅黑" w:eastAsia="微软雅黑" w:hAnsi="微软雅黑" w:cs="宋体"/>
          <w:kern w:val="0"/>
          <w:sz w:val="24"/>
          <w:szCs w:val="24"/>
        </w:rPr>
        <w:t>）。虽然未观察到cleaved caspase-3表达的显著变化，但与双联疗法相比，在接受三联疗法治疗的MPF-R肿瘤中，增殖标志物Ki67的表达降低（补充图 </w:t>
      </w:r>
      <w:hyperlink r:id="rId104" w:anchor="MOESM1" w:history="1">
        <w:r w:rsidRPr="00375456">
          <w:rPr>
            <w:rFonts w:ascii="微软雅黑" w:eastAsia="微软雅黑" w:hAnsi="微软雅黑" w:cs="宋体"/>
            <w:kern w:val="0"/>
            <w:sz w:val="24"/>
            <w:szCs w:val="24"/>
            <w:u w:val="single"/>
          </w:rPr>
          <w:t>S8C-D</w:t>
        </w:r>
      </w:hyperlink>
      <w:r w:rsidRPr="00375456">
        <w:rPr>
          <w:rFonts w:ascii="微软雅黑" w:eastAsia="微软雅黑" w:hAnsi="微软雅黑" w:cs="宋体"/>
          <w:kern w:val="0"/>
          <w:sz w:val="24"/>
          <w:szCs w:val="24"/>
        </w:rPr>
        <w:t>），这也与我们的体外实验结果一致（图 </w:t>
      </w:r>
      <w:hyperlink r:id="rId105" w:anchor="Fig4" w:history="1">
        <w:r w:rsidRPr="00375456">
          <w:rPr>
            <w:rFonts w:ascii="微软雅黑" w:eastAsia="微软雅黑" w:hAnsi="微软雅黑" w:cs="宋体"/>
            <w:kern w:val="0"/>
            <w:sz w:val="24"/>
            <w:szCs w:val="24"/>
            <w:u w:val="single"/>
          </w:rPr>
          <w:t>4A-D</w:t>
        </w:r>
      </w:hyperlink>
      <w:r w:rsidRPr="00375456">
        <w:rPr>
          <w:rFonts w:ascii="微软雅黑" w:eastAsia="微软雅黑" w:hAnsi="微软雅黑" w:cs="宋体"/>
          <w:kern w:val="0"/>
          <w:sz w:val="24"/>
          <w:szCs w:val="24"/>
        </w:rPr>
        <w:t>）。此外，HE染色显示，用CDK4/6i和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联合治疗的肿瘤主要由活体肿瘤组织构成，而用三联疗法治疗的肿瘤较小，含有较大面积的变性和反应性纤维化（在所示圆圈内）或较小面积的变性和脂质浸润，周围环绕着活体肿瘤组织（补充图 </w:t>
      </w:r>
      <w:hyperlink r:id="rId106" w:anchor="MOESM1" w:history="1">
        <w:r w:rsidRPr="00375456">
          <w:rPr>
            <w:rFonts w:ascii="微软雅黑" w:eastAsia="微软雅黑" w:hAnsi="微软雅黑" w:cs="宋体"/>
            <w:kern w:val="0"/>
            <w:sz w:val="24"/>
            <w:szCs w:val="24"/>
            <w:u w:val="single"/>
          </w:rPr>
          <w:t>S8C</w:t>
        </w:r>
      </w:hyperlink>
      <w:r w:rsidRPr="00375456">
        <w:rPr>
          <w:rFonts w:ascii="微软雅黑" w:eastAsia="微软雅黑" w:hAnsi="微软雅黑" w:cs="宋体"/>
          <w:kern w:val="0"/>
          <w:sz w:val="24"/>
          <w:szCs w:val="24"/>
        </w:rPr>
        <w:t>）。</w:t>
      </w:r>
    </w:p>
    <w:p w14:paraId="5CF29A35"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 xml:space="preserve">接下来，我们评估了三联疗法联合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在对 CDK4/6 抑制剂和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联合治疗耐药的 PDX 模型（KCC_P_3837-FPR）中的疗效。该模型是通过将 PDX KCC_P_3837 肿瘤连续三代暴露于帕博西尼和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联合治疗而构建的（图 </w:t>
      </w:r>
      <w:hyperlink r:id="rId107" w:anchor="Fig6" w:history="1">
        <w:r w:rsidRPr="00375456">
          <w:rPr>
            <w:rFonts w:ascii="微软雅黑" w:eastAsia="微软雅黑" w:hAnsi="微软雅黑" w:cs="宋体"/>
            <w:kern w:val="0"/>
            <w:sz w:val="24"/>
            <w:szCs w:val="24"/>
            <w:u w:val="single"/>
          </w:rPr>
          <w:t>6C</w:t>
        </w:r>
      </w:hyperlink>
      <w:r w:rsidRPr="00375456">
        <w:rPr>
          <w:rFonts w:ascii="微软雅黑" w:eastAsia="微软雅黑" w:hAnsi="微软雅黑" w:cs="宋体"/>
          <w:kern w:val="0"/>
          <w:sz w:val="24"/>
          <w:szCs w:val="24"/>
        </w:rPr>
        <w:t>）。我们观察到，与 CDK4/6 抑制剂和</w:t>
      </w:r>
      <w:proofErr w:type="gramStart"/>
      <w:r w:rsidRPr="00375456">
        <w:rPr>
          <w:rFonts w:ascii="微软雅黑" w:eastAsia="微软雅黑" w:hAnsi="微软雅黑" w:cs="宋体"/>
          <w:kern w:val="0"/>
          <w:sz w:val="24"/>
          <w:szCs w:val="24"/>
        </w:rPr>
        <w:t>氟维</w:t>
      </w:r>
      <w:proofErr w:type="gramEnd"/>
      <w:r w:rsidRPr="00375456">
        <w:rPr>
          <w:rFonts w:ascii="微软雅黑" w:eastAsia="微软雅黑" w:hAnsi="微软雅黑" w:cs="宋体"/>
          <w:kern w:val="0"/>
          <w:sz w:val="24"/>
          <w:szCs w:val="24"/>
        </w:rPr>
        <w:t>司</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群联合治疗组相比，三联疗法治疗的 PDX KCC_P_3837-FPR 小鼠的无进展生存期（PFS）显著延长 （ </w:t>
      </w:r>
      <w:r w:rsidRPr="00375456">
        <w:rPr>
          <w:rFonts w:ascii="微软雅黑" w:eastAsia="微软雅黑" w:hAnsi="微软雅黑" w:cs="宋体"/>
          <w:i/>
          <w:iCs/>
          <w:kern w:val="0"/>
          <w:sz w:val="24"/>
          <w:szCs w:val="24"/>
        </w:rPr>
        <w:t>p = 0.003），疾病进展定义为肿瘤宽度 ≥ 5 mm（图</w:t>
      </w:r>
      <w:r w:rsidRPr="00375456">
        <w:rPr>
          <w:rFonts w:ascii="微软雅黑" w:eastAsia="微软雅黑" w:hAnsi="微软雅黑" w:cs="宋体"/>
          <w:kern w:val="0"/>
          <w:sz w:val="24"/>
          <w:szCs w:val="24"/>
        </w:rPr>
        <w:fldChar w:fldCharType="begin"/>
      </w:r>
      <w:r w:rsidRPr="00375456">
        <w:rPr>
          <w:rFonts w:ascii="微软雅黑" w:eastAsia="微软雅黑" w:hAnsi="微软雅黑" w:cs="宋体"/>
          <w:kern w:val="0"/>
          <w:sz w:val="24"/>
          <w:szCs w:val="24"/>
        </w:rPr>
        <w:instrText xml:space="preserve"> HYPERLINK "https://pmc.ncbi.nlm.nih.gov/articles/PMC8387387/" \l "Fig6" </w:instrText>
      </w:r>
      <w:r w:rsidRPr="00375456">
        <w:rPr>
          <w:rFonts w:ascii="微软雅黑" w:eastAsia="微软雅黑" w:hAnsi="微软雅黑" w:cs="宋体"/>
          <w:kern w:val="0"/>
          <w:sz w:val="24"/>
          <w:szCs w:val="24"/>
        </w:rPr>
        <w:fldChar w:fldCharType="separate"/>
      </w:r>
      <w:r w:rsidRPr="00375456">
        <w:rPr>
          <w:rFonts w:ascii="微软雅黑" w:eastAsia="微软雅黑" w:hAnsi="微软雅黑" w:cs="宋体"/>
          <w:kern w:val="0"/>
          <w:sz w:val="24"/>
          <w:szCs w:val="24"/>
          <w:u w:val="single"/>
        </w:rPr>
        <w:t>6D</w:t>
      </w:r>
      <w:r w:rsidRPr="00375456">
        <w:rPr>
          <w:rFonts w:ascii="微软雅黑" w:eastAsia="微软雅黑" w:hAnsi="微软雅黑" w:cs="宋体"/>
          <w:kern w:val="0"/>
          <w:sz w:val="24"/>
          <w:szCs w:val="24"/>
        </w:rPr>
        <w:fldChar w:fldCharType="end"/>
      </w:r>
      <w:r w:rsidRPr="00375456">
        <w:rPr>
          <w:rFonts w:ascii="微软雅黑" w:eastAsia="微软雅黑" w:hAnsi="微软雅黑" w:cs="宋体"/>
          <w:kern w:val="0"/>
          <w:sz w:val="24"/>
          <w:szCs w:val="24"/>
        </w:rPr>
        <w:t>）。与 CDK4/6 抑制剂和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联合治疗组相比，三联疗法治疗组的肿瘤中 Ki67 表达降低（补充图 </w:t>
      </w:r>
      <w:hyperlink r:id="rId108" w:anchor="MOESM1" w:history="1">
        <w:r w:rsidRPr="00375456">
          <w:rPr>
            <w:rFonts w:ascii="微软雅黑" w:eastAsia="微软雅黑" w:hAnsi="微软雅黑" w:cs="宋体"/>
            <w:kern w:val="0"/>
            <w:sz w:val="24"/>
            <w:szCs w:val="24"/>
            <w:u w:val="single"/>
          </w:rPr>
          <w:t>S8D</w:t>
        </w:r>
      </w:hyperlink>
      <w:r w:rsidRPr="00375456">
        <w:rPr>
          <w:rFonts w:ascii="微软雅黑" w:eastAsia="微软雅黑" w:hAnsi="微软雅黑" w:cs="宋体"/>
          <w:kern w:val="0"/>
          <w:sz w:val="24"/>
          <w:szCs w:val="24"/>
        </w:rPr>
        <w:t>）。此外，HE染色显示，三联疗法治疗的PDX肿瘤中存在大片退行性变和反应性纤维化区域（图中圆圈所示），周围环绕着健康的肿瘤组织。相比之下，CDK4/6抑制剂联合</w:t>
      </w:r>
      <w:proofErr w:type="gramStart"/>
      <w:r w:rsidRPr="00375456">
        <w:rPr>
          <w:rFonts w:ascii="微软雅黑" w:eastAsia="微软雅黑" w:hAnsi="微软雅黑" w:cs="宋体"/>
          <w:kern w:val="0"/>
          <w:sz w:val="24"/>
          <w:szCs w:val="24"/>
        </w:rPr>
        <w:t>氟维司群治疗</w:t>
      </w:r>
      <w:proofErr w:type="gramEnd"/>
      <w:r w:rsidRPr="00375456">
        <w:rPr>
          <w:rFonts w:ascii="微软雅黑" w:eastAsia="微软雅黑" w:hAnsi="微软雅黑" w:cs="宋体"/>
          <w:kern w:val="0"/>
          <w:sz w:val="24"/>
          <w:szCs w:val="24"/>
        </w:rPr>
        <w:t>的肿瘤中仅观察到少量退行性变和反应性纤维化区域（如有），且这些肿瘤中健康的肿瘤组织面积明显更大（补充图 </w:t>
      </w:r>
      <w:hyperlink r:id="rId109" w:anchor="MOESM1" w:history="1">
        <w:r w:rsidRPr="00375456">
          <w:rPr>
            <w:rFonts w:ascii="微软雅黑" w:eastAsia="微软雅黑" w:hAnsi="微软雅黑" w:cs="宋体"/>
            <w:kern w:val="0"/>
            <w:sz w:val="24"/>
            <w:szCs w:val="24"/>
            <w:u w:val="single"/>
          </w:rPr>
          <w:t>S8D</w:t>
        </w:r>
      </w:hyperlink>
      <w:r w:rsidRPr="00375456">
        <w:rPr>
          <w:rFonts w:ascii="微软雅黑" w:eastAsia="微软雅黑" w:hAnsi="微软雅黑" w:cs="宋体"/>
          <w:kern w:val="0"/>
          <w:sz w:val="24"/>
          <w:szCs w:val="24"/>
        </w:rPr>
        <w:t>）。最后，我们进行了两组动物实验，利用实验性转移模型分析了三联疗法、</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联合CDK4/6抑制剂或</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对MPF-R和TPF-R细胞的影响。为了模拟肿瘤细胞在治疗选择压力下进入血液循环并随后在肺和肝脏</w:t>
      </w:r>
      <w:r w:rsidRPr="00375456">
        <w:rPr>
          <w:rFonts w:ascii="微软雅黑" w:eastAsia="微软雅黑" w:hAnsi="微软雅黑" w:cs="宋体"/>
          <w:kern w:val="0"/>
          <w:sz w:val="24"/>
          <w:szCs w:val="24"/>
        </w:rPr>
        <w:lastRenderedPageBreak/>
        <w:t>发生转移的情况，我们在将细胞注射到尾静脉之前，先在体外对细胞进行3天的预处理，以抑制信号通路但不影响细胞活力。在MPF-R（p = 0.050，图6E）和TPF-R（</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0.042， 图</w:t>
      </w:r>
      <w:r w:rsidRPr="00375456">
        <w:rPr>
          <w:rFonts w:ascii="微软雅黑" w:eastAsia="微软雅黑" w:hAnsi="微软雅黑" w:cs="宋体"/>
          <w:kern w:val="0"/>
          <w:sz w:val="24"/>
          <w:szCs w:val="24"/>
          <w:vertAlign w:val="superscript"/>
        </w:rPr>
        <w:t>6F</w:t>
      </w:r>
      <w:r w:rsidRPr="00375456">
        <w:rPr>
          <w:rFonts w:ascii="微软雅黑" w:eastAsia="微软雅黑" w:hAnsi="微软雅黑" w:cs="宋体"/>
          <w:kern w:val="0"/>
          <w:sz w:val="24"/>
          <w:szCs w:val="24"/>
        </w:rPr>
        <w:t>）模型中，治疗6周后，三联疗法组的转移灶（定义为肿瘤面积 &gt; 2500 µm²）显著少于</w:t>
      </w:r>
      <w:r w:rsidRPr="00375456">
        <w:rPr>
          <w:rFonts w:ascii="微软雅黑" w:eastAsia="微软雅黑" w:hAnsi="微软雅黑" w:cs="宋体"/>
          <w:i/>
          <w:iCs/>
          <w:kern w:val="0"/>
          <w:sz w:val="24"/>
          <w:szCs w:val="24"/>
        </w:rPr>
        <w:t>氟</w:t>
      </w:r>
      <w:hyperlink r:id="rId110" w:anchor="Fig6" w:history="1">
        <w:r w:rsidRPr="00375456">
          <w:rPr>
            <w:rFonts w:ascii="微软雅黑" w:eastAsia="微软雅黑" w:hAnsi="微软雅黑" w:cs="宋体"/>
            <w:kern w:val="0"/>
            <w:sz w:val="24"/>
            <w:szCs w:val="24"/>
            <w:u w:val="single"/>
          </w:rPr>
          <w:t>维</w:t>
        </w:r>
      </w:hyperlink>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司 群联合CDK4/ </w:t>
      </w:r>
      <w:hyperlink r:id="rId111" w:anchor="Fig6" w:history="1">
        <w:r w:rsidRPr="00375456">
          <w:rPr>
            <w:rFonts w:ascii="微软雅黑" w:eastAsia="微软雅黑" w:hAnsi="微软雅黑" w:cs="宋体"/>
            <w:kern w:val="0"/>
            <w:sz w:val="24"/>
            <w:szCs w:val="24"/>
            <w:u w:val="single"/>
          </w:rPr>
          <w:t>6</w:t>
        </w:r>
      </w:hyperlink>
      <w:r w:rsidRPr="00375456">
        <w:rPr>
          <w:rFonts w:ascii="微软雅黑" w:eastAsia="微软雅黑" w:hAnsi="微软雅黑" w:cs="宋体"/>
          <w:kern w:val="0"/>
          <w:sz w:val="24"/>
          <w:szCs w:val="24"/>
        </w:rPr>
        <w:t>抑制剂治疗组。在TPF-R模型中，转移灶的数量和大小均较小，这可能是由于这些细胞生长缓慢所致（图 </w:t>
      </w:r>
      <w:hyperlink r:id="rId112" w:anchor="Fig6" w:history="1">
        <w:r w:rsidRPr="00375456">
          <w:rPr>
            <w:rFonts w:ascii="微软雅黑" w:eastAsia="微软雅黑" w:hAnsi="微软雅黑" w:cs="宋体"/>
            <w:kern w:val="0"/>
            <w:sz w:val="24"/>
            <w:szCs w:val="24"/>
            <w:u w:val="single"/>
          </w:rPr>
          <w:t>6G</w:t>
        </w:r>
      </w:hyperlink>
      <w:r w:rsidRPr="00375456">
        <w:rPr>
          <w:rFonts w:ascii="微软雅黑" w:eastAsia="微软雅黑" w:hAnsi="微软雅黑" w:cs="宋体"/>
          <w:kern w:val="0"/>
          <w:sz w:val="24"/>
          <w:szCs w:val="24"/>
        </w:rPr>
        <w:t>）。总体而言，在MPF-R和TPF-R模型中，三联疗法组的转移</w:t>
      </w:r>
      <w:proofErr w:type="gramStart"/>
      <w:r w:rsidRPr="00375456">
        <w:rPr>
          <w:rFonts w:ascii="微软雅黑" w:eastAsia="微软雅黑" w:hAnsi="微软雅黑" w:cs="宋体"/>
          <w:kern w:val="0"/>
          <w:sz w:val="24"/>
          <w:szCs w:val="24"/>
        </w:rPr>
        <w:t>灶均小于氟维司群</w:t>
      </w:r>
      <w:proofErr w:type="gramEnd"/>
      <w:r w:rsidRPr="00375456">
        <w:rPr>
          <w:rFonts w:ascii="微软雅黑" w:eastAsia="微软雅黑" w:hAnsi="微软雅黑" w:cs="宋体"/>
          <w:kern w:val="0"/>
          <w:sz w:val="24"/>
          <w:szCs w:val="24"/>
        </w:rPr>
        <w:t>联合CDK4/6抑制剂治疗组（图 </w:t>
      </w:r>
      <w:hyperlink r:id="rId113" w:anchor="Fig6" w:history="1">
        <w:r w:rsidRPr="00375456">
          <w:rPr>
            <w:rFonts w:ascii="微软雅黑" w:eastAsia="微软雅黑" w:hAnsi="微软雅黑" w:cs="宋体"/>
            <w:kern w:val="0"/>
            <w:sz w:val="24"/>
            <w:szCs w:val="24"/>
            <w:u w:val="single"/>
          </w:rPr>
          <w:t>6G</w:t>
        </w:r>
      </w:hyperlink>
      <w:r w:rsidRPr="00375456">
        <w:rPr>
          <w:rFonts w:ascii="微软雅黑" w:eastAsia="微软雅黑" w:hAnsi="微软雅黑" w:cs="宋体"/>
          <w:kern w:val="0"/>
          <w:sz w:val="24"/>
          <w:szCs w:val="24"/>
        </w:rPr>
        <w:t>）。此外，在MPF-R模型中，三联疗法组的转移</w:t>
      </w:r>
      <w:proofErr w:type="gramStart"/>
      <w:r w:rsidRPr="00375456">
        <w:rPr>
          <w:rFonts w:ascii="微软雅黑" w:eastAsia="微软雅黑" w:hAnsi="微软雅黑" w:cs="宋体"/>
          <w:kern w:val="0"/>
          <w:sz w:val="24"/>
          <w:szCs w:val="24"/>
        </w:rPr>
        <w:t>灶数量</w:t>
      </w:r>
      <w:proofErr w:type="gramEnd"/>
      <w:r w:rsidRPr="00375456">
        <w:rPr>
          <w:rFonts w:ascii="微软雅黑" w:eastAsia="微软雅黑" w:hAnsi="微软雅黑" w:cs="宋体"/>
          <w:kern w:val="0"/>
          <w:sz w:val="24"/>
          <w:szCs w:val="24"/>
        </w:rPr>
        <w:t>显著少于</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疗法组（</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0.001）（图 </w:t>
      </w:r>
      <w:hyperlink r:id="rId114" w:anchor="Fig6" w:history="1">
        <w:r w:rsidRPr="00375456">
          <w:rPr>
            <w:rFonts w:ascii="微软雅黑" w:eastAsia="微软雅黑" w:hAnsi="微软雅黑" w:cs="宋体"/>
            <w:kern w:val="0"/>
            <w:sz w:val="24"/>
            <w:szCs w:val="24"/>
            <w:u w:val="single"/>
          </w:rPr>
          <w:t>6E和G） 。</w:t>
        </w:r>
      </w:hyperlink>
      <w:r w:rsidRPr="00375456">
        <w:rPr>
          <w:rFonts w:ascii="微软雅黑" w:eastAsia="微软雅黑" w:hAnsi="微软雅黑" w:cs="宋体"/>
          <w:kern w:val="0"/>
          <w:sz w:val="24"/>
          <w:szCs w:val="24"/>
        </w:rPr>
        <w:t>）。总而言之，我们的研究结果表明，</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、CDK4/6i 和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的三重组合可有效抑制在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 CDK4/6i 联合治疗下增殖的肿瘤的生长。</w:t>
      </w:r>
    </w:p>
    <w:p w14:paraId="6212DDAF"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在接受</w:t>
      </w:r>
      <w:proofErr w:type="gramStart"/>
      <w:r w:rsidRPr="00375456">
        <w:rPr>
          <w:rFonts w:ascii="微软雅黑" w:eastAsia="微软雅黑" w:hAnsi="微软雅黑" w:cs="宋体"/>
          <w:kern w:val="0"/>
          <w:sz w:val="32"/>
          <w:szCs w:val="32"/>
        </w:rPr>
        <w:t>氟维司群</w:t>
      </w:r>
      <w:proofErr w:type="gramEnd"/>
      <w:r w:rsidRPr="00375456">
        <w:rPr>
          <w:rFonts w:ascii="微软雅黑" w:eastAsia="微软雅黑" w:hAnsi="微软雅黑" w:cs="宋体"/>
          <w:kern w:val="0"/>
          <w:sz w:val="32"/>
          <w:szCs w:val="32"/>
        </w:rPr>
        <w:t xml:space="preserve">联合 CDK4/6 抑制剂治疗的 ER+ 晚期乳腺癌患者中，p-AKT </w:t>
      </w:r>
      <w:proofErr w:type="gramStart"/>
      <w:r w:rsidRPr="00375456">
        <w:rPr>
          <w:rFonts w:ascii="微软雅黑" w:eastAsia="微软雅黑" w:hAnsi="微软雅黑" w:cs="宋体"/>
          <w:kern w:val="0"/>
          <w:sz w:val="32"/>
          <w:szCs w:val="32"/>
        </w:rPr>
        <w:t>高表达</w:t>
      </w:r>
      <w:proofErr w:type="gramEnd"/>
      <w:r w:rsidRPr="00375456">
        <w:rPr>
          <w:rFonts w:ascii="微软雅黑" w:eastAsia="微软雅黑" w:hAnsi="微软雅黑" w:cs="宋体"/>
          <w:kern w:val="0"/>
          <w:sz w:val="32"/>
          <w:szCs w:val="32"/>
        </w:rPr>
        <w:t>与较短的无进展生存期 (PFS) 相关。</w:t>
      </w:r>
    </w:p>
    <w:p w14:paraId="08CF7B23"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接下来，我们研究了MCF-7和ZR-75-1乳腺癌细胞中p-AKT水平升高对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耐药（图 </w:t>
      </w:r>
      <w:hyperlink r:id="rId115" w:anchor="Fig2" w:history="1">
        <w:r w:rsidRPr="00375456">
          <w:rPr>
            <w:rFonts w:ascii="微软雅黑" w:eastAsia="微软雅黑" w:hAnsi="微软雅黑" w:cs="宋体"/>
            <w:kern w:val="0"/>
            <w:sz w:val="24"/>
            <w:szCs w:val="24"/>
            <w:u w:val="single"/>
          </w:rPr>
          <w:t>2F</w:t>
        </w:r>
      </w:hyperlink>
      <w:r w:rsidRPr="00375456">
        <w:rPr>
          <w:rFonts w:ascii="微软雅黑" w:eastAsia="微软雅黑" w:hAnsi="微软雅黑" w:cs="宋体"/>
          <w:kern w:val="0"/>
          <w:sz w:val="24"/>
          <w:szCs w:val="24"/>
        </w:rPr>
        <w:t>）以及对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联合CDK4/6抑制剂（MPF-R细胞）（图 </w:t>
      </w:r>
      <w:hyperlink r:id="rId116" w:anchor="Fig5" w:history="1">
        <w:r w:rsidRPr="00375456">
          <w:rPr>
            <w:rFonts w:ascii="微软雅黑" w:eastAsia="微软雅黑" w:hAnsi="微软雅黑" w:cs="宋体"/>
            <w:kern w:val="0"/>
            <w:sz w:val="24"/>
            <w:szCs w:val="24"/>
            <w:u w:val="single"/>
          </w:rPr>
          <w:t>5E</w:t>
        </w:r>
      </w:hyperlink>
      <w:r w:rsidRPr="00375456">
        <w:rPr>
          <w:rFonts w:ascii="微软雅黑" w:eastAsia="微软雅黑" w:hAnsi="微软雅黑" w:cs="宋体"/>
          <w:kern w:val="0"/>
          <w:sz w:val="24"/>
          <w:szCs w:val="24"/>
        </w:rPr>
        <w:t>）耐药的临床意义。我们采用免疫组织化学方法评估了接受内分泌治疗联合CDK4/6抑制剂治疗的晚期ER阳性乳腺癌患者</w:t>
      </w:r>
      <w:proofErr w:type="gramStart"/>
      <w:r w:rsidRPr="00375456">
        <w:rPr>
          <w:rFonts w:ascii="微软雅黑" w:eastAsia="微软雅黑" w:hAnsi="微软雅黑" w:cs="宋体"/>
          <w:kern w:val="0"/>
          <w:sz w:val="24"/>
          <w:szCs w:val="24"/>
        </w:rPr>
        <w:t>转移灶全切片</w:t>
      </w:r>
      <w:proofErr w:type="gramEnd"/>
      <w:r w:rsidRPr="00375456">
        <w:rPr>
          <w:rFonts w:ascii="微软雅黑" w:eastAsia="微软雅黑" w:hAnsi="微软雅黑" w:cs="宋体"/>
          <w:kern w:val="0"/>
          <w:sz w:val="24"/>
          <w:szCs w:val="24"/>
        </w:rPr>
        <w:t>中的p-AKT水平。首先，我们通过评估一个试点队列（ </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 17）中 p-AKT 水平来确定 p-AKT 评分的临界值。</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该试点队列包括在丹麦奥登塞大学医院接受治疗且于 2019 年获得转移性活检的患者。尽管试点队列患者的临床随访时间较短，但我们确定了一</w:t>
      </w:r>
      <w:r w:rsidRPr="00375456">
        <w:rPr>
          <w:rFonts w:ascii="微软雅黑" w:eastAsia="微软雅黑" w:hAnsi="微软雅黑" w:cs="宋体"/>
          <w:kern w:val="0"/>
          <w:sz w:val="24"/>
          <w:szCs w:val="24"/>
        </w:rPr>
        <w:lastRenderedPageBreak/>
        <w:t>个临界值，该值在 Kaplan-Meier 生存曲线中显示出生存意义（临界值 ≥ 150；</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0.03；补充图 </w:t>
      </w:r>
      <w:hyperlink r:id="rId117" w:anchor="MOESM1" w:history="1">
        <w:r w:rsidRPr="00375456">
          <w:rPr>
            <w:rFonts w:ascii="微软雅黑" w:eastAsia="微软雅黑" w:hAnsi="微软雅黑" w:cs="宋体"/>
            <w:kern w:val="0"/>
            <w:sz w:val="24"/>
            <w:szCs w:val="24"/>
            <w:u w:val="single"/>
          </w:rPr>
          <w:t>S9 ）。因此，我们选择该值作为验证队列（ </w:t>
        </w:r>
      </w:hyperlink>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 84，转移性活检于 2017-2018 年获得）中 p-AKT 高低分层患者的临界值</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。两个队列患者原发肿瘤和转移性疾病的临床和病理特征分别见补充表 </w:t>
      </w:r>
      <w:hyperlink r:id="rId118" w:anchor="MOESM1" w:history="1">
        <w:r w:rsidRPr="00375456">
          <w:rPr>
            <w:rFonts w:ascii="微软雅黑" w:eastAsia="微软雅黑" w:hAnsi="微软雅黑" w:cs="宋体"/>
            <w:kern w:val="0"/>
            <w:sz w:val="24"/>
            <w:szCs w:val="24"/>
            <w:u w:val="single"/>
          </w:rPr>
          <w:t>S1</w:t>
        </w:r>
      </w:hyperlink>
      <w:r w:rsidRPr="00375456">
        <w:rPr>
          <w:rFonts w:ascii="微软雅黑" w:eastAsia="微软雅黑" w:hAnsi="微软雅黑" w:cs="宋体"/>
          <w:kern w:val="0"/>
          <w:sz w:val="24"/>
          <w:szCs w:val="24"/>
        </w:rPr>
        <w:t>和表 </w:t>
      </w:r>
      <w:hyperlink r:id="rId119" w:anchor="Tab1" w:history="1">
        <w:r w:rsidRPr="00375456">
          <w:rPr>
            <w:rFonts w:ascii="微软雅黑" w:eastAsia="微软雅黑" w:hAnsi="微软雅黑" w:cs="宋体"/>
            <w:kern w:val="0"/>
            <w:sz w:val="24"/>
            <w:szCs w:val="24"/>
            <w:u w:val="single"/>
          </w:rPr>
          <w:t>1</w:t>
        </w:r>
      </w:hyperlink>
      <w:r w:rsidRPr="00375456">
        <w:rPr>
          <w:rFonts w:ascii="微软雅黑" w:eastAsia="微软雅黑" w:hAnsi="微软雅黑" w:cs="宋体"/>
          <w:kern w:val="0"/>
          <w:sz w:val="24"/>
          <w:szCs w:val="24"/>
        </w:rPr>
        <w:t>。尽管</w:t>
      </w:r>
      <w:r w:rsidRPr="00375456">
        <w:rPr>
          <w:rFonts w:ascii="微软雅黑" w:eastAsia="微软雅黑" w:hAnsi="微软雅黑" w:cs="宋体"/>
          <w:i/>
          <w:iCs/>
          <w:kern w:val="0"/>
          <w:sz w:val="24"/>
          <w:szCs w:val="24"/>
        </w:rPr>
        <w:t>χ²</w:t>
      </w:r>
      <w:r w:rsidRPr="00375456">
        <w:rPr>
          <w:rFonts w:ascii="微软雅黑" w:eastAsia="微软雅黑" w:hAnsi="微软雅黑" w:cs="宋体"/>
          <w:kern w:val="0"/>
          <w:sz w:val="24"/>
          <w:szCs w:val="24"/>
        </w:rPr>
        <w:t>检验和 Fisher 精确检验均</w:t>
      </w:r>
      <w:proofErr w:type="gramStart"/>
      <w:r w:rsidRPr="00375456">
        <w:rPr>
          <w:rFonts w:ascii="微软雅黑" w:eastAsia="微软雅黑" w:hAnsi="微软雅黑" w:cs="宋体"/>
          <w:kern w:val="0"/>
          <w:sz w:val="24"/>
          <w:szCs w:val="24"/>
        </w:rPr>
        <w:t>发现低</w:t>
      </w:r>
      <w:proofErr w:type="gramEnd"/>
      <w:r w:rsidRPr="00375456">
        <w:rPr>
          <w:rFonts w:ascii="微软雅黑" w:eastAsia="微软雅黑" w:hAnsi="微软雅黑" w:cs="宋体"/>
          <w:kern w:val="0"/>
          <w:sz w:val="24"/>
          <w:szCs w:val="24"/>
        </w:rPr>
        <w:t xml:space="preserve"> p-AKT 组和高 p-AKT 组之间原发肿瘤大小存在统计学显著差异，但这种差异在试点队列和验证队列中均存在（补充表 </w:t>
      </w:r>
      <w:hyperlink r:id="rId120" w:anchor="MOESM1" w:history="1">
        <w:r w:rsidRPr="00375456">
          <w:rPr>
            <w:rFonts w:ascii="微软雅黑" w:eastAsia="微软雅黑" w:hAnsi="微软雅黑" w:cs="宋体"/>
            <w:kern w:val="0"/>
            <w:sz w:val="24"/>
            <w:szCs w:val="24"/>
            <w:u w:val="single"/>
          </w:rPr>
          <w:t>S1</w:t>
        </w:r>
      </w:hyperlink>
      <w:r w:rsidRPr="00375456">
        <w:rPr>
          <w:rFonts w:ascii="微软雅黑" w:eastAsia="微软雅黑" w:hAnsi="微软雅黑" w:cs="宋体"/>
          <w:kern w:val="0"/>
          <w:sz w:val="24"/>
          <w:szCs w:val="24"/>
        </w:rPr>
        <w:t>）。在试点队列和验证队列中，未观察到原发肿瘤或转移性疾病的其他临床和病理特征差异（补充表 </w:t>
      </w:r>
      <w:hyperlink r:id="rId121" w:anchor="MOESM1" w:history="1">
        <w:r w:rsidRPr="00375456">
          <w:rPr>
            <w:rFonts w:ascii="微软雅黑" w:eastAsia="微软雅黑" w:hAnsi="微软雅黑" w:cs="宋体"/>
            <w:kern w:val="0"/>
            <w:sz w:val="24"/>
            <w:szCs w:val="24"/>
            <w:u w:val="single"/>
          </w:rPr>
          <w:t>S1</w:t>
        </w:r>
      </w:hyperlink>
      <w:r w:rsidRPr="00375456">
        <w:rPr>
          <w:rFonts w:ascii="微软雅黑" w:eastAsia="微软雅黑" w:hAnsi="微软雅黑" w:cs="宋体"/>
          <w:kern w:val="0"/>
          <w:sz w:val="24"/>
          <w:szCs w:val="24"/>
        </w:rPr>
        <w:t>和表 </w:t>
      </w:r>
      <w:hyperlink r:id="rId122" w:anchor="Tab1" w:history="1">
        <w:r w:rsidRPr="00375456">
          <w:rPr>
            <w:rFonts w:ascii="微软雅黑" w:eastAsia="微软雅黑" w:hAnsi="微软雅黑" w:cs="宋体"/>
            <w:kern w:val="0"/>
            <w:sz w:val="24"/>
            <w:szCs w:val="24"/>
            <w:u w:val="single"/>
          </w:rPr>
          <w:t>1</w:t>
        </w:r>
      </w:hyperlink>
      <w:r w:rsidRPr="00375456">
        <w:rPr>
          <w:rFonts w:ascii="微软雅黑" w:eastAsia="微软雅黑" w:hAnsi="微软雅黑" w:cs="宋体"/>
          <w:kern w:val="0"/>
          <w:sz w:val="24"/>
          <w:szCs w:val="24"/>
        </w:rPr>
        <w:t>）。验证队列的 Kaplan-Meier 生存曲线显示，高 p-AKT 组（ </w:t>
      </w:r>
      <w:r w:rsidRPr="00375456">
        <w:rPr>
          <w:rFonts w:ascii="微软雅黑" w:eastAsia="微软雅黑" w:hAnsi="微软雅黑" w:cs="宋体"/>
          <w:i/>
          <w:iCs/>
          <w:kern w:val="0"/>
          <w:sz w:val="24"/>
          <w:szCs w:val="24"/>
        </w:rPr>
        <w:t>H</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xml:space="preserve">评分 ≥ 150；9.87 </w:t>
      </w:r>
      <w:proofErr w:type="gramStart"/>
      <w:r w:rsidRPr="00375456">
        <w:rPr>
          <w:rFonts w:ascii="微软雅黑" w:eastAsia="微软雅黑" w:hAnsi="微软雅黑" w:cs="宋体"/>
          <w:kern w:val="0"/>
          <w:sz w:val="24"/>
          <w:szCs w:val="24"/>
        </w:rPr>
        <w:t>个</w:t>
      </w:r>
      <w:proofErr w:type="gramEnd"/>
      <w:r w:rsidRPr="00375456">
        <w:rPr>
          <w:rFonts w:ascii="微软雅黑" w:eastAsia="微软雅黑" w:hAnsi="微软雅黑" w:cs="宋体"/>
          <w:kern w:val="0"/>
          <w:sz w:val="24"/>
          <w:szCs w:val="24"/>
        </w:rPr>
        <w:t>月）的无进展生存期（PFS）显著</w:t>
      </w:r>
      <w:proofErr w:type="gramStart"/>
      <w:r w:rsidRPr="00375456">
        <w:rPr>
          <w:rFonts w:ascii="微软雅黑" w:eastAsia="微软雅黑" w:hAnsi="微软雅黑" w:cs="宋体"/>
          <w:kern w:val="0"/>
          <w:sz w:val="24"/>
          <w:szCs w:val="24"/>
        </w:rPr>
        <w:t>低于低</w:t>
      </w:r>
      <w:proofErr w:type="gramEnd"/>
      <w:r w:rsidRPr="00375456">
        <w:rPr>
          <w:rFonts w:ascii="微软雅黑" w:eastAsia="微软雅黑" w:hAnsi="微软雅黑" w:cs="宋体"/>
          <w:kern w:val="0"/>
          <w:sz w:val="24"/>
          <w:szCs w:val="24"/>
        </w:rPr>
        <w:t xml:space="preserve"> p-AKT 组（H 评分 &lt; 150；15.37 </w:t>
      </w:r>
      <w:proofErr w:type="gramStart"/>
      <w:r w:rsidRPr="00375456">
        <w:rPr>
          <w:rFonts w:ascii="微软雅黑" w:eastAsia="微软雅黑" w:hAnsi="微软雅黑" w:cs="宋体"/>
          <w:kern w:val="0"/>
          <w:sz w:val="24"/>
          <w:szCs w:val="24"/>
        </w:rPr>
        <w:t>个</w:t>
      </w:r>
      <w:proofErr w:type="gramEnd"/>
      <w:r w:rsidRPr="00375456">
        <w:rPr>
          <w:rFonts w:ascii="微软雅黑" w:eastAsia="微软雅黑" w:hAnsi="微软雅黑" w:cs="宋体"/>
          <w:kern w:val="0"/>
          <w:sz w:val="24"/>
          <w:szCs w:val="24"/>
        </w:rPr>
        <w:t>月）（p = 0.04），中</w:t>
      </w:r>
      <w:proofErr w:type="gramStart"/>
      <w:r w:rsidRPr="00375456">
        <w:rPr>
          <w:rFonts w:ascii="微软雅黑" w:eastAsia="微软雅黑" w:hAnsi="微软雅黑" w:cs="宋体"/>
          <w:kern w:val="0"/>
          <w:sz w:val="24"/>
          <w:szCs w:val="24"/>
        </w:rPr>
        <w:t>位进展</w:t>
      </w:r>
      <w:proofErr w:type="gramEnd"/>
      <w:r w:rsidRPr="00375456">
        <w:rPr>
          <w:rFonts w:ascii="微软雅黑" w:eastAsia="微软雅黑" w:hAnsi="微软雅黑" w:cs="宋体"/>
          <w:kern w:val="0"/>
          <w:sz w:val="24"/>
          <w:szCs w:val="24"/>
        </w:rPr>
        <w:t xml:space="preserve">时间延长了 6 </w:t>
      </w:r>
      <w:proofErr w:type="gramStart"/>
      <w:r w:rsidRPr="00375456">
        <w:rPr>
          <w:rFonts w:ascii="微软雅黑" w:eastAsia="微软雅黑" w:hAnsi="微软雅黑" w:cs="宋体"/>
          <w:kern w:val="0"/>
          <w:sz w:val="24"/>
          <w:szCs w:val="24"/>
        </w:rPr>
        <w:t>个</w:t>
      </w:r>
      <w:proofErr w:type="gramEnd"/>
      <w:r w:rsidRPr="00375456">
        <w:rPr>
          <w:rFonts w:ascii="微软雅黑" w:eastAsia="微软雅黑" w:hAnsi="微软雅黑" w:cs="宋体"/>
          <w:kern w:val="0"/>
          <w:sz w:val="24"/>
          <w:szCs w:val="24"/>
        </w:rPr>
        <w:t>月（图 </w:t>
      </w:r>
      <w:hyperlink r:id="rId123" w:anchor="Fig7" w:history="1">
        <w:r w:rsidRPr="00375456">
          <w:rPr>
            <w:rFonts w:ascii="微软雅黑" w:eastAsia="微软雅黑" w:hAnsi="微软雅黑" w:cs="宋体"/>
            <w:kern w:val="0"/>
            <w:sz w:val="24"/>
            <w:szCs w:val="24"/>
            <w:u w:val="single"/>
          </w:rPr>
          <w:t>7A</w:t>
        </w:r>
      </w:hyperlink>
      <w:r w:rsidRPr="00375456">
        <w:rPr>
          <w:rFonts w:ascii="微软雅黑" w:eastAsia="微软雅黑" w:hAnsi="微软雅黑" w:cs="宋体"/>
          <w:kern w:val="0"/>
          <w:sz w:val="24"/>
          <w:szCs w:val="24"/>
        </w:rPr>
        <w:t>）。单变量Cox比例风险回归分析显示，仅p-AKT状态（HR 2.07，95% CI，1.00-4.29，</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0.049；补充表 </w:t>
      </w:r>
      <w:hyperlink r:id="rId124" w:anchor="MOESM1" w:history="1">
        <w:r w:rsidRPr="00375456">
          <w:rPr>
            <w:rFonts w:ascii="微软雅黑" w:eastAsia="微软雅黑" w:hAnsi="微软雅黑" w:cs="宋体"/>
            <w:kern w:val="0"/>
            <w:sz w:val="24"/>
            <w:szCs w:val="24"/>
            <w:u w:val="single"/>
          </w:rPr>
          <w:t>S2</w:t>
        </w:r>
      </w:hyperlink>
      <w:r w:rsidRPr="00375456">
        <w:rPr>
          <w:rFonts w:ascii="微软雅黑" w:eastAsia="微软雅黑" w:hAnsi="微软雅黑" w:cs="宋体"/>
          <w:kern w:val="0"/>
          <w:sz w:val="24"/>
          <w:szCs w:val="24"/>
        </w:rPr>
        <w:t>）和治疗线数（HR 3.05，95% CI，1.61-5.79，</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0.001；补充表 </w:t>
      </w:r>
      <w:hyperlink r:id="rId125" w:anchor="MOESM1" w:history="1">
        <w:r w:rsidRPr="00375456">
          <w:rPr>
            <w:rFonts w:ascii="微软雅黑" w:eastAsia="微软雅黑" w:hAnsi="微软雅黑" w:cs="宋体"/>
            <w:kern w:val="0"/>
            <w:sz w:val="24"/>
            <w:szCs w:val="24"/>
            <w:u w:val="single"/>
          </w:rPr>
          <w:t>S2 ）与预后相关。</w:t>
        </w:r>
      </w:hyperlink>
      <w:r w:rsidRPr="00375456">
        <w:rPr>
          <w:rFonts w:ascii="微软雅黑" w:eastAsia="微软雅黑" w:hAnsi="微软雅黑" w:cs="宋体"/>
          <w:kern w:val="0"/>
          <w:sz w:val="24"/>
          <w:szCs w:val="24"/>
        </w:rPr>
        <w:t>p-AKT 低</w:t>
      </w:r>
      <w:proofErr w:type="gramStart"/>
      <w:r w:rsidRPr="00375456">
        <w:rPr>
          <w:rFonts w:ascii="微软雅黑" w:eastAsia="微软雅黑" w:hAnsi="微软雅黑" w:cs="宋体"/>
          <w:kern w:val="0"/>
          <w:sz w:val="24"/>
          <w:szCs w:val="24"/>
        </w:rPr>
        <w:t>表达组</w:t>
      </w:r>
      <w:proofErr w:type="gramEnd"/>
      <w:r w:rsidRPr="00375456">
        <w:rPr>
          <w:rFonts w:ascii="微软雅黑" w:eastAsia="微软雅黑" w:hAnsi="微软雅黑" w:cs="宋体"/>
          <w:kern w:val="0"/>
          <w:sz w:val="24"/>
          <w:szCs w:val="24"/>
        </w:rPr>
        <w:t xml:space="preserve">和 p-AKT </w:t>
      </w:r>
      <w:proofErr w:type="gramStart"/>
      <w:r w:rsidRPr="00375456">
        <w:rPr>
          <w:rFonts w:ascii="微软雅黑" w:eastAsia="微软雅黑" w:hAnsi="微软雅黑" w:cs="宋体"/>
          <w:kern w:val="0"/>
          <w:sz w:val="24"/>
          <w:szCs w:val="24"/>
        </w:rPr>
        <w:t>高表达组</w:t>
      </w:r>
      <w:proofErr w:type="gramEnd"/>
      <w:r w:rsidRPr="00375456">
        <w:rPr>
          <w:rFonts w:ascii="微软雅黑" w:eastAsia="微软雅黑" w:hAnsi="微软雅黑" w:cs="宋体"/>
          <w:kern w:val="0"/>
          <w:sz w:val="24"/>
          <w:szCs w:val="24"/>
        </w:rPr>
        <w:t>患者的无进展生存期 (PFS) 预后因素包括 p-AKT 水平。对 Cox 回归分析中包含的转移相关变量在 p-AKT 低</w:t>
      </w:r>
      <w:proofErr w:type="gramStart"/>
      <w:r w:rsidRPr="00375456">
        <w:rPr>
          <w:rFonts w:ascii="微软雅黑" w:eastAsia="微软雅黑" w:hAnsi="微软雅黑" w:cs="宋体"/>
          <w:kern w:val="0"/>
          <w:sz w:val="24"/>
          <w:szCs w:val="24"/>
        </w:rPr>
        <w:t>表达组</w:t>
      </w:r>
      <w:proofErr w:type="gramEnd"/>
      <w:r w:rsidRPr="00375456">
        <w:rPr>
          <w:rFonts w:ascii="微软雅黑" w:eastAsia="微软雅黑" w:hAnsi="微软雅黑" w:cs="宋体"/>
          <w:kern w:val="0"/>
          <w:sz w:val="24"/>
          <w:szCs w:val="24"/>
        </w:rPr>
        <w:t xml:space="preserve">和 p-AKT </w:t>
      </w:r>
      <w:proofErr w:type="gramStart"/>
      <w:r w:rsidRPr="00375456">
        <w:rPr>
          <w:rFonts w:ascii="微软雅黑" w:eastAsia="微软雅黑" w:hAnsi="微软雅黑" w:cs="宋体"/>
          <w:kern w:val="0"/>
          <w:sz w:val="24"/>
          <w:szCs w:val="24"/>
        </w:rPr>
        <w:t>高表达组</w:t>
      </w:r>
      <w:proofErr w:type="gramEnd"/>
      <w:r w:rsidRPr="00375456">
        <w:rPr>
          <w:rFonts w:ascii="微软雅黑" w:eastAsia="微软雅黑" w:hAnsi="微软雅黑" w:cs="宋体"/>
          <w:kern w:val="0"/>
          <w:sz w:val="24"/>
          <w:szCs w:val="24"/>
        </w:rPr>
        <w:t>之间的分布进行评估，结果显示，两组患者的年龄、转移灶数量、复发时间、治疗线数和复发部位分布均匀（补充表 </w:t>
      </w:r>
      <w:hyperlink r:id="rId126" w:anchor="MOESM1" w:history="1">
        <w:r w:rsidRPr="00375456">
          <w:rPr>
            <w:rFonts w:ascii="微软雅黑" w:eastAsia="微软雅黑" w:hAnsi="微软雅黑" w:cs="宋体"/>
            <w:kern w:val="0"/>
            <w:sz w:val="24"/>
            <w:szCs w:val="24"/>
            <w:u w:val="single"/>
          </w:rPr>
          <w:t>S3</w:t>
        </w:r>
      </w:hyperlink>
      <w:r w:rsidRPr="00375456">
        <w:rPr>
          <w:rFonts w:ascii="微软雅黑" w:eastAsia="微软雅黑" w:hAnsi="微软雅黑" w:cs="宋体"/>
          <w:kern w:val="0"/>
          <w:sz w:val="24"/>
          <w:szCs w:val="24"/>
        </w:rPr>
        <w:t>）。图 </w:t>
      </w:r>
      <w:hyperlink r:id="rId127" w:anchor="Fig7" w:history="1">
        <w:r w:rsidRPr="00375456">
          <w:rPr>
            <w:rFonts w:ascii="微软雅黑" w:eastAsia="微软雅黑" w:hAnsi="微软雅黑" w:cs="宋体"/>
            <w:kern w:val="0"/>
            <w:sz w:val="24"/>
            <w:szCs w:val="24"/>
            <w:u w:val="single"/>
          </w:rPr>
          <w:t>7B-C</w:t>
        </w:r>
      </w:hyperlink>
      <w:r w:rsidRPr="00375456">
        <w:rPr>
          <w:rFonts w:ascii="微软雅黑" w:eastAsia="微软雅黑" w:hAnsi="微软雅黑" w:cs="宋体"/>
          <w:kern w:val="0"/>
          <w:sz w:val="24"/>
          <w:szCs w:val="24"/>
        </w:rPr>
        <w:t>和图 </w:t>
      </w:r>
      <w:hyperlink r:id="rId128" w:anchor="Fig7" w:history="1">
        <w:r w:rsidRPr="00375456">
          <w:rPr>
            <w:rFonts w:ascii="微软雅黑" w:eastAsia="微软雅黑" w:hAnsi="微软雅黑" w:cs="宋体"/>
            <w:kern w:val="0"/>
            <w:sz w:val="24"/>
            <w:szCs w:val="24"/>
            <w:u w:val="single"/>
          </w:rPr>
          <w:t>7D-E</w:t>
        </w:r>
      </w:hyperlink>
      <w:r w:rsidRPr="00375456">
        <w:rPr>
          <w:rFonts w:ascii="微软雅黑" w:eastAsia="微软雅黑" w:hAnsi="微软雅黑" w:cs="宋体"/>
          <w:kern w:val="0"/>
          <w:sz w:val="24"/>
          <w:szCs w:val="24"/>
        </w:rPr>
        <w:t>分别展示了 p-AKT 低表达和</w:t>
      </w:r>
      <w:proofErr w:type="gramStart"/>
      <w:r w:rsidRPr="00375456">
        <w:rPr>
          <w:rFonts w:ascii="微软雅黑" w:eastAsia="微软雅黑" w:hAnsi="微软雅黑" w:cs="宋体"/>
          <w:kern w:val="0"/>
          <w:sz w:val="24"/>
          <w:szCs w:val="24"/>
        </w:rPr>
        <w:t>高表达</w:t>
      </w:r>
      <w:proofErr w:type="gramEnd"/>
      <w:r w:rsidRPr="00375456">
        <w:rPr>
          <w:rFonts w:ascii="微软雅黑" w:eastAsia="微软雅黑" w:hAnsi="微软雅黑" w:cs="宋体"/>
          <w:kern w:val="0"/>
          <w:sz w:val="24"/>
          <w:szCs w:val="24"/>
        </w:rPr>
        <w:t>的代表性免疫组化染色结果。有趣的是，我们发现不仅</w:t>
      </w:r>
      <w:r w:rsidRPr="00375456">
        <w:rPr>
          <w:rFonts w:ascii="微软雅黑" w:eastAsia="微软雅黑" w:hAnsi="微软雅黑" w:cs="宋体"/>
          <w:i/>
          <w:iCs/>
          <w:kern w:val="0"/>
          <w:sz w:val="24"/>
          <w:szCs w:val="24"/>
        </w:rPr>
        <w:t>PIK3CA突变型肿瘤患者表现出高 p-AKT 水平， PIK3CA</w:t>
      </w:r>
      <w:r w:rsidRPr="00375456">
        <w:rPr>
          <w:rFonts w:ascii="微软雅黑" w:eastAsia="微软雅黑" w:hAnsi="微软雅黑" w:cs="宋体"/>
          <w:kern w:val="0"/>
          <w:sz w:val="24"/>
          <w:szCs w:val="24"/>
        </w:rPr>
        <w:t>野生型肿瘤患者表现出低 p-AKT 水平，而且反之亦然，这表明 p-AKT 水平与</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突变状态无关。</w:t>
      </w:r>
    </w:p>
    <w:p w14:paraId="1AB3AB29" w14:textId="77777777" w:rsidR="00375456" w:rsidRPr="00375456" w:rsidRDefault="00375456" w:rsidP="00375456">
      <w:pPr>
        <w:widowControl/>
        <w:spacing w:line="450" w:lineRule="atLeast"/>
        <w:outlineLvl w:val="3"/>
        <w:rPr>
          <w:rFonts w:ascii="微软雅黑" w:eastAsia="微软雅黑" w:hAnsi="微软雅黑" w:cs="宋体"/>
          <w:kern w:val="0"/>
          <w:sz w:val="30"/>
          <w:szCs w:val="30"/>
        </w:rPr>
      </w:pPr>
      <w:r w:rsidRPr="00375456">
        <w:rPr>
          <w:rFonts w:ascii="微软雅黑" w:eastAsia="微软雅黑" w:hAnsi="微软雅黑" w:cs="宋体"/>
          <w:kern w:val="0"/>
          <w:sz w:val="30"/>
          <w:szCs w:val="30"/>
        </w:rPr>
        <w:t>表1。</w:t>
      </w:r>
    </w:p>
    <w:p w14:paraId="79B9F545"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lastRenderedPageBreak/>
        <w:t>根据 p-AKT 水平，对接受 CDK4/6i 和内分泌联合治疗的 ER+ 晚期乳腺癌患者进行试点和验证队列的临床和病理特征分析。</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36"/>
        <w:gridCol w:w="777"/>
        <w:gridCol w:w="777"/>
        <w:gridCol w:w="444"/>
        <w:gridCol w:w="642"/>
        <w:gridCol w:w="777"/>
        <w:gridCol w:w="778"/>
        <w:gridCol w:w="444"/>
        <w:gridCol w:w="642"/>
        <w:gridCol w:w="493"/>
        <w:gridCol w:w="444"/>
        <w:gridCol w:w="585"/>
        <w:gridCol w:w="657"/>
      </w:tblGrid>
      <w:tr w:rsidR="00375456" w:rsidRPr="00375456" w14:paraId="6B717504" w14:textId="77777777" w:rsidTr="00375456">
        <w:trPr>
          <w:tblHeader/>
          <w:tblCellSpacing w:w="15" w:type="dxa"/>
        </w:trPr>
        <w:tc>
          <w:tcPr>
            <w:tcW w:w="583" w:type="pct"/>
            <w:vMerge w:val="restart"/>
            <w:tcMar>
              <w:top w:w="56" w:type="dxa"/>
              <w:left w:w="56" w:type="dxa"/>
              <w:bottom w:w="56" w:type="dxa"/>
              <w:right w:w="56" w:type="dxa"/>
            </w:tcMar>
            <w:hideMark/>
          </w:tcPr>
          <w:p w14:paraId="6E034CCD"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kern w:val="0"/>
                <w:sz w:val="24"/>
                <w:szCs w:val="24"/>
              </w:rPr>
              <w:t>参数</w:t>
            </w:r>
          </w:p>
        </w:tc>
        <w:tc>
          <w:tcPr>
            <w:tcW w:w="1590" w:type="pct"/>
            <w:gridSpan w:val="4"/>
            <w:tcMar>
              <w:top w:w="56" w:type="dxa"/>
              <w:left w:w="56" w:type="dxa"/>
              <w:bottom w:w="56" w:type="dxa"/>
              <w:right w:w="56" w:type="dxa"/>
            </w:tcMar>
            <w:hideMark/>
          </w:tcPr>
          <w:p w14:paraId="0FA654AE"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kern w:val="0"/>
                <w:sz w:val="24"/>
                <w:szCs w:val="24"/>
              </w:rPr>
              <w:t>飞行员</w:t>
            </w:r>
          </w:p>
        </w:tc>
        <w:tc>
          <w:tcPr>
            <w:tcW w:w="1590" w:type="pct"/>
            <w:gridSpan w:val="4"/>
            <w:tcMar>
              <w:top w:w="56" w:type="dxa"/>
              <w:left w:w="56" w:type="dxa"/>
              <w:bottom w:w="56" w:type="dxa"/>
              <w:right w:w="56" w:type="dxa"/>
            </w:tcMar>
            <w:hideMark/>
          </w:tcPr>
          <w:p w14:paraId="7B0B4297"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kern w:val="0"/>
                <w:sz w:val="24"/>
                <w:szCs w:val="24"/>
              </w:rPr>
              <w:t>验证</w:t>
            </w:r>
          </w:p>
        </w:tc>
        <w:tc>
          <w:tcPr>
            <w:tcW w:w="1183" w:type="pct"/>
            <w:gridSpan w:val="4"/>
            <w:tcMar>
              <w:top w:w="56" w:type="dxa"/>
              <w:left w:w="56" w:type="dxa"/>
              <w:bottom w:w="56" w:type="dxa"/>
              <w:right w:w="56" w:type="dxa"/>
            </w:tcMar>
            <w:hideMark/>
          </w:tcPr>
          <w:p w14:paraId="7A06A193"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kern w:val="0"/>
                <w:sz w:val="24"/>
                <w:szCs w:val="24"/>
              </w:rPr>
              <w:t>试点与验证</w:t>
            </w:r>
          </w:p>
        </w:tc>
      </w:tr>
      <w:tr w:rsidR="00375456" w:rsidRPr="00375456" w14:paraId="079A18C7" w14:textId="77777777" w:rsidTr="00375456">
        <w:trPr>
          <w:tblHeader/>
          <w:tblCellSpacing w:w="15" w:type="dxa"/>
        </w:trPr>
        <w:tc>
          <w:tcPr>
            <w:tcW w:w="583" w:type="pct"/>
            <w:vMerge/>
            <w:vAlign w:val="center"/>
            <w:hideMark/>
          </w:tcPr>
          <w:p w14:paraId="7AA31AF4" w14:textId="77777777" w:rsidR="00375456" w:rsidRPr="00375456" w:rsidRDefault="00375456" w:rsidP="00375456">
            <w:pPr>
              <w:widowControl/>
              <w:rPr>
                <w:rFonts w:ascii="微软雅黑" w:eastAsia="微软雅黑" w:hAnsi="微软雅黑" w:cs="宋体"/>
                <w:b/>
                <w:bCs/>
                <w:kern w:val="0"/>
                <w:sz w:val="24"/>
                <w:szCs w:val="24"/>
              </w:rPr>
            </w:pPr>
          </w:p>
        </w:tc>
        <w:tc>
          <w:tcPr>
            <w:tcW w:w="556" w:type="pct"/>
            <w:tcMar>
              <w:top w:w="56" w:type="dxa"/>
              <w:left w:w="56" w:type="dxa"/>
              <w:bottom w:w="56" w:type="dxa"/>
              <w:right w:w="56" w:type="dxa"/>
            </w:tcMar>
            <w:hideMark/>
          </w:tcPr>
          <w:p w14:paraId="5E4DF042"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kern w:val="0"/>
                <w:sz w:val="24"/>
                <w:szCs w:val="24"/>
              </w:rPr>
              <w:t>p-AKT 低</w:t>
            </w:r>
          </w:p>
        </w:tc>
        <w:tc>
          <w:tcPr>
            <w:tcW w:w="556" w:type="pct"/>
            <w:tcMar>
              <w:top w:w="56" w:type="dxa"/>
              <w:left w:w="56" w:type="dxa"/>
              <w:bottom w:w="56" w:type="dxa"/>
              <w:right w:w="56" w:type="dxa"/>
            </w:tcMar>
            <w:hideMark/>
          </w:tcPr>
          <w:p w14:paraId="6F070A49"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kern w:val="0"/>
                <w:sz w:val="24"/>
                <w:szCs w:val="24"/>
              </w:rPr>
              <w:t>p-AKT 高</w:t>
            </w:r>
          </w:p>
        </w:tc>
        <w:tc>
          <w:tcPr>
            <w:tcW w:w="178" w:type="pct"/>
            <w:tcMar>
              <w:top w:w="56" w:type="dxa"/>
              <w:left w:w="56" w:type="dxa"/>
              <w:bottom w:w="56" w:type="dxa"/>
              <w:right w:w="56" w:type="dxa"/>
            </w:tcMar>
            <w:hideMark/>
          </w:tcPr>
          <w:p w14:paraId="7C228B73"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i/>
                <w:iCs/>
                <w:kern w:val="0"/>
                <w:sz w:val="24"/>
                <w:szCs w:val="24"/>
              </w:rPr>
              <w:t>N</w:t>
            </w:r>
          </w:p>
        </w:tc>
        <w:tc>
          <w:tcPr>
            <w:tcW w:w="267" w:type="pct"/>
            <w:tcMar>
              <w:top w:w="56" w:type="dxa"/>
              <w:left w:w="56" w:type="dxa"/>
              <w:bottom w:w="56" w:type="dxa"/>
              <w:right w:w="56" w:type="dxa"/>
            </w:tcMar>
            <w:hideMark/>
          </w:tcPr>
          <w:p w14:paraId="544CC193"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i/>
                <w:iCs/>
                <w:kern w:val="0"/>
                <w:sz w:val="24"/>
                <w:szCs w:val="24"/>
              </w:rPr>
              <w:t>p </w:t>
            </w:r>
            <w:r w:rsidRPr="00375456">
              <w:rPr>
                <w:rFonts w:ascii="微软雅黑" w:eastAsia="微软雅黑" w:hAnsi="微软雅黑" w:cs="宋体"/>
                <w:b/>
                <w:bCs/>
                <w:kern w:val="0"/>
                <w:sz w:val="24"/>
                <w:szCs w:val="24"/>
                <w:vertAlign w:val="superscript"/>
              </w:rPr>
              <w:t>a</w:t>
            </w:r>
          </w:p>
        </w:tc>
        <w:tc>
          <w:tcPr>
            <w:tcW w:w="556" w:type="pct"/>
            <w:tcMar>
              <w:top w:w="56" w:type="dxa"/>
              <w:left w:w="56" w:type="dxa"/>
              <w:bottom w:w="56" w:type="dxa"/>
              <w:right w:w="56" w:type="dxa"/>
            </w:tcMar>
            <w:hideMark/>
          </w:tcPr>
          <w:p w14:paraId="1FAAF58D"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kern w:val="0"/>
                <w:sz w:val="24"/>
                <w:szCs w:val="24"/>
              </w:rPr>
              <w:t>p-AKT 低</w:t>
            </w:r>
          </w:p>
        </w:tc>
        <w:tc>
          <w:tcPr>
            <w:tcW w:w="556" w:type="pct"/>
            <w:tcMar>
              <w:top w:w="56" w:type="dxa"/>
              <w:left w:w="56" w:type="dxa"/>
              <w:bottom w:w="56" w:type="dxa"/>
              <w:right w:w="56" w:type="dxa"/>
            </w:tcMar>
            <w:hideMark/>
          </w:tcPr>
          <w:p w14:paraId="7C9AF132"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kern w:val="0"/>
                <w:sz w:val="24"/>
                <w:szCs w:val="24"/>
              </w:rPr>
              <w:t>p-AKT 高</w:t>
            </w:r>
          </w:p>
        </w:tc>
        <w:tc>
          <w:tcPr>
            <w:tcW w:w="178" w:type="pct"/>
            <w:tcMar>
              <w:top w:w="56" w:type="dxa"/>
              <w:left w:w="56" w:type="dxa"/>
              <w:bottom w:w="56" w:type="dxa"/>
              <w:right w:w="56" w:type="dxa"/>
            </w:tcMar>
            <w:hideMark/>
          </w:tcPr>
          <w:p w14:paraId="5F23F63C"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i/>
                <w:iCs/>
                <w:kern w:val="0"/>
                <w:sz w:val="24"/>
                <w:szCs w:val="24"/>
              </w:rPr>
              <w:t>N</w:t>
            </w:r>
          </w:p>
        </w:tc>
        <w:tc>
          <w:tcPr>
            <w:tcW w:w="267" w:type="pct"/>
            <w:tcMar>
              <w:top w:w="56" w:type="dxa"/>
              <w:left w:w="56" w:type="dxa"/>
              <w:bottom w:w="56" w:type="dxa"/>
              <w:right w:w="56" w:type="dxa"/>
            </w:tcMar>
            <w:hideMark/>
          </w:tcPr>
          <w:p w14:paraId="01AA4B5F"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i/>
                <w:iCs/>
                <w:kern w:val="0"/>
                <w:sz w:val="24"/>
                <w:szCs w:val="24"/>
              </w:rPr>
              <w:t>p </w:t>
            </w:r>
            <w:r w:rsidRPr="00375456">
              <w:rPr>
                <w:rFonts w:ascii="微软雅黑" w:eastAsia="微软雅黑" w:hAnsi="微软雅黑" w:cs="宋体"/>
                <w:b/>
                <w:bCs/>
                <w:kern w:val="0"/>
                <w:sz w:val="24"/>
                <w:szCs w:val="24"/>
                <w:vertAlign w:val="superscript"/>
              </w:rPr>
              <w:t>a</w:t>
            </w:r>
          </w:p>
        </w:tc>
        <w:tc>
          <w:tcPr>
            <w:tcW w:w="375" w:type="pct"/>
            <w:tcMar>
              <w:top w:w="56" w:type="dxa"/>
              <w:left w:w="56" w:type="dxa"/>
              <w:bottom w:w="56" w:type="dxa"/>
              <w:right w:w="56" w:type="dxa"/>
            </w:tcMar>
            <w:hideMark/>
          </w:tcPr>
          <w:p w14:paraId="7D1A1A61"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kern w:val="0"/>
                <w:sz w:val="24"/>
                <w:szCs w:val="24"/>
              </w:rPr>
              <w:t>飞行员</w:t>
            </w:r>
          </w:p>
        </w:tc>
        <w:tc>
          <w:tcPr>
            <w:tcW w:w="267" w:type="pct"/>
            <w:tcMar>
              <w:top w:w="56" w:type="dxa"/>
              <w:left w:w="56" w:type="dxa"/>
              <w:bottom w:w="56" w:type="dxa"/>
              <w:right w:w="56" w:type="dxa"/>
            </w:tcMar>
            <w:hideMark/>
          </w:tcPr>
          <w:p w14:paraId="6D72F525"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kern w:val="0"/>
                <w:sz w:val="24"/>
                <w:szCs w:val="24"/>
              </w:rPr>
              <w:t>验证</w:t>
            </w:r>
          </w:p>
        </w:tc>
        <w:tc>
          <w:tcPr>
            <w:tcW w:w="241" w:type="pct"/>
            <w:tcMar>
              <w:top w:w="56" w:type="dxa"/>
              <w:left w:w="56" w:type="dxa"/>
              <w:bottom w:w="56" w:type="dxa"/>
              <w:right w:w="56" w:type="dxa"/>
            </w:tcMar>
            <w:hideMark/>
          </w:tcPr>
          <w:p w14:paraId="6E338633"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i/>
                <w:iCs/>
                <w:kern w:val="0"/>
                <w:sz w:val="24"/>
                <w:szCs w:val="24"/>
              </w:rPr>
              <w:t>N</w:t>
            </w:r>
          </w:p>
        </w:tc>
        <w:tc>
          <w:tcPr>
            <w:tcW w:w="267" w:type="pct"/>
            <w:tcMar>
              <w:top w:w="56" w:type="dxa"/>
              <w:left w:w="56" w:type="dxa"/>
              <w:bottom w:w="56" w:type="dxa"/>
              <w:right w:w="56" w:type="dxa"/>
            </w:tcMar>
            <w:hideMark/>
          </w:tcPr>
          <w:p w14:paraId="49B032CF" w14:textId="77777777" w:rsidR="00375456" w:rsidRPr="00375456" w:rsidRDefault="00375456" w:rsidP="00375456">
            <w:pPr>
              <w:widowControl/>
              <w:rPr>
                <w:rFonts w:ascii="微软雅黑" w:eastAsia="微软雅黑" w:hAnsi="微软雅黑" w:cs="宋体"/>
                <w:b/>
                <w:bCs/>
                <w:kern w:val="0"/>
                <w:sz w:val="24"/>
                <w:szCs w:val="24"/>
              </w:rPr>
            </w:pPr>
            <w:r w:rsidRPr="00375456">
              <w:rPr>
                <w:rFonts w:ascii="微软雅黑" w:eastAsia="微软雅黑" w:hAnsi="微软雅黑" w:cs="宋体"/>
                <w:b/>
                <w:bCs/>
                <w:i/>
                <w:iCs/>
                <w:kern w:val="0"/>
                <w:sz w:val="24"/>
                <w:szCs w:val="24"/>
              </w:rPr>
              <w:t>p </w:t>
            </w:r>
            <w:r w:rsidRPr="00375456">
              <w:rPr>
                <w:rFonts w:ascii="微软雅黑" w:eastAsia="微软雅黑" w:hAnsi="微软雅黑" w:cs="宋体"/>
                <w:b/>
                <w:bCs/>
                <w:kern w:val="0"/>
                <w:sz w:val="24"/>
                <w:szCs w:val="24"/>
                <w:vertAlign w:val="superscript"/>
              </w:rPr>
              <w:t>a</w:t>
            </w:r>
          </w:p>
        </w:tc>
      </w:tr>
      <w:tr w:rsidR="00375456" w:rsidRPr="00375456" w14:paraId="6CAAE4C3" w14:textId="77777777" w:rsidTr="00375456">
        <w:trPr>
          <w:tblCellSpacing w:w="15" w:type="dxa"/>
        </w:trPr>
        <w:tc>
          <w:tcPr>
            <w:tcW w:w="4978" w:type="pct"/>
            <w:gridSpan w:val="13"/>
            <w:tcMar>
              <w:top w:w="56" w:type="dxa"/>
              <w:left w:w="56" w:type="dxa"/>
              <w:bottom w:w="56" w:type="dxa"/>
              <w:right w:w="56" w:type="dxa"/>
            </w:tcMar>
            <w:hideMark/>
          </w:tcPr>
          <w:p w14:paraId="3DB53B2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开始 CDK4/6i 的年龄</w:t>
            </w:r>
          </w:p>
        </w:tc>
      </w:tr>
      <w:tr w:rsidR="00375456" w:rsidRPr="00375456" w14:paraId="7B922C30" w14:textId="77777777" w:rsidTr="00375456">
        <w:trPr>
          <w:tblCellSpacing w:w="15" w:type="dxa"/>
        </w:trPr>
        <w:tc>
          <w:tcPr>
            <w:tcW w:w="583" w:type="pct"/>
            <w:tcMar>
              <w:top w:w="56" w:type="dxa"/>
              <w:left w:w="56" w:type="dxa"/>
              <w:bottom w:w="56" w:type="dxa"/>
              <w:right w:w="56" w:type="dxa"/>
            </w:tcMar>
            <w:hideMark/>
          </w:tcPr>
          <w:p w14:paraId="7317036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≤50</w:t>
            </w:r>
          </w:p>
        </w:tc>
        <w:tc>
          <w:tcPr>
            <w:tcW w:w="556" w:type="pct"/>
            <w:tcMar>
              <w:top w:w="56" w:type="dxa"/>
              <w:left w:w="56" w:type="dxa"/>
              <w:bottom w:w="56" w:type="dxa"/>
              <w:right w:w="56" w:type="dxa"/>
            </w:tcMar>
            <w:hideMark/>
          </w:tcPr>
          <w:p w14:paraId="54E9618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w:t>
            </w:r>
          </w:p>
        </w:tc>
        <w:tc>
          <w:tcPr>
            <w:tcW w:w="556" w:type="pct"/>
            <w:tcMar>
              <w:top w:w="56" w:type="dxa"/>
              <w:left w:w="56" w:type="dxa"/>
              <w:bottom w:w="56" w:type="dxa"/>
              <w:right w:w="56" w:type="dxa"/>
            </w:tcMar>
            <w:hideMark/>
          </w:tcPr>
          <w:p w14:paraId="184E4D6F"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w:t>
            </w:r>
          </w:p>
        </w:tc>
        <w:tc>
          <w:tcPr>
            <w:tcW w:w="178" w:type="pct"/>
            <w:tcMar>
              <w:top w:w="56" w:type="dxa"/>
              <w:left w:w="56" w:type="dxa"/>
              <w:bottom w:w="56" w:type="dxa"/>
              <w:right w:w="56" w:type="dxa"/>
            </w:tcMar>
            <w:hideMark/>
          </w:tcPr>
          <w:p w14:paraId="0EFD5E5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w:t>
            </w:r>
          </w:p>
        </w:tc>
        <w:tc>
          <w:tcPr>
            <w:tcW w:w="267" w:type="pct"/>
            <w:vMerge w:val="restart"/>
            <w:tcMar>
              <w:top w:w="56" w:type="dxa"/>
              <w:left w:w="56" w:type="dxa"/>
              <w:bottom w:w="56" w:type="dxa"/>
              <w:right w:w="56" w:type="dxa"/>
            </w:tcMar>
            <w:hideMark/>
          </w:tcPr>
          <w:p w14:paraId="2917E56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0.33</w:t>
            </w:r>
          </w:p>
        </w:tc>
        <w:tc>
          <w:tcPr>
            <w:tcW w:w="556" w:type="pct"/>
            <w:tcMar>
              <w:top w:w="56" w:type="dxa"/>
              <w:left w:w="56" w:type="dxa"/>
              <w:bottom w:w="56" w:type="dxa"/>
              <w:right w:w="56" w:type="dxa"/>
            </w:tcMar>
            <w:hideMark/>
          </w:tcPr>
          <w:p w14:paraId="14C76433"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5</w:t>
            </w:r>
          </w:p>
        </w:tc>
        <w:tc>
          <w:tcPr>
            <w:tcW w:w="556" w:type="pct"/>
            <w:tcMar>
              <w:top w:w="56" w:type="dxa"/>
              <w:left w:w="56" w:type="dxa"/>
              <w:bottom w:w="56" w:type="dxa"/>
              <w:right w:w="56" w:type="dxa"/>
            </w:tcMar>
            <w:hideMark/>
          </w:tcPr>
          <w:p w14:paraId="405BC79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w:t>
            </w:r>
          </w:p>
        </w:tc>
        <w:tc>
          <w:tcPr>
            <w:tcW w:w="178" w:type="pct"/>
            <w:tcMar>
              <w:top w:w="56" w:type="dxa"/>
              <w:left w:w="56" w:type="dxa"/>
              <w:bottom w:w="56" w:type="dxa"/>
              <w:right w:w="56" w:type="dxa"/>
            </w:tcMar>
            <w:hideMark/>
          </w:tcPr>
          <w:p w14:paraId="1C04447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7</w:t>
            </w:r>
          </w:p>
        </w:tc>
        <w:tc>
          <w:tcPr>
            <w:tcW w:w="267" w:type="pct"/>
            <w:vMerge w:val="restart"/>
            <w:tcMar>
              <w:top w:w="56" w:type="dxa"/>
              <w:left w:w="56" w:type="dxa"/>
              <w:bottom w:w="56" w:type="dxa"/>
              <w:right w:w="56" w:type="dxa"/>
            </w:tcMar>
            <w:hideMark/>
          </w:tcPr>
          <w:p w14:paraId="6AC28E6C"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0.63</w:t>
            </w:r>
          </w:p>
        </w:tc>
        <w:tc>
          <w:tcPr>
            <w:tcW w:w="375" w:type="pct"/>
            <w:tcMar>
              <w:top w:w="56" w:type="dxa"/>
              <w:left w:w="56" w:type="dxa"/>
              <w:bottom w:w="56" w:type="dxa"/>
              <w:right w:w="56" w:type="dxa"/>
            </w:tcMar>
            <w:hideMark/>
          </w:tcPr>
          <w:p w14:paraId="44DEAA3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w:t>
            </w:r>
          </w:p>
        </w:tc>
        <w:tc>
          <w:tcPr>
            <w:tcW w:w="267" w:type="pct"/>
            <w:tcMar>
              <w:top w:w="56" w:type="dxa"/>
              <w:left w:w="56" w:type="dxa"/>
              <w:bottom w:w="56" w:type="dxa"/>
              <w:right w:w="56" w:type="dxa"/>
            </w:tcMar>
            <w:hideMark/>
          </w:tcPr>
          <w:p w14:paraId="2D35BA4E"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7</w:t>
            </w:r>
          </w:p>
        </w:tc>
        <w:tc>
          <w:tcPr>
            <w:tcW w:w="241" w:type="pct"/>
            <w:tcMar>
              <w:top w:w="56" w:type="dxa"/>
              <w:left w:w="56" w:type="dxa"/>
              <w:bottom w:w="56" w:type="dxa"/>
              <w:right w:w="56" w:type="dxa"/>
            </w:tcMar>
            <w:hideMark/>
          </w:tcPr>
          <w:p w14:paraId="01391B8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9</w:t>
            </w:r>
          </w:p>
        </w:tc>
        <w:tc>
          <w:tcPr>
            <w:tcW w:w="267" w:type="pct"/>
            <w:vMerge w:val="restart"/>
            <w:tcMar>
              <w:top w:w="56" w:type="dxa"/>
              <w:left w:w="56" w:type="dxa"/>
              <w:bottom w:w="56" w:type="dxa"/>
              <w:right w:w="56" w:type="dxa"/>
            </w:tcMar>
            <w:hideMark/>
          </w:tcPr>
          <w:p w14:paraId="06E0DD3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0.65</w:t>
            </w:r>
          </w:p>
        </w:tc>
      </w:tr>
      <w:tr w:rsidR="00375456" w:rsidRPr="00375456" w14:paraId="781EE290" w14:textId="77777777" w:rsidTr="00375456">
        <w:trPr>
          <w:tblCellSpacing w:w="15" w:type="dxa"/>
        </w:trPr>
        <w:tc>
          <w:tcPr>
            <w:tcW w:w="583" w:type="pct"/>
            <w:tcMar>
              <w:top w:w="56" w:type="dxa"/>
              <w:left w:w="56" w:type="dxa"/>
              <w:bottom w:w="56" w:type="dxa"/>
              <w:right w:w="56" w:type="dxa"/>
            </w:tcMar>
            <w:hideMark/>
          </w:tcPr>
          <w:p w14:paraId="31B62A2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50岁以上</w:t>
            </w:r>
          </w:p>
        </w:tc>
        <w:tc>
          <w:tcPr>
            <w:tcW w:w="556" w:type="pct"/>
            <w:tcMar>
              <w:top w:w="56" w:type="dxa"/>
              <w:left w:w="56" w:type="dxa"/>
              <w:bottom w:w="56" w:type="dxa"/>
              <w:right w:w="56" w:type="dxa"/>
            </w:tcMar>
            <w:hideMark/>
          </w:tcPr>
          <w:p w14:paraId="347C146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13</w:t>
            </w:r>
          </w:p>
        </w:tc>
        <w:tc>
          <w:tcPr>
            <w:tcW w:w="556" w:type="pct"/>
            <w:tcMar>
              <w:top w:w="56" w:type="dxa"/>
              <w:left w:w="56" w:type="dxa"/>
              <w:bottom w:w="56" w:type="dxa"/>
              <w:right w:w="56" w:type="dxa"/>
            </w:tcMar>
            <w:hideMark/>
          </w:tcPr>
          <w:p w14:paraId="17268A8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w:t>
            </w:r>
          </w:p>
        </w:tc>
        <w:tc>
          <w:tcPr>
            <w:tcW w:w="178" w:type="pct"/>
            <w:tcMar>
              <w:top w:w="56" w:type="dxa"/>
              <w:left w:w="56" w:type="dxa"/>
              <w:bottom w:w="56" w:type="dxa"/>
              <w:right w:w="56" w:type="dxa"/>
            </w:tcMar>
            <w:hideMark/>
          </w:tcPr>
          <w:p w14:paraId="3C9D4D3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15</w:t>
            </w:r>
          </w:p>
        </w:tc>
        <w:tc>
          <w:tcPr>
            <w:tcW w:w="267" w:type="pct"/>
            <w:vMerge/>
            <w:vAlign w:val="center"/>
            <w:hideMark/>
          </w:tcPr>
          <w:p w14:paraId="79A7E73B" w14:textId="77777777" w:rsidR="00375456" w:rsidRPr="00375456" w:rsidRDefault="00375456" w:rsidP="00375456">
            <w:pPr>
              <w:widowControl/>
              <w:rPr>
                <w:rFonts w:ascii="微软雅黑" w:eastAsia="微软雅黑" w:hAnsi="微软雅黑" w:cs="宋体"/>
                <w:kern w:val="0"/>
                <w:sz w:val="24"/>
                <w:szCs w:val="24"/>
              </w:rPr>
            </w:pPr>
          </w:p>
        </w:tc>
        <w:tc>
          <w:tcPr>
            <w:tcW w:w="556" w:type="pct"/>
            <w:tcMar>
              <w:top w:w="56" w:type="dxa"/>
              <w:left w:w="56" w:type="dxa"/>
              <w:bottom w:w="56" w:type="dxa"/>
              <w:right w:w="56" w:type="dxa"/>
            </w:tcMar>
            <w:hideMark/>
          </w:tcPr>
          <w:p w14:paraId="395EC1B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62</w:t>
            </w:r>
          </w:p>
        </w:tc>
        <w:tc>
          <w:tcPr>
            <w:tcW w:w="556" w:type="pct"/>
            <w:tcMar>
              <w:top w:w="56" w:type="dxa"/>
              <w:left w:w="56" w:type="dxa"/>
              <w:bottom w:w="56" w:type="dxa"/>
              <w:right w:w="56" w:type="dxa"/>
            </w:tcMar>
            <w:hideMark/>
          </w:tcPr>
          <w:p w14:paraId="033B3A8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15</w:t>
            </w:r>
          </w:p>
        </w:tc>
        <w:tc>
          <w:tcPr>
            <w:tcW w:w="178" w:type="pct"/>
            <w:tcMar>
              <w:top w:w="56" w:type="dxa"/>
              <w:left w:w="56" w:type="dxa"/>
              <w:bottom w:w="56" w:type="dxa"/>
              <w:right w:w="56" w:type="dxa"/>
            </w:tcMar>
            <w:hideMark/>
          </w:tcPr>
          <w:p w14:paraId="12409F0A"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77</w:t>
            </w:r>
          </w:p>
        </w:tc>
        <w:tc>
          <w:tcPr>
            <w:tcW w:w="267" w:type="pct"/>
            <w:vMerge/>
            <w:vAlign w:val="center"/>
            <w:hideMark/>
          </w:tcPr>
          <w:p w14:paraId="5422083E" w14:textId="77777777" w:rsidR="00375456" w:rsidRPr="00375456" w:rsidRDefault="00375456" w:rsidP="00375456">
            <w:pPr>
              <w:widowControl/>
              <w:rPr>
                <w:rFonts w:ascii="微软雅黑" w:eastAsia="微软雅黑" w:hAnsi="微软雅黑" w:cs="宋体"/>
                <w:kern w:val="0"/>
                <w:sz w:val="24"/>
                <w:szCs w:val="24"/>
              </w:rPr>
            </w:pPr>
          </w:p>
        </w:tc>
        <w:tc>
          <w:tcPr>
            <w:tcW w:w="375" w:type="pct"/>
            <w:tcMar>
              <w:top w:w="56" w:type="dxa"/>
              <w:left w:w="56" w:type="dxa"/>
              <w:bottom w:w="56" w:type="dxa"/>
              <w:right w:w="56" w:type="dxa"/>
            </w:tcMar>
            <w:hideMark/>
          </w:tcPr>
          <w:p w14:paraId="38A3198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15</w:t>
            </w:r>
          </w:p>
        </w:tc>
        <w:tc>
          <w:tcPr>
            <w:tcW w:w="267" w:type="pct"/>
            <w:tcMar>
              <w:top w:w="56" w:type="dxa"/>
              <w:left w:w="56" w:type="dxa"/>
              <w:bottom w:w="56" w:type="dxa"/>
              <w:right w:w="56" w:type="dxa"/>
            </w:tcMar>
            <w:hideMark/>
          </w:tcPr>
          <w:p w14:paraId="641806B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77</w:t>
            </w:r>
          </w:p>
        </w:tc>
        <w:tc>
          <w:tcPr>
            <w:tcW w:w="241" w:type="pct"/>
            <w:tcMar>
              <w:top w:w="56" w:type="dxa"/>
              <w:left w:w="56" w:type="dxa"/>
              <w:bottom w:w="56" w:type="dxa"/>
              <w:right w:w="56" w:type="dxa"/>
            </w:tcMar>
            <w:hideMark/>
          </w:tcPr>
          <w:p w14:paraId="08C5B7A7"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92</w:t>
            </w:r>
          </w:p>
        </w:tc>
        <w:tc>
          <w:tcPr>
            <w:tcW w:w="267" w:type="pct"/>
            <w:vMerge/>
            <w:vAlign w:val="center"/>
            <w:hideMark/>
          </w:tcPr>
          <w:p w14:paraId="2423451B" w14:textId="77777777" w:rsidR="00375456" w:rsidRPr="00375456" w:rsidRDefault="00375456" w:rsidP="00375456">
            <w:pPr>
              <w:widowControl/>
              <w:rPr>
                <w:rFonts w:ascii="微软雅黑" w:eastAsia="微软雅黑" w:hAnsi="微软雅黑" w:cs="宋体"/>
                <w:kern w:val="0"/>
                <w:sz w:val="24"/>
                <w:szCs w:val="24"/>
              </w:rPr>
            </w:pPr>
          </w:p>
        </w:tc>
      </w:tr>
      <w:tr w:rsidR="00375456" w:rsidRPr="00375456" w14:paraId="545FE8A9" w14:textId="77777777" w:rsidTr="00375456">
        <w:trPr>
          <w:tblCellSpacing w:w="15" w:type="dxa"/>
        </w:trPr>
        <w:tc>
          <w:tcPr>
            <w:tcW w:w="4978" w:type="pct"/>
            <w:gridSpan w:val="13"/>
            <w:tcMar>
              <w:top w:w="56" w:type="dxa"/>
              <w:left w:w="56" w:type="dxa"/>
              <w:bottom w:w="56" w:type="dxa"/>
              <w:right w:w="56" w:type="dxa"/>
            </w:tcMar>
            <w:hideMark/>
          </w:tcPr>
          <w:p w14:paraId="53E6B2A3"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复发部位</w:t>
            </w:r>
            <w:r w:rsidRPr="00375456">
              <w:rPr>
                <w:rFonts w:ascii="微软雅黑" w:eastAsia="微软雅黑" w:hAnsi="微软雅黑" w:cs="宋体"/>
                <w:kern w:val="0"/>
                <w:sz w:val="24"/>
                <w:szCs w:val="24"/>
                <w:vertAlign w:val="superscript"/>
              </w:rPr>
              <w:t>b</w:t>
            </w:r>
          </w:p>
        </w:tc>
      </w:tr>
      <w:tr w:rsidR="00375456" w:rsidRPr="00375456" w14:paraId="0987543E" w14:textId="77777777" w:rsidTr="00375456">
        <w:trPr>
          <w:tblCellSpacing w:w="15" w:type="dxa"/>
        </w:trPr>
        <w:tc>
          <w:tcPr>
            <w:tcW w:w="583" w:type="pct"/>
            <w:tcMar>
              <w:top w:w="56" w:type="dxa"/>
              <w:left w:w="56" w:type="dxa"/>
              <w:bottom w:w="56" w:type="dxa"/>
              <w:right w:w="56" w:type="dxa"/>
            </w:tcMar>
            <w:hideMark/>
          </w:tcPr>
          <w:p w14:paraId="7E6D863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软组织</w:t>
            </w:r>
          </w:p>
        </w:tc>
        <w:tc>
          <w:tcPr>
            <w:tcW w:w="556" w:type="pct"/>
            <w:tcMar>
              <w:top w:w="56" w:type="dxa"/>
              <w:left w:w="56" w:type="dxa"/>
              <w:bottom w:w="56" w:type="dxa"/>
              <w:right w:w="56" w:type="dxa"/>
            </w:tcMar>
            <w:hideMark/>
          </w:tcPr>
          <w:p w14:paraId="4AC3D31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9</w:t>
            </w:r>
          </w:p>
        </w:tc>
        <w:tc>
          <w:tcPr>
            <w:tcW w:w="556" w:type="pct"/>
            <w:tcMar>
              <w:top w:w="56" w:type="dxa"/>
              <w:left w:w="56" w:type="dxa"/>
              <w:bottom w:w="56" w:type="dxa"/>
              <w:right w:w="56" w:type="dxa"/>
            </w:tcMar>
            <w:hideMark/>
          </w:tcPr>
          <w:p w14:paraId="5586CA3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w:t>
            </w:r>
          </w:p>
        </w:tc>
        <w:tc>
          <w:tcPr>
            <w:tcW w:w="178" w:type="pct"/>
            <w:tcMar>
              <w:top w:w="56" w:type="dxa"/>
              <w:left w:w="56" w:type="dxa"/>
              <w:bottom w:w="56" w:type="dxa"/>
              <w:right w:w="56" w:type="dxa"/>
            </w:tcMar>
            <w:hideMark/>
          </w:tcPr>
          <w:p w14:paraId="2F0963AC"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10</w:t>
            </w:r>
          </w:p>
        </w:tc>
        <w:tc>
          <w:tcPr>
            <w:tcW w:w="267" w:type="pct"/>
            <w:vMerge w:val="restart"/>
            <w:tcMar>
              <w:top w:w="56" w:type="dxa"/>
              <w:left w:w="56" w:type="dxa"/>
              <w:bottom w:w="56" w:type="dxa"/>
              <w:right w:w="56" w:type="dxa"/>
            </w:tcMar>
            <w:hideMark/>
          </w:tcPr>
          <w:p w14:paraId="16418B5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0.53</w:t>
            </w:r>
          </w:p>
        </w:tc>
        <w:tc>
          <w:tcPr>
            <w:tcW w:w="556" w:type="pct"/>
            <w:tcMar>
              <w:top w:w="56" w:type="dxa"/>
              <w:left w:w="56" w:type="dxa"/>
              <w:bottom w:w="56" w:type="dxa"/>
              <w:right w:w="56" w:type="dxa"/>
            </w:tcMar>
            <w:hideMark/>
          </w:tcPr>
          <w:p w14:paraId="6B8B318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20</w:t>
            </w:r>
          </w:p>
        </w:tc>
        <w:tc>
          <w:tcPr>
            <w:tcW w:w="556" w:type="pct"/>
            <w:tcMar>
              <w:top w:w="56" w:type="dxa"/>
              <w:left w:w="56" w:type="dxa"/>
              <w:bottom w:w="56" w:type="dxa"/>
              <w:right w:w="56" w:type="dxa"/>
            </w:tcMar>
            <w:hideMark/>
          </w:tcPr>
          <w:p w14:paraId="55F77589"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5</w:t>
            </w:r>
          </w:p>
        </w:tc>
        <w:tc>
          <w:tcPr>
            <w:tcW w:w="178" w:type="pct"/>
            <w:tcMar>
              <w:top w:w="56" w:type="dxa"/>
              <w:left w:w="56" w:type="dxa"/>
              <w:bottom w:w="56" w:type="dxa"/>
              <w:right w:w="56" w:type="dxa"/>
            </w:tcMar>
            <w:hideMark/>
          </w:tcPr>
          <w:p w14:paraId="1164E7DB"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25</w:t>
            </w:r>
          </w:p>
        </w:tc>
        <w:tc>
          <w:tcPr>
            <w:tcW w:w="267" w:type="pct"/>
            <w:vMerge w:val="restart"/>
            <w:tcMar>
              <w:top w:w="56" w:type="dxa"/>
              <w:left w:w="56" w:type="dxa"/>
              <w:bottom w:w="56" w:type="dxa"/>
              <w:right w:w="56" w:type="dxa"/>
            </w:tcMar>
            <w:hideMark/>
          </w:tcPr>
          <w:p w14:paraId="671F834A"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0.13</w:t>
            </w:r>
          </w:p>
        </w:tc>
        <w:tc>
          <w:tcPr>
            <w:tcW w:w="375" w:type="pct"/>
            <w:tcMar>
              <w:top w:w="56" w:type="dxa"/>
              <w:left w:w="56" w:type="dxa"/>
              <w:bottom w:w="56" w:type="dxa"/>
              <w:right w:w="56" w:type="dxa"/>
            </w:tcMar>
            <w:hideMark/>
          </w:tcPr>
          <w:p w14:paraId="3EFC99B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10</w:t>
            </w:r>
          </w:p>
        </w:tc>
        <w:tc>
          <w:tcPr>
            <w:tcW w:w="267" w:type="pct"/>
            <w:tcMar>
              <w:top w:w="56" w:type="dxa"/>
              <w:left w:w="56" w:type="dxa"/>
              <w:bottom w:w="56" w:type="dxa"/>
              <w:right w:w="56" w:type="dxa"/>
            </w:tcMar>
            <w:hideMark/>
          </w:tcPr>
          <w:p w14:paraId="7BA176D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25</w:t>
            </w:r>
          </w:p>
        </w:tc>
        <w:tc>
          <w:tcPr>
            <w:tcW w:w="241" w:type="pct"/>
            <w:tcMar>
              <w:top w:w="56" w:type="dxa"/>
              <w:left w:w="56" w:type="dxa"/>
              <w:bottom w:w="56" w:type="dxa"/>
              <w:right w:w="56" w:type="dxa"/>
            </w:tcMar>
            <w:hideMark/>
          </w:tcPr>
          <w:p w14:paraId="7C58F7E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35</w:t>
            </w:r>
          </w:p>
        </w:tc>
        <w:tc>
          <w:tcPr>
            <w:tcW w:w="267" w:type="pct"/>
            <w:vMerge w:val="restart"/>
            <w:tcMar>
              <w:top w:w="56" w:type="dxa"/>
              <w:left w:w="56" w:type="dxa"/>
              <w:bottom w:w="56" w:type="dxa"/>
              <w:right w:w="56" w:type="dxa"/>
            </w:tcMar>
            <w:hideMark/>
          </w:tcPr>
          <w:p w14:paraId="7C2A9AF3"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0.37</w:t>
            </w:r>
          </w:p>
        </w:tc>
      </w:tr>
      <w:tr w:rsidR="00375456" w:rsidRPr="00375456" w14:paraId="7EDCAB18" w14:textId="77777777" w:rsidTr="00375456">
        <w:trPr>
          <w:tblCellSpacing w:w="15" w:type="dxa"/>
        </w:trPr>
        <w:tc>
          <w:tcPr>
            <w:tcW w:w="583" w:type="pct"/>
            <w:tcMar>
              <w:top w:w="56" w:type="dxa"/>
              <w:left w:w="56" w:type="dxa"/>
              <w:bottom w:w="56" w:type="dxa"/>
              <w:right w:w="56" w:type="dxa"/>
            </w:tcMar>
            <w:hideMark/>
          </w:tcPr>
          <w:p w14:paraId="27B77AA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骨</w:t>
            </w:r>
          </w:p>
        </w:tc>
        <w:tc>
          <w:tcPr>
            <w:tcW w:w="556" w:type="pct"/>
            <w:tcMar>
              <w:top w:w="56" w:type="dxa"/>
              <w:left w:w="56" w:type="dxa"/>
              <w:bottom w:w="56" w:type="dxa"/>
              <w:right w:w="56" w:type="dxa"/>
            </w:tcMar>
            <w:hideMark/>
          </w:tcPr>
          <w:p w14:paraId="44E95859"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w:t>
            </w:r>
          </w:p>
        </w:tc>
        <w:tc>
          <w:tcPr>
            <w:tcW w:w="556" w:type="pct"/>
            <w:tcMar>
              <w:top w:w="56" w:type="dxa"/>
              <w:left w:w="56" w:type="dxa"/>
              <w:bottom w:w="56" w:type="dxa"/>
              <w:right w:w="56" w:type="dxa"/>
            </w:tcMar>
            <w:hideMark/>
          </w:tcPr>
          <w:p w14:paraId="46EF1597"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w:t>
            </w:r>
          </w:p>
        </w:tc>
        <w:tc>
          <w:tcPr>
            <w:tcW w:w="178" w:type="pct"/>
            <w:tcMar>
              <w:top w:w="56" w:type="dxa"/>
              <w:left w:w="56" w:type="dxa"/>
              <w:bottom w:w="56" w:type="dxa"/>
              <w:right w:w="56" w:type="dxa"/>
            </w:tcMar>
            <w:hideMark/>
          </w:tcPr>
          <w:p w14:paraId="5D1C11BA"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5</w:t>
            </w:r>
          </w:p>
        </w:tc>
        <w:tc>
          <w:tcPr>
            <w:tcW w:w="267" w:type="pct"/>
            <w:vMerge/>
            <w:vAlign w:val="center"/>
            <w:hideMark/>
          </w:tcPr>
          <w:p w14:paraId="18E0FE8A" w14:textId="77777777" w:rsidR="00375456" w:rsidRPr="00375456" w:rsidRDefault="00375456" w:rsidP="00375456">
            <w:pPr>
              <w:widowControl/>
              <w:rPr>
                <w:rFonts w:ascii="微软雅黑" w:eastAsia="微软雅黑" w:hAnsi="微软雅黑" w:cs="宋体"/>
                <w:kern w:val="0"/>
                <w:sz w:val="24"/>
                <w:szCs w:val="24"/>
              </w:rPr>
            </w:pPr>
          </w:p>
        </w:tc>
        <w:tc>
          <w:tcPr>
            <w:tcW w:w="556" w:type="pct"/>
            <w:tcMar>
              <w:top w:w="56" w:type="dxa"/>
              <w:left w:w="56" w:type="dxa"/>
              <w:bottom w:w="56" w:type="dxa"/>
              <w:right w:w="56" w:type="dxa"/>
            </w:tcMar>
            <w:hideMark/>
          </w:tcPr>
          <w:p w14:paraId="0A91B22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34</w:t>
            </w:r>
          </w:p>
        </w:tc>
        <w:tc>
          <w:tcPr>
            <w:tcW w:w="556" w:type="pct"/>
            <w:tcMar>
              <w:top w:w="56" w:type="dxa"/>
              <w:left w:w="56" w:type="dxa"/>
              <w:bottom w:w="56" w:type="dxa"/>
              <w:right w:w="56" w:type="dxa"/>
            </w:tcMar>
            <w:hideMark/>
          </w:tcPr>
          <w:p w14:paraId="126D2B1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5</w:t>
            </w:r>
          </w:p>
        </w:tc>
        <w:tc>
          <w:tcPr>
            <w:tcW w:w="178" w:type="pct"/>
            <w:tcMar>
              <w:top w:w="56" w:type="dxa"/>
              <w:left w:w="56" w:type="dxa"/>
              <w:bottom w:w="56" w:type="dxa"/>
              <w:right w:w="56" w:type="dxa"/>
            </w:tcMar>
            <w:hideMark/>
          </w:tcPr>
          <w:p w14:paraId="011BA4F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39</w:t>
            </w:r>
          </w:p>
        </w:tc>
        <w:tc>
          <w:tcPr>
            <w:tcW w:w="267" w:type="pct"/>
            <w:vMerge/>
            <w:vAlign w:val="center"/>
            <w:hideMark/>
          </w:tcPr>
          <w:p w14:paraId="1C938E3D" w14:textId="77777777" w:rsidR="00375456" w:rsidRPr="00375456" w:rsidRDefault="00375456" w:rsidP="00375456">
            <w:pPr>
              <w:widowControl/>
              <w:rPr>
                <w:rFonts w:ascii="微软雅黑" w:eastAsia="微软雅黑" w:hAnsi="微软雅黑" w:cs="宋体"/>
                <w:kern w:val="0"/>
                <w:sz w:val="24"/>
                <w:szCs w:val="24"/>
              </w:rPr>
            </w:pPr>
          </w:p>
        </w:tc>
        <w:tc>
          <w:tcPr>
            <w:tcW w:w="375" w:type="pct"/>
            <w:tcMar>
              <w:top w:w="56" w:type="dxa"/>
              <w:left w:w="56" w:type="dxa"/>
              <w:bottom w:w="56" w:type="dxa"/>
              <w:right w:w="56" w:type="dxa"/>
            </w:tcMar>
            <w:hideMark/>
          </w:tcPr>
          <w:p w14:paraId="63C4881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5</w:t>
            </w:r>
          </w:p>
        </w:tc>
        <w:tc>
          <w:tcPr>
            <w:tcW w:w="267" w:type="pct"/>
            <w:tcMar>
              <w:top w:w="56" w:type="dxa"/>
              <w:left w:w="56" w:type="dxa"/>
              <w:bottom w:w="56" w:type="dxa"/>
              <w:right w:w="56" w:type="dxa"/>
            </w:tcMar>
            <w:hideMark/>
          </w:tcPr>
          <w:p w14:paraId="05A595B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39</w:t>
            </w:r>
          </w:p>
        </w:tc>
        <w:tc>
          <w:tcPr>
            <w:tcW w:w="241" w:type="pct"/>
            <w:tcMar>
              <w:top w:w="56" w:type="dxa"/>
              <w:left w:w="56" w:type="dxa"/>
              <w:bottom w:w="56" w:type="dxa"/>
              <w:right w:w="56" w:type="dxa"/>
            </w:tcMar>
            <w:hideMark/>
          </w:tcPr>
          <w:p w14:paraId="3C6E387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44</w:t>
            </w:r>
          </w:p>
        </w:tc>
        <w:tc>
          <w:tcPr>
            <w:tcW w:w="267" w:type="pct"/>
            <w:vMerge/>
            <w:vAlign w:val="center"/>
            <w:hideMark/>
          </w:tcPr>
          <w:p w14:paraId="6B783D83" w14:textId="77777777" w:rsidR="00375456" w:rsidRPr="00375456" w:rsidRDefault="00375456" w:rsidP="00375456">
            <w:pPr>
              <w:widowControl/>
              <w:rPr>
                <w:rFonts w:ascii="微软雅黑" w:eastAsia="微软雅黑" w:hAnsi="微软雅黑" w:cs="宋体"/>
                <w:kern w:val="0"/>
                <w:sz w:val="24"/>
                <w:szCs w:val="24"/>
              </w:rPr>
            </w:pPr>
          </w:p>
        </w:tc>
      </w:tr>
      <w:tr w:rsidR="00375456" w:rsidRPr="00375456" w14:paraId="05A81D09" w14:textId="77777777" w:rsidTr="00375456">
        <w:trPr>
          <w:tblCellSpacing w:w="15" w:type="dxa"/>
        </w:trPr>
        <w:tc>
          <w:tcPr>
            <w:tcW w:w="583" w:type="pct"/>
            <w:tcMar>
              <w:top w:w="56" w:type="dxa"/>
              <w:left w:w="56" w:type="dxa"/>
              <w:bottom w:w="56" w:type="dxa"/>
              <w:right w:w="56" w:type="dxa"/>
            </w:tcMar>
            <w:hideMark/>
          </w:tcPr>
          <w:p w14:paraId="729CB61F"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内脏</w:t>
            </w:r>
          </w:p>
        </w:tc>
        <w:tc>
          <w:tcPr>
            <w:tcW w:w="556" w:type="pct"/>
            <w:tcMar>
              <w:top w:w="56" w:type="dxa"/>
              <w:left w:w="56" w:type="dxa"/>
              <w:bottom w:w="56" w:type="dxa"/>
              <w:right w:w="56" w:type="dxa"/>
            </w:tcMar>
            <w:hideMark/>
          </w:tcPr>
          <w:p w14:paraId="0103AD97"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w:t>
            </w:r>
          </w:p>
        </w:tc>
        <w:tc>
          <w:tcPr>
            <w:tcW w:w="556" w:type="pct"/>
            <w:tcMar>
              <w:top w:w="56" w:type="dxa"/>
              <w:left w:w="56" w:type="dxa"/>
              <w:bottom w:w="56" w:type="dxa"/>
              <w:right w:w="56" w:type="dxa"/>
            </w:tcMar>
            <w:hideMark/>
          </w:tcPr>
          <w:p w14:paraId="052723BF"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w:t>
            </w:r>
          </w:p>
        </w:tc>
        <w:tc>
          <w:tcPr>
            <w:tcW w:w="178" w:type="pct"/>
            <w:tcMar>
              <w:top w:w="56" w:type="dxa"/>
              <w:left w:w="56" w:type="dxa"/>
              <w:bottom w:w="56" w:type="dxa"/>
              <w:right w:w="56" w:type="dxa"/>
            </w:tcMar>
            <w:hideMark/>
          </w:tcPr>
          <w:p w14:paraId="4992F81B"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w:t>
            </w:r>
          </w:p>
        </w:tc>
        <w:tc>
          <w:tcPr>
            <w:tcW w:w="267" w:type="pct"/>
            <w:vMerge/>
            <w:vAlign w:val="center"/>
            <w:hideMark/>
          </w:tcPr>
          <w:p w14:paraId="2644FF1B" w14:textId="77777777" w:rsidR="00375456" w:rsidRPr="00375456" w:rsidRDefault="00375456" w:rsidP="00375456">
            <w:pPr>
              <w:widowControl/>
              <w:rPr>
                <w:rFonts w:ascii="微软雅黑" w:eastAsia="微软雅黑" w:hAnsi="微软雅黑" w:cs="宋体"/>
                <w:kern w:val="0"/>
                <w:sz w:val="24"/>
                <w:szCs w:val="24"/>
              </w:rPr>
            </w:pPr>
          </w:p>
        </w:tc>
        <w:tc>
          <w:tcPr>
            <w:tcW w:w="556" w:type="pct"/>
            <w:tcMar>
              <w:top w:w="56" w:type="dxa"/>
              <w:left w:w="56" w:type="dxa"/>
              <w:bottom w:w="56" w:type="dxa"/>
              <w:right w:w="56" w:type="dxa"/>
            </w:tcMar>
            <w:hideMark/>
          </w:tcPr>
          <w:p w14:paraId="3FFB7A7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13</w:t>
            </w:r>
          </w:p>
        </w:tc>
        <w:tc>
          <w:tcPr>
            <w:tcW w:w="556" w:type="pct"/>
            <w:tcMar>
              <w:top w:w="56" w:type="dxa"/>
              <w:left w:w="56" w:type="dxa"/>
              <w:bottom w:w="56" w:type="dxa"/>
              <w:right w:w="56" w:type="dxa"/>
            </w:tcMar>
            <w:hideMark/>
          </w:tcPr>
          <w:p w14:paraId="2D96D26C"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7</w:t>
            </w:r>
          </w:p>
        </w:tc>
        <w:tc>
          <w:tcPr>
            <w:tcW w:w="178" w:type="pct"/>
            <w:tcMar>
              <w:top w:w="56" w:type="dxa"/>
              <w:left w:w="56" w:type="dxa"/>
              <w:bottom w:w="56" w:type="dxa"/>
              <w:right w:w="56" w:type="dxa"/>
            </w:tcMar>
            <w:hideMark/>
          </w:tcPr>
          <w:p w14:paraId="0E1337E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20</w:t>
            </w:r>
          </w:p>
        </w:tc>
        <w:tc>
          <w:tcPr>
            <w:tcW w:w="267" w:type="pct"/>
            <w:vMerge/>
            <w:vAlign w:val="center"/>
            <w:hideMark/>
          </w:tcPr>
          <w:p w14:paraId="12536086" w14:textId="77777777" w:rsidR="00375456" w:rsidRPr="00375456" w:rsidRDefault="00375456" w:rsidP="00375456">
            <w:pPr>
              <w:widowControl/>
              <w:rPr>
                <w:rFonts w:ascii="微软雅黑" w:eastAsia="微软雅黑" w:hAnsi="微软雅黑" w:cs="宋体"/>
                <w:kern w:val="0"/>
                <w:sz w:val="24"/>
                <w:szCs w:val="24"/>
              </w:rPr>
            </w:pPr>
          </w:p>
        </w:tc>
        <w:tc>
          <w:tcPr>
            <w:tcW w:w="375" w:type="pct"/>
            <w:tcMar>
              <w:top w:w="56" w:type="dxa"/>
              <w:left w:w="56" w:type="dxa"/>
              <w:bottom w:w="56" w:type="dxa"/>
              <w:right w:w="56" w:type="dxa"/>
            </w:tcMar>
            <w:hideMark/>
          </w:tcPr>
          <w:p w14:paraId="23AAA77C"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w:t>
            </w:r>
          </w:p>
        </w:tc>
        <w:tc>
          <w:tcPr>
            <w:tcW w:w="267" w:type="pct"/>
            <w:tcMar>
              <w:top w:w="56" w:type="dxa"/>
              <w:left w:w="56" w:type="dxa"/>
              <w:bottom w:w="56" w:type="dxa"/>
              <w:right w:w="56" w:type="dxa"/>
            </w:tcMar>
            <w:hideMark/>
          </w:tcPr>
          <w:p w14:paraId="64E7F95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20</w:t>
            </w:r>
          </w:p>
        </w:tc>
        <w:tc>
          <w:tcPr>
            <w:tcW w:w="241" w:type="pct"/>
            <w:tcMar>
              <w:top w:w="56" w:type="dxa"/>
              <w:left w:w="56" w:type="dxa"/>
              <w:bottom w:w="56" w:type="dxa"/>
              <w:right w:w="56" w:type="dxa"/>
            </w:tcMar>
            <w:hideMark/>
          </w:tcPr>
          <w:p w14:paraId="3256634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22</w:t>
            </w:r>
          </w:p>
        </w:tc>
        <w:tc>
          <w:tcPr>
            <w:tcW w:w="267" w:type="pct"/>
            <w:vMerge/>
            <w:vAlign w:val="center"/>
            <w:hideMark/>
          </w:tcPr>
          <w:p w14:paraId="372AF28F" w14:textId="77777777" w:rsidR="00375456" w:rsidRPr="00375456" w:rsidRDefault="00375456" w:rsidP="00375456">
            <w:pPr>
              <w:widowControl/>
              <w:rPr>
                <w:rFonts w:ascii="微软雅黑" w:eastAsia="微软雅黑" w:hAnsi="微软雅黑" w:cs="宋体"/>
                <w:kern w:val="0"/>
                <w:sz w:val="24"/>
                <w:szCs w:val="24"/>
              </w:rPr>
            </w:pPr>
          </w:p>
        </w:tc>
      </w:tr>
      <w:tr w:rsidR="00375456" w:rsidRPr="00375456" w14:paraId="392B32C3" w14:textId="77777777" w:rsidTr="00375456">
        <w:trPr>
          <w:tblCellSpacing w:w="15" w:type="dxa"/>
        </w:trPr>
        <w:tc>
          <w:tcPr>
            <w:tcW w:w="4978" w:type="pct"/>
            <w:gridSpan w:val="13"/>
            <w:tcMar>
              <w:top w:w="56" w:type="dxa"/>
              <w:left w:w="56" w:type="dxa"/>
              <w:bottom w:w="56" w:type="dxa"/>
              <w:right w:w="56" w:type="dxa"/>
            </w:tcMar>
            <w:hideMark/>
          </w:tcPr>
          <w:p w14:paraId="1D6EA7E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无转移部位</w:t>
            </w:r>
          </w:p>
        </w:tc>
      </w:tr>
      <w:tr w:rsidR="00375456" w:rsidRPr="00375456" w14:paraId="3B21A86B" w14:textId="77777777" w:rsidTr="00375456">
        <w:trPr>
          <w:tblCellSpacing w:w="15" w:type="dxa"/>
        </w:trPr>
        <w:tc>
          <w:tcPr>
            <w:tcW w:w="583" w:type="pct"/>
            <w:tcMar>
              <w:top w:w="56" w:type="dxa"/>
              <w:left w:w="56" w:type="dxa"/>
              <w:bottom w:w="56" w:type="dxa"/>
              <w:right w:w="56" w:type="dxa"/>
            </w:tcMar>
            <w:hideMark/>
          </w:tcPr>
          <w:p w14:paraId="49473C6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1</w:t>
            </w:r>
          </w:p>
        </w:tc>
        <w:tc>
          <w:tcPr>
            <w:tcW w:w="556" w:type="pct"/>
            <w:tcMar>
              <w:top w:w="56" w:type="dxa"/>
              <w:left w:w="56" w:type="dxa"/>
              <w:bottom w:w="56" w:type="dxa"/>
              <w:right w:w="56" w:type="dxa"/>
            </w:tcMar>
            <w:hideMark/>
          </w:tcPr>
          <w:p w14:paraId="4CE4316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w:t>
            </w:r>
          </w:p>
        </w:tc>
        <w:tc>
          <w:tcPr>
            <w:tcW w:w="556" w:type="pct"/>
            <w:tcMar>
              <w:top w:w="56" w:type="dxa"/>
              <w:left w:w="56" w:type="dxa"/>
              <w:bottom w:w="56" w:type="dxa"/>
              <w:right w:w="56" w:type="dxa"/>
            </w:tcMar>
            <w:hideMark/>
          </w:tcPr>
          <w:p w14:paraId="6947FFE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w:t>
            </w:r>
          </w:p>
        </w:tc>
        <w:tc>
          <w:tcPr>
            <w:tcW w:w="178" w:type="pct"/>
            <w:tcMar>
              <w:top w:w="56" w:type="dxa"/>
              <w:left w:w="56" w:type="dxa"/>
              <w:bottom w:w="56" w:type="dxa"/>
              <w:right w:w="56" w:type="dxa"/>
            </w:tcMar>
            <w:hideMark/>
          </w:tcPr>
          <w:p w14:paraId="0A321A3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5</w:t>
            </w:r>
          </w:p>
        </w:tc>
        <w:tc>
          <w:tcPr>
            <w:tcW w:w="267" w:type="pct"/>
            <w:vMerge w:val="restart"/>
            <w:tcMar>
              <w:top w:w="56" w:type="dxa"/>
              <w:left w:w="56" w:type="dxa"/>
              <w:bottom w:w="56" w:type="dxa"/>
              <w:right w:w="56" w:type="dxa"/>
            </w:tcMar>
            <w:hideMark/>
          </w:tcPr>
          <w:p w14:paraId="3F237D47"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0.86</w:t>
            </w:r>
          </w:p>
        </w:tc>
        <w:tc>
          <w:tcPr>
            <w:tcW w:w="556" w:type="pct"/>
            <w:tcMar>
              <w:top w:w="56" w:type="dxa"/>
              <w:left w:w="56" w:type="dxa"/>
              <w:bottom w:w="56" w:type="dxa"/>
              <w:right w:w="56" w:type="dxa"/>
            </w:tcMar>
            <w:hideMark/>
          </w:tcPr>
          <w:p w14:paraId="4F89DE77"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18</w:t>
            </w:r>
          </w:p>
        </w:tc>
        <w:tc>
          <w:tcPr>
            <w:tcW w:w="556" w:type="pct"/>
            <w:tcMar>
              <w:top w:w="56" w:type="dxa"/>
              <w:left w:w="56" w:type="dxa"/>
              <w:bottom w:w="56" w:type="dxa"/>
              <w:right w:w="56" w:type="dxa"/>
            </w:tcMar>
            <w:hideMark/>
          </w:tcPr>
          <w:p w14:paraId="7728549E"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6</w:t>
            </w:r>
          </w:p>
        </w:tc>
        <w:tc>
          <w:tcPr>
            <w:tcW w:w="178" w:type="pct"/>
            <w:tcMar>
              <w:top w:w="56" w:type="dxa"/>
              <w:left w:w="56" w:type="dxa"/>
              <w:bottom w:w="56" w:type="dxa"/>
              <w:right w:w="56" w:type="dxa"/>
            </w:tcMar>
            <w:hideMark/>
          </w:tcPr>
          <w:p w14:paraId="614325FC"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24</w:t>
            </w:r>
          </w:p>
        </w:tc>
        <w:tc>
          <w:tcPr>
            <w:tcW w:w="267" w:type="pct"/>
            <w:vMerge w:val="restart"/>
            <w:tcMar>
              <w:top w:w="56" w:type="dxa"/>
              <w:left w:w="56" w:type="dxa"/>
              <w:bottom w:w="56" w:type="dxa"/>
              <w:right w:w="56" w:type="dxa"/>
            </w:tcMar>
            <w:hideMark/>
          </w:tcPr>
          <w:p w14:paraId="681526A9"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0.62</w:t>
            </w:r>
          </w:p>
        </w:tc>
        <w:tc>
          <w:tcPr>
            <w:tcW w:w="375" w:type="pct"/>
            <w:tcMar>
              <w:top w:w="56" w:type="dxa"/>
              <w:left w:w="56" w:type="dxa"/>
              <w:bottom w:w="56" w:type="dxa"/>
              <w:right w:w="56" w:type="dxa"/>
            </w:tcMar>
            <w:hideMark/>
          </w:tcPr>
          <w:p w14:paraId="0E7913B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5</w:t>
            </w:r>
          </w:p>
        </w:tc>
        <w:tc>
          <w:tcPr>
            <w:tcW w:w="267" w:type="pct"/>
            <w:tcMar>
              <w:top w:w="56" w:type="dxa"/>
              <w:left w:w="56" w:type="dxa"/>
              <w:bottom w:w="56" w:type="dxa"/>
              <w:right w:w="56" w:type="dxa"/>
            </w:tcMar>
            <w:hideMark/>
          </w:tcPr>
          <w:p w14:paraId="55F6F42E"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24</w:t>
            </w:r>
          </w:p>
        </w:tc>
        <w:tc>
          <w:tcPr>
            <w:tcW w:w="241" w:type="pct"/>
            <w:tcMar>
              <w:top w:w="56" w:type="dxa"/>
              <w:left w:w="56" w:type="dxa"/>
              <w:bottom w:w="56" w:type="dxa"/>
              <w:right w:w="56" w:type="dxa"/>
            </w:tcMar>
            <w:hideMark/>
          </w:tcPr>
          <w:p w14:paraId="7E025D3A"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29</w:t>
            </w:r>
          </w:p>
        </w:tc>
        <w:tc>
          <w:tcPr>
            <w:tcW w:w="267" w:type="pct"/>
            <w:vMerge w:val="restart"/>
            <w:tcMar>
              <w:top w:w="56" w:type="dxa"/>
              <w:left w:w="56" w:type="dxa"/>
              <w:bottom w:w="56" w:type="dxa"/>
              <w:right w:w="56" w:type="dxa"/>
            </w:tcMar>
            <w:hideMark/>
          </w:tcPr>
          <w:p w14:paraId="3BBF761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0.16</w:t>
            </w:r>
          </w:p>
        </w:tc>
      </w:tr>
      <w:tr w:rsidR="00375456" w:rsidRPr="00375456" w14:paraId="416556A0" w14:textId="77777777" w:rsidTr="00375456">
        <w:trPr>
          <w:tblCellSpacing w:w="15" w:type="dxa"/>
        </w:trPr>
        <w:tc>
          <w:tcPr>
            <w:tcW w:w="583" w:type="pct"/>
            <w:tcMar>
              <w:top w:w="56" w:type="dxa"/>
              <w:left w:w="56" w:type="dxa"/>
              <w:bottom w:w="56" w:type="dxa"/>
              <w:right w:w="56" w:type="dxa"/>
            </w:tcMar>
            <w:hideMark/>
          </w:tcPr>
          <w:p w14:paraId="1546F1D5"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2</w:t>
            </w:r>
          </w:p>
        </w:tc>
        <w:tc>
          <w:tcPr>
            <w:tcW w:w="556" w:type="pct"/>
            <w:tcMar>
              <w:top w:w="56" w:type="dxa"/>
              <w:left w:w="56" w:type="dxa"/>
              <w:bottom w:w="56" w:type="dxa"/>
              <w:right w:w="56" w:type="dxa"/>
            </w:tcMar>
            <w:hideMark/>
          </w:tcPr>
          <w:p w14:paraId="5DB82D8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7</w:t>
            </w:r>
          </w:p>
        </w:tc>
        <w:tc>
          <w:tcPr>
            <w:tcW w:w="556" w:type="pct"/>
            <w:tcMar>
              <w:top w:w="56" w:type="dxa"/>
              <w:left w:w="56" w:type="dxa"/>
              <w:bottom w:w="56" w:type="dxa"/>
              <w:right w:w="56" w:type="dxa"/>
            </w:tcMar>
            <w:hideMark/>
          </w:tcPr>
          <w:p w14:paraId="7DB67F6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w:t>
            </w:r>
          </w:p>
        </w:tc>
        <w:tc>
          <w:tcPr>
            <w:tcW w:w="178" w:type="pct"/>
            <w:tcMar>
              <w:top w:w="56" w:type="dxa"/>
              <w:left w:w="56" w:type="dxa"/>
              <w:bottom w:w="56" w:type="dxa"/>
              <w:right w:w="56" w:type="dxa"/>
            </w:tcMar>
            <w:hideMark/>
          </w:tcPr>
          <w:p w14:paraId="5D41C46B"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8</w:t>
            </w:r>
          </w:p>
        </w:tc>
        <w:tc>
          <w:tcPr>
            <w:tcW w:w="267" w:type="pct"/>
            <w:vMerge/>
            <w:vAlign w:val="center"/>
            <w:hideMark/>
          </w:tcPr>
          <w:p w14:paraId="3F19136A" w14:textId="77777777" w:rsidR="00375456" w:rsidRPr="00375456" w:rsidRDefault="00375456" w:rsidP="00375456">
            <w:pPr>
              <w:widowControl/>
              <w:rPr>
                <w:rFonts w:ascii="微软雅黑" w:eastAsia="微软雅黑" w:hAnsi="微软雅黑" w:cs="宋体"/>
                <w:kern w:val="0"/>
                <w:sz w:val="24"/>
                <w:szCs w:val="24"/>
              </w:rPr>
            </w:pPr>
          </w:p>
        </w:tc>
        <w:tc>
          <w:tcPr>
            <w:tcW w:w="556" w:type="pct"/>
            <w:tcMar>
              <w:top w:w="56" w:type="dxa"/>
              <w:left w:w="56" w:type="dxa"/>
              <w:bottom w:w="56" w:type="dxa"/>
              <w:right w:w="56" w:type="dxa"/>
            </w:tcMar>
            <w:hideMark/>
          </w:tcPr>
          <w:p w14:paraId="400A9B7B"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19</w:t>
            </w:r>
          </w:p>
        </w:tc>
        <w:tc>
          <w:tcPr>
            <w:tcW w:w="556" w:type="pct"/>
            <w:tcMar>
              <w:top w:w="56" w:type="dxa"/>
              <w:left w:w="56" w:type="dxa"/>
              <w:bottom w:w="56" w:type="dxa"/>
              <w:right w:w="56" w:type="dxa"/>
            </w:tcMar>
            <w:hideMark/>
          </w:tcPr>
          <w:p w14:paraId="71FB8C95"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w:t>
            </w:r>
          </w:p>
        </w:tc>
        <w:tc>
          <w:tcPr>
            <w:tcW w:w="178" w:type="pct"/>
            <w:tcMar>
              <w:top w:w="56" w:type="dxa"/>
              <w:left w:w="56" w:type="dxa"/>
              <w:bottom w:w="56" w:type="dxa"/>
              <w:right w:w="56" w:type="dxa"/>
            </w:tcMar>
            <w:hideMark/>
          </w:tcPr>
          <w:p w14:paraId="5A4D143B"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22</w:t>
            </w:r>
          </w:p>
        </w:tc>
        <w:tc>
          <w:tcPr>
            <w:tcW w:w="267" w:type="pct"/>
            <w:vMerge/>
            <w:vAlign w:val="center"/>
            <w:hideMark/>
          </w:tcPr>
          <w:p w14:paraId="5A0E0F0C" w14:textId="77777777" w:rsidR="00375456" w:rsidRPr="00375456" w:rsidRDefault="00375456" w:rsidP="00375456">
            <w:pPr>
              <w:widowControl/>
              <w:rPr>
                <w:rFonts w:ascii="微软雅黑" w:eastAsia="微软雅黑" w:hAnsi="微软雅黑" w:cs="宋体"/>
                <w:kern w:val="0"/>
                <w:sz w:val="24"/>
                <w:szCs w:val="24"/>
              </w:rPr>
            </w:pPr>
          </w:p>
        </w:tc>
        <w:tc>
          <w:tcPr>
            <w:tcW w:w="375" w:type="pct"/>
            <w:tcMar>
              <w:top w:w="56" w:type="dxa"/>
              <w:left w:w="56" w:type="dxa"/>
              <w:bottom w:w="56" w:type="dxa"/>
              <w:right w:w="56" w:type="dxa"/>
            </w:tcMar>
            <w:hideMark/>
          </w:tcPr>
          <w:p w14:paraId="6864239C"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8</w:t>
            </w:r>
          </w:p>
        </w:tc>
        <w:tc>
          <w:tcPr>
            <w:tcW w:w="267" w:type="pct"/>
            <w:tcMar>
              <w:top w:w="56" w:type="dxa"/>
              <w:left w:w="56" w:type="dxa"/>
              <w:bottom w:w="56" w:type="dxa"/>
              <w:right w:w="56" w:type="dxa"/>
            </w:tcMar>
            <w:hideMark/>
          </w:tcPr>
          <w:p w14:paraId="64B71939"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22</w:t>
            </w:r>
          </w:p>
        </w:tc>
        <w:tc>
          <w:tcPr>
            <w:tcW w:w="241" w:type="pct"/>
            <w:tcMar>
              <w:top w:w="56" w:type="dxa"/>
              <w:left w:w="56" w:type="dxa"/>
              <w:bottom w:w="56" w:type="dxa"/>
              <w:right w:w="56" w:type="dxa"/>
            </w:tcMar>
            <w:hideMark/>
          </w:tcPr>
          <w:p w14:paraId="5F4F7BB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30</w:t>
            </w:r>
          </w:p>
        </w:tc>
        <w:tc>
          <w:tcPr>
            <w:tcW w:w="267" w:type="pct"/>
            <w:vMerge/>
            <w:vAlign w:val="center"/>
            <w:hideMark/>
          </w:tcPr>
          <w:p w14:paraId="074A1DC9" w14:textId="77777777" w:rsidR="00375456" w:rsidRPr="00375456" w:rsidRDefault="00375456" w:rsidP="00375456">
            <w:pPr>
              <w:widowControl/>
              <w:rPr>
                <w:rFonts w:ascii="微软雅黑" w:eastAsia="微软雅黑" w:hAnsi="微软雅黑" w:cs="宋体"/>
                <w:kern w:val="0"/>
                <w:sz w:val="24"/>
                <w:szCs w:val="24"/>
              </w:rPr>
            </w:pPr>
          </w:p>
        </w:tc>
      </w:tr>
      <w:tr w:rsidR="00375456" w:rsidRPr="00375456" w14:paraId="76228438" w14:textId="77777777" w:rsidTr="00375456">
        <w:trPr>
          <w:tblCellSpacing w:w="15" w:type="dxa"/>
        </w:trPr>
        <w:tc>
          <w:tcPr>
            <w:tcW w:w="583" w:type="pct"/>
            <w:tcMar>
              <w:top w:w="56" w:type="dxa"/>
              <w:left w:w="56" w:type="dxa"/>
              <w:bottom w:w="56" w:type="dxa"/>
              <w:right w:w="56" w:type="dxa"/>
            </w:tcMar>
            <w:hideMark/>
          </w:tcPr>
          <w:p w14:paraId="67B9113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lastRenderedPageBreak/>
              <w:t> </w:t>
            </w:r>
            <w:r w:rsidRPr="00375456">
              <w:rPr>
                <w:rFonts w:ascii="微软雅黑" w:eastAsia="微软雅黑" w:hAnsi="微软雅黑" w:cs="宋体"/>
                <w:kern w:val="0"/>
                <w:sz w:val="24"/>
                <w:szCs w:val="24"/>
              </w:rPr>
              <w:t>≥3</w:t>
            </w:r>
          </w:p>
        </w:tc>
        <w:tc>
          <w:tcPr>
            <w:tcW w:w="556" w:type="pct"/>
            <w:tcMar>
              <w:top w:w="56" w:type="dxa"/>
              <w:left w:w="56" w:type="dxa"/>
              <w:bottom w:w="56" w:type="dxa"/>
              <w:right w:w="56" w:type="dxa"/>
            </w:tcMar>
            <w:hideMark/>
          </w:tcPr>
          <w:p w14:paraId="41D643B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w:t>
            </w:r>
          </w:p>
        </w:tc>
        <w:tc>
          <w:tcPr>
            <w:tcW w:w="556" w:type="pct"/>
            <w:tcMar>
              <w:top w:w="56" w:type="dxa"/>
              <w:left w:w="56" w:type="dxa"/>
              <w:bottom w:w="56" w:type="dxa"/>
              <w:right w:w="56" w:type="dxa"/>
            </w:tcMar>
            <w:hideMark/>
          </w:tcPr>
          <w:p w14:paraId="53EFDFE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w:t>
            </w:r>
          </w:p>
        </w:tc>
        <w:tc>
          <w:tcPr>
            <w:tcW w:w="178" w:type="pct"/>
            <w:tcMar>
              <w:top w:w="56" w:type="dxa"/>
              <w:left w:w="56" w:type="dxa"/>
              <w:bottom w:w="56" w:type="dxa"/>
              <w:right w:w="56" w:type="dxa"/>
            </w:tcMar>
            <w:hideMark/>
          </w:tcPr>
          <w:p w14:paraId="346D6B6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w:t>
            </w:r>
          </w:p>
        </w:tc>
        <w:tc>
          <w:tcPr>
            <w:tcW w:w="267" w:type="pct"/>
            <w:vMerge/>
            <w:vAlign w:val="center"/>
            <w:hideMark/>
          </w:tcPr>
          <w:p w14:paraId="64BDF0A9" w14:textId="77777777" w:rsidR="00375456" w:rsidRPr="00375456" w:rsidRDefault="00375456" w:rsidP="00375456">
            <w:pPr>
              <w:widowControl/>
              <w:rPr>
                <w:rFonts w:ascii="微软雅黑" w:eastAsia="微软雅黑" w:hAnsi="微软雅黑" w:cs="宋体"/>
                <w:kern w:val="0"/>
                <w:sz w:val="24"/>
                <w:szCs w:val="24"/>
              </w:rPr>
            </w:pPr>
          </w:p>
        </w:tc>
        <w:tc>
          <w:tcPr>
            <w:tcW w:w="556" w:type="pct"/>
            <w:tcMar>
              <w:top w:w="56" w:type="dxa"/>
              <w:left w:w="56" w:type="dxa"/>
              <w:bottom w:w="56" w:type="dxa"/>
              <w:right w:w="56" w:type="dxa"/>
            </w:tcMar>
            <w:hideMark/>
          </w:tcPr>
          <w:p w14:paraId="65C65D9B"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30</w:t>
            </w:r>
          </w:p>
        </w:tc>
        <w:tc>
          <w:tcPr>
            <w:tcW w:w="556" w:type="pct"/>
            <w:tcMar>
              <w:top w:w="56" w:type="dxa"/>
              <w:left w:w="56" w:type="dxa"/>
              <w:bottom w:w="56" w:type="dxa"/>
              <w:right w:w="56" w:type="dxa"/>
            </w:tcMar>
            <w:hideMark/>
          </w:tcPr>
          <w:p w14:paraId="0601F7D3"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8</w:t>
            </w:r>
          </w:p>
        </w:tc>
        <w:tc>
          <w:tcPr>
            <w:tcW w:w="178" w:type="pct"/>
            <w:tcMar>
              <w:top w:w="56" w:type="dxa"/>
              <w:left w:w="56" w:type="dxa"/>
              <w:bottom w:w="56" w:type="dxa"/>
              <w:right w:w="56" w:type="dxa"/>
            </w:tcMar>
            <w:hideMark/>
          </w:tcPr>
          <w:p w14:paraId="148D1E7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38</w:t>
            </w:r>
          </w:p>
        </w:tc>
        <w:tc>
          <w:tcPr>
            <w:tcW w:w="267" w:type="pct"/>
            <w:vMerge/>
            <w:vAlign w:val="center"/>
            <w:hideMark/>
          </w:tcPr>
          <w:p w14:paraId="04D57ECA" w14:textId="77777777" w:rsidR="00375456" w:rsidRPr="00375456" w:rsidRDefault="00375456" w:rsidP="00375456">
            <w:pPr>
              <w:widowControl/>
              <w:rPr>
                <w:rFonts w:ascii="微软雅黑" w:eastAsia="微软雅黑" w:hAnsi="微软雅黑" w:cs="宋体"/>
                <w:kern w:val="0"/>
                <w:sz w:val="24"/>
                <w:szCs w:val="24"/>
              </w:rPr>
            </w:pPr>
          </w:p>
        </w:tc>
        <w:tc>
          <w:tcPr>
            <w:tcW w:w="375" w:type="pct"/>
            <w:tcMar>
              <w:top w:w="56" w:type="dxa"/>
              <w:left w:w="56" w:type="dxa"/>
              <w:bottom w:w="56" w:type="dxa"/>
              <w:right w:w="56" w:type="dxa"/>
            </w:tcMar>
            <w:hideMark/>
          </w:tcPr>
          <w:p w14:paraId="0D6DC58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w:t>
            </w:r>
          </w:p>
        </w:tc>
        <w:tc>
          <w:tcPr>
            <w:tcW w:w="267" w:type="pct"/>
            <w:tcMar>
              <w:top w:w="56" w:type="dxa"/>
              <w:left w:w="56" w:type="dxa"/>
              <w:bottom w:w="56" w:type="dxa"/>
              <w:right w:w="56" w:type="dxa"/>
            </w:tcMar>
            <w:hideMark/>
          </w:tcPr>
          <w:p w14:paraId="473FA415"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38</w:t>
            </w:r>
          </w:p>
        </w:tc>
        <w:tc>
          <w:tcPr>
            <w:tcW w:w="241" w:type="pct"/>
            <w:tcMar>
              <w:top w:w="56" w:type="dxa"/>
              <w:left w:w="56" w:type="dxa"/>
              <w:bottom w:w="56" w:type="dxa"/>
              <w:right w:w="56" w:type="dxa"/>
            </w:tcMar>
            <w:hideMark/>
          </w:tcPr>
          <w:p w14:paraId="6F86A3E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42</w:t>
            </w:r>
          </w:p>
        </w:tc>
        <w:tc>
          <w:tcPr>
            <w:tcW w:w="267" w:type="pct"/>
            <w:vMerge/>
            <w:vAlign w:val="center"/>
            <w:hideMark/>
          </w:tcPr>
          <w:p w14:paraId="1B49B7F2" w14:textId="77777777" w:rsidR="00375456" w:rsidRPr="00375456" w:rsidRDefault="00375456" w:rsidP="00375456">
            <w:pPr>
              <w:widowControl/>
              <w:rPr>
                <w:rFonts w:ascii="微软雅黑" w:eastAsia="微软雅黑" w:hAnsi="微软雅黑" w:cs="宋体"/>
                <w:kern w:val="0"/>
                <w:sz w:val="24"/>
                <w:szCs w:val="24"/>
              </w:rPr>
            </w:pPr>
          </w:p>
        </w:tc>
      </w:tr>
      <w:tr w:rsidR="00375456" w:rsidRPr="00375456" w14:paraId="5766A35E" w14:textId="77777777" w:rsidTr="00375456">
        <w:trPr>
          <w:tblCellSpacing w:w="15" w:type="dxa"/>
        </w:trPr>
        <w:tc>
          <w:tcPr>
            <w:tcW w:w="4978" w:type="pct"/>
            <w:gridSpan w:val="13"/>
            <w:tcMar>
              <w:top w:w="56" w:type="dxa"/>
              <w:left w:w="56" w:type="dxa"/>
              <w:bottom w:w="56" w:type="dxa"/>
              <w:right w:w="56" w:type="dxa"/>
            </w:tcMar>
            <w:hideMark/>
          </w:tcPr>
          <w:p w14:paraId="25375939"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化疗</w:t>
            </w:r>
            <w:r w:rsidRPr="00375456">
              <w:rPr>
                <w:rFonts w:ascii="微软雅黑" w:eastAsia="微软雅黑" w:hAnsi="微软雅黑" w:cs="宋体"/>
                <w:kern w:val="0"/>
                <w:sz w:val="24"/>
                <w:szCs w:val="24"/>
                <w:vertAlign w:val="superscript"/>
              </w:rPr>
              <w:t>c</w:t>
            </w:r>
          </w:p>
        </w:tc>
      </w:tr>
      <w:tr w:rsidR="00375456" w:rsidRPr="00375456" w14:paraId="4E24847B" w14:textId="77777777" w:rsidTr="00375456">
        <w:trPr>
          <w:tblCellSpacing w:w="15" w:type="dxa"/>
        </w:trPr>
        <w:tc>
          <w:tcPr>
            <w:tcW w:w="583" w:type="pct"/>
            <w:tcMar>
              <w:top w:w="56" w:type="dxa"/>
              <w:left w:w="56" w:type="dxa"/>
              <w:bottom w:w="56" w:type="dxa"/>
              <w:right w:w="56" w:type="dxa"/>
            </w:tcMar>
            <w:hideMark/>
          </w:tcPr>
          <w:p w14:paraId="179627D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不</w:t>
            </w:r>
          </w:p>
        </w:tc>
        <w:tc>
          <w:tcPr>
            <w:tcW w:w="556" w:type="pct"/>
            <w:tcMar>
              <w:top w:w="56" w:type="dxa"/>
              <w:left w:w="56" w:type="dxa"/>
              <w:bottom w:w="56" w:type="dxa"/>
              <w:right w:w="56" w:type="dxa"/>
            </w:tcMar>
            <w:hideMark/>
          </w:tcPr>
          <w:p w14:paraId="7682282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9</w:t>
            </w:r>
          </w:p>
        </w:tc>
        <w:tc>
          <w:tcPr>
            <w:tcW w:w="556" w:type="pct"/>
            <w:tcMar>
              <w:top w:w="56" w:type="dxa"/>
              <w:left w:w="56" w:type="dxa"/>
              <w:bottom w:w="56" w:type="dxa"/>
              <w:right w:w="56" w:type="dxa"/>
            </w:tcMar>
            <w:hideMark/>
          </w:tcPr>
          <w:p w14:paraId="7A4B7F5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w:t>
            </w:r>
          </w:p>
        </w:tc>
        <w:tc>
          <w:tcPr>
            <w:tcW w:w="178" w:type="pct"/>
            <w:tcMar>
              <w:top w:w="56" w:type="dxa"/>
              <w:left w:w="56" w:type="dxa"/>
              <w:bottom w:w="56" w:type="dxa"/>
              <w:right w:w="56" w:type="dxa"/>
            </w:tcMar>
            <w:hideMark/>
          </w:tcPr>
          <w:p w14:paraId="3D6018C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10</w:t>
            </w:r>
          </w:p>
        </w:tc>
        <w:tc>
          <w:tcPr>
            <w:tcW w:w="267" w:type="pct"/>
            <w:vMerge w:val="restart"/>
            <w:tcMar>
              <w:top w:w="56" w:type="dxa"/>
              <w:left w:w="56" w:type="dxa"/>
              <w:bottom w:w="56" w:type="dxa"/>
              <w:right w:w="56" w:type="dxa"/>
            </w:tcMar>
            <w:hideMark/>
          </w:tcPr>
          <w:p w14:paraId="2AA32F6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0.54</w:t>
            </w:r>
          </w:p>
        </w:tc>
        <w:tc>
          <w:tcPr>
            <w:tcW w:w="556" w:type="pct"/>
            <w:tcMar>
              <w:top w:w="56" w:type="dxa"/>
              <w:left w:w="56" w:type="dxa"/>
              <w:bottom w:w="56" w:type="dxa"/>
              <w:right w:w="56" w:type="dxa"/>
            </w:tcMar>
            <w:hideMark/>
          </w:tcPr>
          <w:p w14:paraId="515D991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37</w:t>
            </w:r>
          </w:p>
        </w:tc>
        <w:tc>
          <w:tcPr>
            <w:tcW w:w="556" w:type="pct"/>
            <w:tcMar>
              <w:top w:w="56" w:type="dxa"/>
              <w:left w:w="56" w:type="dxa"/>
              <w:bottom w:w="56" w:type="dxa"/>
              <w:right w:w="56" w:type="dxa"/>
            </w:tcMar>
            <w:hideMark/>
          </w:tcPr>
          <w:p w14:paraId="0EC6128C"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8</w:t>
            </w:r>
          </w:p>
        </w:tc>
        <w:tc>
          <w:tcPr>
            <w:tcW w:w="178" w:type="pct"/>
            <w:tcMar>
              <w:top w:w="56" w:type="dxa"/>
              <w:left w:w="56" w:type="dxa"/>
              <w:bottom w:w="56" w:type="dxa"/>
              <w:right w:w="56" w:type="dxa"/>
            </w:tcMar>
            <w:hideMark/>
          </w:tcPr>
          <w:p w14:paraId="5FC2318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45</w:t>
            </w:r>
          </w:p>
        </w:tc>
        <w:tc>
          <w:tcPr>
            <w:tcW w:w="267" w:type="pct"/>
            <w:vMerge w:val="restart"/>
            <w:tcMar>
              <w:top w:w="56" w:type="dxa"/>
              <w:left w:w="56" w:type="dxa"/>
              <w:bottom w:w="56" w:type="dxa"/>
              <w:right w:w="56" w:type="dxa"/>
            </w:tcMar>
            <w:hideMark/>
          </w:tcPr>
          <w:p w14:paraId="37F278AF"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0.60</w:t>
            </w:r>
          </w:p>
        </w:tc>
        <w:tc>
          <w:tcPr>
            <w:tcW w:w="375" w:type="pct"/>
            <w:tcMar>
              <w:top w:w="56" w:type="dxa"/>
              <w:left w:w="56" w:type="dxa"/>
              <w:bottom w:w="56" w:type="dxa"/>
              <w:right w:w="56" w:type="dxa"/>
            </w:tcMar>
            <w:hideMark/>
          </w:tcPr>
          <w:p w14:paraId="6C0CA25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10</w:t>
            </w:r>
          </w:p>
        </w:tc>
        <w:tc>
          <w:tcPr>
            <w:tcW w:w="267" w:type="pct"/>
            <w:tcMar>
              <w:top w:w="56" w:type="dxa"/>
              <w:left w:w="56" w:type="dxa"/>
              <w:bottom w:w="56" w:type="dxa"/>
              <w:right w:w="56" w:type="dxa"/>
            </w:tcMar>
            <w:hideMark/>
          </w:tcPr>
          <w:p w14:paraId="3BBD02D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45</w:t>
            </w:r>
          </w:p>
        </w:tc>
        <w:tc>
          <w:tcPr>
            <w:tcW w:w="241" w:type="pct"/>
            <w:tcMar>
              <w:top w:w="56" w:type="dxa"/>
              <w:left w:w="56" w:type="dxa"/>
              <w:bottom w:w="56" w:type="dxa"/>
              <w:right w:w="56" w:type="dxa"/>
            </w:tcMar>
            <w:hideMark/>
          </w:tcPr>
          <w:p w14:paraId="5D225867"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55</w:t>
            </w:r>
          </w:p>
        </w:tc>
        <w:tc>
          <w:tcPr>
            <w:tcW w:w="267" w:type="pct"/>
            <w:vMerge w:val="restart"/>
            <w:tcMar>
              <w:top w:w="56" w:type="dxa"/>
              <w:left w:w="56" w:type="dxa"/>
              <w:bottom w:w="56" w:type="dxa"/>
              <w:right w:w="56" w:type="dxa"/>
            </w:tcMar>
            <w:hideMark/>
          </w:tcPr>
          <w:p w14:paraId="09A65C03"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0.79</w:t>
            </w:r>
          </w:p>
        </w:tc>
      </w:tr>
      <w:tr w:rsidR="00375456" w:rsidRPr="00375456" w14:paraId="464DECBE" w14:textId="77777777" w:rsidTr="00375456">
        <w:trPr>
          <w:tblCellSpacing w:w="15" w:type="dxa"/>
        </w:trPr>
        <w:tc>
          <w:tcPr>
            <w:tcW w:w="583" w:type="pct"/>
            <w:tcMar>
              <w:top w:w="56" w:type="dxa"/>
              <w:left w:w="56" w:type="dxa"/>
              <w:bottom w:w="56" w:type="dxa"/>
              <w:right w:w="56" w:type="dxa"/>
            </w:tcMar>
            <w:hideMark/>
          </w:tcPr>
          <w:p w14:paraId="69FB2EA9"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是的</w:t>
            </w:r>
          </w:p>
        </w:tc>
        <w:tc>
          <w:tcPr>
            <w:tcW w:w="556" w:type="pct"/>
            <w:tcMar>
              <w:top w:w="56" w:type="dxa"/>
              <w:left w:w="56" w:type="dxa"/>
              <w:bottom w:w="56" w:type="dxa"/>
              <w:right w:w="56" w:type="dxa"/>
            </w:tcMar>
            <w:hideMark/>
          </w:tcPr>
          <w:p w14:paraId="6439EA4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5</w:t>
            </w:r>
          </w:p>
        </w:tc>
        <w:tc>
          <w:tcPr>
            <w:tcW w:w="556" w:type="pct"/>
            <w:tcMar>
              <w:top w:w="56" w:type="dxa"/>
              <w:left w:w="56" w:type="dxa"/>
              <w:bottom w:w="56" w:type="dxa"/>
              <w:right w:w="56" w:type="dxa"/>
            </w:tcMar>
            <w:hideMark/>
          </w:tcPr>
          <w:p w14:paraId="1CDD7A5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w:t>
            </w:r>
          </w:p>
        </w:tc>
        <w:tc>
          <w:tcPr>
            <w:tcW w:w="178" w:type="pct"/>
            <w:tcMar>
              <w:top w:w="56" w:type="dxa"/>
              <w:left w:w="56" w:type="dxa"/>
              <w:bottom w:w="56" w:type="dxa"/>
              <w:right w:w="56" w:type="dxa"/>
            </w:tcMar>
            <w:hideMark/>
          </w:tcPr>
          <w:p w14:paraId="77AA24B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7</w:t>
            </w:r>
          </w:p>
        </w:tc>
        <w:tc>
          <w:tcPr>
            <w:tcW w:w="267" w:type="pct"/>
            <w:vMerge/>
            <w:vAlign w:val="center"/>
            <w:hideMark/>
          </w:tcPr>
          <w:p w14:paraId="554EFED5" w14:textId="77777777" w:rsidR="00375456" w:rsidRPr="00375456" w:rsidRDefault="00375456" w:rsidP="00375456">
            <w:pPr>
              <w:widowControl/>
              <w:rPr>
                <w:rFonts w:ascii="微软雅黑" w:eastAsia="微软雅黑" w:hAnsi="微软雅黑" w:cs="宋体"/>
                <w:kern w:val="0"/>
                <w:sz w:val="24"/>
                <w:szCs w:val="24"/>
              </w:rPr>
            </w:pPr>
          </w:p>
        </w:tc>
        <w:tc>
          <w:tcPr>
            <w:tcW w:w="556" w:type="pct"/>
            <w:tcMar>
              <w:top w:w="56" w:type="dxa"/>
              <w:left w:w="56" w:type="dxa"/>
              <w:bottom w:w="56" w:type="dxa"/>
              <w:right w:w="56" w:type="dxa"/>
            </w:tcMar>
            <w:hideMark/>
          </w:tcPr>
          <w:p w14:paraId="52930B8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30</w:t>
            </w:r>
          </w:p>
        </w:tc>
        <w:tc>
          <w:tcPr>
            <w:tcW w:w="556" w:type="pct"/>
            <w:tcMar>
              <w:top w:w="56" w:type="dxa"/>
              <w:left w:w="56" w:type="dxa"/>
              <w:bottom w:w="56" w:type="dxa"/>
              <w:right w:w="56" w:type="dxa"/>
            </w:tcMar>
            <w:hideMark/>
          </w:tcPr>
          <w:p w14:paraId="6E2DB47F"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9</w:t>
            </w:r>
          </w:p>
        </w:tc>
        <w:tc>
          <w:tcPr>
            <w:tcW w:w="178" w:type="pct"/>
            <w:tcMar>
              <w:top w:w="56" w:type="dxa"/>
              <w:left w:w="56" w:type="dxa"/>
              <w:bottom w:w="56" w:type="dxa"/>
              <w:right w:w="56" w:type="dxa"/>
            </w:tcMar>
            <w:hideMark/>
          </w:tcPr>
          <w:p w14:paraId="6A725B67"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39</w:t>
            </w:r>
          </w:p>
        </w:tc>
        <w:tc>
          <w:tcPr>
            <w:tcW w:w="267" w:type="pct"/>
            <w:vMerge/>
            <w:vAlign w:val="center"/>
            <w:hideMark/>
          </w:tcPr>
          <w:p w14:paraId="40297495" w14:textId="77777777" w:rsidR="00375456" w:rsidRPr="00375456" w:rsidRDefault="00375456" w:rsidP="00375456">
            <w:pPr>
              <w:widowControl/>
              <w:rPr>
                <w:rFonts w:ascii="微软雅黑" w:eastAsia="微软雅黑" w:hAnsi="微软雅黑" w:cs="宋体"/>
                <w:kern w:val="0"/>
                <w:sz w:val="24"/>
                <w:szCs w:val="24"/>
              </w:rPr>
            </w:pPr>
          </w:p>
        </w:tc>
        <w:tc>
          <w:tcPr>
            <w:tcW w:w="375" w:type="pct"/>
            <w:tcMar>
              <w:top w:w="56" w:type="dxa"/>
              <w:left w:w="56" w:type="dxa"/>
              <w:bottom w:w="56" w:type="dxa"/>
              <w:right w:w="56" w:type="dxa"/>
            </w:tcMar>
            <w:hideMark/>
          </w:tcPr>
          <w:p w14:paraId="116A3CC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7</w:t>
            </w:r>
          </w:p>
        </w:tc>
        <w:tc>
          <w:tcPr>
            <w:tcW w:w="267" w:type="pct"/>
            <w:tcMar>
              <w:top w:w="56" w:type="dxa"/>
              <w:left w:w="56" w:type="dxa"/>
              <w:bottom w:w="56" w:type="dxa"/>
              <w:right w:w="56" w:type="dxa"/>
            </w:tcMar>
            <w:hideMark/>
          </w:tcPr>
          <w:p w14:paraId="33A9ED5E"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39</w:t>
            </w:r>
          </w:p>
        </w:tc>
        <w:tc>
          <w:tcPr>
            <w:tcW w:w="241" w:type="pct"/>
            <w:tcMar>
              <w:top w:w="56" w:type="dxa"/>
              <w:left w:w="56" w:type="dxa"/>
              <w:bottom w:w="56" w:type="dxa"/>
              <w:right w:w="56" w:type="dxa"/>
            </w:tcMar>
            <w:hideMark/>
          </w:tcPr>
          <w:p w14:paraId="1903F18A"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46</w:t>
            </w:r>
          </w:p>
        </w:tc>
        <w:tc>
          <w:tcPr>
            <w:tcW w:w="267" w:type="pct"/>
            <w:vMerge/>
            <w:vAlign w:val="center"/>
            <w:hideMark/>
          </w:tcPr>
          <w:p w14:paraId="4755EC10" w14:textId="77777777" w:rsidR="00375456" w:rsidRPr="00375456" w:rsidRDefault="00375456" w:rsidP="00375456">
            <w:pPr>
              <w:widowControl/>
              <w:rPr>
                <w:rFonts w:ascii="微软雅黑" w:eastAsia="微软雅黑" w:hAnsi="微软雅黑" w:cs="宋体"/>
                <w:kern w:val="0"/>
                <w:sz w:val="24"/>
                <w:szCs w:val="24"/>
              </w:rPr>
            </w:pPr>
          </w:p>
        </w:tc>
      </w:tr>
      <w:tr w:rsidR="00375456" w:rsidRPr="00375456" w14:paraId="67B61DC0" w14:textId="77777777" w:rsidTr="00375456">
        <w:trPr>
          <w:tblCellSpacing w:w="15" w:type="dxa"/>
        </w:trPr>
        <w:tc>
          <w:tcPr>
            <w:tcW w:w="4978" w:type="pct"/>
            <w:gridSpan w:val="13"/>
            <w:tcMar>
              <w:top w:w="56" w:type="dxa"/>
              <w:left w:w="56" w:type="dxa"/>
              <w:bottom w:w="56" w:type="dxa"/>
              <w:right w:w="56" w:type="dxa"/>
            </w:tcMar>
            <w:hideMark/>
          </w:tcPr>
          <w:p w14:paraId="3680011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复发时间（年）</w:t>
            </w:r>
          </w:p>
        </w:tc>
      </w:tr>
      <w:tr w:rsidR="00375456" w:rsidRPr="00375456" w14:paraId="2C4157F2" w14:textId="77777777" w:rsidTr="00375456">
        <w:trPr>
          <w:tblCellSpacing w:w="15" w:type="dxa"/>
        </w:trPr>
        <w:tc>
          <w:tcPr>
            <w:tcW w:w="583" w:type="pct"/>
            <w:tcMar>
              <w:top w:w="56" w:type="dxa"/>
              <w:left w:w="56" w:type="dxa"/>
              <w:bottom w:w="56" w:type="dxa"/>
              <w:right w:w="56" w:type="dxa"/>
            </w:tcMar>
            <w:hideMark/>
          </w:tcPr>
          <w:p w14:paraId="50A04583"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≤5</w:t>
            </w:r>
          </w:p>
        </w:tc>
        <w:tc>
          <w:tcPr>
            <w:tcW w:w="556" w:type="pct"/>
            <w:tcMar>
              <w:top w:w="56" w:type="dxa"/>
              <w:left w:w="56" w:type="dxa"/>
              <w:bottom w:w="56" w:type="dxa"/>
              <w:right w:w="56" w:type="dxa"/>
            </w:tcMar>
            <w:hideMark/>
          </w:tcPr>
          <w:p w14:paraId="2F97889C"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7</w:t>
            </w:r>
          </w:p>
        </w:tc>
        <w:tc>
          <w:tcPr>
            <w:tcW w:w="556" w:type="pct"/>
            <w:tcMar>
              <w:top w:w="56" w:type="dxa"/>
              <w:left w:w="56" w:type="dxa"/>
              <w:bottom w:w="56" w:type="dxa"/>
              <w:right w:w="56" w:type="dxa"/>
            </w:tcMar>
            <w:hideMark/>
          </w:tcPr>
          <w:p w14:paraId="6360903A"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w:t>
            </w:r>
          </w:p>
        </w:tc>
        <w:tc>
          <w:tcPr>
            <w:tcW w:w="178" w:type="pct"/>
            <w:tcMar>
              <w:top w:w="56" w:type="dxa"/>
              <w:left w:w="56" w:type="dxa"/>
              <w:bottom w:w="56" w:type="dxa"/>
              <w:right w:w="56" w:type="dxa"/>
            </w:tcMar>
            <w:hideMark/>
          </w:tcPr>
          <w:p w14:paraId="0A89ECD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10</w:t>
            </w:r>
          </w:p>
        </w:tc>
        <w:tc>
          <w:tcPr>
            <w:tcW w:w="267" w:type="pct"/>
            <w:vMerge w:val="restart"/>
            <w:tcMar>
              <w:top w:w="56" w:type="dxa"/>
              <w:left w:w="56" w:type="dxa"/>
              <w:bottom w:w="56" w:type="dxa"/>
              <w:right w:w="56" w:type="dxa"/>
            </w:tcMar>
            <w:hideMark/>
          </w:tcPr>
          <w:p w14:paraId="684EEF6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0.28</w:t>
            </w:r>
          </w:p>
        </w:tc>
        <w:tc>
          <w:tcPr>
            <w:tcW w:w="556" w:type="pct"/>
            <w:tcMar>
              <w:top w:w="56" w:type="dxa"/>
              <w:left w:w="56" w:type="dxa"/>
              <w:bottom w:w="56" w:type="dxa"/>
              <w:right w:w="56" w:type="dxa"/>
            </w:tcMar>
            <w:hideMark/>
          </w:tcPr>
          <w:p w14:paraId="37434EAF"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28</w:t>
            </w:r>
          </w:p>
        </w:tc>
        <w:tc>
          <w:tcPr>
            <w:tcW w:w="556" w:type="pct"/>
            <w:tcMar>
              <w:top w:w="56" w:type="dxa"/>
              <w:left w:w="56" w:type="dxa"/>
              <w:bottom w:w="56" w:type="dxa"/>
              <w:right w:w="56" w:type="dxa"/>
            </w:tcMar>
            <w:hideMark/>
          </w:tcPr>
          <w:p w14:paraId="2C2E6A9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5</w:t>
            </w:r>
          </w:p>
        </w:tc>
        <w:tc>
          <w:tcPr>
            <w:tcW w:w="178" w:type="pct"/>
            <w:tcMar>
              <w:top w:w="56" w:type="dxa"/>
              <w:left w:w="56" w:type="dxa"/>
              <w:bottom w:w="56" w:type="dxa"/>
              <w:right w:w="56" w:type="dxa"/>
            </w:tcMar>
            <w:hideMark/>
          </w:tcPr>
          <w:p w14:paraId="0BBCD71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33</w:t>
            </w:r>
          </w:p>
        </w:tc>
        <w:tc>
          <w:tcPr>
            <w:tcW w:w="267" w:type="pct"/>
            <w:vMerge w:val="restart"/>
            <w:tcMar>
              <w:top w:w="56" w:type="dxa"/>
              <w:left w:w="56" w:type="dxa"/>
              <w:bottom w:w="56" w:type="dxa"/>
              <w:right w:w="56" w:type="dxa"/>
            </w:tcMar>
            <w:hideMark/>
          </w:tcPr>
          <w:p w14:paraId="66953159"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0.35</w:t>
            </w:r>
          </w:p>
        </w:tc>
        <w:tc>
          <w:tcPr>
            <w:tcW w:w="375" w:type="pct"/>
            <w:tcMar>
              <w:top w:w="56" w:type="dxa"/>
              <w:left w:w="56" w:type="dxa"/>
              <w:bottom w:w="56" w:type="dxa"/>
              <w:right w:w="56" w:type="dxa"/>
            </w:tcMar>
            <w:hideMark/>
          </w:tcPr>
          <w:p w14:paraId="04931DEB"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10</w:t>
            </w:r>
          </w:p>
        </w:tc>
        <w:tc>
          <w:tcPr>
            <w:tcW w:w="267" w:type="pct"/>
            <w:tcMar>
              <w:top w:w="56" w:type="dxa"/>
              <w:left w:w="56" w:type="dxa"/>
              <w:bottom w:w="56" w:type="dxa"/>
              <w:right w:w="56" w:type="dxa"/>
            </w:tcMar>
            <w:hideMark/>
          </w:tcPr>
          <w:p w14:paraId="1AEF7A25"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33</w:t>
            </w:r>
          </w:p>
        </w:tc>
        <w:tc>
          <w:tcPr>
            <w:tcW w:w="241" w:type="pct"/>
            <w:tcMar>
              <w:top w:w="56" w:type="dxa"/>
              <w:left w:w="56" w:type="dxa"/>
              <w:bottom w:w="56" w:type="dxa"/>
              <w:right w:w="56" w:type="dxa"/>
            </w:tcMar>
            <w:hideMark/>
          </w:tcPr>
          <w:p w14:paraId="702D92A3"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43</w:t>
            </w:r>
          </w:p>
        </w:tc>
        <w:tc>
          <w:tcPr>
            <w:tcW w:w="267" w:type="pct"/>
            <w:vMerge w:val="restart"/>
            <w:tcMar>
              <w:top w:w="56" w:type="dxa"/>
              <w:left w:w="56" w:type="dxa"/>
              <w:bottom w:w="56" w:type="dxa"/>
              <w:right w:w="56" w:type="dxa"/>
            </w:tcMar>
            <w:hideMark/>
          </w:tcPr>
          <w:p w14:paraId="1F5F761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0.29</w:t>
            </w:r>
          </w:p>
        </w:tc>
      </w:tr>
      <w:tr w:rsidR="00375456" w:rsidRPr="00375456" w14:paraId="75731EB1" w14:textId="77777777" w:rsidTr="00375456">
        <w:trPr>
          <w:tblCellSpacing w:w="15" w:type="dxa"/>
        </w:trPr>
        <w:tc>
          <w:tcPr>
            <w:tcW w:w="583" w:type="pct"/>
            <w:tcMar>
              <w:top w:w="56" w:type="dxa"/>
              <w:left w:w="56" w:type="dxa"/>
              <w:bottom w:w="56" w:type="dxa"/>
              <w:right w:w="56" w:type="dxa"/>
            </w:tcMar>
            <w:hideMark/>
          </w:tcPr>
          <w:p w14:paraId="61D7BCB9"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1-10</w:t>
            </w:r>
          </w:p>
        </w:tc>
        <w:tc>
          <w:tcPr>
            <w:tcW w:w="556" w:type="pct"/>
            <w:tcMar>
              <w:top w:w="56" w:type="dxa"/>
              <w:left w:w="56" w:type="dxa"/>
              <w:bottom w:w="56" w:type="dxa"/>
              <w:right w:w="56" w:type="dxa"/>
            </w:tcMar>
            <w:hideMark/>
          </w:tcPr>
          <w:p w14:paraId="2C6FEEEF"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w:t>
            </w:r>
          </w:p>
        </w:tc>
        <w:tc>
          <w:tcPr>
            <w:tcW w:w="556" w:type="pct"/>
            <w:tcMar>
              <w:top w:w="56" w:type="dxa"/>
              <w:left w:w="56" w:type="dxa"/>
              <w:bottom w:w="56" w:type="dxa"/>
              <w:right w:w="56" w:type="dxa"/>
            </w:tcMar>
            <w:hideMark/>
          </w:tcPr>
          <w:p w14:paraId="5D2E059D"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w:t>
            </w:r>
          </w:p>
        </w:tc>
        <w:tc>
          <w:tcPr>
            <w:tcW w:w="178" w:type="pct"/>
            <w:tcMar>
              <w:top w:w="56" w:type="dxa"/>
              <w:left w:w="56" w:type="dxa"/>
              <w:bottom w:w="56" w:type="dxa"/>
              <w:right w:w="56" w:type="dxa"/>
            </w:tcMar>
            <w:hideMark/>
          </w:tcPr>
          <w:p w14:paraId="499A3A1E"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w:t>
            </w:r>
          </w:p>
        </w:tc>
        <w:tc>
          <w:tcPr>
            <w:tcW w:w="267" w:type="pct"/>
            <w:vMerge/>
            <w:vAlign w:val="center"/>
            <w:hideMark/>
          </w:tcPr>
          <w:p w14:paraId="3CB461D2" w14:textId="77777777" w:rsidR="00375456" w:rsidRPr="00375456" w:rsidRDefault="00375456" w:rsidP="00375456">
            <w:pPr>
              <w:widowControl/>
              <w:rPr>
                <w:rFonts w:ascii="微软雅黑" w:eastAsia="微软雅黑" w:hAnsi="微软雅黑" w:cs="宋体"/>
                <w:kern w:val="0"/>
                <w:sz w:val="24"/>
                <w:szCs w:val="24"/>
              </w:rPr>
            </w:pPr>
          </w:p>
        </w:tc>
        <w:tc>
          <w:tcPr>
            <w:tcW w:w="556" w:type="pct"/>
            <w:tcMar>
              <w:top w:w="56" w:type="dxa"/>
              <w:left w:w="56" w:type="dxa"/>
              <w:bottom w:w="56" w:type="dxa"/>
              <w:right w:w="56" w:type="dxa"/>
            </w:tcMar>
            <w:hideMark/>
          </w:tcPr>
          <w:p w14:paraId="6F1995B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16</w:t>
            </w:r>
          </w:p>
        </w:tc>
        <w:tc>
          <w:tcPr>
            <w:tcW w:w="556" w:type="pct"/>
            <w:tcMar>
              <w:top w:w="56" w:type="dxa"/>
              <w:left w:w="56" w:type="dxa"/>
              <w:bottom w:w="56" w:type="dxa"/>
              <w:right w:w="56" w:type="dxa"/>
            </w:tcMar>
            <w:hideMark/>
          </w:tcPr>
          <w:p w14:paraId="4391AB4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7</w:t>
            </w:r>
          </w:p>
        </w:tc>
        <w:tc>
          <w:tcPr>
            <w:tcW w:w="178" w:type="pct"/>
            <w:tcMar>
              <w:top w:w="56" w:type="dxa"/>
              <w:left w:w="56" w:type="dxa"/>
              <w:bottom w:w="56" w:type="dxa"/>
              <w:right w:w="56" w:type="dxa"/>
            </w:tcMar>
            <w:hideMark/>
          </w:tcPr>
          <w:p w14:paraId="4664B15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23</w:t>
            </w:r>
          </w:p>
        </w:tc>
        <w:tc>
          <w:tcPr>
            <w:tcW w:w="267" w:type="pct"/>
            <w:vMerge/>
            <w:vAlign w:val="center"/>
            <w:hideMark/>
          </w:tcPr>
          <w:p w14:paraId="1FF320D5" w14:textId="77777777" w:rsidR="00375456" w:rsidRPr="00375456" w:rsidRDefault="00375456" w:rsidP="00375456">
            <w:pPr>
              <w:widowControl/>
              <w:rPr>
                <w:rFonts w:ascii="微软雅黑" w:eastAsia="微软雅黑" w:hAnsi="微软雅黑" w:cs="宋体"/>
                <w:kern w:val="0"/>
                <w:sz w:val="24"/>
                <w:szCs w:val="24"/>
              </w:rPr>
            </w:pPr>
          </w:p>
        </w:tc>
        <w:tc>
          <w:tcPr>
            <w:tcW w:w="375" w:type="pct"/>
            <w:tcMar>
              <w:top w:w="56" w:type="dxa"/>
              <w:left w:w="56" w:type="dxa"/>
              <w:bottom w:w="56" w:type="dxa"/>
              <w:right w:w="56" w:type="dxa"/>
            </w:tcMar>
            <w:hideMark/>
          </w:tcPr>
          <w:p w14:paraId="4D3F4BE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4</w:t>
            </w:r>
          </w:p>
        </w:tc>
        <w:tc>
          <w:tcPr>
            <w:tcW w:w="267" w:type="pct"/>
            <w:tcMar>
              <w:top w:w="56" w:type="dxa"/>
              <w:left w:w="56" w:type="dxa"/>
              <w:bottom w:w="56" w:type="dxa"/>
              <w:right w:w="56" w:type="dxa"/>
            </w:tcMar>
            <w:hideMark/>
          </w:tcPr>
          <w:p w14:paraId="104F52BB"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23</w:t>
            </w:r>
          </w:p>
        </w:tc>
        <w:tc>
          <w:tcPr>
            <w:tcW w:w="241" w:type="pct"/>
            <w:tcMar>
              <w:top w:w="56" w:type="dxa"/>
              <w:left w:w="56" w:type="dxa"/>
              <w:bottom w:w="56" w:type="dxa"/>
              <w:right w:w="56" w:type="dxa"/>
            </w:tcMar>
            <w:hideMark/>
          </w:tcPr>
          <w:p w14:paraId="4E258ECC"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27</w:t>
            </w:r>
          </w:p>
        </w:tc>
        <w:tc>
          <w:tcPr>
            <w:tcW w:w="267" w:type="pct"/>
            <w:vMerge/>
            <w:vAlign w:val="center"/>
            <w:hideMark/>
          </w:tcPr>
          <w:p w14:paraId="11E41129" w14:textId="77777777" w:rsidR="00375456" w:rsidRPr="00375456" w:rsidRDefault="00375456" w:rsidP="00375456">
            <w:pPr>
              <w:widowControl/>
              <w:rPr>
                <w:rFonts w:ascii="微软雅黑" w:eastAsia="微软雅黑" w:hAnsi="微软雅黑" w:cs="宋体"/>
                <w:kern w:val="0"/>
                <w:sz w:val="24"/>
                <w:szCs w:val="24"/>
              </w:rPr>
            </w:pPr>
          </w:p>
        </w:tc>
      </w:tr>
      <w:tr w:rsidR="00375456" w:rsidRPr="00375456" w14:paraId="33752703" w14:textId="77777777" w:rsidTr="00375456">
        <w:trPr>
          <w:tblCellSpacing w:w="15" w:type="dxa"/>
        </w:trPr>
        <w:tc>
          <w:tcPr>
            <w:tcW w:w="583" w:type="pct"/>
            <w:tcMar>
              <w:top w:w="56" w:type="dxa"/>
              <w:left w:w="56" w:type="dxa"/>
              <w:bottom w:w="56" w:type="dxa"/>
              <w:right w:w="56" w:type="dxa"/>
            </w:tcMar>
            <w:hideMark/>
          </w:tcPr>
          <w:p w14:paraId="5C6D737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 </w:t>
            </w:r>
            <w:r w:rsidRPr="00375456">
              <w:rPr>
                <w:rFonts w:ascii="微软雅黑" w:eastAsia="微软雅黑" w:hAnsi="微软雅黑" w:cs="宋体"/>
                <w:kern w:val="0"/>
                <w:sz w:val="24"/>
                <w:szCs w:val="24"/>
              </w:rPr>
              <w:t>&gt;10</w:t>
            </w:r>
          </w:p>
        </w:tc>
        <w:tc>
          <w:tcPr>
            <w:tcW w:w="556" w:type="pct"/>
            <w:tcMar>
              <w:top w:w="56" w:type="dxa"/>
              <w:left w:w="56" w:type="dxa"/>
              <w:bottom w:w="56" w:type="dxa"/>
              <w:right w:w="56" w:type="dxa"/>
            </w:tcMar>
            <w:hideMark/>
          </w:tcPr>
          <w:p w14:paraId="6DF3B68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w:t>
            </w:r>
          </w:p>
        </w:tc>
        <w:tc>
          <w:tcPr>
            <w:tcW w:w="556" w:type="pct"/>
            <w:tcMar>
              <w:top w:w="56" w:type="dxa"/>
              <w:left w:w="56" w:type="dxa"/>
              <w:bottom w:w="56" w:type="dxa"/>
              <w:right w:w="56" w:type="dxa"/>
            </w:tcMar>
            <w:hideMark/>
          </w:tcPr>
          <w:p w14:paraId="39AD72FE"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0</w:t>
            </w:r>
          </w:p>
        </w:tc>
        <w:tc>
          <w:tcPr>
            <w:tcW w:w="178" w:type="pct"/>
            <w:tcMar>
              <w:top w:w="56" w:type="dxa"/>
              <w:left w:w="56" w:type="dxa"/>
              <w:bottom w:w="56" w:type="dxa"/>
              <w:right w:w="56" w:type="dxa"/>
            </w:tcMar>
            <w:hideMark/>
          </w:tcPr>
          <w:p w14:paraId="4E21452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w:t>
            </w:r>
          </w:p>
        </w:tc>
        <w:tc>
          <w:tcPr>
            <w:tcW w:w="267" w:type="pct"/>
            <w:vMerge/>
            <w:vAlign w:val="center"/>
            <w:hideMark/>
          </w:tcPr>
          <w:p w14:paraId="6D65C812" w14:textId="77777777" w:rsidR="00375456" w:rsidRPr="00375456" w:rsidRDefault="00375456" w:rsidP="00375456">
            <w:pPr>
              <w:widowControl/>
              <w:rPr>
                <w:rFonts w:ascii="微软雅黑" w:eastAsia="微软雅黑" w:hAnsi="微软雅黑" w:cs="宋体"/>
                <w:kern w:val="0"/>
                <w:sz w:val="24"/>
                <w:szCs w:val="24"/>
              </w:rPr>
            </w:pPr>
          </w:p>
        </w:tc>
        <w:tc>
          <w:tcPr>
            <w:tcW w:w="556" w:type="pct"/>
            <w:tcMar>
              <w:top w:w="56" w:type="dxa"/>
              <w:left w:w="56" w:type="dxa"/>
              <w:bottom w:w="56" w:type="dxa"/>
              <w:right w:w="56" w:type="dxa"/>
            </w:tcMar>
            <w:hideMark/>
          </w:tcPr>
          <w:p w14:paraId="74B9468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23</w:t>
            </w:r>
          </w:p>
        </w:tc>
        <w:tc>
          <w:tcPr>
            <w:tcW w:w="556" w:type="pct"/>
            <w:tcMar>
              <w:top w:w="56" w:type="dxa"/>
              <w:left w:w="56" w:type="dxa"/>
              <w:bottom w:w="56" w:type="dxa"/>
              <w:right w:w="56" w:type="dxa"/>
            </w:tcMar>
            <w:hideMark/>
          </w:tcPr>
          <w:p w14:paraId="02D2DFB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5</w:t>
            </w:r>
          </w:p>
        </w:tc>
        <w:tc>
          <w:tcPr>
            <w:tcW w:w="178" w:type="pct"/>
            <w:tcMar>
              <w:top w:w="56" w:type="dxa"/>
              <w:left w:w="56" w:type="dxa"/>
              <w:bottom w:w="56" w:type="dxa"/>
              <w:right w:w="56" w:type="dxa"/>
            </w:tcMar>
            <w:hideMark/>
          </w:tcPr>
          <w:p w14:paraId="6EDC438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28</w:t>
            </w:r>
          </w:p>
        </w:tc>
        <w:tc>
          <w:tcPr>
            <w:tcW w:w="267" w:type="pct"/>
            <w:vMerge/>
            <w:vAlign w:val="center"/>
            <w:hideMark/>
          </w:tcPr>
          <w:p w14:paraId="13172455" w14:textId="77777777" w:rsidR="00375456" w:rsidRPr="00375456" w:rsidRDefault="00375456" w:rsidP="00375456">
            <w:pPr>
              <w:widowControl/>
              <w:rPr>
                <w:rFonts w:ascii="微软雅黑" w:eastAsia="微软雅黑" w:hAnsi="微软雅黑" w:cs="宋体"/>
                <w:kern w:val="0"/>
                <w:sz w:val="24"/>
                <w:szCs w:val="24"/>
              </w:rPr>
            </w:pPr>
          </w:p>
        </w:tc>
        <w:tc>
          <w:tcPr>
            <w:tcW w:w="375" w:type="pct"/>
            <w:tcMar>
              <w:top w:w="56" w:type="dxa"/>
              <w:left w:w="56" w:type="dxa"/>
              <w:bottom w:w="56" w:type="dxa"/>
              <w:right w:w="56" w:type="dxa"/>
            </w:tcMar>
            <w:hideMark/>
          </w:tcPr>
          <w:p w14:paraId="79D9815B"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w:t>
            </w:r>
          </w:p>
        </w:tc>
        <w:tc>
          <w:tcPr>
            <w:tcW w:w="267" w:type="pct"/>
            <w:tcMar>
              <w:top w:w="56" w:type="dxa"/>
              <w:left w:w="56" w:type="dxa"/>
              <w:bottom w:w="56" w:type="dxa"/>
              <w:right w:w="56" w:type="dxa"/>
            </w:tcMar>
            <w:hideMark/>
          </w:tcPr>
          <w:p w14:paraId="28446DE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28</w:t>
            </w:r>
          </w:p>
        </w:tc>
        <w:tc>
          <w:tcPr>
            <w:tcW w:w="241" w:type="pct"/>
            <w:tcMar>
              <w:top w:w="56" w:type="dxa"/>
              <w:left w:w="56" w:type="dxa"/>
              <w:bottom w:w="56" w:type="dxa"/>
              <w:right w:w="56" w:type="dxa"/>
            </w:tcMar>
            <w:hideMark/>
          </w:tcPr>
          <w:p w14:paraId="64391BD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31</w:t>
            </w:r>
          </w:p>
        </w:tc>
        <w:tc>
          <w:tcPr>
            <w:tcW w:w="267" w:type="pct"/>
            <w:vMerge/>
            <w:vAlign w:val="center"/>
            <w:hideMark/>
          </w:tcPr>
          <w:p w14:paraId="7DEE2101" w14:textId="77777777" w:rsidR="00375456" w:rsidRPr="00375456" w:rsidRDefault="00375456" w:rsidP="00375456">
            <w:pPr>
              <w:widowControl/>
              <w:rPr>
                <w:rFonts w:ascii="微软雅黑" w:eastAsia="微软雅黑" w:hAnsi="微软雅黑" w:cs="宋体"/>
                <w:kern w:val="0"/>
                <w:sz w:val="24"/>
                <w:szCs w:val="24"/>
              </w:rPr>
            </w:pPr>
          </w:p>
        </w:tc>
      </w:tr>
      <w:tr w:rsidR="00375456" w:rsidRPr="00375456" w14:paraId="7F0EE4B0" w14:textId="77777777" w:rsidTr="00375456">
        <w:trPr>
          <w:tblCellSpacing w:w="15" w:type="dxa"/>
        </w:trPr>
        <w:tc>
          <w:tcPr>
            <w:tcW w:w="583" w:type="pct"/>
            <w:tcMar>
              <w:top w:w="56" w:type="dxa"/>
              <w:left w:w="56" w:type="dxa"/>
              <w:bottom w:w="56" w:type="dxa"/>
              <w:right w:w="56" w:type="dxa"/>
            </w:tcMar>
            <w:hideMark/>
          </w:tcPr>
          <w:p w14:paraId="30667D7A"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全部的</w:t>
            </w:r>
          </w:p>
        </w:tc>
        <w:tc>
          <w:tcPr>
            <w:tcW w:w="556" w:type="pct"/>
            <w:tcMar>
              <w:top w:w="56" w:type="dxa"/>
              <w:left w:w="56" w:type="dxa"/>
              <w:bottom w:w="56" w:type="dxa"/>
              <w:right w:w="56" w:type="dxa"/>
            </w:tcMar>
            <w:hideMark/>
          </w:tcPr>
          <w:p w14:paraId="66E86D9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14</w:t>
            </w:r>
          </w:p>
        </w:tc>
        <w:tc>
          <w:tcPr>
            <w:tcW w:w="556" w:type="pct"/>
            <w:tcMar>
              <w:top w:w="56" w:type="dxa"/>
              <w:left w:w="56" w:type="dxa"/>
              <w:bottom w:w="56" w:type="dxa"/>
              <w:right w:w="56" w:type="dxa"/>
            </w:tcMar>
            <w:hideMark/>
          </w:tcPr>
          <w:p w14:paraId="7DC008A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3</w:t>
            </w:r>
          </w:p>
        </w:tc>
        <w:tc>
          <w:tcPr>
            <w:tcW w:w="178" w:type="pct"/>
            <w:tcMar>
              <w:top w:w="56" w:type="dxa"/>
              <w:left w:w="56" w:type="dxa"/>
              <w:bottom w:w="56" w:type="dxa"/>
              <w:right w:w="56" w:type="dxa"/>
            </w:tcMar>
            <w:hideMark/>
          </w:tcPr>
          <w:p w14:paraId="4B18B241"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17</w:t>
            </w:r>
          </w:p>
        </w:tc>
        <w:tc>
          <w:tcPr>
            <w:tcW w:w="267" w:type="pct"/>
            <w:tcMar>
              <w:top w:w="56" w:type="dxa"/>
              <w:left w:w="56" w:type="dxa"/>
              <w:bottom w:w="56" w:type="dxa"/>
              <w:right w:w="56" w:type="dxa"/>
            </w:tcMar>
            <w:hideMark/>
          </w:tcPr>
          <w:p w14:paraId="0D7B3B76" w14:textId="77777777" w:rsidR="00375456" w:rsidRPr="00375456" w:rsidRDefault="00375456" w:rsidP="00375456">
            <w:pPr>
              <w:widowControl/>
              <w:rPr>
                <w:rFonts w:ascii="微软雅黑" w:eastAsia="微软雅黑" w:hAnsi="微软雅黑" w:cs="宋体"/>
                <w:kern w:val="0"/>
                <w:sz w:val="24"/>
                <w:szCs w:val="24"/>
              </w:rPr>
            </w:pPr>
          </w:p>
        </w:tc>
        <w:tc>
          <w:tcPr>
            <w:tcW w:w="556" w:type="pct"/>
            <w:tcMar>
              <w:top w:w="56" w:type="dxa"/>
              <w:left w:w="56" w:type="dxa"/>
              <w:bottom w:w="56" w:type="dxa"/>
              <w:right w:w="56" w:type="dxa"/>
            </w:tcMar>
            <w:hideMark/>
          </w:tcPr>
          <w:p w14:paraId="4BA4DB28"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67</w:t>
            </w:r>
          </w:p>
        </w:tc>
        <w:tc>
          <w:tcPr>
            <w:tcW w:w="556" w:type="pct"/>
            <w:tcMar>
              <w:top w:w="56" w:type="dxa"/>
              <w:left w:w="56" w:type="dxa"/>
              <w:bottom w:w="56" w:type="dxa"/>
              <w:right w:w="56" w:type="dxa"/>
            </w:tcMar>
            <w:hideMark/>
          </w:tcPr>
          <w:p w14:paraId="0E787DB4"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17</w:t>
            </w:r>
          </w:p>
        </w:tc>
        <w:tc>
          <w:tcPr>
            <w:tcW w:w="178" w:type="pct"/>
            <w:tcMar>
              <w:top w:w="56" w:type="dxa"/>
              <w:left w:w="56" w:type="dxa"/>
              <w:bottom w:w="56" w:type="dxa"/>
              <w:right w:w="56" w:type="dxa"/>
            </w:tcMar>
            <w:hideMark/>
          </w:tcPr>
          <w:p w14:paraId="3F7B12A5"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84</w:t>
            </w:r>
          </w:p>
        </w:tc>
        <w:tc>
          <w:tcPr>
            <w:tcW w:w="267" w:type="pct"/>
            <w:tcMar>
              <w:top w:w="56" w:type="dxa"/>
              <w:left w:w="56" w:type="dxa"/>
              <w:bottom w:w="56" w:type="dxa"/>
              <w:right w:w="56" w:type="dxa"/>
            </w:tcMar>
            <w:hideMark/>
          </w:tcPr>
          <w:p w14:paraId="6F871CE1" w14:textId="77777777" w:rsidR="00375456" w:rsidRPr="00375456" w:rsidRDefault="00375456" w:rsidP="00375456">
            <w:pPr>
              <w:widowControl/>
              <w:rPr>
                <w:rFonts w:ascii="微软雅黑" w:eastAsia="微软雅黑" w:hAnsi="微软雅黑" w:cs="宋体"/>
                <w:kern w:val="0"/>
                <w:sz w:val="24"/>
                <w:szCs w:val="24"/>
              </w:rPr>
            </w:pPr>
          </w:p>
        </w:tc>
        <w:tc>
          <w:tcPr>
            <w:tcW w:w="375" w:type="pct"/>
            <w:tcMar>
              <w:top w:w="56" w:type="dxa"/>
              <w:left w:w="56" w:type="dxa"/>
              <w:bottom w:w="56" w:type="dxa"/>
              <w:right w:w="56" w:type="dxa"/>
            </w:tcMar>
            <w:hideMark/>
          </w:tcPr>
          <w:p w14:paraId="2D6BD4E2"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17</w:t>
            </w:r>
          </w:p>
        </w:tc>
        <w:tc>
          <w:tcPr>
            <w:tcW w:w="267" w:type="pct"/>
            <w:tcMar>
              <w:top w:w="56" w:type="dxa"/>
              <w:left w:w="56" w:type="dxa"/>
              <w:bottom w:w="56" w:type="dxa"/>
              <w:right w:w="56" w:type="dxa"/>
            </w:tcMar>
            <w:hideMark/>
          </w:tcPr>
          <w:p w14:paraId="1CD2A05F"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84</w:t>
            </w:r>
          </w:p>
        </w:tc>
        <w:tc>
          <w:tcPr>
            <w:tcW w:w="241" w:type="pct"/>
            <w:tcMar>
              <w:top w:w="56" w:type="dxa"/>
              <w:left w:w="56" w:type="dxa"/>
              <w:bottom w:w="56" w:type="dxa"/>
              <w:right w:w="56" w:type="dxa"/>
            </w:tcMar>
            <w:hideMark/>
          </w:tcPr>
          <w:p w14:paraId="575F0DD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rPr>
              <w:t>101</w:t>
            </w:r>
          </w:p>
        </w:tc>
        <w:tc>
          <w:tcPr>
            <w:tcW w:w="267" w:type="pct"/>
            <w:tcMar>
              <w:top w:w="56" w:type="dxa"/>
              <w:left w:w="56" w:type="dxa"/>
              <w:bottom w:w="56" w:type="dxa"/>
              <w:right w:w="56" w:type="dxa"/>
            </w:tcMar>
            <w:hideMark/>
          </w:tcPr>
          <w:p w14:paraId="74A1D254" w14:textId="77777777" w:rsidR="00375456" w:rsidRPr="00375456" w:rsidRDefault="00375456" w:rsidP="00375456">
            <w:pPr>
              <w:widowControl/>
              <w:rPr>
                <w:rFonts w:ascii="微软雅黑" w:eastAsia="微软雅黑" w:hAnsi="微软雅黑" w:cs="宋体"/>
                <w:kern w:val="0"/>
                <w:sz w:val="24"/>
                <w:szCs w:val="24"/>
              </w:rPr>
            </w:pPr>
          </w:p>
        </w:tc>
      </w:tr>
    </w:tbl>
    <w:p w14:paraId="2A46C1A0"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kern w:val="0"/>
          <w:sz w:val="24"/>
          <w:szCs w:val="24"/>
          <w:vertAlign w:val="superscript"/>
        </w:rPr>
        <w:t>双侧</w:t>
      </w:r>
      <w:r w:rsidRPr="00375456">
        <w:rPr>
          <w:rFonts w:ascii="微软雅黑" w:eastAsia="微软雅黑" w:hAnsi="微软雅黑" w:cs="宋体"/>
          <w:i/>
          <w:iCs/>
          <w:kern w:val="0"/>
          <w:sz w:val="24"/>
          <w:szCs w:val="24"/>
        </w:rPr>
        <w:t>χ²</w:t>
      </w:r>
      <w:r w:rsidRPr="00375456">
        <w:rPr>
          <w:rFonts w:ascii="微软雅黑" w:eastAsia="微软雅黑" w:hAnsi="微软雅黑" w:cs="宋体"/>
          <w:kern w:val="0"/>
          <w:sz w:val="24"/>
          <w:szCs w:val="24"/>
        </w:rPr>
        <w:t>检验或 Fisher 精确检验。</w:t>
      </w:r>
    </w:p>
    <w:p w14:paraId="777ED9E2"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vertAlign w:val="superscript"/>
        </w:rPr>
        <w:t>b</w:t>
      </w:r>
      <w:r w:rsidRPr="00375456">
        <w:rPr>
          <w:rFonts w:ascii="微软雅黑" w:eastAsia="微软雅黑" w:hAnsi="微软雅黑" w:cs="宋体"/>
          <w:kern w:val="0"/>
          <w:sz w:val="24"/>
          <w:szCs w:val="24"/>
        </w:rPr>
        <w:t>用于评估 p-AKT 表达的转移病灶复发部位。</w:t>
      </w:r>
    </w:p>
    <w:p w14:paraId="5879AD3C"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vertAlign w:val="superscript"/>
        </w:rPr>
        <w:t>c</w:t>
      </w:r>
      <w:r w:rsidRPr="00375456">
        <w:rPr>
          <w:rFonts w:ascii="微软雅黑" w:eastAsia="微软雅黑" w:hAnsi="微软雅黑" w:cs="宋体"/>
          <w:kern w:val="0"/>
          <w:sz w:val="24"/>
          <w:szCs w:val="24"/>
        </w:rPr>
        <w:t>包括在辅助治疗和转移治疗中应用的化疗。</w:t>
      </w:r>
    </w:p>
    <w:p w14:paraId="4EF7B3A2" w14:textId="77777777" w:rsidR="00375456" w:rsidRPr="00375456" w:rsidRDefault="00375456" w:rsidP="00375456">
      <w:pPr>
        <w:widowControl/>
        <w:spacing w:line="450" w:lineRule="atLeast"/>
        <w:outlineLvl w:val="3"/>
        <w:rPr>
          <w:rFonts w:ascii="微软雅黑" w:eastAsia="微软雅黑" w:hAnsi="微软雅黑" w:cs="宋体"/>
          <w:kern w:val="0"/>
          <w:sz w:val="30"/>
          <w:szCs w:val="30"/>
        </w:rPr>
      </w:pPr>
      <w:r w:rsidRPr="00375456">
        <w:rPr>
          <w:rFonts w:ascii="微软雅黑" w:eastAsia="微软雅黑" w:hAnsi="微软雅黑" w:cs="宋体"/>
          <w:kern w:val="0"/>
          <w:sz w:val="30"/>
          <w:szCs w:val="30"/>
        </w:rPr>
        <w:lastRenderedPageBreak/>
        <w:t>图 7. p-AKT 表达与接受 CDK4/6i 和内分泌治疗的 ER+ 转移性乳腺癌患者的 PFS 相关。</w:t>
      </w:r>
    </w:p>
    <w:p w14:paraId="0FB329B8" w14:textId="6492ACF9"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noProof/>
          <w:kern w:val="0"/>
          <w:sz w:val="24"/>
          <w:szCs w:val="24"/>
        </w:rPr>
        <w:drawing>
          <wp:inline distT="0" distB="0" distL="0" distR="0" wp14:anchorId="2353F6A9" wp14:editId="54E4B222">
            <wp:extent cx="5274310" cy="2484755"/>
            <wp:effectExtent l="0" t="0" r="2540" b="0"/>
            <wp:docPr id="1" name="图片 1" descr="图 7">
              <a:hlinkClick xmlns:a="http://schemas.openxmlformats.org/drawingml/2006/main" r:id="rId12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2037" descr="图 7">
                      <a:hlinkClick r:id="rId129" tgtFrame="&quot;_blank&quot;"/>
                    </pic:cNvPr>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274310" cy="2484755"/>
                    </a:xfrm>
                    <a:prstGeom prst="rect">
                      <a:avLst/>
                    </a:prstGeom>
                    <a:noFill/>
                    <a:ln>
                      <a:noFill/>
                    </a:ln>
                  </pic:spPr>
                </pic:pic>
              </a:graphicData>
            </a:graphic>
          </wp:inline>
        </w:drawing>
      </w:r>
    </w:p>
    <w:p w14:paraId="21488EE6" w14:textId="77777777" w:rsidR="00375456" w:rsidRPr="00375456" w:rsidRDefault="00375456" w:rsidP="00375456">
      <w:pPr>
        <w:widowControl/>
        <w:rPr>
          <w:rFonts w:ascii="微软雅黑" w:eastAsia="微软雅黑" w:hAnsi="微软雅黑" w:cs="宋体"/>
          <w:kern w:val="0"/>
          <w:sz w:val="24"/>
          <w:szCs w:val="24"/>
        </w:rPr>
      </w:pPr>
      <w:r w:rsidRPr="00375456">
        <w:rPr>
          <w:rFonts w:ascii="微软雅黑" w:eastAsia="微软雅黑" w:hAnsi="微软雅黑" w:cs="宋体"/>
          <w:b/>
          <w:bCs/>
          <w:kern w:val="0"/>
          <w:sz w:val="24"/>
          <w:szCs w:val="24"/>
        </w:rPr>
        <w:t>Kaplan</w:t>
      </w:r>
      <w:r w:rsidRPr="00375456">
        <w:rPr>
          <w:rFonts w:ascii="微软雅黑" w:eastAsia="微软雅黑" w:hAnsi="微软雅黑" w:cs="宋体"/>
          <w:kern w:val="0"/>
          <w:sz w:val="24"/>
          <w:szCs w:val="24"/>
        </w:rPr>
        <w:t> -Meier曲线评估了在接受CDK4/6抑制剂联合内分泌治疗的晚期ER阳性乳腺癌患者验证队列中，ER阳性转移灶中p-AKT（S473）水平与无进展生存期（PFS）的关系。采用log-rank检验计算双侧</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值（</w:t>
      </w:r>
      <w:r w:rsidRPr="00375456">
        <w:rPr>
          <w:rFonts w:ascii="微软雅黑" w:eastAsia="微软雅黑" w:hAnsi="微软雅黑" w:cs="宋体"/>
          <w:i/>
          <w:iCs/>
          <w:kern w:val="0"/>
          <w:sz w:val="24"/>
          <w:szCs w:val="24"/>
        </w:rPr>
        <w:t>p</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&lt; 0.05）。所有乳腺癌转移灶切片的代表性显微照片显示了低p-AKT表达（H评分&lt;150，</w:t>
      </w:r>
      <w:r w:rsidRPr="00375456">
        <w:rPr>
          <w:rFonts w:ascii="微软雅黑" w:eastAsia="微软雅黑" w:hAnsi="微软雅黑" w:cs="宋体"/>
          <w:b/>
          <w:bCs/>
          <w:kern w:val="0"/>
          <w:sz w:val="24"/>
          <w:szCs w:val="24"/>
        </w:rPr>
        <w:t>B</w:t>
      </w:r>
      <w:r w:rsidRPr="00375456">
        <w:rPr>
          <w:rFonts w:ascii="微软雅黑" w:eastAsia="微软雅黑" w:hAnsi="微软雅黑" w:cs="宋体"/>
          <w:kern w:val="0"/>
          <w:sz w:val="24"/>
          <w:szCs w:val="24"/>
        </w:rPr>
        <w:t>和</w:t>
      </w:r>
      <w:r w:rsidRPr="00375456">
        <w:rPr>
          <w:rFonts w:ascii="微软雅黑" w:eastAsia="微软雅黑" w:hAnsi="微软雅黑" w:cs="宋体"/>
          <w:b/>
          <w:bCs/>
          <w:kern w:val="0"/>
          <w:sz w:val="24"/>
          <w:szCs w:val="24"/>
        </w:rPr>
        <w:t>C</w:t>
      </w:r>
      <w:r w:rsidRPr="00375456">
        <w:rPr>
          <w:rFonts w:ascii="微软雅黑" w:eastAsia="微软雅黑" w:hAnsi="微软雅黑" w:cs="宋体"/>
          <w:kern w:val="0"/>
          <w:sz w:val="24"/>
          <w:szCs w:val="24"/>
        </w:rPr>
        <w:t>）或高p-AKT表达（H评分≥150，</w:t>
      </w:r>
      <w:r w:rsidRPr="00375456">
        <w:rPr>
          <w:rFonts w:ascii="微软雅黑" w:eastAsia="微软雅黑" w:hAnsi="微软雅黑" w:cs="宋体"/>
          <w:b/>
          <w:bCs/>
          <w:kern w:val="0"/>
          <w:sz w:val="24"/>
          <w:szCs w:val="24"/>
        </w:rPr>
        <w:t>D</w:t>
      </w:r>
      <w:r w:rsidRPr="00375456">
        <w:rPr>
          <w:rFonts w:ascii="微软雅黑" w:eastAsia="微软雅黑" w:hAnsi="微软雅黑" w:cs="宋体"/>
          <w:kern w:val="0"/>
          <w:sz w:val="24"/>
          <w:szCs w:val="24"/>
        </w:rPr>
        <w:t>和</w:t>
      </w:r>
      <w:r w:rsidRPr="00375456">
        <w:rPr>
          <w:rFonts w:ascii="微软雅黑" w:eastAsia="微软雅黑" w:hAnsi="微软雅黑" w:cs="宋体"/>
          <w:b/>
          <w:bCs/>
          <w:kern w:val="0"/>
          <w:sz w:val="24"/>
          <w:szCs w:val="24"/>
        </w:rPr>
        <w:t>E</w:t>
      </w:r>
      <w:r w:rsidRPr="00375456">
        <w:rPr>
          <w:rFonts w:ascii="微软雅黑" w:eastAsia="微软雅黑" w:hAnsi="微软雅黑" w:cs="宋体"/>
          <w:kern w:val="0"/>
          <w:sz w:val="24"/>
          <w:szCs w:val="24"/>
        </w:rPr>
        <w:t>；比例尺，100 µm）。</w:t>
      </w:r>
    </w:p>
    <w:p w14:paraId="779EBF87" w14:textId="77777777" w:rsidR="00375456" w:rsidRPr="00375456" w:rsidRDefault="00375456" w:rsidP="00375456">
      <w:pPr>
        <w:widowControl/>
        <w:pBdr>
          <w:bottom w:val="single" w:sz="6" w:space="0" w:color="97B1C8"/>
        </w:pBdr>
        <w:spacing w:line="450" w:lineRule="atLeast"/>
        <w:outlineLvl w:val="1"/>
        <w:rPr>
          <w:rFonts w:ascii="微软雅黑" w:eastAsia="微软雅黑" w:hAnsi="微软雅黑" w:cs="宋体"/>
          <w:kern w:val="0"/>
          <w:sz w:val="34"/>
          <w:szCs w:val="34"/>
        </w:rPr>
      </w:pPr>
      <w:r w:rsidRPr="00375456">
        <w:rPr>
          <w:rFonts w:ascii="微软雅黑" w:eastAsia="微软雅黑" w:hAnsi="微软雅黑" w:cs="宋体"/>
          <w:kern w:val="0"/>
          <w:sz w:val="34"/>
          <w:szCs w:val="34"/>
        </w:rPr>
        <w:t>讨论</w:t>
      </w:r>
    </w:p>
    <w:p w14:paraId="2026A42B"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CDK4/6抑制剂与芳香化酶抑制剂或</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ER阳性晚期乳腺癌已展现出显著疗效。然而，并非所有患者都能从这些联合治疗中获益，即使获益的患者，其肿瘤最终仍可能进展。因此，亟需评估更有效、更合理的靶向联合治疗方案，以预防或克服对标准CDK4/6抑制剂联合内分泌治疗的耐药性，并寻找可用于筛选能够从这些靶向联合治疗中获益患者的生物标志物。本研究表明，标准CDK4/6抑制剂联合内分泌治疗并不能有效抑制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耐药的ER阳性乳腺</w:t>
      </w:r>
      <w:r w:rsidRPr="00375456">
        <w:rPr>
          <w:rFonts w:ascii="微软雅黑" w:eastAsia="微软雅黑" w:hAnsi="微软雅黑" w:cs="宋体"/>
          <w:kern w:val="0"/>
          <w:sz w:val="24"/>
          <w:szCs w:val="24"/>
        </w:rPr>
        <w:lastRenderedPageBreak/>
        <w:t>癌细胞系和肿瘤异种移植模型的生长，而添加</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则可显著抑制肿瘤生长。此外，CDK4/6抑制剂、</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和内分泌治疗的三联疗法能够有效抑制对标准CDK4/6抑制剂联合内分泌治疗耐药的肿瘤的生长并减少其转移。这在几个原位和实验性转移模型中得到了证实，在对 CDK4/6i 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联合治疗产生耐药性的 PDX 模型中也得到了证实。</w:t>
      </w:r>
    </w:p>
    <w:p w14:paraId="0574BE7F"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众所周知，生长因子</w:t>
      </w:r>
      <w:proofErr w:type="gramStart"/>
      <w:r w:rsidRPr="00375456">
        <w:rPr>
          <w:rFonts w:ascii="微软雅黑" w:eastAsia="微软雅黑" w:hAnsi="微软雅黑" w:cs="宋体"/>
          <w:kern w:val="0"/>
          <w:sz w:val="24"/>
          <w:szCs w:val="24"/>
        </w:rPr>
        <w:t>介</w:t>
      </w:r>
      <w:proofErr w:type="gramEnd"/>
      <w:r w:rsidRPr="00375456">
        <w:rPr>
          <w:rFonts w:ascii="微软雅黑" w:eastAsia="微软雅黑" w:hAnsi="微软雅黑" w:cs="宋体"/>
          <w:kern w:val="0"/>
          <w:sz w:val="24"/>
          <w:szCs w:val="24"/>
        </w:rPr>
        <w:t>导的AKT激活可以调节ER信号通路，从而导致ER基因组通路的配体非依赖性激活</w:t>
      </w:r>
      <w:r w:rsidRPr="00375456">
        <w:rPr>
          <w:rFonts w:ascii="微软雅黑" w:eastAsia="微软雅黑" w:hAnsi="微软雅黑" w:cs="宋体"/>
          <w:kern w:val="0"/>
          <w:sz w:val="24"/>
          <w:szCs w:val="24"/>
          <w:vertAlign w:val="superscript"/>
        </w:rPr>
        <w:t>&lt;sup&gt; </w:t>
      </w:r>
      <w:hyperlink r:id="rId131" w:anchor="CR30" w:history="1">
        <w:r w:rsidRPr="00375456">
          <w:rPr>
            <w:rFonts w:ascii="微软雅黑" w:eastAsia="微软雅黑" w:hAnsi="微软雅黑" w:cs="宋体"/>
            <w:kern w:val="0"/>
            <w:sz w:val="24"/>
            <w:szCs w:val="24"/>
            <w:u w:val="single"/>
            <w:vertAlign w:val="superscript"/>
          </w:rPr>
          <w:t>30,31 </w:t>
        </w:r>
      </w:hyperlink>
      <w:hyperlink r:id="rId132" w:anchor="CR31" w:history="1">
        <w:r w:rsidRPr="00375456">
          <w:rPr>
            <w:rFonts w:ascii="微软雅黑" w:eastAsia="微软雅黑" w:hAnsi="微软雅黑" w:cs="宋体"/>
            <w:kern w:val="0"/>
            <w:sz w:val="24"/>
            <w:szCs w:val="24"/>
            <w:u w:val="single"/>
            <w:vertAlign w:val="superscript"/>
          </w:rPr>
          <w:t>&lt;/sup&gt;</w:t>
        </w:r>
      </w:hyperlink>
      <w:r w:rsidRPr="00375456">
        <w:rPr>
          <w:rFonts w:ascii="微软雅黑" w:eastAsia="微软雅黑" w:hAnsi="微软雅黑" w:cs="宋体"/>
          <w:kern w:val="0"/>
          <w:sz w:val="24"/>
          <w:szCs w:val="24"/>
        </w:rPr>
        <w:t>。此外，高水平的AKT已被证实可以调节ER结合和雌激素调控的基因表达</w:t>
      </w:r>
      <w:r w:rsidRPr="00375456">
        <w:rPr>
          <w:rFonts w:ascii="微软雅黑" w:eastAsia="微软雅黑" w:hAnsi="微软雅黑" w:cs="宋体"/>
          <w:kern w:val="0"/>
          <w:sz w:val="24"/>
          <w:szCs w:val="24"/>
          <w:u w:val="single"/>
          <w:vertAlign w:val="superscript"/>
        </w:rPr>
        <w:t>&lt;sup&gt; </w:t>
      </w:r>
      <w:hyperlink r:id="rId133" w:anchor="CR32" w:history="1">
        <w:r w:rsidRPr="00375456">
          <w:rPr>
            <w:rFonts w:ascii="微软雅黑" w:eastAsia="微软雅黑" w:hAnsi="微软雅黑" w:cs="宋体"/>
            <w:kern w:val="0"/>
            <w:sz w:val="24"/>
            <w:szCs w:val="24"/>
            <w:u w:val="single"/>
            <w:vertAlign w:val="superscript"/>
          </w:rPr>
          <w:t>32&lt;/sup&gt;</w:t>
        </w:r>
      </w:hyperlink>
      <w:r w:rsidRPr="00375456">
        <w:rPr>
          <w:rFonts w:ascii="微软雅黑" w:eastAsia="微软雅黑" w:hAnsi="微软雅黑" w:cs="宋体"/>
          <w:kern w:val="0"/>
          <w:sz w:val="24"/>
          <w:szCs w:val="24"/>
        </w:rPr>
        <w:t>。AKT的激活也与内分泌治疗耐药相关</w:t>
      </w:r>
      <w:r w:rsidRPr="00375456">
        <w:rPr>
          <w:rFonts w:ascii="微软雅黑" w:eastAsia="微软雅黑" w:hAnsi="微软雅黑" w:cs="宋体"/>
          <w:kern w:val="0"/>
          <w:sz w:val="24"/>
          <w:szCs w:val="24"/>
          <w:u w:val="single"/>
          <w:vertAlign w:val="superscript"/>
        </w:rPr>
        <w:t>&lt;sup&gt;</w:t>
      </w:r>
      <w:r w:rsidRPr="00375456">
        <w:rPr>
          <w:rFonts w:ascii="微软雅黑" w:eastAsia="微软雅黑" w:hAnsi="微软雅黑" w:cs="宋体"/>
          <w:kern w:val="0"/>
          <w:sz w:val="24"/>
          <w:szCs w:val="24"/>
        </w:rPr>
        <w:t> </w:t>
      </w:r>
      <w:hyperlink r:id="rId134" w:anchor="CR33" w:history="1">
        <w:r w:rsidRPr="00375456">
          <w:rPr>
            <w:rFonts w:ascii="微软雅黑" w:eastAsia="微软雅黑" w:hAnsi="微软雅黑" w:cs="宋体"/>
            <w:kern w:val="0"/>
            <w:sz w:val="24"/>
            <w:szCs w:val="24"/>
            <w:u w:val="single"/>
            <w:vertAlign w:val="superscript"/>
          </w:rPr>
          <w:t>33&lt;/sup&gt;</w:t>
        </w:r>
      </w:hyperlink>
      <w:r w:rsidRPr="00375456">
        <w:rPr>
          <w:rFonts w:ascii="微软雅黑" w:eastAsia="微软雅黑" w:hAnsi="微软雅黑" w:cs="宋体"/>
          <w:kern w:val="0"/>
          <w:sz w:val="24"/>
          <w:szCs w:val="24"/>
        </w:rPr>
        <w:t>。这些数据共同促成了</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联合内分泌治疗ER阳性乳腺癌的临床开发。事实上，FAKTION临床试验近期研究了在接受芳香化酶抑制剂（AI）治疗后进展的ER阳性绝经后乳腺癌患者中，在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w:t>
      </w:r>
      <w:proofErr w:type="spellStart"/>
      <w:r w:rsidRPr="00375456">
        <w:rPr>
          <w:rFonts w:ascii="微软雅黑" w:eastAsia="微软雅黑" w:hAnsi="微软雅黑" w:cs="宋体"/>
          <w:kern w:val="0"/>
          <w:sz w:val="24"/>
          <w:szCs w:val="24"/>
        </w:rPr>
        <w:t>fulvestrant</w:t>
      </w:r>
      <w:proofErr w:type="spellEnd"/>
      <w:r w:rsidRPr="00375456">
        <w:rPr>
          <w:rFonts w:ascii="微软雅黑" w:eastAsia="微软雅黑" w:hAnsi="微软雅黑" w:cs="宋体"/>
          <w:kern w:val="0"/>
          <w:sz w:val="24"/>
          <w:szCs w:val="24"/>
        </w:rPr>
        <w:t>）的基础上加用</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卡</w:t>
      </w:r>
      <w:proofErr w:type="gramStart"/>
      <w:r w:rsidRPr="00375456">
        <w:rPr>
          <w:rFonts w:ascii="微软雅黑" w:eastAsia="微软雅黑" w:hAnsi="微软雅黑" w:cs="宋体"/>
          <w:kern w:val="0"/>
          <w:sz w:val="24"/>
          <w:szCs w:val="24"/>
        </w:rPr>
        <w:t>帕替尼</w:t>
      </w:r>
      <w:proofErr w:type="gramEnd"/>
      <w:r w:rsidRPr="00375456">
        <w:rPr>
          <w:rFonts w:ascii="微软雅黑" w:eastAsia="微软雅黑" w:hAnsi="微软雅黑" w:cs="宋体"/>
          <w:kern w:val="0"/>
          <w:sz w:val="24"/>
          <w:szCs w:val="24"/>
        </w:rPr>
        <w:t>（</w:t>
      </w:r>
      <w:proofErr w:type="spellStart"/>
      <w:r w:rsidRPr="00375456">
        <w:rPr>
          <w:rFonts w:ascii="微软雅黑" w:eastAsia="微软雅黑" w:hAnsi="微软雅黑" w:cs="宋体"/>
          <w:kern w:val="0"/>
          <w:sz w:val="24"/>
          <w:szCs w:val="24"/>
        </w:rPr>
        <w:t>capivasertib</w:t>
      </w:r>
      <w:proofErr w:type="spellEnd"/>
      <w:r w:rsidRPr="00375456">
        <w:rPr>
          <w:rFonts w:ascii="微软雅黑" w:eastAsia="微软雅黑" w:hAnsi="微软雅黑" w:cs="宋体"/>
          <w:kern w:val="0"/>
          <w:sz w:val="24"/>
          <w:szCs w:val="24"/>
        </w:rPr>
        <w:t>）的疗效，结果显示，与</w:t>
      </w:r>
      <w:proofErr w:type="gramStart"/>
      <w:r w:rsidRPr="00375456">
        <w:rPr>
          <w:rFonts w:ascii="微软雅黑" w:eastAsia="微软雅黑" w:hAnsi="微软雅黑" w:cs="宋体"/>
          <w:kern w:val="0"/>
          <w:sz w:val="24"/>
          <w:szCs w:val="24"/>
        </w:rPr>
        <w:t>氟维司群单</w:t>
      </w:r>
      <w:proofErr w:type="gramEnd"/>
      <w:r w:rsidRPr="00375456">
        <w:rPr>
          <w:rFonts w:ascii="微软雅黑" w:eastAsia="微软雅黑" w:hAnsi="微软雅黑" w:cs="宋体"/>
          <w:kern w:val="0"/>
          <w:sz w:val="24"/>
          <w:szCs w:val="24"/>
        </w:rPr>
        <w:t>药治疗相比，卡</w:t>
      </w:r>
      <w:proofErr w:type="gramStart"/>
      <w:r w:rsidRPr="00375456">
        <w:rPr>
          <w:rFonts w:ascii="微软雅黑" w:eastAsia="微软雅黑" w:hAnsi="微软雅黑" w:cs="宋体"/>
          <w:kern w:val="0"/>
          <w:sz w:val="24"/>
          <w:szCs w:val="24"/>
        </w:rPr>
        <w:t>帕替尼联合氟维司群显著</w:t>
      </w:r>
      <w:proofErr w:type="gramEnd"/>
      <w:r w:rsidRPr="00375456">
        <w:rPr>
          <w:rFonts w:ascii="微软雅黑" w:eastAsia="微软雅黑" w:hAnsi="微软雅黑" w:cs="宋体"/>
          <w:kern w:val="0"/>
          <w:sz w:val="24"/>
          <w:szCs w:val="24"/>
        </w:rPr>
        <w:t>延长了无进展生存期（PFS）</w:t>
      </w:r>
      <w:r w:rsidRPr="00375456">
        <w:rPr>
          <w:rFonts w:ascii="微软雅黑" w:eastAsia="微软雅黑" w:hAnsi="微软雅黑" w:cs="宋体"/>
          <w:kern w:val="0"/>
          <w:sz w:val="24"/>
          <w:szCs w:val="24"/>
          <w:u w:val="single"/>
          <w:vertAlign w:val="superscript"/>
        </w:rPr>
        <w:t>&lt;sup&gt; </w:t>
      </w:r>
      <w:hyperlink r:id="rId135" w:anchor="CR19" w:history="1">
        <w:r w:rsidRPr="00375456">
          <w:rPr>
            <w:rFonts w:ascii="微软雅黑" w:eastAsia="微软雅黑" w:hAnsi="微软雅黑" w:cs="宋体"/>
            <w:kern w:val="0"/>
            <w:sz w:val="24"/>
            <w:szCs w:val="24"/>
            <w:u w:val="single"/>
            <w:vertAlign w:val="superscript"/>
          </w:rPr>
          <w:t>19&lt;/sup&gt;</w:t>
        </w:r>
      </w:hyperlink>
      <w:r w:rsidRPr="00375456">
        <w:rPr>
          <w:rFonts w:ascii="微软雅黑" w:eastAsia="微软雅黑" w:hAnsi="微软雅黑" w:cs="宋体"/>
          <w:kern w:val="0"/>
          <w:sz w:val="24"/>
          <w:szCs w:val="24"/>
        </w:rPr>
        <w:t>。然而，在本研究中，我们观察</w:t>
      </w:r>
      <w:proofErr w:type="gramStart"/>
      <w:r w:rsidRPr="00375456">
        <w:rPr>
          <w:rFonts w:ascii="微软雅黑" w:eastAsia="微软雅黑" w:hAnsi="微软雅黑" w:cs="宋体"/>
          <w:kern w:val="0"/>
          <w:sz w:val="24"/>
          <w:szCs w:val="24"/>
        </w:rPr>
        <w:t>到氟维司群</w:t>
      </w:r>
      <w:proofErr w:type="gramEnd"/>
      <w:r w:rsidRPr="00375456">
        <w:rPr>
          <w:rFonts w:ascii="微软雅黑" w:eastAsia="微软雅黑" w:hAnsi="微软雅黑" w:cs="宋体"/>
          <w:kern w:val="0"/>
          <w:sz w:val="24"/>
          <w:szCs w:val="24"/>
        </w:rPr>
        <w:t>联合</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治疗的效果有限，且对</w:t>
      </w:r>
      <w:proofErr w:type="gramStart"/>
      <w:r w:rsidRPr="00375456">
        <w:rPr>
          <w:rFonts w:ascii="微软雅黑" w:eastAsia="微软雅黑" w:hAnsi="微软雅黑" w:cs="宋体"/>
          <w:kern w:val="0"/>
          <w:sz w:val="24"/>
          <w:szCs w:val="24"/>
        </w:rPr>
        <w:t>氟维司群单</w:t>
      </w:r>
      <w:proofErr w:type="gramEnd"/>
      <w:r w:rsidRPr="00375456">
        <w:rPr>
          <w:rFonts w:ascii="微软雅黑" w:eastAsia="微软雅黑" w:hAnsi="微软雅黑" w:cs="宋体"/>
          <w:kern w:val="0"/>
          <w:sz w:val="24"/>
          <w:szCs w:val="24"/>
        </w:rPr>
        <w:t>药治疗耐药的MCF-7和T47D细胞会迅速产生耐药性。需要添加CDK4/6抑制剂才能抑制耐药克隆的生长。尽管如此，对内分泌治疗敏感的细胞在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或</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联合CDK4/6抑制剂治疗下均表现出持久的肿瘤生长抑制作用。虽然我们仅研究了以</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为内分泌治疗药物的三联疗法的疗效，但既往研究表明，高水平的AKT活性可导致对来曲</w:t>
      </w:r>
      <w:proofErr w:type="gramStart"/>
      <w:r w:rsidRPr="00375456">
        <w:rPr>
          <w:rFonts w:ascii="微软雅黑" w:eastAsia="微软雅黑" w:hAnsi="微软雅黑" w:cs="宋体"/>
          <w:kern w:val="0"/>
          <w:sz w:val="24"/>
          <w:szCs w:val="24"/>
        </w:rPr>
        <w:t>唑</w:t>
      </w:r>
      <w:proofErr w:type="gramEnd"/>
      <w:r w:rsidRPr="00375456">
        <w:rPr>
          <w:rFonts w:ascii="微软雅黑" w:eastAsia="微软雅黑" w:hAnsi="微软雅黑" w:cs="宋体"/>
          <w:kern w:val="0"/>
          <w:sz w:val="24"/>
          <w:szCs w:val="24"/>
        </w:rPr>
        <w:t>和阿那曲</w:t>
      </w:r>
      <w:proofErr w:type="gramStart"/>
      <w:r w:rsidRPr="00375456">
        <w:rPr>
          <w:rFonts w:ascii="微软雅黑" w:eastAsia="微软雅黑" w:hAnsi="微软雅黑" w:cs="宋体"/>
          <w:kern w:val="0"/>
          <w:sz w:val="24"/>
          <w:szCs w:val="24"/>
        </w:rPr>
        <w:t>唑</w:t>
      </w:r>
      <w:proofErr w:type="gramEnd"/>
      <w:r w:rsidRPr="00375456">
        <w:rPr>
          <w:rFonts w:ascii="微软雅黑" w:eastAsia="微软雅黑" w:hAnsi="微软雅黑" w:cs="宋体"/>
          <w:kern w:val="0"/>
          <w:sz w:val="24"/>
          <w:szCs w:val="24"/>
        </w:rPr>
        <w:t>的耐药性</w:t>
      </w:r>
      <w:r w:rsidRPr="00375456">
        <w:rPr>
          <w:rFonts w:ascii="微软雅黑" w:eastAsia="微软雅黑" w:hAnsi="微软雅黑" w:cs="宋体"/>
          <w:kern w:val="0"/>
          <w:sz w:val="24"/>
          <w:szCs w:val="24"/>
          <w:u w:val="single"/>
          <w:vertAlign w:val="superscript"/>
        </w:rPr>
        <w:t>&lt;sup&gt; 34</w:t>
      </w:r>
      <w:r w:rsidRPr="00375456">
        <w:rPr>
          <w:rFonts w:ascii="微软雅黑" w:eastAsia="微软雅黑" w:hAnsi="微软雅黑" w:cs="宋体"/>
          <w:kern w:val="0"/>
          <w:sz w:val="24"/>
          <w:szCs w:val="24"/>
          <w:vertAlign w:val="superscript"/>
        </w:rPr>
        <w:t>,35 </w:t>
      </w:r>
      <w:hyperlink r:id="rId136" w:anchor="CR34" w:history="1">
        <w:r w:rsidRPr="00375456">
          <w:rPr>
            <w:rFonts w:ascii="微软雅黑" w:eastAsia="微软雅黑" w:hAnsi="微软雅黑" w:cs="宋体"/>
            <w:kern w:val="0"/>
            <w:sz w:val="24"/>
            <w:szCs w:val="24"/>
            <w:u w:val="single"/>
            <w:vertAlign w:val="superscript"/>
          </w:rPr>
          <w:t>&lt;/sup&gt; </w:t>
        </w:r>
      </w:hyperlink>
      <w:hyperlink r:id="rId137" w:anchor="CR35" w:history="1">
        <w:r w:rsidRPr="00375456">
          <w:rPr>
            <w:rFonts w:ascii="微软雅黑" w:eastAsia="微软雅黑" w:hAnsi="微软雅黑" w:cs="宋体"/>
            <w:kern w:val="0"/>
            <w:sz w:val="24"/>
            <w:szCs w:val="24"/>
            <w:u w:val="single"/>
            <w:vertAlign w:val="superscript"/>
          </w:rPr>
          <w:t>，</w:t>
        </w:r>
      </w:hyperlink>
      <w:r w:rsidRPr="00375456">
        <w:rPr>
          <w:rFonts w:ascii="微软雅黑" w:eastAsia="微软雅黑" w:hAnsi="微软雅黑" w:cs="宋体"/>
          <w:kern w:val="0"/>
          <w:sz w:val="24"/>
          <w:szCs w:val="24"/>
        </w:rPr>
        <w:t>因此我们认为</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、CDK4/6抑制剂和芳香化酶抑制剂的三联疗法可能对所有芳香化酶抑制剂耐药的肿瘤有效。</w:t>
      </w:r>
    </w:p>
    <w:p w14:paraId="6ABCBC71"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lastRenderedPageBreak/>
        <w:t>尽管α特异性PI3K抑制剂</w:t>
      </w:r>
      <w:proofErr w:type="spellStart"/>
      <w:r w:rsidRPr="00375456">
        <w:rPr>
          <w:rFonts w:ascii="微软雅黑" w:eastAsia="微软雅黑" w:hAnsi="微软雅黑" w:cs="宋体"/>
          <w:kern w:val="0"/>
          <w:sz w:val="24"/>
          <w:szCs w:val="24"/>
        </w:rPr>
        <w:t>alpelisib</w:t>
      </w:r>
      <w:proofErr w:type="spellEnd"/>
      <w:r w:rsidRPr="00375456">
        <w:rPr>
          <w:rFonts w:ascii="微软雅黑" w:eastAsia="微软雅黑" w:hAnsi="微软雅黑" w:cs="宋体"/>
          <w:kern w:val="0"/>
          <w:sz w:val="24"/>
          <w:szCs w:val="24"/>
        </w:rPr>
        <w:t>近期已被证实能显著改善既往内分泌治疗后进展的</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突变型ER阳性晚期乳腺癌患者的无进展生存期（PFS），但该PI3K抑制剂对</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野生型和</w:t>
      </w:r>
      <w:r w:rsidRPr="00375456">
        <w:rPr>
          <w:rFonts w:ascii="微软雅黑" w:eastAsia="微软雅黑" w:hAnsi="微软雅黑" w:cs="宋体"/>
          <w:i/>
          <w:iCs/>
          <w:kern w:val="0"/>
          <w:sz w:val="24"/>
          <w:szCs w:val="24"/>
        </w:rPr>
        <w:t>PTEN</w:t>
      </w:r>
      <w:r w:rsidRPr="00375456">
        <w:rPr>
          <w:rFonts w:ascii="微软雅黑" w:eastAsia="微软雅黑" w:hAnsi="微软雅黑" w:cs="宋体"/>
          <w:kern w:val="0"/>
          <w:sz w:val="24"/>
          <w:szCs w:val="24"/>
        </w:rPr>
        <w:t>缺失型肿瘤无效</w:t>
      </w:r>
      <w:r w:rsidRPr="00375456">
        <w:rPr>
          <w:rFonts w:ascii="微软雅黑" w:eastAsia="微软雅黑" w:hAnsi="微软雅黑" w:cs="宋体"/>
          <w:kern w:val="0"/>
          <w:sz w:val="24"/>
          <w:szCs w:val="24"/>
          <w:vertAlign w:val="superscript"/>
        </w:rPr>
        <w:fldChar w:fldCharType="begin"/>
      </w:r>
      <w:r w:rsidRPr="00375456">
        <w:rPr>
          <w:rFonts w:ascii="微软雅黑" w:eastAsia="微软雅黑" w:hAnsi="微软雅黑" w:cs="宋体"/>
          <w:kern w:val="0"/>
          <w:sz w:val="24"/>
          <w:szCs w:val="24"/>
          <w:vertAlign w:val="superscript"/>
        </w:rPr>
        <w:instrText xml:space="preserve"> HYPERLINK "https://pmc.ncbi.nlm.nih.gov/articles/PMC8387387/" \l "CR17" </w:instrText>
      </w:r>
      <w:r w:rsidRPr="00375456">
        <w:rPr>
          <w:rFonts w:ascii="微软雅黑" w:eastAsia="微软雅黑" w:hAnsi="微软雅黑" w:cs="宋体"/>
          <w:kern w:val="0"/>
          <w:sz w:val="24"/>
          <w:szCs w:val="24"/>
          <w:vertAlign w:val="superscript"/>
        </w:rPr>
        <w:fldChar w:fldCharType="separate"/>
      </w:r>
      <w:r w:rsidRPr="00375456">
        <w:rPr>
          <w:rFonts w:ascii="微软雅黑" w:eastAsia="微软雅黑" w:hAnsi="微软雅黑" w:cs="宋体"/>
          <w:kern w:val="0"/>
          <w:sz w:val="24"/>
          <w:szCs w:val="24"/>
          <w:u w:val="single"/>
          <w:vertAlign w:val="superscript"/>
        </w:rPr>
        <w:t>&lt;sup&gt;17&lt;/sup&gt;</w:t>
      </w:r>
      <w:r w:rsidRPr="00375456">
        <w:rPr>
          <w:rFonts w:ascii="微软雅黑" w:eastAsia="微软雅黑" w:hAnsi="微软雅黑" w:cs="宋体"/>
          <w:kern w:val="0"/>
          <w:sz w:val="24"/>
          <w:szCs w:val="24"/>
          <w:vertAlign w:val="superscript"/>
        </w:rPr>
        <w:fldChar w:fldCharType="end"/>
      </w:r>
      <w:r w:rsidRPr="00375456">
        <w:rPr>
          <w:rFonts w:ascii="微软雅黑" w:eastAsia="微软雅黑" w:hAnsi="微软雅黑" w:cs="宋体"/>
          <w:kern w:val="0"/>
          <w:sz w:val="24"/>
          <w:szCs w:val="24"/>
        </w:rPr>
        <w:t>。相比之下，</w:t>
      </w:r>
      <w:proofErr w:type="spellStart"/>
      <w:r w:rsidRPr="00375456">
        <w:rPr>
          <w:rFonts w:ascii="微软雅黑" w:eastAsia="微软雅黑" w:hAnsi="微软雅黑" w:cs="宋体"/>
          <w:kern w:val="0"/>
          <w:sz w:val="24"/>
          <w:szCs w:val="24"/>
        </w:rPr>
        <w:t>capivasertib</w:t>
      </w:r>
      <w:proofErr w:type="spellEnd"/>
      <w:r w:rsidRPr="00375456">
        <w:rPr>
          <w:rFonts w:ascii="微软雅黑" w:eastAsia="微软雅黑" w:hAnsi="微软雅黑" w:cs="宋体"/>
          <w:kern w:val="0"/>
          <w:sz w:val="24"/>
          <w:szCs w:val="24"/>
        </w:rPr>
        <w:t>已证实对</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和</w:t>
      </w:r>
      <w:r w:rsidRPr="00375456">
        <w:rPr>
          <w:rFonts w:ascii="微软雅黑" w:eastAsia="微软雅黑" w:hAnsi="微软雅黑" w:cs="宋体"/>
          <w:i/>
          <w:iCs/>
          <w:kern w:val="0"/>
          <w:sz w:val="24"/>
          <w:szCs w:val="24"/>
        </w:rPr>
        <w:t>PTEN</w:t>
      </w:r>
      <w:r w:rsidRPr="00375456">
        <w:rPr>
          <w:rFonts w:ascii="微软雅黑" w:eastAsia="微软雅黑" w:hAnsi="微软雅黑" w:cs="宋体"/>
          <w:kern w:val="0"/>
          <w:sz w:val="24"/>
          <w:szCs w:val="24"/>
        </w:rPr>
        <w:t>状态无关的肿瘤均有效</w:t>
      </w:r>
      <w:r w:rsidRPr="00375456">
        <w:rPr>
          <w:rFonts w:ascii="微软雅黑" w:eastAsia="微软雅黑" w:hAnsi="微软雅黑" w:cs="宋体"/>
          <w:kern w:val="0"/>
          <w:sz w:val="24"/>
          <w:szCs w:val="24"/>
          <w:vertAlign w:val="superscript"/>
        </w:rPr>
        <w:fldChar w:fldCharType="begin"/>
      </w:r>
      <w:r w:rsidRPr="00375456">
        <w:rPr>
          <w:rFonts w:ascii="微软雅黑" w:eastAsia="微软雅黑" w:hAnsi="微软雅黑" w:cs="宋体"/>
          <w:kern w:val="0"/>
          <w:sz w:val="24"/>
          <w:szCs w:val="24"/>
          <w:vertAlign w:val="superscript"/>
        </w:rPr>
        <w:instrText xml:space="preserve"> HYPERLINK "https://pmc.ncbi.nlm.nih.gov/articles/PMC8387387/" \l "CR36" </w:instrText>
      </w:r>
      <w:r w:rsidRPr="00375456">
        <w:rPr>
          <w:rFonts w:ascii="微软雅黑" w:eastAsia="微软雅黑" w:hAnsi="微软雅黑" w:cs="宋体"/>
          <w:kern w:val="0"/>
          <w:sz w:val="24"/>
          <w:szCs w:val="24"/>
          <w:vertAlign w:val="superscript"/>
        </w:rPr>
        <w:fldChar w:fldCharType="separate"/>
      </w:r>
      <w:r w:rsidRPr="00375456">
        <w:rPr>
          <w:rFonts w:ascii="微软雅黑" w:eastAsia="微软雅黑" w:hAnsi="微软雅黑" w:cs="宋体"/>
          <w:kern w:val="0"/>
          <w:sz w:val="24"/>
          <w:szCs w:val="24"/>
          <w:u w:val="single"/>
          <w:vertAlign w:val="superscript"/>
        </w:rPr>
        <w:t>&lt;sup&gt;36&lt;/sup&gt;</w:t>
      </w:r>
      <w:r w:rsidRPr="00375456">
        <w:rPr>
          <w:rFonts w:ascii="微软雅黑" w:eastAsia="微软雅黑" w:hAnsi="微软雅黑" w:cs="宋体"/>
          <w:kern w:val="0"/>
          <w:sz w:val="24"/>
          <w:szCs w:val="24"/>
          <w:vertAlign w:val="superscript"/>
        </w:rPr>
        <w:fldChar w:fldCharType="end"/>
      </w:r>
      <w:r w:rsidRPr="00375456">
        <w:rPr>
          <w:rFonts w:ascii="微软雅黑" w:eastAsia="微软雅黑" w:hAnsi="微软雅黑" w:cs="宋体"/>
          <w:kern w:val="0"/>
          <w:sz w:val="24"/>
          <w:szCs w:val="24"/>
        </w:rPr>
        <w:t>。事实上，FAKTION临床试验表明，</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突变并不影响ER阳性转移性乳腺癌患者对</w:t>
      </w:r>
      <w:proofErr w:type="spellStart"/>
      <w:r w:rsidRPr="00375456">
        <w:rPr>
          <w:rFonts w:ascii="微软雅黑" w:eastAsia="微软雅黑" w:hAnsi="微软雅黑" w:cs="宋体"/>
          <w:kern w:val="0"/>
          <w:sz w:val="24"/>
          <w:szCs w:val="24"/>
        </w:rPr>
        <w:t>capivasertib</w:t>
      </w:r>
      <w:proofErr w:type="spellEnd"/>
      <w:r w:rsidRPr="00375456">
        <w:rPr>
          <w:rFonts w:ascii="微软雅黑" w:eastAsia="微软雅黑" w:hAnsi="微软雅黑" w:cs="宋体"/>
          <w:kern w:val="0"/>
          <w:sz w:val="24"/>
          <w:szCs w:val="24"/>
        </w:rPr>
        <w:t>联合</w:t>
      </w:r>
      <w:proofErr w:type="gramStart"/>
      <w:r w:rsidRPr="00375456">
        <w:rPr>
          <w:rFonts w:ascii="微软雅黑" w:eastAsia="微软雅黑" w:hAnsi="微软雅黑" w:cs="宋体"/>
          <w:kern w:val="0"/>
          <w:sz w:val="24"/>
          <w:szCs w:val="24"/>
        </w:rPr>
        <w:t>氟维司群治疗</w:t>
      </w:r>
      <w:proofErr w:type="gramEnd"/>
      <w:r w:rsidRPr="00375456">
        <w:rPr>
          <w:rFonts w:ascii="微软雅黑" w:eastAsia="微软雅黑" w:hAnsi="微软雅黑" w:cs="宋体"/>
          <w:kern w:val="0"/>
          <w:sz w:val="24"/>
          <w:szCs w:val="24"/>
        </w:rPr>
        <w:t>的疗效</w:t>
      </w:r>
      <w:r w:rsidRPr="00375456">
        <w:rPr>
          <w:rFonts w:ascii="微软雅黑" w:eastAsia="微软雅黑" w:hAnsi="微软雅黑" w:cs="宋体"/>
          <w:kern w:val="0"/>
          <w:sz w:val="24"/>
          <w:szCs w:val="24"/>
          <w:u w:val="single"/>
          <w:vertAlign w:val="superscript"/>
        </w:rPr>
        <w:t>&lt;sup&gt; </w:t>
      </w:r>
      <w:hyperlink r:id="rId138" w:anchor="CR19" w:history="1">
        <w:r w:rsidRPr="00375456">
          <w:rPr>
            <w:rFonts w:ascii="微软雅黑" w:eastAsia="微软雅黑" w:hAnsi="微软雅黑" w:cs="宋体"/>
            <w:kern w:val="0"/>
            <w:sz w:val="24"/>
            <w:szCs w:val="24"/>
            <w:u w:val="single"/>
            <w:vertAlign w:val="superscript"/>
          </w:rPr>
          <w:t>19</w:t>
        </w:r>
      </w:hyperlink>
      <w:r w:rsidRPr="00375456">
        <w:rPr>
          <w:rFonts w:ascii="微软雅黑" w:eastAsia="微软雅黑" w:hAnsi="微软雅黑" w:cs="宋体"/>
          <w:kern w:val="0"/>
          <w:sz w:val="24"/>
          <w:szCs w:val="24"/>
          <w:u w:val="single"/>
          <w:vertAlign w:val="superscript"/>
        </w:rPr>
        <w:t> &lt;/sup&gt;</w:t>
      </w:r>
      <w:r w:rsidRPr="00375456">
        <w:rPr>
          <w:rFonts w:ascii="微软雅黑" w:eastAsia="微软雅黑" w:hAnsi="微软雅黑" w:cs="宋体"/>
          <w:kern w:val="0"/>
          <w:sz w:val="24"/>
          <w:szCs w:val="24"/>
        </w:rPr>
        <w:t xml:space="preserve"> 。这些发现与我们研究中的临床前观察结果一致，即</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突变型和</w:t>
      </w:r>
      <w:r w:rsidRPr="00375456">
        <w:rPr>
          <w:rFonts w:ascii="微软雅黑" w:eastAsia="微软雅黑" w:hAnsi="微软雅黑" w:cs="宋体"/>
          <w:i/>
          <w:iCs/>
          <w:kern w:val="0"/>
          <w:sz w:val="24"/>
          <w:szCs w:val="24"/>
        </w:rPr>
        <w:t>PTEN</w:t>
      </w:r>
      <w:r w:rsidRPr="00375456">
        <w:rPr>
          <w:rFonts w:ascii="微软雅黑" w:eastAsia="微软雅黑" w:hAnsi="微软雅黑" w:cs="宋体"/>
          <w:kern w:val="0"/>
          <w:sz w:val="24"/>
          <w:szCs w:val="24"/>
        </w:rPr>
        <w:t>野生型（MCF-7和T47D）以及</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野生型和</w:t>
      </w:r>
      <w:r w:rsidRPr="00375456">
        <w:rPr>
          <w:rFonts w:ascii="微软雅黑" w:eastAsia="微软雅黑" w:hAnsi="微软雅黑" w:cs="宋体"/>
          <w:i/>
          <w:iCs/>
          <w:kern w:val="0"/>
          <w:sz w:val="24"/>
          <w:szCs w:val="24"/>
        </w:rPr>
        <w:t>PTEN</w:t>
      </w:r>
      <w:r w:rsidRPr="00375456">
        <w:rPr>
          <w:rFonts w:ascii="微软雅黑" w:eastAsia="微软雅黑" w:hAnsi="微软雅黑" w:cs="宋体"/>
          <w:kern w:val="0"/>
          <w:sz w:val="24"/>
          <w:szCs w:val="24"/>
        </w:rPr>
        <w:t>缺失型（ZR-75-1）细胞系均受益于在</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和CDK4/6抑制剂的标准联合治疗中加入</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。重要的是，对于源自MCF-7和T47D细胞系模型（PIK3CA突变型）的</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耐药细胞，需要</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、CDK4/6抑制剂和</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的三联疗法才能实现长期生长抑制</w:t>
      </w:r>
      <w:r w:rsidRPr="00375456">
        <w:rPr>
          <w:rFonts w:ascii="微软雅黑" w:eastAsia="微软雅黑" w:hAnsi="微软雅黑" w:cs="宋体"/>
          <w:i/>
          <w:iCs/>
          <w:kern w:val="0"/>
          <w:sz w:val="24"/>
          <w:szCs w:val="24"/>
        </w:rPr>
        <w:t>。然而，PI3K还控制着一些独立于AKT的信号通路，例如ERK信号通路，因此，在所有PIK3CA</w:t>
      </w:r>
      <w:r w:rsidRPr="00375456">
        <w:rPr>
          <w:rFonts w:ascii="微软雅黑" w:eastAsia="微软雅黑" w:hAnsi="微软雅黑" w:cs="宋体"/>
          <w:kern w:val="0"/>
          <w:sz w:val="24"/>
          <w:szCs w:val="24"/>
        </w:rPr>
        <w:t>突变型肿瘤中，AKT阻断可能无法像特异性PI3K抑制剂那样有效地抑制肿瘤生长</w:t>
      </w:r>
      <w:r w:rsidRPr="00375456">
        <w:rPr>
          <w:rFonts w:ascii="微软雅黑" w:eastAsia="微软雅黑" w:hAnsi="微软雅黑" w:cs="宋体"/>
          <w:kern w:val="0"/>
          <w:sz w:val="24"/>
          <w:szCs w:val="24"/>
          <w:u w:val="single"/>
          <w:vertAlign w:val="superscript"/>
        </w:rPr>
        <w:t>&lt;sup&gt; </w:t>
      </w:r>
      <w:hyperlink r:id="rId139" w:anchor="CR37" w:history="1">
        <w:r w:rsidRPr="00375456">
          <w:rPr>
            <w:rFonts w:ascii="微软雅黑" w:eastAsia="微软雅黑" w:hAnsi="微软雅黑" w:cs="宋体"/>
            <w:kern w:val="0"/>
            <w:sz w:val="24"/>
            <w:szCs w:val="24"/>
            <w:u w:val="single"/>
            <w:vertAlign w:val="superscript"/>
          </w:rPr>
          <w:t>37&lt;/sup&gt;</w:t>
        </w:r>
      </w:hyperlink>
      <w:r w:rsidRPr="00375456">
        <w:rPr>
          <w:rFonts w:ascii="微软雅黑" w:eastAsia="微软雅黑" w:hAnsi="微软雅黑" w:cs="宋体"/>
          <w:kern w:val="0"/>
          <w:sz w:val="24"/>
          <w:szCs w:val="24"/>
        </w:rPr>
        <w:t xml:space="preserve">。尽管在 FAKTION 临床研究中报告了 </w:t>
      </w:r>
      <w:proofErr w:type="spellStart"/>
      <w:r w:rsidRPr="00375456">
        <w:rPr>
          <w:rFonts w:ascii="微软雅黑" w:eastAsia="微软雅黑" w:hAnsi="微软雅黑" w:cs="宋体"/>
          <w:kern w:val="0"/>
          <w:sz w:val="24"/>
          <w:szCs w:val="24"/>
        </w:rPr>
        <w:t>capivasertib</w:t>
      </w:r>
      <w:proofErr w:type="spellEnd"/>
      <w:r w:rsidRPr="00375456">
        <w:rPr>
          <w:rFonts w:ascii="微软雅黑" w:eastAsia="微软雅黑" w:hAnsi="微软雅黑" w:cs="宋体"/>
          <w:kern w:val="0"/>
          <w:sz w:val="24"/>
          <w:szCs w:val="24"/>
        </w:rPr>
        <w:t xml:space="preserve"> 和 </w:t>
      </w:r>
      <w:proofErr w:type="spellStart"/>
      <w:r w:rsidRPr="00375456">
        <w:rPr>
          <w:rFonts w:ascii="微软雅黑" w:eastAsia="微软雅黑" w:hAnsi="微软雅黑" w:cs="宋体"/>
          <w:kern w:val="0"/>
          <w:sz w:val="24"/>
          <w:szCs w:val="24"/>
        </w:rPr>
        <w:t>fulvestrant</w:t>
      </w:r>
      <w:proofErr w:type="spellEnd"/>
      <w:r w:rsidRPr="00375456">
        <w:rPr>
          <w:rFonts w:ascii="微软雅黑" w:eastAsia="微软雅黑" w:hAnsi="微软雅黑" w:cs="宋体"/>
          <w:kern w:val="0"/>
          <w:sz w:val="24"/>
          <w:szCs w:val="24"/>
        </w:rPr>
        <w:t xml:space="preserve"> 联合用药的严重毒性，特别是腹泻、皮疹和高血糖，但这些副作用在其他靶向 PI3K/AKT-mTOR 通路调节剂的药物中也有观察到，并且与 </w:t>
      </w:r>
      <w:proofErr w:type="spellStart"/>
      <w:r w:rsidRPr="00375456">
        <w:rPr>
          <w:rFonts w:ascii="微软雅黑" w:eastAsia="微软雅黑" w:hAnsi="微软雅黑" w:cs="宋体"/>
          <w:kern w:val="0"/>
          <w:sz w:val="24"/>
          <w:szCs w:val="24"/>
        </w:rPr>
        <w:t>palbociclib</w:t>
      </w:r>
      <w:proofErr w:type="spellEnd"/>
      <w:r w:rsidRPr="00375456">
        <w:rPr>
          <w:rFonts w:ascii="微软雅黑" w:eastAsia="微软雅黑" w:hAnsi="微软雅黑" w:cs="宋体"/>
          <w:kern w:val="0"/>
          <w:sz w:val="24"/>
          <w:szCs w:val="24"/>
        </w:rPr>
        <w:t xml:space="preserve"> 的血液学毒性特征不重叠，这表明将 CDK4/6i 添加到这种双重组合中相关的副作用可能在临床上是可控的</w:t>
      </w:r>
      <w:r w:rsidRPr="00375456">
        <w:rPr>
          <w:rFonts w:ascii="微软雅黑" w:eastAsia="微软雅黑" w:hAnsi="微软雅黑" w:cs="宋体"/>
          <w:kern w:val="0"/>
          <w:sz w:val="24"/>
          <w:szCs w:val="24"/>
          <w:vertAlign w:val="superscript"/>
        </w:rPr>
        <w:fldChar w:fldCharType="begin"/>
      </w:r>
      <w:r w:rsidRPr="00375456">
        <w:rPr>
          <w:rFonts w:ascii="微软雅黑" w:eastAsia="微软雅黑" w:hAnsi="微软雅黑" w:cs="宋体"/>
          <w:kern w:val="0"/>
          <w:sz w:val="24"/>
          <w:szCs w:val="24"/>
          <w:vertAlign w:val="superscript"/>
        </w:rPr>
        <w:instrText xml:space="preserve"> HYPERLINK "https://pmc.ncbi.nlm.nih.gov/articles/PMC8387387/" \l "CR19" </w:instrText>
      </w:r>
      <w:r w:rsidRPr="00375456">
        <w:rPr>
          <w:rFonts w:ascii="微软雅黑" w:eastAsia="微软雅黑" w:hAnsi="微软雅黑" w:cs="宋体"/>
          <w:kern w:val="0"/>
          <w:sz w:val="24"/>
          <w:szCs w:val="24"/>
          <w:vertAlign w:val="superscript"/>
        </w:rPr>
        <w:fldChar w:fldCharType="separate"/>
      </w:r>
      <w:r w:rsidRPr="00375456">
        <w:rPr>
          <w:rFonts w:ascii="微软雅黑" w:eastAsia="微软雅黑" w:hAnsi="微软雅黑" w:cs="宋体"/>
          <w:kern w:val="0"/>
          <w:sz w:val="24"/>
          <w:szCs w:val="24"/>
          <w:u w:val="single"/>
          <w:vertAlign w:val="superscript"/>
        </w:rPr>
        <w:t>19</w:t>
      </w:r>
      <w:r w:rsidRPr="00375456">
        <w:rPr>
          <w:rFonts w:ascii="微软雅黑" w:eastAsia="微软雅黑" w:hAnsi="微软雅黑" w:cs="宋体"/>
          <w:kern w:val="0"/>
          <w:sz w:val="24"/>
          <w:szCs w:val="24"/>
          <w:vertAlign w:val="superscript"/>
        </w:rPr>
        <w:fldChar w:fldCharType="end"/>
      </w:r>
      <w:r w:rsidRPr="00375456">
        <w:rPr>
          <w:rFonts w:ascii="微软雅黑" w:eastAsia="微软雅黑" w:hAnsi="微软雅黑" w:cs="宋体"/>
          <w:kern w:val="0"/>
          <w:sz w:val="24"/>
          <w:szCs w:val="24"/>
        </w:rPr>
        <w:t>。</w:t>
      </w:r>
    </w:p>
    <w:p w14:paraId="65961EA1"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既往研究表明，PI3K 和 CDK4/6 的同步阻断是完全抑制细胞周期蛋白 D1 所必需的</w:t>
      </w:r>
      <w:r w:rsidRPr="00375456">
        <w:rPr>
          <w:rFonts w:ascii="微软雅黑" w:eastAsia="微软雅黑" w:hAnsi="微软雅黑" w:cs="宋体"/>
          <w:kern w:val="0"/>
          <w:sz w:val="24"/>
          <w:szCs w:val="24"/>
          <w:u w:val="single"/>
          <w:vertAlign w:val="superscript"/>
        </w:rPr>
        <w:t>&lt;sup&gt; </w:t>
      </w:r>
      <w:hyperlink r:id="rId140" w:anchor="CR22" w:history="1">
        <w:r w:rsidRPr="00375456">
          <w:rPr>
            <w:rFonts w:ascii="微软雅黑" w:eastAsia="微软雅黑" w:hAnsi="微软雅黑" w:cs="宋体"/>
            <w:kern w:val="0"/>
            <w:sz w:val="24"/>
            <w:szCs w:val="24"/>
            <w:u w:val="single"/>
            <w:vertAlign w:val="superscript"/>
          </w:rPr>
          <w:t>22&lt;/sup&gt;</w:t>
        </w:r>
      </w:hyperlink>
      <w:r w:rsidRPr="00375456">
        <w:rPr>
          <w:rFonts w:ascii="微软雅黑" w:eastAsia="微软雅黑" w:hAnsi="微软雅黑" w:cs="宋体"/>
          <w:kern w:val="0"/>
          <w:sz w:val="24"/>
          <w:szCs w:val="24"/>
        </w:rPr>
        <w:t>。事实上，使用 CDK4/6 抑制剂治疗后，观察到 AKT 上调，随后细胞周期蛋白 D1 积累，细胞周期蛋白 E2 和 CDK2 持续表达，这促进细</w:t>
      </w:r>
      <w:r w:rsidRPr="00375456">
        <w:rPr>
          <w:rFonts w:ascii="微软雅黑" w:eastAsia="微软雅黑" w:hAnsi="微软雅黑" w:cs="宋体"/>
          <w:kern w:val="0"/>
          <w:sz w:val="24"/>
          <w:szCs w:val="24"/>
        </w:rPr>
        <w:lastRenderedPageBreak/>
        <w:t>胞进入 S 期，从而导致耐药性。体外和患者来源的异种移植瘤模型中，内分泌治疗、CDK4/6 抑制剂和 PI3K 抑制剂的初始三联疗法比单独使用任何一种抑制剂都能更有效地阻滞细胞周期，降低细胞周期蛋白 E2 和 CDK2 的表达，并诱导细胞凋亡，从而促进肿瘤消退</w:t>
      </w:r>
      <w:r w:rsidRPr="00375456">
        <w:rPr>
          <w:rFonts w:ascii="微软雅黑" w:eastAsia="微软雅黑" w:hAnsi="微软雅黑" w:cs="宋体"/>
          <w:kern w:val="0"/>
          <w:sz w:val="24"/>
          <w:szCs w:val="24"/>
          <w:u w:val="single"/>
          <w:vertAlign w:val="superscript"/>
        </w:rPr>
        <w:t>&lt;sup&gt; </w:t>
      </w:r>
      <w:hyperlink r:id="rId141" w:anchor="CR22" w:history="1">
        <w:r w:rsidRPr="00375456">
          <w:rPr>
            <w:rFonts w:ascii="微软雅黑" w:eastAsia="微软雅黑" w:hAnsi="微软雅黑" w:cs="宋体"/>
            <w:kern w:val="0"/>
            <w:sz w:val="24"/>
            <w:szCs w:val="24"/>
            <w:u w:val="single"/>
            <w:vertAlign w:val="superscript"/>
          </w:rPr>
          <w:t>22</w:t>
        </w:r>
      </w:hyperlink>
      <w:r w:rsidRPr="00375456">
        <w:rPr>
          <w:rFonts w:ascii="微软雅黑" w:eastAsia="微软雅黑" w:hAnsi="微软雅黑" w:cs="宋体"/>
          <w:kern w:val="0"/>
          <w:sz w:val="24"/>
          <w:szCs w:val="24"/>
          <w:u w:val="single"/>
          <w:vertAlign w:val="superscript"/>
        </w:rPr>
        <w:t> &lt;/sup&gt;</w:t>
      </w:r>
      <w:r w:rsidRPr="00375456">
        <w:rPr>
          <w:rFonts w:ascii="微软雅黑" w:eastAsia="微软雅黑" w:hAnsi="微软雅黑" w:cs="宋体"/>
          <w:kern w:val="0"/>
          <w:sz w:val="24"/>
          <w:szCs w:val="24"/>
        </w:rPr>
        <w:t xml:space="preserve"> 。然而，在获得 CDK4/6 抑制剂耐药性的细胞系中，这种效果并未重现，这表明 CDK4/6 抑制剂和 PI3K 抑制剂的联合应用可能更有效地延缓 CDK4/6 抑制剂初治肿瘤的耐药性</w:t>
      </w:r>
      <w:r w:rsidRPr="00375456">
        <w:rPr>
          <w:rFonts w:ascii="微软雅黑" w:eastAsia="微软雅黑" w:hAnsi="微软雅黑" w:cs="宋体"/>
          <w:kern w:val="0"/>
          <w:sz w:val="24"/>
          <w:szCs w:val="24"/>
          <w:u w:val="single"/>
          <w:vertAlign w:val="superscript"/>
        </w:rPr>
        <w:t>&lt;sup&gt; </w:t>
      </w:r>
      <w:hyperlink r:id="rId142" w:anchor="CR22" w:history="1">
        <w:r w:rsidRPr="00375456">
          <w:rPr>
            <w:rFonts w:ascii="微软雅黑" w:eastAsia="微软雅黑" w:hAnsi="微软雅黑" w:cs="宋体"/>
            <w:kern w:val="0"/>
            <w:sz w:val="24"/>
            <w:szCs w:val="24"/>
            <w:u w:val="single"/>
            <w:vertAlign w:val="superscript"/>
          </w:rPr>
          <w:t>22&lt;/sup&gt;</w:t>
        </w:r>
      </w:hyperlink>
      <w:r w:rsidRPr="00375456">
        <w:rPr>
          <w:rFonts w:ascii="微软雅黑" w:eastAsia="微软雅黑" w:hAnsi="微软雅黑" w:cs="宋体"/>
          <w:kern w:val="0"/>
          <w:sz w:val="24"/>
          <w:szCs w:val="24"/>
        </w:rPr>
        <w:t>。然而，一项采用α选择性PI3K抑制剂</w:t>
      </w:r>
      <w:proofErr w:type="spellStart"/>
      <w:r w:rsidRPr="00375456">
        <w:rPr>
          <w:rFonts w:ascii="微软雅黑" w:eastAsia="微软雅黑" w:hAnsi="微软雅黑" w:cs="宋体"/>
          <w:kern w:val="0"/>
          <w:sz w:val="24"/>
          <w:szCs w:val="24"/>
        </w:rPr>
        <w:t>alpelisib</w:t>
      </w:r>
      <w:proofErr w:type="spellEnd"/>
      <w:r w:rsidRPr="00375456">
        <w:rPr>
          <w:rFonts w:ascii="微软雅黑" w:eastAsia="微软雅黑" w:hAnsi="微软雅黑" w:cs="宋体"/>
          <w:kern w:val="0"/>
          <w:sz w:val="24"/>
          <w:szCs w:val="24"/>
        </w:rPr>
        <w:t>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的II期临床试验（</w:t>
      </w:r>
      <w:proofErr w:type="spellStart"/>
      <w:r w:rsidRPr="00375456">
        <w:rPr>
          <w:rFonts w:ascii="微软雅黑" w:eastAsia="微软雅黑" w:hAnsi="微软雅黑" w:cs="宋体"/>
          <w:kern w:val="0"/>
          <w:sz w:val="24"/>
          <w:szCs w:val="24"/>
        </w:rPr>
        <w:t>BYLieve</w:t>
      </w:r>
      <w:proofErr w:type="spellEnd"/>
      <w:r w:rsidRPr="00375456">
        <w:rPr>
          <w:rFonts w:ascii="微软雅黑" w:eastAsia="微软雅黑" w:hAnsi="微软雅黑" w:cs="宋体"/>
          <w:kern w:val="0"/>
          <w:sz w:val="24"/>
          <w:szCs w:val="24"/>
        </w:rPr>
        <w:t>）的初步结果表明，该联合疗法可能对既往接受过CDK4/6抑制剂治疗的</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突变患者也有效，尽管目前尚无法得出确切结论</w:t>
      </w:r>
      <w:r w:rsidRPr="00375456">
        <w:rPr>
          <w:rFonts w:ascii="微软雅黑" w:eastAsia="微软雅黑" w:hAnsi="微软雅黑" w:cs="宋体"/>
          <w:kern w:val="0"/>
          <w:sz w:val="24"/>
          <w:szCs w:val="24"/>
          <w:vertAlign w:val="superscript"/>
        </w:rPr>
        <w:fldChar w:fldCharType="begin"/>
      </w:r>
      <w:r w:rsidRPr="00375456">
        <w:rPr>
          <w:rFonts w:ascii="微软雅黑" w:eastAsia="微软雅黑" w:hAnsi="微软雅黑" w:cs="宋体"/>
          <w:kern w:val="0"/>
          <w:sz w:val="24"/>
          <w:szCs w:val="24"/>
          <w:vertAlign w:val="superscript"/>
        </w:rPr>
        <w:instrText xml:space="preserve"> HYPERLINK "https://pmc.ncbi.nlm.nih.gov/articles/PMC8387387/" \l "CR38" </w:instrText>
      </w:r>
      <w:r w:rsidRPr="00375456">
        <w:rPr>
          <w:rFonts w:ascii="微软雅黑" w:eastAsia="微软雅黑" w:hAnsi="微软雅黑" w:cs="宋体"/>
          <w:kern w:val="0"/>
          <w:sz w:val="24"/>
          <w:szCs w:val="24"/>
          <w:vertAlign w:val="superscript"/>
        </w:rPr>
        <w:fldChar w:fldCharType="separate"/>
      </w:r>
      <w:r w:rsidRPr="00375456">
        <w:rPr>
          <w:rFonts w:ascii="微软雅黑" w:eastAsia="微软雅黑" w:hAnsi="微软雅黑" w:cs="宋体"/>
          <w:kern w:val="0"/>
          <w:sz w:val="24"/>
          <w:szCs w:val="24"/>
          <w:u w:val="single"/>
          <w:vertAlign w:val="superscript"/>
        </w:rPr>
        <w:t>&lt;sup&gt;38&lt;/sup&gt;</w:t>
      </w:r>
      <w:r w:rsidRPr="00375456">
        <w:rPr>
          <w:rFonts w:ascii="微软雅黑" w:eastAsia="微软雅黑" w:hAnsi="微软雅黑" w:cs="宋体"/>
          <w:kern w:val="0"/>
          <w:sz w:val="24"/>
          <w:szCs w:val="24"/>
          <w:vertAlign w:val="superscript"/>
        </w:rPr>
        <w:fldChar w:fldCharType="end"/>
      </w:r>
      <w:r w:rsidRPr="00375456">
        <w:rPr>
          <w:rFonts w:ascii="微软雅黑" w:eastAsia="微软雅黑" w:hAnsi="微软雅黑" w:cs="宋体"/>
          <w:kern w:val="0"/>
          <w:sz w:val="24"/>
          <w:szCs w:val="24"/>
        </w:rPr>
        <w:t>。与这些发现一致，我们在此证明，</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、CDK4/6抑制剂和另一种PI3K/AKT-mTOR抑制剂</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的三联疗法能够有效抑制细胞系的生长，并减缓对CDK4/6抑制剂和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联合疗法产生耐药性的细胞来源和患者来源异种移植瘤的进展。此外，我们发现，双重PI3K/mTOR抑制剂</w:t>
      </w:r>
      <w:proofErr w:type="spellStart"/>
      <w:r w:rsidRPr="00375456">
        <w:rPr>
          <w:rFonts w:ascii="微软雅黑" w:eastAsia="微软雅黑" w:hAnsi="微软雅黑" w:cs="宋体"/>
          <w:kern w:val="0"/>
          <w:sz w:val="24"/>
          <w:szCs w:val="24"/>
        </w:rPr>
        <w:t>gedatolisib</w:t>
      </w:r>
      <w:proofErr w:type="spellEnd"/>
      <w:r w:rsidRPr="00375456">
        <w:rPr>
          <w:rFonts w:ascii="微软雅黑" w:eastAsia="微软雅黑" w:hAnsi="微软雅黑" w:cs="宋体"/>
          <w:kern w:val="0"/>
          <w:sz w:val="24"/>
          <w:szCs w:val="24"/>
        </w:rPr>
        <w:t>的三联疗法（近期一项1b期临床试验评估了</w:t>
      </w:r>
      <w:proofErr w:type="spellStart"/>
      <w:r w:rsidRPr="00375456">
        <w:rPr>
          <w:rFonts w:ascii="微软雅黑" w:eastAsia="微软雅黑" w:hAnsi="微软雅黑" w:cs="宋体"/>
          <w:kern w:val="0"/>
          <w:sz w:val="24"/>
          <w:szCs w:val="24"/>
        </w:rPr>
        <w:t>gedatolisib</w:t>
      </w:r>
      <w:proofErr w:type="spellEnd"/>
      <w:r w:rsidRPr="00375456">
        <w:rPr>
          <w:rFonts w:ascii="微软雅黑" w:eastAsia="微软雅黑" w:hAnsi="微软雅黑" w:cs="宋体"/>
          <w:kern w:val="0"/>
          <w:sz w:val="24"/>
          <w:szCs w:val="24"/>
        </w:rPr>
        <w:t>联合CDK4/6抑制剂和内分泌治疗在ER阳性晚期乳腺癌患者中的耐受性和初步疗效</w:t>
      </w:r>
      <w:r w:rsidRPr="00375456">
        <w:rPr>
          <w:rFonts w:ascii="微软雅黑" w:eastAsia="微软雅黑" w:hAnsi="微软雅黑" w:cs="宋体"/>
          <w:kern w:val="0"/>
          <w:sz w:val="24"/>
          <w:szCs w:val="24"/>
          <w:u w:val="single"/>
          <w:vertAlign w:val="superscript"/>
        </w:rPr>
        <w:t>&lt;sup&gt; </w:t>
      </w:r>
      <w:hyperlink r:id="rId143" w:anchor="CR39" w:history="1">
        <w:r w:rsidRPr="00375456">
          <w:rPr>
            <w:rFonts w:ascii="微软雅黑" w:eastAsia="微软雅黑" w:hAnsi="微软雅黑" w:cs="宋体"/>
            <w:kern w:val="0"/>
            <w:sz w:val="24"/>
            <w:szCs w:val="24"/>
            <w:u w:val="single"/>
            <w:vertAlign w:val="superscript"/>
          </w:rPr>
          <w:t>39&lt;/sup&gt;</w:t>
        </w:r>
      </w:hyperlink>
      <w:r w:rsidRPr="00375456">
        <w:rPr>
          <w:rFonts w:ascii="微软雅黑" w:eastAsia="微软雅黑" w:hAnsi="微软雅黑" w:cs="宋体"/>
          <w:kern w:val="0"/>
          <w:sz w:val="24"/>
          <w:szCs w:val="24"/>
        </w:rPr>
        <w:t>）与</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的三联疗法在抑制对CDK4/6抑制剂和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联合耐药的细胞系的生长方面具有相似的疗效。有趣的是，已有研究表明，PKT及其非AKT靶点PDK1的上调会导致对</w:t>
      </w:r>
      <w:proofErr w:type="spellStart"/>
      <w:r w:rsidRPr="00375456">
        <w:rPr>
          <w:rFonts w:ascii="微软雅黑" w:eastAsia="微软雅黑" w:hAnsi="微软雅黑" w:cs="宋体"/>
          <w:kern w:val="0"/>
          <w:sz w:val="24"/>
          <w:szCs w:val="24"/>
        </w:rPr>
        <w:t>ribociclib</w:t>
      </w:r>
      <w:proofErr w:type="spellEnd"/>
      <w:r w:rsidRPr="00375456">
        <w:rPr>
          <w:rFonts w:ascii="微软雅黑" w:eastAsia="微软雅黑" w:hAnsi="微软雅黑" w:cs="宋体"/>
          <w:kern w:val="0"/>
          <w:sz w:val="24"/>
          <w:szCs w:val="24"/>
        </w:rPr>
        <w:t>耐药的细胞系出现异常的细胞周期进程</w:t>
      </w:r>
      <w:r w:rsidRPr="00375456">
        <w:rPr>
          <w:rFonts w:ascii="微软雅黑" w:eastAsia="微软雅黑" w:hAnsi="微软雅黑" w:cs="宋体"/>
          <w:kern w:val="0"/>
          <w:sz w:val="24"/>
          <w:szCs w:val="24"/>
          <w:u w:val="single"/>
          <w:vertAlign w:val="superscript"/>
        </w:rPr>
        <w:t>&lt;sup&gt; </w:t>
      </w:r>
      <w:hyperlink r:id="rId144" w:anchor="CR26" w:history="1">
        <w:r w:rsidRPr="00375456">
          <w:rPr>
            <w:rFonts w:ascii="微软雅黑" w:eastAsia="微软雅黑" w:hAnsi="微软雅黑" w:cs="宋体"/>
            <w:kern w:val="0"/>
            <w:sz w:val="24"/>
            <w:szCs w:val="24"/>
            <w:u w:val="single"/>
            <w:vertAlign w:val="superscript"/>
          </w:rPr>
          <w:t>26&lt;/sup&gt;</w:t>
        </w:r>
      </w:hyperlink>
      <w:r w:rsidRPr="00375456">
        <w:rPr>
          <w:rFonts w:ascii="微软雅黑" w:eastAsia="微软雅黑" w:hAnsi="微软雅黑" w:cs="宋体"/>
          <w:kern w:val="0"/>
          <w:sz w:val="24"/>
          <w:szCs w:val="24"/>
        </w:rPr>
        <w:t>。此外，最近发现</w:t>
      </w:r>
      <w:r w:rsidRPr="00375456">
        <w:rPr>
          <w:rFonts w:ascii="微软雅黑" w:eastAsia="微软雅黑" w:hAnsi="微软雅黑" w:cs="宋体"/>
          <w:i/>
          <w:iCs/>
          <w:kern w:val="0"/>
          <w:sz w:val="24"/>
          <w:szCs w:val="24"/>
        </w:rPr>
        <w:t>PTEN</w:t>
      </w:r>
      <w:r w:rsidRPr="00375456">
        <w:rPr>
          <w:rFonts w:ascii="微软雅黑" w:eastAsia="微软雅黑" w:hAnsi="微软雅黑" w:cs="宋体"/>
          <w:kern w:val="0"/>
          <w:sz w:val="24"/>
          <w:szCs w:val="24"/>
        </w:rPr>
        <w:t>缺陷细胞对CDK4/6抑制剂和α选择性PI3K抑制剂存在交叉耐药性，这种耐药性是由AKT激活</w:t>
      </w:r>
      <w:proofErr w:type="gramStart"/>
      <w:r w:rsidRPr="00375456">
        <w:rPr>
          <w:rFonts w:ascii="微软雅黑" w:eastAsia="微软雅黑" w:hAnsi="微软雅黑" w:cs="宋体"/>
          <w:kern w:val="0"/>
          <w:sz w:val="24"/>
          <w:szCs w:val="24"/>
        </w:rPr>
        <w:t>介</w:t>
      </w:r>
      <w:proofErr w:type="gramEnd"/>
      <w:r w:rsidRPr="00375456">
        <w:rPr>
          <w:rFonts w:ascii="微软雅黑" w:eastAsia="微软雅黑" w:hAnsi="微软雅黑" w:cs="宋体"/>
          <w:kern w:val="0"/>
          <w:sz w:val="24"/>
          <w:szCs w:val="24"/>
        </w:rPr>
        <w:t>导的，而</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治疗可以克服这种耐药性</w:t>
      </w:r>
      <w:r w:rsidRPr="00375456">
        <w:rPr>
          <w:rFonts w:ascii="微软雅黑" w:eastAsia="微软雅黑" w:hAnsi="微软雅黑" w:cs="宋体"/>
          <w:kern w:val="0"/>
          <w:sz w:val="24"/>
          <w:szCs w:val="24"/>
          <w:u w:val="single"/>
          <w:vertAlign w:val="superscript"/>
        </w:rPr>
        <w:t>&lt;sup&gt; </w:t>
      </w:r>
      <w:hyperlink r:id="rId145" w:anchor="CR40" w:history="1">
        <w:r w:rsidRPr="00375456">
          <w:rPr>
            <w:rFonts w:ascii="微软雅黑" w:eastAsia="微软雅黑" w:hAnsi="微软雅黑" w:cs="宋体"/>
            <w:kern w:val="0"/>
            <w:sz w:val="24"/>
            <w:szCs w:val="24"/>
            <w:u w:val="single"/>
            <w:vertAlign w:val="superscript"/>
          </w:rPr>
          <w:t>40</w:t>
        </w:r>
      </w:hyperlink>
      <w:r w:rsidRPr="00375456">
        <w:rPr>
          <w:rFonts w:ascii="微软雅黑" w:eastAsia="微软雅黑" w:hAnsi="微软雅黑" w:cs="宋体"/>
          <w:kern w:val="0"/>
          <w:sz w:val="24"/>
          <w:szCs w:val="24"/>
          <w:u w:val="single"/>
          <w:vertAlign w:val="superscript"/>
        </w:rPr>
        <w:t> &lt;/sup&gt;</w:t>
      </w:r>
      <w:r w:rsidRPr="00375456">
        <w:rPr>
          <w:rFonts w:ascii="微软雅黑" w:eastAsia="微软雅黑" w:hAnsi="微软雅黑" w:cs="宋体"/>
          <w:kern w:val="0"/>
          <w:sz w:val="24"/>
          <w:szCs w:val="24"/>
        </w:rPr>
        <w:t xml:space="preserve"> 。值得注意的是，本研究中一些 CDK4/6 抑制剂耐药肿瘤保留了</w:t>
      </w:r>
      <w:r w:rsidRPr="00375456">
        <w:rPr>
          <w:rFonts w:ascii="微软雅黑" w:eastAsia="微软雅黑" w:hAnsi="微软雅黑" w:cs="宋体"/>
          <w:i/>
          <w:iCs/>
          <w:kern w:val="0"/>
          <w:sz w:val="24"/>
          <w:szCs w:val="24"/>
        </w:rPr>
        <w:t>PTEN</w:t>
      </w:r>
      <w:r w:rsidRPr="00375456">
        <w:rPr>
          <w:rFonts w:ascii="微软雅黑" w:eastAsia="微软雅黑" w:hAnsi="微软雅黑" w:cs="宋体"/>
          <w:kern w:val="0"/>
          <w:sz w:val="24"/>
          <w:szCs w:val="24"/>
        </w:rPr>
        <w:t>，表明其他机制也</w:t>
      </w:r>
      <w:proofErr w:type="gramStart"/>
      <w:r w:rsidRPr="00375456">
        <w:rPr>
          <w:rFonts w:ascii="微软雅黑" w:eastAsia="微软雅黑" w:hAnsi="微软雅黑" w:cs="宋体"/>
          <w:kern w:val="0"/>
          <w:sz w:val="24"/>
          <w:szCs w:val="24"/>
        </w:rPr>
        <w:t>介</w:t>
      </w:r>
      <w:proofErr w:type="gramEnd"/>
      <w:r w:rsidRPr="00375456">
        <w:rPr>
          <w:rFonts w:ascii="微软雅黑" w:eastAsia="微软雅黑" w:hAnsi="微软雅黑" w:cs="宋体"/>
          <w:kern w:val="0"/>
          <w:sz w:val="24"/>
          <w:szCs w:val="24"/>
        </w:rPr>
        <w:t>导了对 CDK4/6 抑制剂的耐药性</w:t>
      </w:r>
      <w:r w:rsidRPr="00375456">
        <w:rPr>
          <w:rFonts w:ascii="微软雅黑" w:eastAsia="微软雅黑" w:hAnsi="微软雅黑" w:cs="宋体"/>
          <w:kern w:val="0"/>
          <w:sz w:val="24"/>
          <w:szCs w:val="24"/>
          <w:u w:val="single"/>
          <w:vertAlign w:val="superscript"/>
        </w:rPr>
        <w:t>&lt;sup&gt; </w:t>
      </w:r>
      <w:hyperlink r:id="rId146" w:anchor="CR40" w:history="1">
        <w:r w:rsidRPr="00375456">
          <w:rPr>
            <w:rFonts w:ascii="微软雅黑" w:eastAsia="微软雅黑" w:hAnsi="微软雅黑" w:cs="宋体"/>
            <w:kern w:val="0"/>
            <w:sz w:val="24"/>
            <w:szCs w:val="24"/>
            <w:u w:val="single"/>
            <w:vertAlign w:val="superscript"/>
          </w:rPr>
          <w:t>40&lt;/sup&gt;</w:t>
        </w:r>
      </w:hyperlink>
      <w:r w:rsidRPr="00375456">
        <w:rPr>
          <w:rFonts w:ascii="微软雅黑" w:eastAsia="微软雅黑" w:hAnsi="微软雅黑" w:cs="宋体"/>
          <w:kern w:val="0"/>
          <w:sz w:val="24"/>
          <w:szCs w:val="24"/>
        </w:rPr>
        <w:t>。</w:t>
      </w:r>
      <w:r w:rsidRPr="00375456">
        <w:rPr>
          <w:rFonts w:ascii="微软雅黑" w:eastAsia="微软雅黑" w:hAnsi="微软雅黑" w:cs="宋体"/>
          <w:kern w:val="0"/>
          <w:sz w:val="24"/>
          <w:szCs w:val="24"/>
        </w:rPr>
        <w:lastRenderedPageBreak/>
        <w:t>然而，我们研究中提供的数据表明</w:t>
      </w:r>
      <w:r w:rsidRPr="00375456">
        <w:rPr>
          <w:rFonts w:ascii="微软雅黑" w:eastAsia="微软雅黑" w:hAnsi="微软雅黑" w:cs="宋体"/>
          <w:i/>
          <w:iCs/>
          <w:kern w:val="0"/>
          <w:sz w:val="24"/>
          <w:szCs w:val="24"/>
        </w:rPr>
        <w:t>PTEN</w:t>
      </w:r>
      <w:r w:rsidRPr="00375456">
        <w:rPr>
          <w:rFonts w:ascii="微软雅黑" w:eastAsia="微软雅黑" w:hAnsi="微软雅黑" w:cs="宋体"/>
          <w:kern w:val="0"/>
          <w:sz w:val="24"/>
          <w:szCs w:val="24"/>
        </w:rPr>
        <w:t>对 CDK4/6 抑制剂和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耐药的野生型细胞系和肿瘤异种移植模型（MPF-R 和 TPF-R 细胞）均能从 AKT 抑制剂治疗中获益，这表明无论肿瘤</w:t>
      </w:r>
      <w:r w:rsidRPr="00375456">
        <w:rPr>
          <w:rFonts w:ascii="微软雅黑" w:eastAsia="微软雅黑" w:hAnsi="微软雅黑" w:cs="宋体"/>
          <w:i/>
          <w:iCs/>
          <w:kern w:val="0"/>
          <w:sz w:val="24"/>
          <w:szCs w:val="24"/>
        </w:rPr>
        <w:t xml:space="preserve">PTEN状态如何，在 CDK4/6 抑制剂治疗后，有必要开展 </w:t>
      </w:r>
      <w:proofErr w:type="spellStart"/>
      <w:r w:rsidRPr="00375456">
        <w:rPr>
          <w:rFonts w:ascii="微软雅黑" w:eastAsia="微软雅黑" w:hAnsi="微软雅黑" w:cs="宋体"/>
          <w:i/>
          <w:iCs/>
          <w:kern w:val="0"/>
          <w:sz w:val="24"/>
          <w:szCs w:val="24"/>
        </w:rPr>
        <w:t>AKTi</w:t>
      </w:r>
      <w:proofErr w:type="spellEnd"/>
      <w:r w:rsidRPr="00375456">
        <w:rPr>
          <w:rFonts w:ascii="微软雅黑" w:eastAsia="微软雅黑" w:hAnsi="微软雅黑" w:cs="宋体"/>
          <w:i/>
          <w:iCs/>
          <w:kern w:val="0"/>
          <w:sz w:val="24"/>
          <w:szCs w:val="24"/>
        </w:rPr>
        <w:t xml:space="preserve"> 联合标准 CDK4/6 抑制剂和内分泌治疗的临床试验。一项 </w:t>
      </w:r>
      <w:proofErr w:type="spellStart"/>
      <w:r w:rsidRPr="00375456">
        <w:rPr>
          <w:rFonts w:ascii="微软雅黑" w:eastAsia="微软雅黑" w:hAnsi="微软雅黑" w:cs="宋体"/>
          <w:i/>
          <w:iCs/>
          <w:kern w:val="0"/>
          <w:sz w:val="24"/>
          <w:szCs w:val="24"/>
        </w:rPr>
        <w:t>Ib</w:t>
      </w:r>
      <w:proofErr w:type="spellEnd"/>
      <w:r w:rsidRPr="00375456">
        <w:rPr>
          <w:rFonts w:ascii="微软雅黑" w:eastAsia="微软雅黑" w:hAnsi="微软雅黑" w:cs="宋体"/>
          <w:i/>
          <w:iCs/>
          <w:kern w:val="0"/>
          <w:sz w:val="24"/>
          <w:szCs w:val="24"/>
        </w:rPr>
        <w:t>/III 期临床试验（CAPItello-292， </w:t>
      </w:r>
      <w:hyperlink r:id="rId147" w:tgtFrame="_blank" w:history="1">
        <w:r w:rsidRPr="00375456">
          <w:rPr>
            <w:rFonts w:ascii="微软雅黑" w:eastAsia="微软雅黑" w:hAnsi="微软雅黑" w:cs="宋体"/>
            <w:kern w:val="0"/>
            <w:sz w:val="24"/>
            <w:szCs w:val="24"/>
            <w:u w:val="single"/>
          </w:rPr>
          <w:t>NCT04862663</w:t>
        </w:r>
      </w:hyperlink>
      <w:r w:rsidRPr="00375456">
        <w:rPr>
          <w:rFonts w:ascii="微软雅黑" w:eastAsia="微软雅黑" w:hAnsi="微软雅黑" w:cs="宋体"/>
          <w:kern w:val="0"/>
          <w:sz w:val="24"/>
          <w:szCs w:val="24"/>
        </w:rPr>
        <w:t xml:space="preserve"> ）近期启动，旨在评估 </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卡</w:t>
      </w:r>
      <w:proofErr w:type="gramStart"/>
      <w:r w:rsidRPr="00375456">
        <w:rPr>
          <w:rFonts w:ascii="微软雅黑" w:eastAsia="微软雅黑" w:hAnsi="微软雅黑" w:cs="宋体"/>
          <w:kern w:val="0"/>
          <w:sz w:val="24"/>
          <w:szCs w:val="24"/>
        </w:rPr>
        <w:t>帕替尼联合帕</w:t>
      </w:r>
      <w:proofErr w:type="gramEnd"/>
      <w:r w:rsidRPr="00375456">
        <w:rPr>
          <w:rFonts w:ascii="微软雅黑" w:eastAsia="微软雅黑" w:hAnsi="微软雅黑" w:cs="宋体"/>
          <w:kern w:val="0"/>
          <w:sz w:val="24"/>
          <w:szCs w:val="24"/>
        </w:rPr>
        <w:t>博西尼和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与帕博西尼联合</w:t>
      </w:r>
      <w:proofErr w:type="gramStart"/>
      <w:r w:rsidRPr="00375456">
        <w:rPr>
          <w:rFonts w:ascii="微软雅黑" w:eastAsia="微软雅黑" w:hAnsi="微软雅黑" w:cs="宋体"/>
          <w:kern w:val="0"/>
          <w:sz w:val="24"/>
          <w:szCs w:val="24"/>
        </w:rPr>
        <w:t>氟维司群单</w:t>
      </w:r>
      <w:proofErr w:type="gramEnd"/>
      <w:r w:rsidRPr="00375456">
        <w:rPr>
          <w:rFonts w:ascii="微软雅黑" w:eastAsia="微软雅黑" w:hAnsi="微软雅黑" w:cs="宋体"/>
          <w:kern w:val="0"/>
          <w:sz w:val="24"/>
          <w:szCs w:val="24"/>
        </w:rPr>
        <w:t>药治疗 ER+ 局部晚期、不可切除或转移性乳腺癌的疗效，进一步支持了我们研究的临床意义。</w:t>
      </w:r>
    </w:p>
    <w:p w14:paraId="4B21EFB0"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此外，本研究观察到，与敏感细胞相比，对内分泌治疗耐药的MCF-7和ZR-75-1乳腺癌细胞系表现出更高的p-AKT水平，这与先前关于抗雌激素耐药细胞系中p-AKT显著升高和AKT激酶活性增强的研究结果一致</w:t>
      </w:r>
      <w:r w:rsidRPr="00375456">
        <w:rPr>
          <w:rFonts w:ascii="微软雅黑" w:eastAsia="微软雅黑" w:hAnsi="微软雅黑" w:cs="宋体"/>
          <w:kern w:val="0"/>
          <w:sz w:val="24"/>
          <w:szCs w:val="24"/>
          <w:u w:val="single"/>
          <w:vertAlign w:val="superscript"/>
        </w:rPr>
        <w:t>&lt;sup&gt; </w:t>
      </w:r>
      <w:hyperlink r:id="rId148" w:anchor="CR41" w:history="1">
        <w:r w:rsidRPr="00375456">
          <w:rPr>
            <w:rFonts w:ascii="微软雅黑" w:eastAsia="微软雅黑" w:hAnsi="微软雅黑" w:cs="宋体"/>
            <w:kern w:val="0"/>
            <w:sz w:val="24"/>
            <w:szCs w:val="24"/>
            <w:u w:val="single"/>
            <w:vertAlign w:val="superscript"/>
          </w:rPr>
          <w:t>41&lt;/sup&gt;</w:t>
        </w:r>
      </w:hyperlink>
      <w:r w:rsidRPr="00375456">
        <w:rPr>
          <w:rFonts w:ascii="微软雅黑" w:eastAsia="微软雅黑" w:hAnsi="微软雅黑" w:cs="宋体"/>
          <w:kern w:val="0"/>
          <w:sz w:val="24"/>
          <w:szCs w:val="24"/>
        </w:rPr>
        <w:t>。此外，既往研究表明，与p-AKT阴性肿瘤患者相比，p-AKT阳性肿瘤的乳腺癌患者接受内分泌治疗后的临床疗效更差</w:t>
      </w:r>
      <w:r w:rsidRPr="00375456">
        <w:rPr>
          <w:rFonts w:ascii="微软雅黑" w:eastAsia="微软雅黑" w:hAnsi="微软雅黑" w:cs="宋体"/>
          <w:kern w:val="0"/>
          <w:sz w:val="24"/>
          <w:szCs w:val="24"/>
          <w:u w:val="single"/>
          <w:vertAlign w:val="superscript"/>
        </w:rPr>
        <w:t>&lt;sup&gt; </w:t>
      </w:r>
      <w:hyperlink r:id="rId149" w:anchor="CR42" w:history="1">
        <w:r w:rsidRPr="00375456">
          <w:rPr>
            <w:rFonts w:ascii="微软雅黑" w:eastAsia="微软雅黑" w:hAnsi="微软雅黑" w:cs="宋体"/>
            <w:kern w:val="0"/>
            <w:sz w:val="24"/>
            <w:szCs w:val="24"/>
            <w:u w:val="single"/>
            <w:vertAlign w:val="superscript"/>
          </w:rPr>
          <w:t>42&lt;/sup&gt;</w:t>
        </w:r>
      </w:hyperlink>
      <w:r w:rsidRPr="00375456">
        <w:rPr>
          <w:rFonts w:ascii="微软雅黑" w:eastAsia="微软雅黑" w:hAnsi="微软雅黑" w:cs="宋体"/>
          <w:kern w:val="0"/>
          <w:sz w:val="24"/>
          <w:szCs w:val="24"/>
        </w:rPr>
        <w:t>。重要的是，我们构建的对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和CDK4/6抑制剂联合治疗耐药的MCF-7衍生乳腺癌细胞系也表达更高的p-AKT水平，高于其亲代细胞系。事实上，既往研究已证实，在对瑞博西尼耐药的乳腺癌细胞中，PDK1</w:t>
      </w:r>
      <w:proofErr w:type="gramStart"/>
      <w:r w:rsidRPr="00375456">
        <w:rPr>
          <w:rFonts w:ascii="微软雅黑" w:eastAsia="微软雅黑" w:hAnsi="微软雅黑" w:cs="宋体"/>
          <w:kern w:val="0"/>
          <w:sz w:val="24"/>
          <w:szCs w:val="24"/>
        </w:rPr>
        <w:t>介</w:t>
      </w:r>
      <w:proofErr w:type="gramEnd"/>
      <w:r w:rsidRPr="00375456">
        <w:rPr>
          <w:rFonts w:ascii="微软雅黑" w:eastAsia="微软雅黑" w:hAnsi="微软雅黑" w:cs="宋体"/>
          <w:kern w:val="0"/>
          <w:sz w:val="24"/>
          <w:szCs w:val="24"/>
        </w:rPr>
        <w:t>导的AKT（S477/T479）磷酸化可激活PI3K/AKT-mTOR通路</w:t>
      </w:r>
      <w:r w:rsidRPr="00375456">
        <w:rPr>
          <w:rFonts w:ascii="微软雅黑" w:eastAsia="微软雅黑" w:hAnsi="微软雅黑" w:cs="宋体"/>
          <w:kern w:val="0"/>
          <w:sz w:val="24"/>
          <w:szCs w:val="24"/>
          <w:u w:val="single"/>
          <w:vertAlign w:val="superscript"/>
        </w:rPr>
        <w:t>&lt;sup&gt; </w:t>
      </w:r>
      <w:hyperlink r:id="rId150" w:anchor="CR26" w:history="1">
        <w:r w:rsidRPr="00375456">
          <w:rPr>
            <w:rFonts w:ascii="微软雅黑" w:eastAsia="微软雅黑" w:hAnsi="微软雅黑" w:cs="宋体"/>
            <w:kern w:val="0"/>
            <w:sz w:val="24"/>
            <w:szCs w:val="24"/>
            <w:u w:val="single"/>
            <w:vertAlign w:val="superscript"/>
          </w:rPr>
          <w:t>26&lt;/sup&gt;</w:t>
        </w:r>
      </w:hyperlink>
      <w:r w:rsidRPr="00375456">
        <w:rPr>
          <w:rFonts w:ascii="微软雅黑" w:eastAsia="微软雅黑" w:hAnsi="微软雅黑" w:cs="宋体"/>
          <w:kern w:val="0"/>
          <w:sz w:val="24"/>
          <w:szCs w:val="24"/>
        </w:rPr>
        <w:t>。然而，p-AKT作为CDK4/6抑制剂治疗患者的预后或预测性生物标志物的作用尚未得到研究。尽管临床前和临床研究已评估了许多CDK4/6抑制剂耐药的生物标志物，包括Rb缺失或突变、p16缺失、</w:t>
      </w:r>
      <w:r w:rsidRPr="00375456">
        <w:rPr>
          <w:rFonts w:ascii="微软雅黑" w:eastAsia="微软雅黑" w:hAnsi="微软雅黑" w:cs="宋体"/>
          <w:i/>
          <w:iCs/>
          <w:kern w:val="0"/>
          <w:sz w:val="24"/>
          <w:szCs w:val="24"/>
        </w:rPr>
        <w:t>PIK3CA</w:t>
      </w:r>
      <w:r w:rsidRPr="00375456">
        <w:rPr>
          <w:rFonts w:ascii="微软雅黑" w:eastAsia="微软雅黑" w:hAnsi="微软雅黑" w:cs="宋体"/>
          <w:kern w:val="0"/>
          <w:sz w:val="24"/>
          <w:szCs w:val="24"/>
        </w:rPr>
        <w:t>突变、</w:t>
      </w:r>
      <w:r w:rsidRPr="00375456">
        <w:rPr>
          <w:rFonts w:ascii="微软雅黑" w:eastAsia="微软雅黑" w:hAnsi="微软雅黑" w:cs="宋体"/>
          <w:i/>
          <w:iCs/>
          <w:kern w:val="0"/>
          <w:sz w:val="24"/>
          <w:szCs w:val="24"/>
        </w:rPr>
        <w:t>FAT1</w:t>
      </w:r>
      <w:r w:rsidRPr="00375456">
        <w:rPr>
          <w:rFonts w:ascii="微软雅黑" w:eastAsia="微软雅黑" w:hAnsi="微软雅黑" w:cs="宋体"/>
          <w:kern w:val="0"/>
          <w:sz w:val="24"/>
          <w:szCs w:val="24"/>
        </w:rPr>
        <w:t>突变、FGFR通路异常、CDK6、细胞周期蛋白D1和细胞周期蛋白E扩增以及其他D-细胞周期蛋白激活特征，但具有临床有效性的生物标志物尚未被发现，这代表着尚未满足的需求</w:t>
      </w:r>
      <w:r w:rsidRPr="00375456">
        <w:rPr>
          <w:rFonts w:ascii="微软雅黑" w:eastAsia="微软雅黑" w:hAnsi="微软雅黑" w:cs="宋体"/>
          <w:kern w:val="0"/>
          <w:sz w:val="24"/>
          <w:szCs w:val="24"/>
          <w:u w:val="single"/>
          <w:vertAlign w:val="superscript"/>
        </w:rPr>
        <w:t>&lt;sup&gt; 4</w:t>
      </w:r>
      <w:r w:rsidRPr="00375456">
        <w:rPr>
          <w:rFonts w:ascii="微软雅黑" w:eastAsia="微软雅黑" w:hAnsi="微软雅黑" w:cs="宋体"/>
          <w:kern w:val="0"/>
          <w:sz w:val="24"/>
          <w:szCs w:val="24"/>
          <w:vertAlign w:val="superscript"/>
        </w:rPr>
        <w:t>3-49 </w:t>
      </w:r>
      <w:hyperlink r:id="rId151" w:anchor="CR43" w:history="1">
        <w:r w:rsidRPr="00375456">
          <w:rPr>
            <w:rFonts w:ascii="微软雅黑" w:eastAsia="微软雅黑" w:hAnsi="微软雅黑" w:cs="宋体"/>
            <w:kern w:val="0"/>
            <w:sz w:val="24"/>
            <w:szCs w:val="24"/>
            <w:u w:val="single"/>
            <w:vertAlign w:val="superscript"/>
          </w:rPr>
          <w:t>&lt;/sup&gt; </w:t>
        </w:r>
      </w:hyperlink>
      <w:hyperlink r:id="rId152" w:anchor="CR49" w:history="1">
        <w:r w:rsidRPr="00375456">
          <w:rPr>
            <w:rFonts w:ascii="微软雅黑" w:eastAsia="微软雅黑" w:hAnsi="微软雅黑" w:cs="宋体"/>
            <w:kern w:val="0"/>
            <w:sz w:val="24"/>
            <w:szCs w:val="24"/>
            <w:u w:val="single"/>
            <w:vertAlign w:val="superscript"/>
          </w:rPr>
          <w:t>。</w:t>
        </w:r>
      </w:hyperlink>
      <w:r w:rsidRPr="00375456">
        <w:rPr>
          <w:rFonts w:ascii="微软雅黑" w:eastAsia="微软雅黑" w:hAnsi="微软雅黑" w:cs="宋体"/>
          <w:kern w:val="0"/>
          <w:sz w:val="24"/>
          <w:szCs w:val="24"/>
        </w:rPr>
        <w:t>尽管由于样本量较小，本</w:t>
      </w:r>
      <w:r w:rsidRPr="00375456">
        <w:rPr>
          <w:rFonts w:ascii="微软雅黑" w:eastAsia="微软雅黑" w:hAnsi="微软雅黑" w:cs="宋体"/>
          <w:kern w:val="0"/>
          <w:sz w:val="24"/>
          <w:szCs w:val="24"/>
        </w:rPr>
        <w:lastRenderedPageBreak/>
        <w:t>研究无法对p-AKT的临床意义进行全面分析，但我们相信，我们的数据清楚地表明p-AKT水平与CDK4/6抑制剂耐药相关，并为未来的研究提供了坚实的基础和有趣的视角。此外，若能确定临床样本的AKT突变状态并评估其与临床预后的相关性，将会很有意义。然而，我院近期才开展转移性乳腺癌的基因分型，且仅对部分患者进行检测。尽管如此，我们的数据表明，转移性乳腺癌患者若p-AKT水平较高，接受标准CDK4/6抑制剂和内分泌治疗后预后较差，加用AKT抑制剂可能有助于提高生存率。</w:t>
      </w:r>
    </w:p>
    <w:p w14:paraId="6FF50DAC" w14:textId="77777777" w:rsidR="00375456" w:rsidRPr="00375456" w:rsidRDefault="00375456" w:rsidP="00375456">
      <w:pPr>
        <w:widowControl/>
        <w:pBdr>
          <w:bottom w:val="single" w:sz="6" w:space="0" w:color="97B1C8"/>
        </w:pBdr>
        <w:spacing w:line="450" w:lineRule="atLeast"/>
        <w:outlineLvl w:val="1"/>
        <w:rPr>
          <w:rFonts w:ascii="微软雅黑" w:eastAsia="微软雅黑" w:hAnsi="微软雅黑" w:cs="宋体"/>
          <w:kern w:val="0"/>
          <w:sz w:val="34"/>
          <w:szCs w:val="34"/>
        </w:rPr>
      </w:pPr>
      <w:r w:rsidRPr="00375456">
        <w:rPr>
          <w:rFonts w:ascii="微软雅黑" w:eastAsia="微软雅黑" w:hAnsi="微软雅黑" w:cs="宋体"/>
          <w:kern w:val="0"/>
          <w:sz w:val="34"/>
          <w:szCs w:val="34"/>
        </w:rPr>
        <w:t>方法</w:t>
      </w:r>
    </w:p>
    <w:p w14:paraId="271A7E6A"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细胞系和抗肿瘤药物</w:t>
      </w:r>
    </w:p>
    <w:p w14:paraId="3E7076F5"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原始的MCF-7和T47D细胞系购自梅森研究所乳腺癌工作组细胞培养库，原始的ZR-75-1细胞系购自美国典型培养物保藏中心（ATCC）。</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耐药细胞系182R-1由MCF-7/S0.5细胞（本文中简称MCF-7）经100 </w:t>
      </w:r>
      <w:proofErr w:type="spellStart"/>
      <w:r w:rsidRPr="00375456">
        <w:rPr>
          <w:rFonts w:ascii="微软雅黑" w:eastAsia="微软雅黑" w:hAnsi="微软雅黑" w:cs="宋体"/>
          <w:kern w:val="0"/>
          <w:sz w:val="24"/>
          <w:szCs w:val="24"/>
        </w:rPr>
        <w:t>nM</w:t>
      </w:r>
      <w:proofErr w:type="spellEnd"/>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长期处理建立</w:t>
      </w:r>
      <w:r w:rsidRPr="00375456">
        <w:rPr>
          <w:rFonts w:ascii="微软雅黑" w:eastAsia="微软雅黑" w:hAnsi="微软雅黑" w:cs="宋体"/>
          <w:kern w:val="0"/>
          <w:sz w:val="24"/>
          <w:szCs w:val="24"/>
          <w:vertAlign w:val="superscript"/>
        </w:rPr>
        <w:fldChar w:fldCharType="begin"/>
      </w:r>
      <w:r w:rsidRPr="00375456">
        <w:rPr>
          <w:rFonts w:ascii="微软雅黑" w:eastAsia="微软雅黑" w:hAnsi="微软雅黑" w:cs="宋体"/>
          <w:kern w:val="0"/>
          <w:sz w:val="24"/>
          <w:szCs w:val="24"/>
          <w:vertAlign w:val="superscript"/>
        </w:rPr>
        <w:instrText xml:space="preserve"> HYPERLINK "https://pmc.ncbi.nlm.nih.gov/articles/PMC8387387/" \l "CR50" </w:instrText>
      </w:r>
      <w:r w:rsidRPr="00375456">
        <w:rPr>
          <w:rFonts w:ascii="微软雅黑" w:eastAsia="微软雅黑" w:hAnsi="微软雅黑" w:cs="宋体"/>
          <w:kern w:val="0"/>
          <w:sz w:val="24"/>
          <w:szCs w:val="24"/>
          <w:vertAlign w:val="superscript"/>
        </w:rPr>
        <w:fldChar w:fldCharType="separate"/>
      </w:r>
      <w:r w:rsidRPr="00375456">
        <w:rPr>
          <w:rFonts w:ascii="微软雅黑" w:eastAsia="微软雅黑" w:hAnsi="微软雅黑" w:cs="宋体"/>
          <w:kern w:val="0"/>
          <w:sz w:val="24"/>
          <w:szCs w:val="24"/>
          <w:u w:val="single"/>
          <w:vertAlign w:val="superscript"/>
        </w:rPr>
        <w:t>。MCF</w:t>
      </w:r>
      <w:r w:rsidRPr="00375456">
        <w:rPr>
          <w:rFonts w:ascii="微软雅黑" w:eastAsia="微软雅黑" w:hAnsi="微软雅黑" w:cs="宋体"/>
          <w:kern w:val="0"/>
          <w:sz w:val="24"/>
          <w:szCs w:val="24"/>
          <w:vertAlign w:val="superscript"/>
        </w:rPr>
        <w:fldChar w:fldCharType="end"/>
      </w:r>
      <w:r w:rsidRPr="00375456">
        <w:rPr>
          <w:rFonts w:ascii="微软雅黑" w:eastAsia="微软雅黑" w:hAnsi="微软雅黑" w:cs="宋体"/>
          <w:kern w:val="0"/>
          <w:sz w:val="24"/>
          <w:szCs w:val="24"/>
        </w:rPr>
        <w:t xml:space="preserve"> -7细胞常规培养于不含酚红的DMEM/F12培养基（Gibco），并添加1%谷氨酰胺（Gibco）、1%热灭活胎牛血清（FBS；Sigma-Aldrich）和6 ng/ml胰岛素（Sigma-Aldrich）。182R-1细胞在与MCF-7细胞相同的培养基中培养，并添加100 </w:t>
      </w:r>
      <w:proofErr w:type="spellStart"/>
      <w:r w:rsidRPr="00375456">
        <w:rPr>
          <w:rFonts w:ascii="微软雅黑" w:eastAsia="微软雅黑" w:hAnsi="微软雅黑" w:cs="宋体"/>
          <w:kern w:val="0"/>
          <w:sz w:val="24"/>
          <w:szCs w:val="24"/>
        </w:rPr>
        <w:t>nM</w:t>
      </w:r>
      <w:proofErr w:type="spellEnd"/>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。将182R-1细胞用150–200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 CDK4/6i和100 </w:t>
      </w:r>
      <w:proofErr w:type="spellStart"/>
      <w:r w:rsidRPr="00375456">
        <w:rPr>
          <w:rFonts w:ascii="微软雅黑" w:eastAsia="微软雅黑" w:hAnsi="微软雅黑" w:cs="宋体"/>
          <w:kern w:val="0"/>
          <w:sz w:val="24"/>
          <w:szCs w:val="24"/>
        </w:rPr>
        <w:t>nM</w:t>
      </w:r>
      <w:proofErr w:type="spellEnd"/>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进行长期（4个月）处理，从而获得对CDK4/6i和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联合用药耐药的MCF-7衍生细胞系（MPF-R）。这些细胞系在与182R-1细胞相同的培养基中培养，但培养基中添加了200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 CDK4/6i。与MPF-R细胞平行培养的MCF-7敏感细胞被命名为MS。T47D细胞在不含酚红的RPMI 1640培养基中培养，该培养基添加了1%谷氨酰胺、5%胎牛血清和8 </w:t>
      </w:r>
      <w:r w:rsidRPr="00375456">
        <w:rPr>
          <w:rFonts w:ascii="微软雅黑" w:eastAsia="微软雅黑" w:hAnsi="微软雅黑" w:cs="宋体"/>
          <w:kern w:val="0"/>
          <w:sz w:val="24"/>
          <w:szCs w:val="24"/>
        </w:rPr>
        <w:lastRenderedPageBreak/>
        <w:t xml:space="preserve">µg/ml胰岛素。将T47D细胞用100 </w:t>
      </w:r>
      <w:proofErr w:type="spellStart"/>
      <w:r w:rsidRPr="00375456">
        <w:rPr>
          <w:rFonts w:ascii="微软雅黑" w:eastAsia="微软雅黑" w:hAnsi="微软雅黑" w:cs="宋体"/>
          <w:kern w:val="0"/>
          <w:sz w:val="24"/>
          <w:szCs w:val="24"/>
        </w:rPr>
        <w:t>nM</w:t>
      </w:r>
      <w:proofErr w:type="spellEnd"/>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进行长期处理，从而建立T47D衍生的</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耐药细胞系（T47D&lt;sup&gt;R&lt;/sup&gt; </w:t>
      </w:r>
      <w:hyperlink r:id="rId153" w:anchor="CR51" w:history="1">
        <w:r w:rsidRPr="00375456">
          <w:rPr>
            <w:rFonts w:ascii="微软雅黑" w:eastAsia="微软雅黑" w:hAnsi="微软雅黑" w:cs="宋体"/>
            <w:kern w:val="0"/>
            <w:sz w:val="24"/>
            <w:szCs w:val="24"/>
            <w:u w:val="single"/>
            <w:vertAlign w:val="superscript"/>
          </w:rPr>
          <w:t>）</w:t>
        </w:r>
      </w:hyperlink>
      <w:r w:rsidRPr="00375456">
        <w:rPr>
          <w:rFonts w:ascii="微软雅黑" w:eastAsia="微软雅黑" w:hAnsi="微软雅黑" w:cs="宋体"/>
          <w:kern w:val="0"/>
          <w:sz w:val="24"/>
          <w:szCs w:val="24"/>
        </w:rPr>
        <w:t xml:space="preserve">。将T47D R细胞经100 </w:t>
      </w:r>
      <w:proofErr w:type="spellStart"/>
      <w:r w:rsidRPr="00375456">
        <w:rPr>
          <w:rFonts w:ascii="微软雅黑" w:eastAsia="微软雅黑" w:hAnsi="微软雅黑" w:cs="宋体"/>
          <w:kern w:val="0"/>
          <w:sz w:val="24"/>
          <w:szCs w:val="24"/>
        </w:rPr>
        <w:t>nM</w:t>
      </w:r>
      <w:proofErr w:type="spellEnd"/>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和150–200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 CDK4/6i长期处理（3个月）后，建立对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和CDK4/6i耐药的T47D细胞（TPF-R）。TPF-R细胞在与T47D R细胞相同的培养基中培养，但培养基中添加了200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 xml:space="preserve"> CDK4/6i。与TPF-R细胞平行培养的T47D敏感细胞被命名为TS。ZR-75-1细胞常规培养于添加了10%胎牛血清（FBS）、1% HEPES（Gibco）和1%青霉素/链霉素（Gibco）的RPMI 1640培养基（Gibco）中。采用ZR-75-1细胞，通过长期（8周）暴露于浓度递增的</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（从100 </w:t>
      </w:r>
      <w:proofErr w:type="spellStart"/>
      <w:r w:rsidRPr="00375456">
        <w:rPr>
          <w:rFonts w:ascii="微软雅黑" w:eastAsia="微软雅黑" w:hAnsi="微软雅黑" w:cs="宋体"/>
          <w:kern w:val="0"/>
          <w:sz w:val="24"/>
          <w:szCs w:val="24"/>
        </w:rPr>
        <w:t>pM</w:t>
      </w:r>
      <w:proofErr w:type="spellEnd"/>
      <w:r w:rsidRPr="00375456">
        <w:rPr>
          <w:rFonts w:ascii="微软雅黑" w:eastAsia="微软雅黑" w:hAnsi="微软雅黑" w:cs="宋体"/>
          <w:kern w:val="0"/>
          <w:sz w:val="24"/>
          <w:szCs w:val="24"/>
        </w:rPr>
        <w:t xml:space="preserve">至最终浓度100 </w:t>
      </w:r>
      <w:proofErr w:type="spellStart"/>
      <w:r w:rsidRPr="00375456">
        <w:rPr>
          <w:rFonts w:ascii="微软雅黑" w:eastAsia="微软雅黑" w:hAnsi="微软雅黑" w:cs="宋体"/>
          <w:kern w:val="0"/>
          <w:sz w:val="24"/>
          <w:szCs w:val="24"/>
        </w:rPr>
        <w:t>nM</w:t>
      </w:r>
      <w:proofErr w:type="spellEnd"/>
      <w:r w:rsidRPr="00375456">
        <w:rPr>
          <w:rFonts w:ascii="微软雅黑" w:eastAsia="微软雅黑" w:hAnsi="微软雅黑" w:cs="宋体"/>
          <w:kern w:val="0"/>
          <w:sz w:val="24"/>
          <w:szCs w:val="24"/>
        </w:rPr>
        <w:t>）中，建立</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 xml:space="preserve">耐药细胞系ZR-75-1 R。ZR-75-1 R细胞在与亲代细胞系相同的培养基中培养，并添加100 </w:t>
      </w:r>
      <w:proofErr w:type="spellStart"/>
      <w:r w:rsidRPr="00375456">
        <w:rPr>
          <w:rFonts w:ascii="微软雅黑" w:eastAsia="微软雅黑" w:hAnsi="微软雅黑" w:cs="宋体"/>
          <w:kern w:val="0"/>
          <w:sz w:val="24"/>
          <w:szCs w:val="24"/>
        </w:rPr>
        <w:t>nM</w:t>
      </w:r>
      <w:proofErr w:type="spellEnd"/>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。细胞在5% CO</w:t>
      </w:r>
      <w:r w:rsidRPr="00375456">
        <w:rPr>
          <w:rFonts w:ascii="Cambria Math" w:eastAsia="微软雅黑" w:hAnsi="Cambria Math" w:cs="Cambria Math"/>
          <w:kern w:val="0"/>
          <w:sz w:val="24"/>
          <w:szCs w:val="24"/>
        </w:rPr>
        <w:t>₂</w:t>
      </w:r>
      <w:r w:rsidRPr="00375456">
        <w:rPr>
          <w:rFonts w:ascii="微软雅黑" w:eastAsia="微软雅黑" w:hAnsi="微软雅黑" w:cs="宋体"/>
          <w:kern w:val="0"/>
          <w:sz w:val="24"/>
          <w:szCs w:val="24"/>
        </w:rPr>
        <w:t>的湿润环境中培养</w:t>
      </w:r>
      <w:r w:rsidRPr="00375456">
        <w:rPr>
          <w:rFonts w:ascii="微软雅黑" w:eastAsia="微软雅黑" w:hAnsi="微软雅黑" w:cs="宋体"/>
          <w:kern w:val="0"/>
          <w:sz w:val="24"/>
          <w:szCs w:val="24"/>
          <w:vertAlign w:val="subscript"/>
        </w:rPr>
        <w:t>。</w:t>
      </w:r>
      <w:r w:rsidRPr="00375456">
        <w:rPr>
          <w:rFonts w:ascii="微软雅黑" w:eastAsia="微软雅黑" w:hAnsi="微软雅黑" w:cs="宋体"/>
          <w:kern w:val="0"/>
          <w:sz w:val="24"/>
          <w:szCs w:val="24"/>
        </w:rPr>
        <w:t>在 37 °C 下进行培养。所有细胞系在进行所述实验前均使用 Cell ID™ 系统（Promega）进行 DNA 鉴定，并进行支原体检测（Lonza）。</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（ICI 182,780，</w:t>
      </w:r>
      <w:proofErr w:type="spellStart"/>
      <w:r w:rsidRPr="00375456">
        <w:rPr>
          <w:rFonts w:ascii="微软雅黑" w:eastAsia="微软雅黑" w:hAnsi="微软雅黑" w:cs="宋体"/>
          <w:kern w:val="0"/>
          <w:sz w:val="24"/>
          <w:szCs w:val="24"/>
        </w:rPr>
        <w:t>Tocris</w:t>
      </w:r>
      <w:proofErr w:type="spellEnd"/>
      <w:r w:rsidRPr="00375456">
        <w:rPr>
          <w:rFonts w:ascii="微软雅黑" w:eastAsia="微软雅黑" w:hAnsi="微软雅黑" w:cs="宋体"/>
          <w:kern w:val="0"/>
          <w:sz w:val="24"/>
          <w:szCs w:val="24"/>
        </w:rPr>
        <w:t>）溶于 96% 乙醇中；</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卡</w:t>
      </w:r>
      <w:proofErr w:type="gramStart"/>
      <w:r w:rsidRPr="00375456">
        <w:rPr>
          <w:rFonts w:ascii="微软雅黑" w:eastAsia="微软雅黑" w:hAnsi="微软雅黑" w:cs="宋体"/>
          <w:kern w:val="0"/>
          <w:sz w:val="24"/>
          <w:szCs w:val="24"/>
        </w:rPr>
        <w:t>伐塞替尼</w:t>
      </w:r>
      <w:proofErr w:type="gramEnd"/>
      <w:r w:rsidRPr="00375456">
        <w:rPr>
          <w:rFonts w:ascii="微软雅黑" w:eastAsia="微软雅黑" w:hAnsi="微软雅黑" w:cs="宋体"/>
          <w:kern w:val="0"/>
          <w:sz w:val="24"/>
          <w:szCs w:val="24"/>
        </w:rPr>
        <w:t>（HY-15431，</w:t>
      </w:r>
      <w:proofErr w:type="spellStart"/>
      <w:r w:rsidRPr="00375456">
        <w:rPr>
          <w:rFonts w:ascii="微软雅黑" w:eastAsia="微软雅黑" w:hAnsi="微软雅黑" w:cs="宋体"/>
          <w:kern w:val="0"/>
          <w:sz w:val="24"/>
          <w:szCs w:val="24"/>
        </w:rPr>
        <w:t>MedchemExpress</w:t>
      </w:r>
      <w:proofErr w:type="spellEnd"/>
      <w:r w:rsidRPr="00375456">
        <w:rPr>
          <w:rFonts w:ascii="微软雅黑" w:eastAsia="微软雅黑" w:hAnsi="微软雅黑" w:cs="宋体"/>
          <w:kern w:val="0"/>
          <w:sz w:val="24"/>
          <w:szCs w:val="24"/>
        </w:rPr>
        <w:t>）、CDK4/6 抑制剂核糖西利琥珀酸盐水合物（HY-15777C，</w:t>
      </w:r>
      <w:proofErr w:type="spellStart"/>
      <w:r w:rsidRPr="00375456">
        <w:rPr>
          <w:rFonts w:ascii="微软雅黑" w:eastAsia="微软雅黑" w:hAnsi="微软雅黑" w:cs="宋体"/>
          <w:kern w:val="0"/>
          <w:sz w:val="24"/>
          <w:szCs w:val="24"/>
        </w:rPr>
        <w:t>MedchemExpress</w:t>
      </w:r>
      <w:proofErr w:type="spellEnd"/>
      <w:r w:rsidRPr="00375456">
        <w:rPr>
          <w:rFonts w:ascii="微软雅黑" w:eastAsia="微软雅黑" w:hAnsi="微软雅黑" w:cs="宋体"/>
          <w:kern w:val="0"/>
          <w:sz w:val="24"/>
          <w:szCs w:val="24"/>
        </w:rPr>
        <w:t>）、CDK4/6 抑制剂阿贝西利（HY-16297A，</w:t>
      </w:r>
      <w:proofErr w:type="spellStart"/>
      <w:r w:rsidRPr="00375456">
        <w:rPr>
          <w:rFonts w:ascii="微软雅黑" w:eastAsia="微软雅黑" w:hAnsi="微软雅黑" w:cs="宋体"/>
          <w:kern w:val="0"/>
          <w:sz w:val="24"/>
          <w:szCs w:val="24"/>
        </w:rPr>
        <w:t>MedchemExpress</w:t>
      </w:r>
      <w:proofErr w:type="spellEnd"/>
      <w:r w:rsidRPr="00375456">
        <w:rPr>
          <w:rFonts w:ascii="微软雅黑" w:eastAsia="微软雅黑" w:hAnsi="微软雅黑" w:cs="宋体"/>
          <w:kern w:val="0"/>
          <w:sz w:val="24"/>
          <w:szCs w:val="24"/>
        </w:rPr>
        <w:t>）和双重 PI3K/mTOR 抑制剂格达托利西布（#HY-10681，</w:t>
      </w:r>
      <w:proofErr w:type="spellStart"/>
      <w:r w:rsidRPr="00375456">
        <w:rPr>
          <w:rFonts w:ascii="微软雅黑" w:eastAsia="微软雅黑" w:hAnsi="微软雅黑" w:cs="宋体"/>
          <w:kern w:val="0"/>
          <w:sz w:val="24"/>
          <w:szCs w:val="24"/>
        </w:rPr>
        <w:t>MedchemExpress</w:t>
      </w:r>
      <w:proofErr w:type="spellEnd"/>
      <w:r w:rsidRPr="00375456">
        <w:rPr>
          <w:rFonts w:ascii="微软雅黑" w:eastAsia="微软雅黑" w:hAnsi="微软雅黑" w:cs="宋体"/>
          <w:kern w:val="0"/>
          <w:sz w:val="24"/>
          <w:szCs w:val="24"/>
        </w:rPr>
        <w:t>）溶于 DMSO（Sigma-Aldrich）；CDK4/6 抑制剂帕博西尼异硫氰酸盐（HY-A0065，</w:t>
      </w:r>
      <w:proofErr w:type="spellStart"/>
      <w:r w:rsidRPr="00375456">
        <w:rPr>
          <w:rFonts w:ascii="微软雅黑" w:eastAsia="微软雅黑" w:hAnsi="微软雅黑" w:cs="宋体"/>
          <w:kern w:val="0"/>
          <w:sz w:val="24"/>
          <w:szCs w:val="24"/>
        </w:rPr>
        <w:t>MedchemExpress</w:t>
      </w:r>
      <w:proofErr w:type="spellEnd"/>
      <w:r w:rsidRPr="00375456">
        <w:rPr>
          <w:rFonts w:ascii="微软雅黑" w:eastAsia="微软雅黑" w:hAnsi="微软雅黑" w:cs="宋体"/>
          <w:kern w:val="0"/>
          <w:sz w:val="24"/>
          <w:szCs w:val="24"/>
        </w:rPr>
        <w:t>）溶于水。根据每种细胞系模型的IC </w:t>
      </w:r>
      <w:r w:rsidRPr="00375456">
        <w:rPr>
          <w:rFonts w:ascii="微软雅黑" w:eastAsia="微软雅黑" w:hAnsi="微软雅黑" w:cs="宋体"/>
          <w:kern w:val="0"/>
          <w:sz w:val="24"/>
          <w:szCs w:val="24"/>
          <w:vertAlign w:val="subscript"/>
        </w:rPr>
        <w:t>50</w:t>
      </w:r>
      <w:r w:rsidRPr="00375456">
        <w:rPr>
          <w:rFonts w:ascii="微软雅黑" w:eastAsia="微软雅黑" w:hAnsi="微软雅黑" w:cs="宋体"/>
          <w:kern w:val="0"/>
          <w:sz w:val="24"/>
          <w:szCs w:val="24"/>
        </w:rPr>
        <w:t>值，确定用于体外实验的 CDK4/6i、</w:t>
      </w:r>
      <w:proofErr w:type="spellStart"/>
      <w:r w:rsidRPr="00375456">
        <w:rPr>
          <w:rFonts w:ascii="微软雅黑" w:eastAsia="微软雅黑" w:hAnsi="微软雅黑" w:cs="宋体"/>
          <w:kern w:val="0"/>
          <w:sz w:val="24"/>
          <w:szCs w:val="24"/>
        </w:rPr>
        <w:t>AKTi</w:t>
      </w:r>
      <w:proofErr w:type="spellEnd"/>
      <w:r w:rsidRPr="00375456">
        <w:rPr>
          <w:rFonts w:ascii="微软雅黑" w:eastAsia="微软雅黑" w:hAnsi="微软雅黑" w:cs="宋体"/>
          <w:kern w:val="0"/>
          <w:sz w:val="24"/>
          <w:szCs w:val="24"/>
        </w:rPr>
        <w:t xml:space="preserve"> 和双重 PI3K/</w:t>
      </w:r>
      <w:proofErr w:type="spellStart"/>
      <w:r w:rsidRPr="00375456">
        <w:rPr>
          <w:rFonts w:ascii="微软雅黑" w:eastAsia="微软雅黑" w:hAnsi="微软雅黑" w:cs="宋体"/>
          <w:kern w:val="0"/>
          <w:sz w:val="24"/>
          <w:szCs w:val="24"/>
        </w:rPr>
        <w:t>mTORi</w:t>
      </w:r>
      <w:proofErr w:type="spellEnd"/>
      <w:r w:rsidRPr="00375456">
        <w:rPr>
          <w:rFonts w:ascii="微软雅黑" w:eastAsia="微软雅黑" w:hAnsi="微软雅黑" w:cs="宋体"/>
          <w:kern w:val="0"/>
          <w:sz w:val="24"/>
          <w:szCs w:val="24"/>
        </w:rPr>
        <w:t xml:space="preserve"> 的浓度。</w:t>
      </w:r>
    </w:p>
    <w:p w14:paraId="7B9075A8"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蛋白质印迹法</w:t>
      </w:r>
    </w:p>
    <w:p w14:paraId="6FFEBA5F"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lastRenderedPageBreak/>
        <w:t xml:space="preserve">使用含有蛋白酶和磷酸酶抑制剂 Complete 和 </w:t>
      </w:r>
      <w:proofErr w:type="spellStart"/>
      <w:r w:rsidRPr="00375456">
        <w:rPr>
          <w:rFonts w:ascii="微软雅黑" w:eastAsia="微软雅黑" w:hAnsi="微软雅黑" w:cs="宋体"/>
          <w:kern w:val="0"/>
          <w:sz w:val="24"/>
          <w:szCs w:val="24"/>
        </w:rPr>
        <w:t>PhosSTOP</w:t>
      </w:r>
      <w:proofErr w:type="spellEnd"/>
      <w:r w:rsidRPr="00375456">
        <w:rPr>
          <w:rFonts w:ascii="微软雅黑" w:eastAsia="微软雅黑" w:hAnsi="微软雅黑" w:cs="宋体"/>
          <w:kern w:val="0"/>
          <w:sz w:val="24"/>
          <w:szCs w:val="24"/>
        </w:rPr>
        <w:t xml:space="preserve">（Roche）的 RIPA 缓冲液（50 mM Tris-HCl (pH 8)、150 mM NaCl (pH 8)、1% </w:t>
      </w:r>
      <w:proofErr w:type="spellStart"/>
      <w:r w:rsidRPr="00375456">
        <w:rPr>
          <w:rFonts w:ascii="微软雅黑" w:eastAsia="微软雅黑" w:hAnsi="微软雅黑" w:cs="宋体"/>
          <w:kern w:val="0"/>
          <w:sz w:val="24"/>
          <w:szCs w:val="24"/>
        </w:rPr>
        <w:t>IgePAL</w:t>
      </w:r>
      <w:proofErr w:type="spellEnd"/>
      <w:r w:rsidRPr="00375456">
        <w:rPr>
          <w:rFonts w:ascii="微软雅黑" w:eastAsia="微软雅黑" w:hAnsi="微软雅黑" w:cs="宋体"/>
          <w:kern w:val="0"/>
          <w:sz w:val="24"/>
          <w:szCs w:val="24"/>
        </w:rPr>
        <w:t xml:space="preserve"> 630、0.5% 脱氧胆酸钠、0.1% SDS）提取全细胞蛋白。使用 Pierce BCA 蛋白测定试剂盒（Thermo Fisher Scientific）测定裂解液样品的蛋白浓度，并在 Paradigm 微孔板读数仪（Beckman Coulter）上于 562 nm 波长处测定光密度值 (OD)。在还原条件下，将 5–30 </w:t>
      </w:r>
      <w:proofErr w:type="spellStart"/>
      <w:r w:rsidRPr="00375456">
        <w:rPr>
          <w:rFonts w:ascii="微软雅黑" w:eastAsia="微软雅黑" w:hAnsi="微软雅黑" w:cs="宋体"/>
          <w:kern w:val="0"/>
          <w:sz w:val="24"/>
          <w:szCs w:val="24"/>
        </w:rPr>
        <w:t>μg</w:t>
      </w:r>
      <w:proofErr w:type="spellEnd"/>
      <w:r w:rsidRPr="00375456">
        <w:rPr>
          <w:rFonts w:ascii="微软雅黑" w:eastAsia="微软雅黑" w:hAnsi="微软雅黑" w:cs="宋体"/>
          <w:kern w:val="0"/>
          <w:sz w:val="24"/>
          <w:szCs w:val="24"/>
        </w:rPr>
        <w:t xml:space="preserve"> 总蛋白裂解液</w:t>
      </w:r>
      <w:proofErr w:type="gramStart"/>
      <w:r w:rsidRPr="00375456">
        <w:rPr>
          <w:rFonts w:ascii="微软雅黑" w:eastAsia="微软雅黑" w:hAnsi="微软雅黑" w:cs="宋体"/>
          <w:kern w:val="0"/>
          <w:sz w:val="24"/>
          <w:szCs w:val="24"/>
        </w:rPr>
        <w:t>上样至</w:t>
      </w:r>
      <w:proofErr w:type="gramEnd"/>
      <w:r w:rsidRPr="00375456">
        <w:rPr>
          <w:rFonts w:ascii="微软雅黑" w:eastAsia="微软雅黑" w:hAnsi="微软雅黑" w:cs="宋体"/>
          <w:kern w:val="0"/>
          <w:sz w:val="24"/>
          <w:szCs w:val="24"/>
        </w:rPr>
        <w:t xml:space="preserve"> 4–20% SDS-PAGE 凝胶（Bio-Rad），然后电转印至 PVDF 转印膜（Bio-Rad）。将膜在含 5% 脱脂奶粉（Sigma-Aldrich）的 Tris 缓冲盐溶液（TBS）、0.1% Tween-20（Sigma-Aldrich）中于室温封闭 1 小时。根据制造商的方案，使用以下</w:t>
      </w:r>
      <w:proofErr w:type="gramStart"/>
      <w:r w:rsidRPr="00375456">
        <w:rPr>
          <w:rFonts w:ascii="微软雅黑" w:eastAsia="微软雅黑" w:hAnsi="微软雅黑" w:cs="宋体"/>
          <w:kern w:val="0"/>
          <w:sz w:val="24"/>
          <w:szCs w:val="24"/>
        </w:rPr>
        <w:t>一</w:t>
      </w:r>
      <w:proofErr w:type="gramEnd"/>
      <w:r w:rsidRPr="00375456">
        <w:rPr>
          <w:rFonts w:ascii="微软雅黑" w:eastAsia="微软雅黑" w:hAnsi="微软雅黑" w:cs="宋体"/>
          <w:kern w:val="0"/>
          <w:sz w:val="24"/>
          <w:szCs w:val="24"/>
        </w:rPr>
        <w:t>抗：来自 Thermo Fisher Scientific 的抗 ER（RM-9101-S1，1:500）；抗磷酸化Rb S780 (3590, 1:1000)、抗Rb (9309, 1:1000)、抗磷酸化AKT S473 (4060, 1:1000)、抗AKT（泛）(4685, 1:1000)、抗磷酸化PRAS40 T246 (2997, 1:1000)、抗PRAS40 (2691, 1:1000)、抗磷酸化S6 S235/236 (2211, 1:1000)、抗S6 (2217, 1:1000)、抗裂解PARP (9541, 1:250)、抗PARP (9532, 1:1000)、抗</w:t>
      </w:r>
      <w:proofErr w:type="spellStart"/>
      <w:r w:rsidRPr="00375456">
        <w:rPr>
          <w:rFonts w:ascii="微软雅黑" w:eastAsia="微软雅黑" w:hAnsi="微软雅黑" w:cs="宋体"/>
          <w:kern w:val="0"/>
          <w:sz w:val="24"/>
          <w:szCs w:val="24"/>
        </w:rPr>
        <w:t>Xiap</w:t>
      </w:r>
      <w:proofErr w:type="spellEnd"/>
      <w:r w:rsidRPr="00375456">
        <w:rPr>
          <w:rFonts w:ascii="微软雅黑" w:eastAsia="微软雅黑" w:hAnsi="微软雅黑" w:cs="宋体"/>
          <w:kern w:val="0"/>
          <w:sz w:val="24"/>
          <w:szCs w:val="24"/>
        </w:rPr>
        <w:t xml:space="preserve"> (2042, 1:500)、抗</w:t>
      </w:r>
      <w:proofErr w:type="spellStart"/>
      <w:r w:rsidRPr="00375456">
        <w:rPr>
          <w:rFonts w:ascii="微软雅黑" w:eastAsia="微软雅黑" w:hAnsi="微软雅黑" w:cs="宋体"/>
          <w:kern w:val="0"/>
          <w:sz w:val="24"/>
          <w:szCs w:val="24"/>
        </w:rPr>
        <w:t>Bcl</w:t>
      </w:r>
      <w:proofErr w:type="spellEnd"/>
      <w:r w:rsidRPr="00375456">
        <w:rPr>
          <w:rFonts w:ascii="微软雅黑" w:eastAsia="微软雅黑" w:hAnsi="微软雅黑" w:cs="宋体"/>
          <w:kern w:val="0"/>
          <w:sz w:val="24"/>
          <w:szCs w:val="24"/>
        </w:rPr>
        <w:t>-xl</w:t>
      </w:r>
      <w:proofErr w:type="gramStart"/>
      <w:r w:rsidRPr="00375456">
        <w:rPr>
          <w:rFonts w:ascii="微软雅黑" w:eastAsia="微软雅黑" w:hAnsi="微软雅黑" w:cs="宋体"/>
          <w:kern w:val="0"/>
          <w:sz w:val="24"/>
          <w:szCs w:val="24"/>
        </w:rPr>
        <w:t>一</w:t>
      </w:r>
      <w:proofErr w:type="gramEnd"/>
      <w:r w:rsidRPr="00375456">
        <w:rPr>
          <w:rFonts w:ascii="微软雅黑" w:eastAsia="微软雅黑" w:hAnsi="微软雅黑" w:cs="宋体"/>
          <w:kern w:val="0"/>
          <w:sz w:val="24"/>
          <w:szCs w:val="24"/>
        </w:rPr>
        <w:t>抗为Cell Signaling公司的抗</w:t>
      </w:r>
      <w:proofErr w:type="spellStart"/>
      <w:r w:rsidRPr="00375456">
        <w:rPr>
          <w:rFonts w:ascii="微软雅黑" w:eastAsia="微软雅黑" w:hAnsi="微软雅黑" w:cs="宋体"/>
          <w:kern w:val="0"/>
          <w:sz w:val="24"/>
          <w:szCs w:val="24"/>
        </w:rPr>
        <w:t>Bax</w:t>
      </w:r>
      <w:proofErr w:type="spellEnd"/>
      <w:r w:rsidRPr="00375456">
        <w:rPr>
          <w:rFonts w:ascii="微软雅黑" w:eastAsia="微软雅黑" w:hAnsi="微软雅黑" w:cs="宋体"/>
          <w:kern w:val="0"/>
          <w:sz w:val="24"/>
          <w:szCs w:val="24"/>
        </w:rPr>
        <w:t>抗体（2762，1:1000）、抗</w:t>
      </w:r>
      <w:proofErr w:type="spellStart"/>
      <w:r w:rsidRPr="00375456">
        <w:rPr>
          <w:rFonts w:ascii="微软雅黑" w:eastAsia="微软雅黑" w:hAnsi="微软雅黑" w:cs="宋体"/>
          <w:kern w:val="0"/>
          <w:sz w:val="24"/>
          <w:szCs w:val="24"/>
        </w:rPr>
        <w:t>Bax</w:t>
      </w:r>
      <w:proofErr w:type="spellEnd"/>
      <w:r w:rsidRPr="00375456">
        <w:rPr>
          <w:rFonts w:ascii="微软雅黑" w:eastAsia="微软雅黑" w:hAnsi="微软雅黑" w:cs="宋体"/>
          <w:kern w:val="0"/>
          <w:sz w:val="24"/>
          <w:szCs w:val="24"/>
        </w:rPr>
        <w:t>抗体（2772，1:1000）；抗GAPDH抗体（sc-32233，1:20000）购自Santa Cruz Biotechnology公司，</w:t>
      </w:r>
      <w:proofErr w:type="gramStart"/>
      <w:r w:rsidRPr="00375456">
        <w:rPr>
          <w:rFonts w:ascii="微软雅黑" w:eastAsia="微软雅黑" w:hAnsi="微软雅黑" w:cs="宋体"/>
          <w:kern w:val="0"/>
          <w:sz w:val="24"/>
          <w:szCs w:val="24"/>
        </w:rPr>
        <w:t>用作上样对照</w:t>
      </w:r>
      <w:proofErr w:type="gramEnd"/>
      <w:r w:rsidRPr="00375456">
        <w:rPr>
          <w:rFonts w:ascii="微软雅黑" w:eastAsia="微软雅黑" w:hAnsi="微软雅黑" w:cs="宋体"/>
          <w:kern w:val="0"/>
          <w:sz w:val="24"/>
          <w:szCs w:val="24"/>
        </w:rPr>
        <w:t>。</w:t>
      </w:r>
      <w:proofErr w:type="gramStart"/>
      <w:r w:rsidRPr="00375456">
        <w:rPr>
          <w:rFonts w:ascii="微软雅黑" w:eastAsia="微软雅黑" w:hAnsi="微软雅黑" w:cs="宋体"/>
          <w:kern w:val="0"/>
          <w:sz w:val="24"/>
          <w:szCs w:val="24"/>
        </w:rPr>
        <w:t>二抗为</w:t>
      </w:r>
      <w:proofErr w:type="gramEnd"/>
      <w:r w:rsidRPr="00375456">
        <w:rPr>
          <w:rFonts w:ascii="微软雅黑" w:eastAsia="微软雅黑" w:hAnsi="微软雅黑" w:cs="宋体"/>
          <w:kern w:val="0"/>
          <w:sz w:val="24"/>
          <w:szCs w:val="24"/>
        </w:rPr>
        <w:t>辣根过氧化物酶（HRP）标记的山羊抗小鼠抗体（#P0447，</w:t>
      </w:r>
      <w:proofErr w:type="spellStart"/>
      <w:r w:rsidRPr="00375456">
        <w:rPr>
          <w:rFonts w:ascii="微软雅黑" w:eastAsia="微软雅黑" w:hAnsi="微软雅黑" w:cs="宋体"/>
          <w:kern w:val="0"/>
          <w:sz w:val="24"/>
          <w:szCs w:val="24"/>
        </w:rPr>
        <w:t>Dako</w:t>
      </w:r>
      <w:proofErr w:type="spellEnd"/>
      <w:r w:rsidRPr="00375456">
        <w:rPr>
          <w:rFonts w:ascii="微软雅黑" w:eastAsia="微软雅黑" w:hAnsi="微软雅黑" w:cs="宋体"/>
          <w:kern w:val="0"/>
          <w:sz w:val="24"/>
          <w:szCs w:val="24"/>
        </w:rPr>
        <w:t>公司，1:5000）和HRP标记的山羊抗兔抗体（#P0448，</w:t>
      </w:r>
      <w:proofErr w:type="spellStart"/>
      <w:r w:rsidRPr="00375456">
        <w:rPr>
          <w:rFonts w:ascii="微软雅黑" w:eastAsia="微软雅黑" w:hAnsi="微软雅黑" w:cs="宋体"/>
          <w:kern w:val="0"/>
          <w:sz w:val="24"/>
          <w:szCs w:val="24"/>
        </w:rPr>
        <w:t>Dako</w:t>
      </w:r>
      <w:proofErr w:type="spellEnd"/>
      <w:r w:rsidRPr="00375456">
        <w:rPr>
          <w:rFonts w:ascii="微软雅黑" w:eastAsia="微软雅黑" w:hAnsi="微软雅黑" w:cs="宋体"/>
          <w:kern w:val="0"/>
          <w:sz w:val="24"/>
          <w:szCs w:val="24"/>
        </w:rPr>
        <w:t>公司，1:5000），在室温下用封闭缓冲液孵育1小时。膜用Clarity™ Western ECL底物（Bio-Rad公司）显色，并在Fusion-Fx7-7026 WL/26MX仪器（</w:t>
      </w:r>
      <w:proofErr w:type="spellStart"/>
      <w:r w:rsidRPr="00375456">
        <w:rPr>
          <w:rFonts w:ascii="微软雅黑" w:eastAsia="微软雅黑" w:hAnsi="微软雅黑" w:cs="宋体"/>
          <w:kern w:val="0"/>
          <w:sz w:val="24"/>
          <w:szCs w:val="24"/>
        </w:rPr>
        <w:t>Vilbaer</w:t>
      </w:r>
      <w:proofErr w:type="spellEnd"/>
      <w:r w:rsidRPr="00375456">
        <w:rPr>
          <w:rFonts w:ascii="微软雅黑" w:eastAsia="微软雅黑" w:hAnsi="微软雅黑" w:cs="宋体"/>
          <w:kern w:val="0"/>
          <w:sz w:val="24"/>
          <w:szCs w:val="24"/>
        </w:rPr>
        <w:t>公司）上进行可视化。</w:t>
      </w:r>
    </w:p>
    <w:p w14:paraId="1A40B098"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细胞生长、活力和凋亡检测</w:t>
      </w:r>
    </w:p>
    <w:p w14:paraId="3EC38837"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lastRenderedPageBreak/>
        <w:t>将细胞以750–4000个/孔的密度接种于96孔板中，培养24小时使其贴壁后，再加入药物或载体。采用结晶紫比色法&lt;sup&gt; </w:t>
      </w:r>
      <w:hyperlink r:id="rId154" w:anchor="CR52" w:history="1">
        <w:r w:rsidRPr="00375456">
          <w:rPr>
            <w:rFonts w:ascii="微软雅黑" w:eastAsia="微软雅黑" w:hAnsi="微软雅黑" w:cs="宋体"/>
            <w:kern w:val="0"/>
            <w:sz w:val="24"/>
            <w:szCs w:val="24"/>
            <w:u w:val="single"/>
            <w:vertAlign w:val="superscript"/>
          </w:rPr>
          <w:t>52</w:t>
        </w:r>
      </w:hyperlink>
      <w:r w:rsidRPr="00375456">
        <w:rPr>
          <w:rFonts w:ascii="微软雅黑" w:eastAsia="微软雅黑" w:hAnsi="微软雅黑" w:cs="宋体"/>
          <w:kern w:val="0"/>
          <w:sz w:val="24"/>
          <w:szCs w:val="24"/>
        </w:rPr>
        <w:t> &lt;/sup&gt;评估细胞生长，并在Paradigm酶标仪上于570 nm波长处测定吸光度值（OD）。根据制造商说明书，使用</w:t>
      </w:r>
      <w:proofErr w:type="spellStart"/>
      <w:r w:rsidRPr="00375456">
        <w:rPr>
          <w:rFonts w:ascii="微软雅黑" w:eastAsia="微软雅黑" w:hAnsi="微软雅黑" w:cs="宋体"/>
          <w:kern w:val="0"/>
          <w:sz w:val="24"/>
          <w:szCs w:val="24"/>
        </w:rPr>
        <w:t>CellTiter</w:t>
      </w:r>
      <w:proofErr w:type="spellEnd"/>
      <w:r w:rsidRPr="00375456">
        <w:rPr>
          <w:rFonts w:ascii="微软雅黑" w:eastAsia="微软雅黑" w:hAnsi="微软雅黑" w:cs="宋体"/>
          <w:kern w:val="0"/>
          <w:sz w:val="24"/>
          <w:szCs w:val="24"/>
        </w:rPr>
        <w:t>-Blue（Promega）试剂盒评估细胞活力，并在Paradigm酶标仪上于560/590 nm波长处测定荧光强度。根据制造商说明书，使用Cell Death Detection ELISA </w:t>
      </w:r>
      <w:r w:rsidRPr="00375456">
        <w:rPr>
          <w:rFonts w:ascii="微软雅黑" w:eastAsia="微软雅黑" w:hAnsi="微软雅黑" w:cs="宋体"/>
          <w:kern w:val="0"/>
          <w:sz w:val="24"/>
          <w:szCs w:val="24"/>
          <w:vertAlign w:val="superscript"/>
        </w:rPr>
        <w:t>Plus</w:t>
      </w:r>
      <w:r w:rsidRPr="00375456">
        <w:rPr>
          <w:rFonts w:ascii="微软雅黑" w:eastAsia="微软雅黑" w:hAnsi="微软雅黑" w:cs="宋体"/>
          <w:kern w:val="0"/>
          <w:sz w:val="24"/>
          <w:szCs w:val="24"/>
        </w:rPr>
        <w:t>试剂盒（Roche）评估细胞凋亡，并在Paradigm酶标仪上于405/490 nm波长处测定吸光度值（OD）。对于克隆形成实验，将细胞以700–1500个/孔的密度接种于96孔板中（每组处理48孔）。每周更换一次含有载体、单一药物或药物组合的培养基，每周对阳性</w:t>
      </w:r>
      <w:proofErr w:type="gramStart"/>
      <w:r w:rsidRPr="00375456">
        <w:rPr>
          <w:rFonts w:ascii="微软雅黑" w:eastAsia="微软雅黑" w:hAnsi="微软雅黑" w:cs="宋体"/>
          <w:kern w:val="0"/>
          <w:sz w:val="24"/>
          <w:szCs w:val="24"/>
        </w:rPr>
        <w:t>孔进行</w:t>
      </w:r>
      <w:proofErr w:type="gramEnd"/>
      <w:r w:rsidRPr="00375456">
        <w:rPr>
          <w:rFonts w:ascii="微软雅黑" w:eastAsia="微软雅黑" w:hAnsi="微软雅黑" w:cs="宋体"/>
          <w:kern w:val="0"/>
          <w:sz w:val="24"/>
          <w:szCs w:val="24"/>
        </w:rPr>
        <w:t>评分，结果显示融合度 &gt;50% </w:t>
      </w:r>
      <w:hyperlink r:id="rId155" w:anchor="CR53" w:history="1">
        <w:r w:rsidRPr="00375456">
          <w:rPr>
            <w:rFonts w:ascii="微软雅黑" w:eastAsia="微软雅黑" w:hAnsi="微软雅黑" w:cs="宋体"/>
            <w:kern w:val="0"/>
            <w:sz w:val="24"/>
            <w:szCs w:val="24"/>
            <w:u w:val="single"/>
            <w:vertAlign w:val="superscript"/>
          </w:rPr>
          <w:t>53</w:t>
        </w:r>
      </w:hyperlink>
      <w:r w:rsidRPr="00375456">
        <w:rPr>
          <w:rFonts w:ascii="微软雅黑" w:eastAsia="微软雅黑" w:hAnsi="微软雅黑" w:cs="宋体"/>
          <w:kern w:val="0"/>
          <w:sz w:val="24"/>
          <w:szCs w:val="24"/>
        </w:rPr>
        <w:t>。</w:t>
      </w:r>
    </w:p>
    <w:p w14:paraId="6E4D8D61"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药物相互作用分析</w:t>
      </w:r>
    </w:p>
    <w:p w14:paraId="3035B58E"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 xml:space="preserve">将细胞以 2500 </w:t>
      </w:r>
      <w:proofErr w:type="gramStart"/>
      <w:r w:rsidRPr="00375456">
        <w:rPr>
          <w:rFonts w:ascii="微软雅黑" w:eastAsia="微软雅黑" w:hAnsi="微软雅黑" w:cs="宋体"/>
          <w:kern w:val="0"/>
          <w:sz w:val="24"/>
          <w:szCs w:val="24"/>
        </w:rPr>
        <w:t>个</w:t>
      </w:r>
      <w:proofErr w:type="gramEnd"/>
      <w:r w:rsidRPr="00375456">
        <w:rPr>
          <w:rFonts w:ascii="微软雅黑" w:eastAsia="微软雅黑" w:hAnsi="微软雅黑" w:cs="宋体"/>
          <w:kern w:val="0"/>
          <w:sz w:val="24"/>
          <w:szCs w:val="24"/>
        </w:rPr>
        <w:t>/孔的密度接种，培养 24 小时使其贴壁后，再加入药物或载体。用递增剂量的帕博西尼、卡</w:t>
      </w:r>
      <w:proofErr w:type="gramStart"/>
      <w:r w:rsidRPr="00375456">
        <w:rPr>
          <w:rFonts w:ascii="微软雅黑" w:eastAsia="微软雅黑" w:hAnsi="微软雅黑" w:cs="宋体"/>
          <w:kern w:val="0"/>
          <w:sz w:val="24"/>
          <w:szCs w:val="24"/>
        </w:rPr>
        <w:t>帕替尼</w:t>
      </w:r>
      <w:proofErr w:type="gramEnd"/>
      <w:r w:rsidRPr="00375456">
        <w:rPr>
          <w:rFonts w:ascii="微软雅黑" w:eastAsia="微软雅黑" w:hAnsi="微软雅黑" w:cs="宋体"/>
          <w:kern w:val="0"/>
          <w:sz w:val="24"/>
          <w:szCs w:val="24"/>
        </w:rPr>
        <w:t>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或等效剂量的抑制剂组合处理细胞，并在 5% CO</w:t>
      </w:r>
      <w:r w:rsidRPr="00375456">
        <w:rPr>
          <w:rFonts w:ascii="Cambria Math" w:eastAsia="微软雅黑" w:hAnsi="Cambria Math" w:cs="Cambria Math"/>
          <w:kern w:val="0"/>
          <w:sz w:val="24"/>
          <w:szCs w:val="24"/>
        </w:rPr>
        <w:t>₂</w:t>
      </w:r>
      <w:r w:rsidRPr="00375456">
        <w:rPr>
          <w:rFonts w:ascii="微软雅黑" w:eastAsia="微软雅黑" w:hAnsi="微软雅黑" w:cs="宋体"/>
          <w:kern w:val="0"/>
          <w:sz w:val="24"/>
          <w:szCs w:val="24"/>
        </w:rPr>
        <w:t xml:space="preserve"> 和 37 °C 条件下培养</w:t>
      </w:r>
      <w:r w:rsidRPr="00375456">
        <w:rPr>
          <w:rFonts w:ascii="微软雅黑" w:eastAsia="微软雅黑" w:hAnsi="微软雅黑" w:cs="宋体"/>
          <w:kern w:val="0"/>
          <w:sz w:val="24"/>
          <w:szCs w:val="24"/>
          <w:vertAlign w:val="subscript"/>
        </w:rPr>
        <w:t>3</w:t>
      </w:r>
      <w:r w:rsidRPr="00375456">
        <w:rPr>
          <w:rFonts w:ascii="微软雅黑" w:eastAsia="微软雅黑" w:hAnsi="微软雅黑" w:cs="宋体"/>
          <w:kern w:val="0"/>
          <w:sz w:val="24"/>
          <w:szCs w:val="24"/>
        </w:rPr>
        <w:t xml:space="preserve">天。采用结晶紫比色法评估细胞生长，并使用 </w:t>
      </w:r>
      <w:proofErr w:type="spellStart"/>
      <w:r w:rsidRPr="00375456">
        <w:rPr>
          <w:rFonts w:ascii="微软雅黑" w:eastAsia="微软雅黑" w:hAnsi="微软雅黑" w:cs="宋体"/>
          <w:kern w:val="0"/>
          <w:sz w:val="24"/>
          <w:szCs w:val="24"/>
        </w:rPr>
        <w:t>Compusyn</w:t>
      </w:r>
      <w:proofErr w:type="spellEnd"/>
      <w:r w:rsidRPr="00375456">
        <w:rPr>
          <w:rFonts w:ascii="微软雅黑" w:eastAsia="微软雅黑" w:hAnsi="微软雅黑" w:cs="宋体"/>
          <w:kern w:val="0"/>
          <w:sz w:val="24"/>
          <w:szCs w:val="24"/>
        </w:rPr>
        <w:t xml:space="preserve"> 软件（</w:t>
      </w:r>
      <w:proofErr w:type="spellStart"/>
      <w:r w:rsidRPr="00375456">
        <w:rPr>
          <w:rFonts w:ascii="微软雅黑" w:eastAsia="微软雅黑" w:hAnsi="微软雅黑" w:cs="宋体"/>
          <w:kern w:val="0"/>
          <w:sz w:val="24"/>
          <w:szCs w:val="24"/>
        </w:rPr>
        <w:t>ComboSyn</w:t>
      </w:r>
      <w:proofErr w:type="spellEnd"/>
      <w:r w:rsidRPr="00375456">
        <w:rPr>
          <w:rFonts w:ascii="微软雅黑" w:eastAsia="微软雅黑" w:hAnsi="微软雅黑" w:cs="宋体"/>
          <w:kern w:val="0"/>
          <w:sz w:val="24"/>
          <w:szCs w:val="24"/>
        </w:rPr>
        <w:t xml:space="preserve"> 公司）基于 Chou-</w:t>
      </w:r>
      <w:proofErr w:type="spellStart"/>
      <w:r w:rsidRPr="00375456">
        <w:rPr>
          <w:rFonts w:ascii="微软雅黑" w:eastAsia="微软雅黑" w:hAnsi="微软雅黑" w:cs="宋体"/>
          <w:kern w:val="0"/>
          <w:sz w:val="24"/>
          <w:szCs w:val="24"/>
        </w:rPr>
        <w:t>Talalay</w:t>
      </w:r>
      <w:proofErr w:type="spellEnd"/>
      <w:r w:rsidRPr="00375456">
        <w:rPr>
          <w:rFonts w:ascii="微软雅黑" w:eastAsia="微软雅黑" w:hAnsi="微软雅黑" w:cs="宋体"/>
          <w:kern w:val="0"/>
          <w:sz w:val="24"/>
          <w:szCs w:val="24"/>
        </w:rPr>
        <w:t xml:space="preserve"> 方法</w:t>
      </w:r>
      <w:r w:rsidRPr="00375456">
        <w:rPr>
          <w:rFonts w:ascii="微软雅黑" w:eastAsia="微软雅黑" w:hAnsi="微软雅黑" w:cs="宋体"/>
          <w:kern w:val="0"/>
          <w:sz w:val="24"/>
          <w:szCs w:val="24"/>
          <w:vertAlign w:val="superscript"/>
        </w:rPr>
        <w:fldChar w:fldCharType="begin"/>
      </w:r>
      <w:r w:rsidRPr="00375456">
        <w:rPr>
          <w:rFonts w:ascii="微软雅黑" w:eastAsia="微软雅黑" w:hAnsi="微软雅黑" w:cs="宋体"/>
          <w:kern w:val="0"/>
          <w:sz w:val="24"/>
          <w:szCs w:val="24"/>
          <w:vertAlign w:val="superscript"/>
        </w:rPr>
        <w:instrText xml:space="preserve"> HYPERLINK "https://pmc.ncbi.nlm.nih.gov/articles/PMC8387387/" \l "CR54" </w:instrText>
      </w:r>
      <w:r w:rsidRPr="00375456">
        <w:rPr>
          <w:rFonts w:ascii="微软雅黑" w:eastAsia="微软雅黑" w:hAnsi="微软雅黑" w:cs="宋体"/>
          <w:kern w:val="0"/>
          <w:sz w:val="24"/>
          <w:szCs w:val="24"/>
          <w:vertAlign w:val="superscript"/>
        </w:rPr>
        <w:fldChar w:fldCharType="separate"/>
      </w:r>
      <w:r w:rsidRPr="00375456">
        <w:rPr>
          <w:rFonts w:ascii="微软雅黑" w:eastAsia="微软雅黑" w:hAnsi="微软雅黑" w:cs="微软雅黑" w:hint="eastAsia"/>
          <w:kern w:val="0"/>
          <w:sz w:val="24"/>
          <w:szCs w:val="24"/>
          <w:u w:val="single"/>
          <w:vertAlign w:val="superscript"/>
        </w:rPr>
        <w:t>⁵⁴</w:t>
      </w:r>
      <w:r w:rsidRPr="00375456">
        <w:rPr>
          <w:rFonts w:ascii="微软雅黑" w:eastAsia="微软雅黑" w:hAnsi="微软雅黑" w:cs="宋体"/>
          <w:kern w:val="0"/>
          <w:sz w:val="24"/>
          <w:szCs w:val="24"/>
          <w:vertAlign w:val="superscript"/>
        </w:rPr>
        <w:fldChar w:fldCharType="end"/>
      </w:r>
      <w:r w:rsidRPr="00375456">
        <w:rPr>
          <w:rFonts w:ascii="微软雅黑" w:eastAsia="微软雅黑" w:hAnsi="微软雅黑" w:cs="宋体"/>
          <w:kern w:val="0"/>
          <w:sz w:val="24"/>
          <w:szCs w:val="24"/>
        </w:rPr>
        <w:t>的组合指数 (CI) 方程计算药物相互作用。药物相互作用评分如下：CI = 1 为相加作用，CI &lt; 1 为协同作用，CI &gt; 1 为拮抗作用。</w:t>
      </w:r>
    </w:p>
    <w:p w14:paraId="1782D10B"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异种移植研究</w:t>
      </w:r>
    </w:p>
    <w:p w14:paraId="109A5F47"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对于原发肿瘤生长模型，使用胰蛋白酶（Sigma-Aldrich）收集MCF-7、182R-1和MPF-R细胞，并将1 × 10</w:t>
      </w:r>
      <w:r w:rsidRPr="00375456">
        <w:rPr>
          <w:rFonts w:ascii="MS Gothic" w:eastAsia="MS Gothic" w:hAnsi="MS Gothic" w:cs="MS Gothic" w:hint="eastAsia"/>
          <w:kern w:val="0"/>
          <w:sz w:val="24"/>
          <w:szCs w:val="24"/>
        </w:rPr>
        <w:t>⁶</w:t>
      </w:r>
      <w:proofErr w:type="gramStart"/>
      <w:r w:rsidRPr="00375456">
        <w:rPr>
          <w:rFonts w:ascii="微软雅黑" w:eastAsia="微软雅黑" w:hAnsi="微软雅黑" w:cs="宋体"/>
          <w:kern w:val="0"/>
          <w:sz w:val="24"/>
          <w:szCs w:val="24"/>
          <w:vertAlign w:val="superscript"/>
        </w:rPr>
        <w:t>个</w:t>
      </w:r>
      <w:proofErr w:type="gramEnd"/>
      <w:r w:rsidRPr="00375456">
        <w:rPr>
          <w:rFonts w:ascii="微软雅黑" w:eastAsia="微软雅黑" w:hAnsi="微软雅黑" w:cs="宋体"/>
          <w:kern w:val="0"/>
          <w:sz w:val="24"/>
          <w:szCs w:val="24"/>
        </w:rPr>
        <w:t xml:space="preserve">细胞重悬于50 µl </w:t>
      </w:r>
      <w:proofErr w:type="spellStart"/>
      <w:r w:rsidRPr="00375456">
        <w:rPr>
          <w:rFonts w:ascii="微软雅黑" w:eastAsia="微软雅黑" w:hAnsi="微软雅黑" w:cs="宋体"/>
          <w:kern w:val="0"/>
          <w:sz w:val="24"/>
          <w:szCs w:val="24"/>
        </w:rPr>
        <w:t>Engelbreth</w:t>
      </w:r>
      <w:proofErr w:type="spellEnd"/>
      <w:r w:rsidRPr="00375456">
        <w:rPr>
          <w:rFonts w:ascii="微软雅黑" w:eastAsia="微软雅黑" w:hAnsi="微软雅黑" w:cs="宋体"/>
          <w:kern w:val="0"/>
          <w:sz w:val="24"/>
          <w:szCs w:val="24"/>
        </w:rPr>
        <w:t>-Holm-Swarm肉瘤细胞外基质（ECM，Sigma-Aldrich）中，然后原位注射到7周</w:t>
      </w:r>
      <w:proofErr w:type="gramStart"/>
      <w:r w:rsidRPr="00375456">
        <w:rPr>
          <w:rFonts w:ascii="微软雅黑" w:eastAsia="微软雅黑" w:hAnsi="微软雅黑" w:cs="宋体"/>
          <w:kern w:val="0"/>
          <w:sz w:val="24"/>
          <w:szCs w:val="24"/>
        </w:rPr>
        <w:t>龄</w:t>
      </w:r>
      <w:proofErr w:type="gramEnd"/>
      <w:r w:rsidRPr="00375456">
        <w:rPr>
          <w:rFonts w:ascii="微软雅黑" w:eastAsia="微软雅黑" w:hAnsi="微软雅黑" w:cs="宋体"/>
          <w:kern w:val="0"/>
          <w:sz w:val="24"/>
          <w:szCs w:val="24"/>
        </w:rPr>
        <w:t>NOG CIEA</w:t>
      </w:r>
      <w:r w:rsidRPr="00375456">
        <w:rPr>
          <w:rFonts w:ascii="微软雅黑" w:eastAsia="微软雅黑" w:hAnsi="微软雅黑" w:cs="宋体"/>
          <w:kern w:val="0"/>
          <w:sz w:val="24"/>
          <w:szCs w:val="24"/>
        </w:rPr>
        <w:lastRenderedPageBreak/>
        <w:t>雌性小鼠（Taconic）的乳腺脂肪垫中，注射过程中不补充外源性雌激素。当肿瘤达到一定大小（如图例所示）时，称量小鼠体重并随机分组。对于实验性转移模型，使用胰蛋白酶收集MPF-R和TPF-R细胞，并将1 × 10</w:t>
      </w:r>
      <w:r w:rsidRPr="00375456">
        <w:rPr>
          <w:rFonts w:ascii="MS Gothic" w:eastAsia="MS Gothic" w:hAnsi="MS Gothic" w:cs="MS Gothic" w:hint="eastAsia"/>
          <w:kern w:val="0"/>
          <w:sz w:val="24"/>
          <w:szCs w:val="24"/>
        </w:rPr>
        <w:t>⁶</w:t>
      </w:r>
      <w:r w:rsidRPr="00375456">
        <w:rPr>
          <w:rFonts w:ascii="微软雅黑" w:eastAsia="微软雅黑" w:hAnsi="微软雅黑" w:cs="宋体"/>
          <w:kern w:val="0"/>
          <w:sz w:val="24"/>
          <w:szCs w:val="24"/>
          <w:vertAlign w:val="superscript"/>
        </w:rPr>
        <w:t>至</w:t>
      </w:r>
      <w:r w:rsidRPr="00375456">
        <w:rPr>
          <w:rFonts w:ascii="微软雅黑" w:eastAsia="微软雅黑" w:hAnsi="微软雅黑" w:cs="宋体"/>
          <w:kern w:val="0"/>
          <w:sz w:val="24"/>
          <w:szCs w:val="24"/>
        </w:rPr>
        <w:t>2 × </w:t>
      </w:r>
      <w:r w:rsidRPr="00375456">
        <w:rPr>
          <w:rFonts w:ascii="微软雅黑" w:eastAsia="微软雅黑" w:hAnsi="微软雅黑" w:cs="宋体"/>
          <w:kern w:val="0"/>
          <w:sz w:val="24"/>
          <w:szCs w:val="24"/>
          <w:vertAlign w:val="superscript"/>
        </w:rPr>
        <w:t>10</w:t>
      </w:r>
      <w:r w:rsidRPr="00375456">
        <w:rPr>
          <w:rFonts w:ascii="MS Gothic" w:eastAsia="MS Gothic" w:hAnsi="MS Gothic" w:cs="MS Gothic" w:hint="eastAsia"/>
          <w:kern w:val="0"/>
          <w:sz w:val="24"/>
          <w:szCs w:val="24"/>
          <w:vertAlign w:val="superscript"/>
        </w:rPr>
        <w:t>⁶</w:t>
      </w:r>
      <w:proofErr w:type="gramStart"/>
      <w:r w:rsidRPr="00375456">
        <w:rPr>
          <w:rFonts w:ascii="微软雅黑" w:eastAsia="微软雅黑" w:hAnsi="微软雅黑" w:cs="宋体"/>
          <w:kern w:val="0"/>
          <w:sz w:val="24"/>
          <w:szCs w:val="24"/>
          <w:vertAlign w:val="superscript"/>
        </w:rPr>
        <w:t>个</w:t>
      </w:r>
      <w:proofErr w:type="gramEnd"/>
      <w:r w:rsidRPr="00375456">
        <w:rPr>
          <w:rFonts w:ascii="微软雅黑" w:eastAsia="微软雅黑" w:hAnsi="微软雅黑" w:cs="宋体"/>
          <w:kern w:val="0"/>
          <w:sz w:val="24"/>
          <w:szCs w:val="24"/>
        </w:rPr>
        <w:t>细胞重悬于100–400 µl培养基中。将1 × </w:t>
      </w:r>
      <w:r w:rsidRPr="00375456">
        <w:rPr>
          <w:rFonts w:ascii="微软雅黑" w:eastAsia="微软雅黑" w:hAnsi="微软雅黑" w:cs="宋体"/>
          <w:kern w:val="0"/>
          <w:sz w:val="24"/>
          <w:szCs w:val="24"/>
          <w:vertAlign w:val="superscript"/>
        </w:rPr>
        <w:t>10</w:t>
      </w:r>
      <w:r w:rsidRPr="00375456">
        <w:rPr>
          <w:rFonts w:ascii="MS Gothic" w:eastAsia="MS Gothic" w:hAnsi="MS Gothic" w:cs="MS Gothic" w:hint="eastAsia"/>
          <w:kern w:val="0"/>
          <w:sz w:val="24"/>
          <w:szCs w:val="24"/>
          <w:vertAlign w:val="superscript"/>
        </w:rPr>
        <w:t>⁶</w:t>
      </w:r>
      <w:r w:rsidRPr="00375456">
        <w:rPr>
          <w:rFonts w:ascii="微软雅黑" w:eastAsia="微软雅黑" w:hAnsi="微软雅黑" w:cs="宋体"/>
          <w:kern w:val="0"/>
          <w:sz w:val="24"/>
          <w:szCs w:val="24"/>
          <w:vertAlign w:val="superscript"/>
        </w:rPr>
        <w:t xml:space="preserve"> </w:t>
      </w:r>
      <w:proofErr w:type="gramStart"/>
      <w:r w:rsidRPr="00375456">
        <w:rPr>
          <w:rFonts w:ascii="微软雅黑" w:eastAsia="微软雅黑" w:hAnsi="微软雅黑" w:cs="宋体"/>
          <w:kern w:val="0"/>
          <w:sz w:val="24"/>
          <w:szCs w:val="24"/>
          <w:vertAlign w:val="superscript"/>
        </w:rPr>
        <w:t>个</w:t>
      </w:r>
      <w:proofErr w:type="gramEnd"/>
      <w:r w:rsidRPr="00375456">
        <w:rPr>
          <w:rFonts w:ascii="微软雅黑" w:eastAsia="微软雅黑" w:hAnsi="微软雅黑" w:cs="宋体"/>
          <w:kern w:val="0"/>
          <w:sz w:val="24"/>
          <w:szCs w:val="24"/>
        </w:rPr>
        <w:t xml:space="preserve">细胞接种到 7 </w:t>
      </w:r>
      <w:proofErr w:type="gramStart"/>
      <w:r w:rsidRPr="00375456">
        <w:rPr>
          <w:rFonts w:ascii="微软雅黑" w:eastAsia="微软雅黑" w:hAnsi="微软雅黑" w:cs="宋体"/>
          <w:kern w:val="0"/>
          <w:sz w:val="24"/>
          <w:szCs w:val="24"/>
        </w:rPr>
        <w:t>周龄雌性</w:t>
      </w:r>
      <w:proofErr w:type="gramEnd"/>
      <w:r w:rsidRPr="00375456">
        <w:rPr>
          <w:rFonts w:ascii="微软雅黑" w:eastAsia="微软雅黑" w:hAnsi="微软雅黑" w:cs="宋体"/>
          <w:kern w:val="0"/>
          <w:sz w:val="24"/>
          <w:szCs w:val="24"/>
        </w:rPr>
        <w:t xml:space="preserve"> NOG CIEA 小鼠的尾侧静脉。</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w:t>
      </w:r>
      <w:proofErr w:type="spellStart"/>
      <w:r w:rsidRPr="00375456">
        <w:rPr>
          <w:rFonts w:ascii="微软雅黑" w:eastAsia="微软雅黑" w:hAnsi="微软雅黑" w:cs="宋体"/>
          <w:kern w:val="0"/>
          <w:sz w:val="24"/>
          <w:szCs w:val="24"/>
        </w:rPr>
        <w:t>Faslodex</w:t>
      </w:r>
      <w:proofErr w:type="spellEnd"/>
      <w:r w:rsidRPr="00375456">
        <w:rPr>
          <w:rFonts w:ascii="微软雅黑" w:eastAsia="微软雅黑" w:hAnsi="微软雅黑" w:cs="宋体"/>
          <w:kern w:val="0"/>
          <w:sz w:val="24"/>
          <w:szCs w:val="24"/>
        </w:rPr>
        <w:t>，阿斯利康）配制成 20 mg/ml 的蓖麻油溶液（Sigma-Aldrich），每周皮下注射一次。卡</w:t>
      </w:r>
      <w:proofErr w:type="gramStart"/>
      <w:r w:rsidRPr="00375456">
        <w:rPr>
          <w:rFonts w:ascii="微软雅黑" w:eastAsia="微软雅黑" w:hAnsi="微软雅黑" w:cs="宋体"/>
          <w:kern w:val="0"/>
          <w:sz w:val="24"/>
          <w:szCs w:val="24"/>
        </w:rPr>
        <w:t>帕替尼</w:t>
      </w:r>
      <w:proofErr w:type="gramEnd"/>
      <w:r w:rsidRPr="00375456">
        <w:rPr>
          <w:rFonts w:ascii="微软雅黑" w:eastAsia="微软雅黑" w:hAnsi="微软雅黑" w:cs="宋体"/>
          <w:kern w:val="0"/>
          <w:sz w:val="24"/>
          <w:szCs w:val="24"/>
        </w:rPr>
        <w:t>和帕博西尼（</w:t>
      </w:r>
      <w:proofErr w:type="gramStart"/>
      <w:r w:rsidRPr="00375456">
        <w:rPr>
          <w:rFonts w:ascii="微软雅黑" w:eastAsia="微软雅黑" w:hAnsi="微软雅黑" w:cs="宋体"/>
          <w:kern w:val="0"/>
          <w:sz w:val="24"/>
          <w:szCs w:val="24"/>
        </w:rPr>
        <w:t>均购自</w:t>
      </w:r>
      <w:proofErr w:type="gramEnd"/>
      <w:r w:rsidRPr="00375456">
        <w:rPr>
          <w:rFonts w:ascii="微软雅黑" w:eastAsia="微软雅黑" w:hAnsi="微软雅黑" w:cs="宋体"/>
          <w:kern w:val="0"/>
          <w:sz w:val="24"/>
          <w:szCs w:val="24"/>
        </w:rPr>
        <w:t xml:space="preserve"> </w:t>
      </w:r>
      <w:proofErr w:type="spellStart"/>
      <w:r w:rsidRPr="00375456">
        <w:rPr>
          <w:rFonts w:ascii="微软雅黑" w:eastAsia="微软雅黑" w:hAnsi="微软雅黑" w:cs="宋体"/>
          <w:kern w:val="0"/>
          <w:sz w:val="24"/>
          <w:szCs w:val="24"/>
        </w:rPr>
        <w:t>MedchemExpress</w:t>
      </w:r>
      <w:proofErr w:type="spellEnd"/>
      <w:r w:rsidRPr="00375456">
        <w:rPr>
          <w:rFonts w:ascii="微软雅黑" w:eastAsia="微软雅黑" w:hAnsi="微软雅黑" w:cs="宋体"/>
          <w:kern w:val="0"/>
          <w:sz w:val="24"/>
          <w:szCs w:val="24"/>
        </w:rPr>
        <w:t>）分别配制成 20 mg/ml 和 10 mg/ml 的 25% (w/v) HPB 环糊精溶液（Sigma-Aldrich），并进行超声处理，</w:t>
      </w:r>
      <w:proofErr w:type="gramStart"/>
      <w:r w:rsidRPr="00375456">
        <w:rPr>
          <w:rFonts w:ascii="微软雅黑" w:eastAsia="微软雅黑" w:hAnsi="微软雅黑" w:cs="宋体"/>
          <w:kern w:val="0"/>
          <w:sz w:val="24"/>
          <w:szCs w:val="24"/>
        </w:rPr>
        <w:t>每周灌胃</w:t>
      </w:r>
      <w:proofErr w:type="gramEnd"/>
      <w:r w:rsidRPr="00375456">
        <w:rPr>
          <w:rFonts w:ascii="微软雅黑" w:eastAsia="微软雅黑" w:hAnsi="微软雅黑" w:cs="宋体"/>
          <w:kern w:val="0"/>
          <w:sz w:val="24"/>
          <w:szCs w:val="24"/>
        </w:rPr>
        <w:t>给药 5 天。治疗持续 5-8 周。对于原位模型，肿瘤体积的计算公式为：肿瘤体积 = 0.5 × (长) × (宽) </w:t>
      </w:r>
      <w:r w:rsidRPr="00375456">
        <w:rPr>
          <w:rFonts w:ascii="微软雅黑" w:eastAsia="微软雅黑" w:hAnsi="微软雅黑" w:cs="宋体"/>
          <w:kern w:val="0"/>
          <w:sz w:val="24"/>
          <w:szCs w:val="24"/>
          <w:vertAlign w:val="superscript"/>
        </w:rPr>
        <w:t>²</w:t>
      </w:r>
      <w:r w:rsidRPr="00375456">
        <w:rPr>
          <w:rFonts w:ascii="微软雅黑" w:eastAsia="微软雅黑" w:hAnsi="微软雅黑" w:cs="宋体"/>
          <w:kern w:val="0"/>
          <w:sz w:val="24"/>
          <w:szCs w:val="24"/>
        </w:rPr>
        <w:t>。对于实验性转移模型，终点时采用免疫组织化学法，使用抗细胞角蛋白抗体对取自3个不同深度的全肺切片进行染色，以可视化和定量肺部转移灶。切片经扫描后，使用</w:t>
      </w:r>
      <w:proofErr w:type="spellStart"/>
      <w:r w:rsidRPr="00375456">
        <w:rPr>
          <w:rFonts w:ascii="微软雅黑" w:eastAsia="微软雅黑" w:hAnsi="微软雅黑" w:cs="宋体"/>
          <w:kern w:val="0"/>
          <w:sz w:val="24"/>
          <w:szCs w:val="24"/>
        </w:rPr>
        <w:t>ndp.view</w:t>
      </w:r>
      <w:proofErr w:type="spellEnd"/>
      <w:r w:rsidRPr="00375456">
        <w:rPr>
          <w:rFonts w:ascii="微软雅黑" w:eastAsia="微软雅黑" w:hAnsi="微软雅黑" w:cs="宋体"/>
          <w:kern w:val="0"/>
          <w:sz w:val="24"/>
          <w:szCs w:val="24"/>
        </w:rPr>
        <w:t xml:space="preserve"> 2.3.14软件（滨松公司）进行分析。随后，在</w:t>
      </w:r>
      <w:proofErr w:type="gramStart"/>
      <w:r w:rsidRPr="00375456">
        <w:rPr>
          <w:rFonts w:ascii="微软雅黑" w:eastAsia="微软雅黑" w:hAnsi="微软雅黑" w:cs="宋体"/>
          <w:kern w:val="0"/>
          <w:sz w:val="24"/>
          <w:szCs w:val="24"/>
        </w:rPr>
        <w:t>盲法条件</w:t>
      </w:r>
      <w:proofErr w:type="gramEnd"/>
      <w:r w:rsidRPr="00375456">
        <w:rPr>
          <w:rFonts w:ascii="微软雅黑" w:eastAsia="微软雅黑" w:hAnsi="微软雅黑" w:cs="宋体"/>
          <w:kern w:val="0"/>
          <w:sz w:val="24"/>
          <w:szCs w:val="24"/>
        </w:rPr>
        <w:t>下，使用ImageJ分析软件</w:t>
      </w:r>
      <w:r w:rsidRPr="00375456">
        <w:rPr>
          <w:rFonts w:ascii="微软雅黑" w:eastAsia="微软雅黑" w:hAnsi="微软雅黑" w:cs="宋体"/>
          <w:kern w:val="0"/>
          <w:sz w:val="24"/>
          <w:szCs w:val="24"/>
          <w:vertAlign w:val="superscript"/>
        </w:rPr>
        <w:fldChar w:fldCharType="begin"/>
      </w:r>
      <w:r w:rsidRPr="00375456">
        <w:rPr>
          <w:rFonts w:ascii="微软雅黑" w:eastAsia="微软雅黑" w:hAnsi="微软雅黑" w:cs="宋体"/>
          <w:kern w:val="0"/>
          <w:sz w:val="24"/>
          <w:szCs w:val="24"/>
          <w:vertAlign w:val="superscript"/>
        </w:rPr>
        <w:instrText xml:space="preserve"> HYPERLINK "https://pmc.ncbi.nlm.nih.gov/articles/PMC8387387/" \l "CR55" </w:instrText>
      </w:r>
      <w:r w:rsidRPr="00375456">
        <w:rPr>
          <w:rFonts w:ascii="微软雅黑" w:eastAsia="微软雅黑" w:hAnsi="微软雅黑" w:cs="宋体"/>
          <w:kern w:val="0"/>
          <w:sz w:val="24"/>
          <w:szCs w:val="24"/>
          <w:vertAlign w:val="superscript"/>
        </w:rPr>
        <w:fldChar w:fldCharType="separate"/>
      </w:r>
      <w:r w:rsidRPr="00375456">
        <w:rPr>
          <w:rFonts w:ascii="微软雅黑" w:eastAsia="微软雅黑" w:hAnsi="微软雅黑" w:cs="宋体"/>
          <w:kern w:val="0"/>
          <w:sz w:val="24"/>
          <w:szCs w:val="24"/>
          <w:u w:val="single"/>
          <w:vertAlign w:val="superscript"/>
        </w:rPr>
        <w:t>&lt;sup&gt;55</w:t>
      </w:r>
      <w:r w:rsidRPr="00375456">
        <w:rPr>
          <w:rFonts w:ascii="微软雅黑" w:eastAsia="微软雅黑" w:hAnsi="微软雅黑" w:cs="宋体"/>
          <w:kern w:val="0"/>
          <w:sz w:val="24"/>
          <w:szCs w:val="24"/>
          <w:vertAlign w:val="superscript"/>
        </w:rPr>
        <w:fldChar w:fldCharType="end"/>
      </w:r>
      <w:r w:rsidRPr="00375456">
        <w:rPr>
          <w:rFonts w:ascii="微软雅黑" w:eastAsia="微软雅黑" w:hAnsi="微软雅黑" w:cs="宋体"/>
          <w:kern w:val="0"/>
          <w:sz w:val="24"/>
          <w:szCs w:val="24"/>
          <w:vertAlign w:val="superscript"/>
        </w:rPr>
        <w:t> &lt;/sup&gt;确定转移灶面积（大致定义为&gt;2500 µm&lt;sup&gt; 2&lt;/sup&gt;</w:t>
      </w:r>
      <w:r w:rsidRPr="00375456">
        <w:rPr>
          <w:rFonts w:ascii="微软雅黑" w:eastAsia="微软雅黑" w:hAnsi="微软雅黑" w:cs="宋体"/>
          <w:kern w:val="0"/>
          <w:sz w:val="24"/>
          <w:szCs w:val="24"/>
        </w:rPr>
        <w:t>）占肺面积的比例。TPF-R模型采用类似方法定量转移灶负荷，但由于该模型中的转移灶较小，因此在</w:t>
      </w:r>
      <w:proofErr w:type="gramStart"/>
      <w:r w:rsidRPr="00375456">
        <w:rPr>
          <w:rFonts w:ascii="微软雅黑" w:eastAsia="微软雅黑" w:hAnsi="微软雅黑" w:cs="宋体"/>
          <w:kern w:val="0"/>
          <w:sz w:val="24"/>
          <w:szCs w:val="24"/>
        </w:rPr>
        <w:t>盲法条件</w:t>
      </w:r>
      <w:proofErr w:type="gramEnd"/>
      <w:r w:rsidRPr="00375456">
        <w:rPr>
          <w:rFonts w:ascii="微软雅黑" w:eastAsia="微软雅黑" w:hAnsi="微软雅黑" w:cs="宋体"/>
          <w:kern w:val="0"/>
          <w:sz w:val="24"/>
          <w:szCs w:val="24"/>
        </w:rPr>
        <w:t>下进行手动测量。所有动物实验均经丹麦司法部实验动物委员会批准，并在南丹麦大学动物实验中心进行。小鼠饲养于无病原体条件下，并可自由摄取食物和水。光照/黑暗周期为 12 小时光照/黑暗，从早上 6 点到下午 6 点开灯。饲养温度为 21 + 1 °C，相对湿度为 40–60%。</w:t>
      </w:r>
    </w:p>
    <w:p w14:paraId="0D45D6D3"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PDX 型号</w:t>
      </w:r>
    </w:p>
    <w:p w14:paraId="4B4F20B0"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KCC_P_3837 源自未经治疗的 3 级、ER+、PR+、HER2</w:t>
      </w:r>
      <w:r w:rsidRPr="00375456">
        <w:rPr>
          <w:rFonts w:ascii="微软雅黑" w:eastAsia="微软雅黑" w:hAnsi="微软雅黑" w:cs="微软雅黑" w:hint="eastAsia"/>
          <w:kern w:val="0"/>
          <w:sz w:val="24"/>
          <w:szCs w:val="24"/>
        </w:rPr>
        <w:t>−</w:t>
      </w:r>
      <w:r w:rsidRPr="00375456">
        <w:rPr>
          <w:rFonts w:ascii="微软雅黑" w:eastAsia="微软雅黑" w:hAnsi="微软雅黑" w:cs="宋体"/>
          <w:kern w:val="0"/>
          <w:sz w:val="24"/>
          <w:szCs w:val="24"/>
        </w:rPr>
        <w:t xml:space="preserve"> 原发性浸润性导管癌。KCC_P_3837-FPR（对 CDK4/6 抑制剂和</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联合治疗耐药）是通过</w:t>
      </w:r>
      <w:r w:rsidRPr="00375456">
        <w:rPr>
          <w:rFonts w:ascii="微软雅黑" w:eastAsia="微软雅黑" w:hAnsi="微软雅黑" w:cs="宋体"/>
          <w:kern w:val="0"/>
          <w:sz w:val="24"/>
          <w:szCs w:val="24"/>
        </w:rPr>
        <w:lastRenderedPageBreak/>
        <w:t>将 KCC_P_3837 肿瘤连续多代接种于小鼠体内，并持续暴露于帕博西尼（50 mg/kg，溶于水，每周 5 天，灌胃给药）和</w:t>
      </w:r>
      <w:proofErr w:type="gramStart"/>
      <w:r w:rsidRPr="00375456">
        <w:rPr>
          <w:rFonts w:ascii="微软雅黑" w:eastAsia="微软雅黑" w:hAnsi="微软雅黑" w:cs="宋体"/>
          <w:kern w:val="0"/>
          <w:sz w:val="24"/>
          <w:szCs w:val="24"/>
        </w:rPr>
        <w:t>氟维</w:t>
      </w:r>
      <w:proofErr w:type="gramEnd"/>
      <w:r w:rsidRPr="00375456">
        <w:rPr>
          <w:rFonts w:ascii="微软雅黑" w:eastAsia="微软雅黑" w:hAnsi="微软雅黑" w:cs="宋体"/>
          <w:kern w:val="0"/>
          <w:sz w:val="24"/>
          <w:szCs w:val="24"/>
        </w:rPr>
        <w:t>司群（5 mg/kg，溶于花生油，每周一次，皮下注射）的联合治疗而构建的。每次传代时，肿瘤均生长至 5 mm 宽后才开始治疗。亲代 PDX 对</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和帕博西尼单药治疗以及联合治疗均有反应。将新鲜培养的经筛选的第三代KCC_P_3837-FPR PDX细胞系取出，切取4 mm³</w:t>
      </w:r>
      <w:r w:rsidRPr="00375456">
        <w:rPr>
          <w:rFonts w:ascii="微软雅黑" w:eastAsia="微软雅黑" w:hAnsi="微软雅黑" w:cs="宋体"/>
          <w:kern w:val="0"/>
          <w:sz w:val="24"/>
          <w:szCs w:val="24"/>
          <w:vertAlign w:val="superscript"/>
        </w:rPr>
        <w:t>的</w:t>
      </w:r>
      <w:r w:rsidRPr="00375456">
        <w:rPr>
          <w:rFonts w:ascii="微软雅黑" w:eastAsia="微软雅黑" w:hAnsi="微软雅黑" w:cs="宋体"/>
          <w:kern w:val="0"/>
          <w:sz w:val="24"/>
          <w:szCs w:val="24"/>
        </w:rPr>
        <w:t>组织块，植入6-8周</w:t>
      </w:r>
      <w:proofErr w:type="gramStart"/>
      <w:r w:rsidRPr="00375456">
        <w:rPr>
          <w:rFonts w:ascii="微软雅黑" w:eastAsia="微软雅黑" w:hAnsi="微软雅黑" w:cs="宋体"/>
          <w:kern w:val="0"/>
          <w:sz w:val="24"/>
          <w:szCs w:val="24"/>
        </w:rPr>
        <w:t>龄</w:t>
      </w:r>
      <w:proofErr w:type="gramEnd"/>
      <w:r w:rsidRPr="00375456">
        <w:rPr>
          <w:rFonts w:ascii="微软雅黑" w:eastAsia="微软雅黑" w:hAnsi="微软雅黑" w:cs="宋体"/>
          <w:kern w:val="0"/>
          <w:sz w:val="24"/>
          <w:szCs w:val="24"/>
        </w:rPr>
        <w:t>雌性NOD-SCID-IL2γR</w:t>
      </w:r>
      <w:r w:rsidRPr="00375456">
        <w:rPr>
          <w:rFonts w:ascii="微软雅黑" w:eastAsia="微软雅黑" w:hAnsi="微软雅黑" w:cs="微软雅黑" w:hint="eastAsia"/>
          <w:kern w:val="0"/>
          <w:sz w:val="24"/>
          <w:szCs w:val="24"/>
        </w:rPr>
        <w:t>−</w:t>
      </w:r>
      <w:r w:rsidRPr="00375456">
        <w:rPr>
          <w:rFonts w:ascii="微软雅黑" w:eastAsia="微软雅黑" w:hAnsi="微软雅黑" w:cs="宋体"/>
          <w:kern w:val="0"/>
          <w:sz w:val="24"/>
          <w:szCs w:val="24"/>
        </w:rPr>
        <w:t>/</w:t>
      </w:r>
      <w:r w:rsidRPr="00375456">
        <w:rPr>
          <w:rFonts w:ascii="微软雅黑" w:eastAsia="微软雅黑" w:hAnsi="微软雅黑" w:cs="微软雅黑" w:hint="eastAsia"/>
          <w:kern w:val="0"/>
          <w:sz w:val="24"/>
          <w:szCs w:val="24"/>
        </w:rPr>
        <w:t>−</w:t>
      </w:r>
      <w:r w:rsidRPr="00375456">
        <w:rPr>
          <w:rFonts w:ascii="微软雅黑" w:eastAsia="微软雅黑" w:hAnsi="微软雅黑" w:cs="宋体"/>
          <w:kern w:val="0"/>
          <w:sz w:val="24"/>
          <w:szCs w:val="24"/>
        </w:rPr>
        <w:t xml:space="preserve">小鼠（Australian </w:t>
      </w:r>
      <w:proofErr w:type="spellStart"/>
      <w:r w:rsidRPr="00375456">
        <w:rPr>
          <w:rFonts w:ascii="微软雅黑" w:eastAsia="微软雅黑" w:hAnsi="微软雅黑" w:cs="宋体"/>
          <w:kern w:val="0"/>
          <w:sz w:val="24"/>
          <w:szCs w:val="24"/>
        </w:rPr>
        <w:t>BioResources</w:t>
      </w:r>
      <w:proofErr w:type="spellEnd"/>
      <w:r w:rsidRPr="00375456">
        <w:rPr>
          <w:rFonts w:ascii="微软雅黑" w:eastAsia="微软雅黑" w:hAnsi="微软雅黑" w:cs="宋体"/>
          <w:kern w:val="0"/>
          <w:sz w:val="24"/>
          <w:szCs w:val="24"/>
        </w:rPr>
        <w:t xml:space="preserve"> Pty Ltd）的第四腹股沟乳腺。术后两周，待小鼠恢复后，将其随机分为两组：一组接受</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（100 mg/kg，溶于蓖麻油，每周一次皮下注射）和帕博西尼（25 mg/kg，溶于2.5% DMSO和25% β-环糊精，每周5天灌胃给药）；另一组接受</w:t>
      </w:r>
      <w:proofErr w:type="gramStart"/>
      <w:r w:rsidRPr="00375456">
        <w:rPr>
          <w:rFonts w:ascii="微软雅黑" w:eastAsia="微软雅黑" w:hAnsi="微软雅黑" w:cs="宋体"/>
          <w:kern w:val="0"/>
          <w:sz w:val="24"/>
          <w:szCs w:val="24"/>
        </w:rPr>
        <w:t>氟维司群</w:t>
      </w:r>
      <w:proofErr w:type="gramEnd"/>
      <w:r w:rsidRPr="00375456">
        <w:rPr>
          <w:rFonts w:ascii="微软雅黑" w:eastAsia="微软雅黑" w:hAnsi="微软雅黑" w:cs="宋体"/>
          <w:kern w:val="0"/>
          <w:sz w:val="24"/>
          <w:szCs w:val="24"/>
        </w:rPr>
        <w:t>、帕博西尼和卡</w:t>
      </w:r>
      <w:proofErr w:type="gramStart"/>
      <w:r w:rsidRPr="00375456">
        <w:rPr>
          <w:rFonts w:ascii="微软雅黑" w:eastAsia="微软雅黑" w:hAnsi="微软雅黑" w:cs="宋体"/>
          <w:kern w:val="0"/>
          <w:sz w:val="24"/>
          <w:szCs w:val="24"/>
        </w:rPr>
        <w:t>帕替尼</w:t>
      </w:r>
      <w:proofErr w:type="gramEnd"/>
      <w:r w:rsidRPr="00375456">
        <w:rPr>
          <w:rFonts w:ascii="微软雅黑" w:eastAsia="微软雅黑" w:hAnsi="微软雅黑" w:cs="宋体"/>
          <w:kern w:val="0"/>
          <w:sz w:val="24"/>
          <w:szCs w:val="24"/>
        </w:rPr>
        <w:t>（100 mg/kg，溶于2.5% DMSO和25% β-环糊精，每周5天灌胃给药）的三联疗法。通过植入含有0.36 mg 17β-雌二醇的硅胶颗粒来促进肿瘤生长，并通过目测和卡尺测量进行监测。终点事件为肿瘤宽度至少达到5 mm（定义为进展）或治疗持续60天。涉及实验动物的程序和终点均已获得加文医学研究所动物伦理委员会的批准（方案编号分别为15/25、18/20和18/26）。</w:t>
      </w:r>
    </w:p>
    <w:p w14:paraId="35A5D714"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临床样本和终点</w:t>
      </w:r>
    </w:p>
    <w:p w14:paraId="3638FD9F"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本研究回顾性地从奥登塞大学医院（OUH）病理科的档案中提取数据库，选取了接受CDK4/6抑制剂联合内分泌治疗的ER阳性乳腺癌晚期患者的FFPE转移灶标本（</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=115）。纳入标准为：在OUH接受CDK4/6抑制剂联合内分泌治疗的ER阳性乳腺癌晚期患者，且在OUH接受过晚期疾病的手术或活检，并具有完整的临床信息和病理学证据，证实转移灶来源于乳腺癌。排除标准为：FFPE标</w:t>
      </w:r>
      <w:r w:rsidRPr="00375456">
        <w:rPr>
          <w:rFonts w:ascii="微软雅黑" w:eastAsia="微软雅黑" w:hAnsi="微软雅黑" w:cs="宋体"/>
          <w:kern w:val="0"/>
          <w:sz w:val="24"/>
          <w:szCs w:val="24"/>
        </w:rPr>
        <w:lastRenderedPageBreak/>
        <w:t>本中肿瘤组织量不足，以及仅在开始CDK4/6抑制剂联合内分泌治疗后才进行转移灶活检。最终纳入101</w:t>
      </w:r>
      <w:r w:rsidRPr="00375456">
        <w:rPr>
          <w:rFonts w:ascii="微软雅黑" w:eastAsia="微软雅黑" w:hAnsi="微软雅黑" w:cs="宋体"/>
          <w:i/>
          <w:iCs/>
          <w:kern w:val="0"/>
          <w:sz w:val="24"/>
          <w:szCs w:val="24"/>
        </w:rPr>
        <w:t>例</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患者。2019年接受转移灶活检的患者（</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=17）被纳入一个试点队列，用于根据生存意义确定临界值。 2019 年前获得转移性活检的患者（</w:t>
      </w:r>
      <w:r w:rsidRPr="00375456">
        <w:rPr>
          <w:rFonts w:ascii="微软雅黑" w:eastAsia="微软雅黑" w:hAnsi="微软雅黑" w:cs="宋体"/>
          <w:i/>
          <w:iCs/>
          <w:kern w:val="0"/>
          <w:sz w:val="24"/>
          <w:szCs w:val="24"/>
        </w:rPr>
        <w:t>N</w:t>
      </w:r>
      <w:r w:rsidRPr="00375456">
        <w:rPr>
          <w:rFonts w:ascii="微软雅黑" w:eastAsia="微软雅黑" w:hAnsi="微软雅黑" w:cs="宋体"/>
          <w:kern w:val="0"/>
          <w:sz w:val="24"/>
          <w:szCs w:val="24"/>
        </w:rPr>
        <w:t> </w:t>
      </w:r>
      <w:r w:rsidRPr="00375456">
        <w:rPr>
          <w:rFonts w:ascii="MS Gothic" w:eastAsia="MS Gothic" w:hAnsi="MS Gothic" w:cs="MS Gothic" w:hint="eastAsia"/>
          <w:kern w:val="0"/>
          <w:sz w:val="24"/>
          <w:szCs w:val="24"/>
        </w:rPr>
        <w:t> </w:t>
      </w:r>
      <w:r w:rsidRPr="00375456">
        <w:rPr>
          <w:rFonts w:ascii="微软雅黑" w:eastAsia="微软雅黑" w:hAnsi="微软雅黑" w:cs="宋体"/>
          <w:kern w:val="0"/>
          <w:sz w:val="24"/>
          <w:szCs w:val="24"/>
        </w:rPr>
        <w:t>= 84）被纳入验证队列，并应用试点队列中选定的临界值将患者分为 p-AKT 低</w:t>
      </w:r>
      <w:proofErr w:type="gramStart"/>
      <w:r w:rsidRPr="00375456">
        <w:rPr>
          <w:rFonts w:ascii="微软雅黑" w:eastAsia="微软雅黑" w:hAnsi="微软雅黑" w:cs="宋体"/>
          <w:kern w:val="0"/>
          <w:sz w:val="24"/>
          <w:szCs w:val="24"/>
        </w:rPr>
        <w:t>表达组和高表达组</w:t>
      </w:r>
      <w:proofErr w:type="gramEnd"/>
      <w:r w:rsidRPr="00375456">
        <w:rPr>
          <w:rFonts w:ascii="微软雅黑" w:eastAsia="微软雅黑" w:hAnsi="微软雅黑" w:cs="宋体"/>
          <w:kern w:val="0"/>
          <w:sz w:val="24"/>
          <w:szCs w:val="24"/>
        </w:rPr>
        <w:t>。如果 ≥1% 的肿瘤细胞染色呈阳性，则肿瘤定义为 ER 阳性。无进展生存期 (PFS) 定义为从开始联合内分泌治疗和 CDK4/6 抑制剂治疗到疾病进展或死亡的时间。所有临床样本均进行编码以保护患者隐私，研究已获得丹麦南部地区和哥本哈根及弗雷德里克斯贝县伦理委员会的批准（批准号 S-2008-0115）。所有组织样本的采集均符合知情同意政策。</w:t>
      </w:r>
    </w:p>
    <w:p w14:paraId="4366910E"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免疫组织化学</w:t>
      </w:r>
    </w:p>
    <w:p w14:paraId="50D7AD30"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 xml:space="preserve">将小鼠肿瘤、肺组织和患者转移灶的FFPE切片（4 </w:t>
      </w:r>
      <w:proofErr w:type="spellStart"/>
      <w:r w:rsidRPr="00375456">
        <w:rPr>
          <w:rFonts w:ascii="微软雅黑" w:eastAsia="微软雅黑" w:hAnsi="微软雅黑" w:cs="宋体"/>
          <w:kern w:val="0"/>
          <w:sz w:val="24"/>
          <w:szCs w:val="24"/>
        </w:rPr>
        <w:t>μm</w:t>
      </w:r>
      <w:proofErr w:type="spellEnd"/>
      <w:r w:rsidRPr="00375456">
        <w:rPr>
          <w:rFonts w:ascii="微软雅黑" w:eastAsia="微软雅黑" w:hAnsi="微软雅黑" w:cs="宋体"/>
          <w:kern w:val="0"/>
          <w:sz w:val="24"/>
          <w:szCs w:val="24"/>
        </w:rPr>
        <w:t>）用切片机切取，贴于</w:t>
      </w:r>
      <w:proofErr w:type="spellStart"/>
      <w:r w:rsidRPr="00375456">
        <w:rPr>
          <w:rFonts w:ascii="微软雅黑" w:eastAsia="微软雅黑" w:hAnsi="微软雅黑" w:cs="宋体"/>
          <w:kern w:val="0"/>
          <w:sz w:val="24"/>
          <w:szCs w:val="24"/>
        </w:rPr>
        <w:t>ChemMate</w:t>
      </w:r>
      <w:proofErr w:type="spellEnd"/>
      <w:r w:rsidRPr="00375456">
        <w:rPr>
          <w:rFonts w:ascii="微软雅黑" w:eastAsia="微软雅黑" w:hAnsi="微软雅黑" w:cs="宋体"/>
          <w:kern w:val="0"/>
          <w:sz w:val="24"/>
          <w:szCs w:val="24"/>
        </w:rPr>
        <w:t>™毛细管间隙载玻片（</w:t>
      </w:r>
      <w:proofErr w:type="spellStart"/>
      <w:r w:rsidRPr="00375456">
        <w:rPr>
          <w:rFonts w:ascii="微软雅黑" w:eastAsia="微软雅黑" w:hAnsi="微软雅黑" w:cs="宋体"/>
          <w:kern w:val="0"/>
          <w:sz w:val="24"/>
          <w:szCs w:val="24"/>
        </w:rPr>
        <w:t>Dako</w:t>
      </w:r>
      <w:proofErr w:type="spellEnd"/>
      <w:r w:rsidRPr="00375456">
        <w:rPr>
          <w:rFonts w:ascii="微软雅黑" w:eastAsia="微软雅黑" w:hAnsi="微软雅黑" w:cs="宋体"/>
          <w:kern w:val="0"/>
          <w:sz w:val="24"/>
          <w:szCs w:val="24"/>
        </w:rPr>
        <w:t>）上，60 °C干燥，脱蜡，并进行水化。用1.5%过氧化氢的TBS缓冲液（pH 7.4）封闭内源性过氧化物酶10分钟。抗原修复方法有两种：一种是用细胞调节剂1（CC1）缓冲液在100 °C预处理32分钟，或在36 °C预处理36分钟；另一种是用T-EG溶液/TRS缓冲液（</w:t>
      </w:r>
      <w:proofErr w:type="spellStart"/>
      <w:r w:rsidRPr="00375456">
        <w:rPr>
          <w:rFonts w:ascii="微软雅黑" w:eastAsia="微软雅黑" w:hAnsi="微软雅黑" w:cs="宋体"/>
          <w:kern w:val="0"/>
          <w:sz w:val="24"/>
          <w:szCs w:val="24"/>
        </w:rPr>
        <w:t>Dako</w:t>
      </w:r>
      <w:proofErr w:type="spellEnd"/>
      <w:r w:rsidRPr="00375456">
        <w:rPr>
          <w:rFonts w:ascii="微软雅黑" w:eastAsia="微软雅黑" w:hAnsi="微软雅黑" w:cs="宋体"/>
          <w:kern w:val="0"/>
          <w:sz w:val="24"/>
          <w:szCs w:val="24"/>
        </w:rPr>
        <w:t>）煮沸切片。所用的</w:t>
      </w:r>
      <w:proofErr w:type="gramStart"/>
      <w:r w:rsidRPr="00375456">
        <w:rPr>
          <w:rFonts w:ascii="微软雅黑" w:eastAsia="微软雅黑" w:hAnsi="微软雅黑" w:cs="宋体"/>
          <w:kern w:val="0"/>
          <w:sz w:val="24"/>
          <w:szCs w:val="24"/>
        </w:rPr>
        <w:t>一</w:t>
      </w:r>
      <w:proofErr w:type="gramEnd"/>
      <w:r w:rsidRPr="00375456">
        <w:rPr>
          <w:rFonts w:ascii="微软雅黑" w:eastAsia="微软雅黑" w:hAnsi="微软雅黑" w:cs="宋体"/>
          <w:kern w:val="0"/>
          <w:sz w:val="24"/>
          <w:szCs w:val="24"/>
        </w:rPr>
        <w:t xml:space="preserve">抗包括：Ventana Medical Systems 公司的抗 Ki67 (790–4286) 抗体、Cell Signaling Technology 公司的抗裂解型 caspase-3 (9664) 抗体、Agilent 公司的抗细胞角蛋白 (M351501-2) 抗体以及 Cell Signaling Technology 公司的抗 </w:t>
      </w:r>
      <w:proofErr w:type="spellStart"/>
      <w:r w:rsidRPr="00375456">
        <w:rPr>
          <w:rFonts w:ascii="微软雅黑" w:eastAsia="微软雅黑" w:hAnsi="微软雅黑" w:cs="宋体"/>
          <w:kern w:val="0"/>
          <w:sz w:val="24"/>
          <w:szCs w:val="24"/>
        </w:rPr>
        <w:t>pAKT</w:t>
      </w:r>
      <w:proofErr w:type="spellEnd"/>
      <w:r w:rsidRPr="00375456">
        <w:rPr>
          <w:rFonts w:ascii="微软雅黑" w:eastAsia="微软雅黑" w:hAnsi="微软雅黑" w:cs="宋体"/>
          <w:kern w:val="0"/>
          <w:sz w:val="24"/>
          <w:szCs w:val="24"/>
        </w:rPr>
        <w:t xml:space="preserve"> S473 (4060) 抗体。</w:t>
      </w:r>
      <w:proofErr w:type="gramStart"/>
      <w:r w:rsidRPr="00375456">
        <w:rPr>
          <w:rFonts w:ascii="微软雅黑" w:eastAsia="微软雅黑" w:hAnsi="微软雅黑" w:cs="宋体"/>
          <w:kern w:val="0"/>
          <w:sz w:val="24"/>
          <w:szCs w:val="24"/>
        </w:rPr>
        <w:t>一抗结合</w:t>
      </w:r>
      <w:proofErr w:type="gramEnd"/>
      <w:r w:rsidRPr="00375456">
        <w:rPr>
          <w:rFonts w:ascii="微软雅黑" w:eastAsia="微软雅黑" w:hAnsi="微软雅黑" w:cs="宋体"/>
          <w:kern w:val="0"/>
          <w:sz w:val="24"/>
          <w:szCs w:val="24"/>
        </w:rPr>
        <w:t xml:space="preserve">的检测方法如下：抗 Ki67 和抗细胞角蛋白抗体使用 </w:t>
      </w:r>
      <w:proofErr w:type="spellStart"/>
      <w:r w:rsidRPr="00375456">
        <w:rPr>
          <w:rFonts w:ascii="微软雅黑" w:eastAsia="微软雅黑" w:hAnsi="微软雅黑" w:cs="宋体"/>
          <w:kern w:val="0"/>
          <w:sz w:val="24"/>
          <w:szCs w:val="24"/>
        </w:rPr>
        <w:t>Optiview</w:t>
      </w:r>
      <w:proofErr w:type="spellEnd"/>
      <w:r w:rsidRPr="00375456">
        <w:rPr>
          <w:rFonts w:ascii="微软雅黑" w:eastAsia="微软雅黑" w:hAnsi="微软雅黑" w:cs="宋体"/>
          <w:kern w:val="0"/>
          <w:sz w:val="24"/>
          <w:szCs w:val="24"/>
        </w:rPr>
        <w:t xml:space="preserve">-DAB (8-8) 显色剂，抗裂解型 caspase-3 抗体使用 </w:t>
      </w:r>
      <w:proofErr w:type="spellStart"/>
      <w:r w:rsidRPr="00375456">
        <w:rPr>
          <w:rFonts w:ascii="微软雅黑" w:eastAsia="微软雅黑" w:hAnsi="微软雅黑" w:cs="宋体"/>
          <w:kern w:val="0"/>
          <w:sz w:val="24"/>
          <w:szCs w:val="24"/>
        </w:rPr>
        <w:t>EnV</w:t>
      </w:r>
      <w:proofErr w:type="spellEnd"/>
      <w:r w:rsidRPr="00375456">
        <w:rPr>
          <w:rFonts w:ascii="微软雅黑" w:eastAsia="微软雅黑" w:hAnsi="微软雅黑" w:cs="宋体"/>
          <w:kern w:val="0"/>
          <w:sz w:val="24"/>
          <w:szCs w:val="24"/>
        </w:rPr>
        <w:t xml:space="preserve">、FLEX/HRP + Rabbit LINK 15–30 显色剂，抗 </w:t>
      </w:r>
      <w:proofErr w:type="spellStart"/>
      <w:r w:rsidRPr="00375456">
        <w:rPr>
          <w:rFonts w:ascii="微软雅黑" w:eastAsia="微软雅黑" w:hAnsi="微软雅黑" w:cs="宋体"/>
          <w:kern w:val="0"/>
          <w:sz w:val="24"/>
          <w:szCs w:val="24"/>
        </w:rPr>
        <w:lastRenderedPageBreak/>
        <w:t>pAKT</w:t>
      </w:r>
      <w:proofErr w:type="spellEnd"/>
      <w:r w:rsidRPr="00375456">
        <w:rPr>
          <w:rFonts w:ascii="微软雅黑" w:eastAsia="微软雅黑" w:hAnsi="微软雅黑" w:cs="宋体"/>
          <w:kern w:val="0"/>
          <w:sz w:val="24"/>
          <w:szCs w:val="24"/>
        </w:rPr>
        <w:t xml:space="preserve"> 抗体使用 DAB 显色试剂盒（Ventana Medical Systems 公司）进行显色。切片同时进行苏木精-伊红 (HE) 染色。显微镜观察在 Leica DMLB 显微镜（×200/数值孔径 (NA) 1.25，Leica Microsystems 公司）上进行，并使用 LasV3.6 数据采集软件。使用 ImageJ 分析软件&lt;sup&gt; </w:t>
      </w:r>
      <w:hyperlink r:id="rId156" w:anchor="CR55" w:history="1">
        <w:r w:rsidRPr="00375456">
          <w:rPr>
            <w:rFonts w:ascii="微软雅黑" w:eastAsia="微软雅黑" w:hAnsi="微软雅黑" w:cs="宋体"/>
            <w:kern w:val="0"/>
            <w:sz w:val="24"/>
            <w:szCs w:val="24"/>
            <w:u w:val="single"/>
            <w:vertAlign w:val="superscript"/>
          </w:rPr>
          <w:t>55&lt;/sup&gt;</w:t>
        </w:r>
      </w:hyperlink>
      <w:r w:rsidRPr="00375456">
        <w:rPr>
          <w:rFonts w:ascii="微软雅黑" w:eastAsia="微软雅黑" w:hAnsi="微软雅黑" w:cs="宋体"/>
          <w:kern w:val="0"/>
          <w:sz w:val="24"/>
          <w:szCs w:val="24"/>
        </w:rPr>
        <w:t>扫描各治疗组肿瘤的代表性区域，对 Ki67 和 cleaved caspase-3 染色进行定量分析。临床样本的评估由经验丰富的乳腺病理学家在</w:t>
      </w:r>
      <w:proofErr w:type="gramStart"/>
      <w:r w:rsidRPr="00375456">
        <w:rPr>
          <w:rFonts w:ascii="微软雅黑" w:eastAsia="微软雅黑" w:hAnsi="微软雅黑" w:cs="宋体"/>
          <w:kern w:val="0"/>
          <w:sz w:val="24"/>
          <w:szCs w:val="24"/>
        </w:rPr>
        <w:t>盲法条件</w:t>
      </w:r>
      <w:proofErr w:type="gramEnd"/>
      <w:r w:rsidRPr="00375456">
        <w:rPr>
          <w:rFonts w:ascii="微软雅黑" w:eastAsia="微软雅黑" w:hAnsi="微软雅黑" w:cs="宋体"/>
          <w:kern w:val="0"/>
          <w:sz w:val="24"/>
          <w:szCs w:val="24"/>
        </w:rPr>
        <w:t>下进行。p-AKT 表达在细胞核和细胞质中均有观察，肿瘤评分基于 H 评分，该评分通过将阳性肿瘤细胞百分比（0-100%）乘以染色强度（0-3）计算得出。在试点队列中，根据生存意义确定了高表达（H 评分 ≥ 150）与低表达（H 评分 &lt; 150）的临界值，并将相同的临界值应用于验证队列。</w:t>
      </w:r>
    </w:p>
    <w:p w14:paraId="7D1BE1E0" w14:textId="77777777" w:rsidR="00375456" w:rsidRPr="00375456" w:rsidRDefault="00375456" w:rsidP="00375456">
      <w:pPr>
        <w:widowControl/>
        <w:spacing w:line="450" w:lineRule="atLeast"/>
        <w:outlineLvl w:val="2"/>
        <w:rPr>
          <w:rFonts w:ascii="微软雅黑" w:eastAsia="微软雅黑" w:hAnsi="微软雅黑" w:cs="宋体"/>
          <w:kern w:val="0"/>
          <w:sz w:val="32"/>
          <w:szCs w:val="32"/>
        </w:rPr>
      </w:pPr>
      <w:r w:rsidRPr="00375456">
        <w:rPr>
          <w:rFonts w:ascii="微软雅黑" w:eastAsia="微软雅黑" w:hAnsi="微软雅黑" w:cs="宋体"/>
          <w:kern w:val="0"/>
          <w:sz w:val="32"/>
          <w:szCs w:val="32"/>
        </w:rPr>
        <w:t>统计分析</w:t>
      </w:r>
    </w:p>
    <w:p w14:paraId="31B54D9B" w14:textId="77777777" w:rsidR="00375456" w:rsidRPr="00375456" w:rsidRDefault="00375456" w:rsidP="00375456">
      <w:pPr>
        <w:widowControl/>
        <w:spacing w:before="450"/>
        <w:rPr>
          <w:rFonts w:ascii="微软雅黑" w:eastAsia="微软雅黑" w:hAnsi="微软雅黑" w:cs="宋体"/>
          <w:kern w:val="0"/>
          <w:sz w:val="24"/>
          <w:szCs w:val="24"/>
        </w:rPr>
      </w:pPr>
      <w:r w:rsidRPr="00375456">
        <w:rPr>
          <w:rFonts w:ascii="微软雅黑" w:eastAsia="微软雅黑" w:hAnsi="微软雅黑" w:cs="宋体"/>
          <w:kern w:val="0"/>
          <w:sz w:val="24"/>
          <w:szCs w:val="24"/>
        </w:rPr>
        <w:t>体外和体内研究采用双尾t检验、方差分析或Mann-Whitney-Wilcoxon检验（图例中已注明）。使用Grubbs检验查找并排除数据集中的单个异常值。采用线性混合效应模型分析不同治疗组小鼠肿瘤的生长速率，该模型以分类治疗组和连续时间作为固定效应，并包含交互作用。线性混合效应模型包含单个肿瘤的随机效应，以考虑每只小鼠的重复测量。组特异性时间斜率称为生长速率（GR）。对于PDX模型，使用内置生存分析计算事件曲线，并使用log-rank检验比较曲线。对于临床数据，使用Kaplan-Meier估计生成生存曲线，并使用log-rank检验评估p-AKT表达与无进展生存期（PFS）之间的相关性。采用Fisher精确检验和卡方检验（</w:t>
      </w:r>
      <w:r w:rsidRPr="00375456">
        <w:rPr>
          <w:rFonts w:ascii="微软雅黑" w:eastAsia="微软雅黑" w:hAnsi="微软雅黑" w:cs="宋体"/>
          <w:i/>
          <w:iCs/>
          <w:kern w:val="0"/>
          <w:sz w:val="24"/>
          <w:szCs w:val="24"/>
        </w:rPr>
        <w:t>χ² </w:t>
      </w:r>
      <w:r w:rsidRPr="00375456">
        <w:rPr>
          <w:rFonts w:ascii="微软雅黑" w:eastAsia="微软雅黑" w:hAnsi="微软雅黑" w:cs="宋体"/>
          <w:kern w:val="0"/>
          <w:sz w:val="24"/>
          <w:szCs w:val="24"/>
          <w:vertAlign w:val="superscript"/>
        </w:rPr>
        <w:t>）</w:t>
      </w:r>
      <w:r w:rsidRPr="00375456">
        <w:rPr>
          <w:rFonts w:ascii="微软雅黑" w:eastAsia="微软雅黑" w:hAnsi="微软雅黑" w:cs="宋体"/>
          <w:kern w:val="0"/>
          <w:sz w:val="24"/>
          <w:szCs w:val="24"/>
        </w:rPr>
        <w:t>确定p-AKT表达与患者临床病理参数之间的关联。使用Cox比例风险回归模型评估p-AKT表达和临床病理特征对无进展生存期（PFS）</w:t>
      </w:r>
      <w:r w:rsidRPr="00375456">
        <w:rPr>
          <w:rFonts w:ascii="微软雅黑" w:eastAsia="微软雅黑" w:hAnsi="微软雅黑" w:cs="宋体"/>
          <w:kern w:val="0"/>
          <w:sz w:val="24"/>
          <w:szCs w:val="24"/>
        </w:rPr>
        <w:lastRenderedPageBreak/>
        <w:t>的校正风险比（HR）。统计分析采用STATA v16.0（</w:t>
      </w:r>
      <w:proofErr w:type="spellStart"/>
      <w:r w:rsidRPr="00375456">
        <w:rPr>
          <w:rFonts w:ascii="微软雅黑" w:eastAsia="微软雅黑" w:hAnsi="微软雅黑" w:cs="宋体"/>
          <w:kern w:val="0"/>
          <w:sz w:val="24"/>
          <w:szCs w:val="24"/>
        </w:rPr>
        <w:t>STATACorp</w:t>
      </w:r>
      <w:proofErr w:type="spellEnd"/>
      <w:r w:rsidRPr="00375456">
        <w:rPr>
          <w:rFonts w:ascii="微软雅黑" w:eastAsia="微软雅黑" w:hAnsi="微软雅黑" w:cs="宋体"/>
          <w:kern w:val="0"/>
          <w:sz w:val="24"/>
          <w:szCs w:val="24"/>
        </w:rPr>
        <w:t>）和GraphPad Prism v8（GraphPad Software, Inc.）软件。p</w:t>
      </w:r>
      <w:r w:rsidRPr="00375456">
        <w:rPr>
          <w:rFonts w:ascii="微软雅黑" w:eastAsia="微软雅黑" w:hAnsi="微软雅黑" w:cs="宋体"/>
          <w:i/>
          <w:iCs/>
          <w:kern w:val="0"/>
          <w:sz w:val="24"/>
          <w:szCs w:val="24"/>
        </w:rPr>
        <w:t>值</w:t>
      </w:r>
      <w:r w:rsidRPr="00375456">
        <w:rPr>
          <w:rFonts w:ascii="微软雅黑" w:eastAsia="微软雅黑" w:hAnsi="微软雅黑" w:cs="宋体"/>
          <w:kern w:val="0"/>
          <w:sz w:val="24"/>
          <w:szCs w:val="24"/>
        </w:rPr>
        <w:t>&lt;0.05被认为具有统计学意义。</w:t>
      </w:r>
    </w:p>
    <w:p w14:paraId="31052485" w14:textId="77777777" w:rsidR="005674B8" w:rsidRPr="00375456" w:rsidRDefault="005674B8" w:rsidP="00375456">
      <w:pPr>
        <w:rPr>
          <w:rFonts w:ascii="微软雅黑" w:eastAsia="微软雅黑" w:hAnsi="微软雅黑"/>
        </w:rPr>
      </w:pPr>
    </w:p>
    <w:sectPr w:rsidR="005674B8" w:rsidRPr="00375456">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A25BAE"/>
    <w:multiLevelType w:val="multilevel"/>
    <w:tmpl w:val="E7C63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4B8"/>
    <w:rsid w:val="00375456"/>
    <w:rsid w:val="005674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DD953"/>
  <w15:chartTrackingRefBased/>
  <w15:docId w15:val="{D1DC1FE2-9220-4D25-A606-905C54809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375456"/>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375456"/>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375456"/>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375456"/>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75456"/>
    <w:rPr>
      <w:rFonts w:ascii="宋体" w:eastAsia="宋体" w:hAnsi="宋体" w:cs="宋体"/>
      <w:b/>
      <w:bCs/>
      <w:kern w:val="36"/>
      <w:sz w:val="48"/>
      <w:szCs w:val="48"/>
    </w:rPr>
  </w:style>
  <w:style w:type="character" w:customStyle="1" w:styleId="20">
    <w:name w:val="标题 2 字符"/>
    <w:basedOn w:val="a0"/>
    <w:link w:val="2"/>
    <w:uiPriority w:val="9"/>
    <w:rsid w:val="00375456"/>
    <w:rPr>
      <w:rFonts w:ascii="宋体" w:eastAsia="宋体" w:hAnsi="宋体" w:cs="宋体"/>
      <w:b/>
      <w:bCs/>
      <w:kern w:val="0"/>
      <w:sz w:val="36"/>
      <w:szCs w:val="36"/>
    </w:rPr>
  </w:style>
  <w:style w:type="character" w:customStyle="1" w:styleId="30">
    <w:name w:val="标题 3 字符"/>
    <w:basedOn w:val="a0"/>
    <w:link w:val="3"/>
    <w:uiPriority w:val="9"/>
    <w:rsid w:val="00375456"/>
    <w:rPr>
      <w:rFonts w:ascii="宋体" w:eastAsia="宋体" w:hAnsi="宋体" w:cs="宋体"/>
      <w:b/>
      <w:bCs/>
      <w:kern w:val="0"/>
      <w:sz w:val="27"/>
      <w:szCs w:val="27"/>
    </w:rPr>
  </w:style>
  <w:style w:type="character" w:customStyle="1" w:styleId="40">
    <w:name w:val="标题 4 字符"/>
    <w:basedOn w:val="a0"/>
    <w:link w:val="4"/>
    <w:uiPriority w:val="9"/>
    <w:rsid w:val="00375456"/>
    <w:rPr>
      <w:rFonts w:ascii="宋体" w:eastAsia="宋体" w:hAnsi="宋体" w:cs="宋体"/>
      <w:b/>
      <w:bCs/>
      <w:kern w:val="0"/>
      <w:sz w:val="24"/>
      <w:szCs w:val="24"/>
    </w:rPr>
  </w:style>
  <w:style w:type="paragraph" w:customStyle="1" w:styleId="msonormal0">
    <w:name w:val="msonormal"/>
    <w:basedOn w:val="a"/>
    <w:rsid w:val="00375456"/>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375456"/>
    <w:rPr>
      <w:color w:val="0000FF"/>
      <w:u w:val="single"/>
    </w:rPr>
  </w:style>
  <w:style w:type="character" w:styleId="a4">
    <w:name w:val="FollowedHyperlink"/>
    <w:basedOn w:val="a0"/>
    <w:uiPriority w:val="99"/>
    <w:semiHidden/>
    <w:unhideWhenUsed/>
    <w:rsid w:val="00375456"/>
    <w:rPr>
      <w:color w:val="800080"/>
      <w:u w:val="single"/>
    </w:rPr>
  </w:style>
  <w:style w:type="character" w:customStyle="1" w:styleId="name">
    <w:name w:val="name"/>
    <w:basedOn w:val="a0"/>
    <w:rsid w:val="00375456"/>
  </w:style>
  <w:style w:type="character" w:styleId="a5">
    <w:name w:val="Strong"/>
    <w:basedOn w:val="a0"/>
    <w:uiPriority w:val="22"/>
    <w:qFormat/>
    <w:rsid w:val="00375456"/>
    <w:rPr>
      <w:b/>
      <w:bCs/>
    </w:rPr>
  </w:style>
  <w:style w:type="paragraph" w:styleId="a6">
    <w:name w:val="Normal (Web)"/>
    <w:basedOn w:val="a"/>
    <w:uiPriority w:val="99"/>
    <w:semiHidden/>
    <w:unhideWhenUsed/>
    <w:rsid w:val="00375456"/>
    <w:pPr>
      <w:widowControl/>
      <w:spacing w:before="100" w:beforeAutospacing="1" w:after="100" w:afterAutospacing="1"/>
      <w:jc w:val="left"/>
    </w:pPr>
    <w:rPr>
      <w:rFonts w:ascii="宋体" w:eastAsia="宋体" w:hAnsi="宋体" w:cs="宋体"/>
      <w:kern w:val="0"/>
      <w:sz w:val="24"/>
      <w:szCs w:val="24"/>
    </w:rPr>
  </w:style>
  <w:style w:type="character" w:styleId="a7">
    <w:name w:val="Emphasis"/>
    <w:basedOn w:val="a0"/>
    <w:uiPriority w:val="20"/>
    <w:qFormat/>
    <w:rsid w:val="00375456"/>
    <w:rPr>
      <w:i/>
      <w:iCs/>
    </w:rPr>
  </w:style>
  <w:style w:type="paragraph" w:customStyle="1" w:styleId="img-box">
    <w:name w:val="img-box"/>
    <w:basedOn w:val="a"/>
    <w:rsid w:val="0037545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948269">
      <w:bodyDiv w:val="1"/>
      <w:marLeft w:val="0"/>
      <w:marRight w:val="0"/>
      <w:marTop w:val="0"/>
      <w:marBottom w:val="0"/>
      <w:divBdr>
        <w:top w:val="none" w:sz="0" w:space="0" w:color="auto"/>
        <w:left w:val="none" w:sz="0" w:space="0" w:color="auto"/>
        <w:bottom w:val="none" w:sz="0" w:space="0" w:color="auto"/>
        <w:right w:val="none" w:sz="0" w:space="0" w:color="auto"/>
      </w:divBdr>
      <w:divsChild>
        <w:div w:id="1790733665">
          <w:marLeft w:val="0"/>
          <w:marRight w:val="0"/>
          <w:marTop w:val="0"/>
          <w:marBottom w:val="0"/>
          <w:divBdr>
            <w:top w:val="none" w:sz="0" w:space="0" w:color="auto"/>
            <w:left w:val="none" w:sz="0" w:space="0" w:color="auto"/>
            <w:bottom w:val="none" w:sz="0" w:space="0" w:color="auto"/>
            <w:right w:val="none" w:sz="0" w:space="0" w:color="auto"/>
          </w:divBdr>
          <w:divsChild>
            <w:div w:id="1342509723">
              <w:marLeft w:val="0"/>
              <w:marRight w:val="0"/>
              <w:marTop w:val="225"/>
              <w:marBottom w:val="0"/>
              <w:divBdr>
                <w:top w:val="none" w:sz="0" w:space="0" w:color="auto"/>
                <w:left w:val="none" w:sz="0" w:space="0" w:color="auto"/>
                <w:bottom w:val="none" w:sz="0" w:space="0" w:color="auto"/>
                <w:right w:val="none" w:sz="0" w:space="0" w:color="auto"/>
              </w:divBdr>
            </w:div>
            <w:div w:id="1210188719">
              <w:marLeft w:val="0"/>
              <w:marRight w:val="0"/>
              <w:marTop w:val="0"/>
              <w:marBottom w:val="0"/>
              <w:divBdr>
                <w:top w:val="none" w:sz="0" w:space="0" w:color="auto"/>
                <w:left w:val="none" w:sz="0" w:space="0" w:color="auto"/>
                <w:bottom w:val="none" w:sz="0" w:space="0" w:color="auto"/>
                <w:right w:val="none" w:sz="0" w:space="0" w:color="auto"/>
              </w:divBdr>
            </w:div>
            <w:div w:id="1756052330">
              <w:marLeft w:val="0"/>
              <w:marRight w:val="0"/>
              <w:marTop w:val="0"/>
              <w:marBottom w:val="0"/>
              <w:divBdr>
                <w:top w:val="single" w:sz="6" w:space="0" w:color="EAC2AE"/>
                <w:left w:val="single" w:sz="6" w:space="0" w:color="EAC2AE"/>
                <w:bottom w:val="single" w:sz="6" w:space="0" w:color="EAC2AE"/>
                <w:right w:val="single" w:sz="6" w:space="0" w:color="EAC2AE"/>
              </w:divBdr>
              <w:divsChild>
                <w:div w:id="167576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419151">
          <w:marLeft w:val="0"/>
          <w:marRight w:val="0"/>
          <w:marTop w:val="450"/>
          <w:marBottom w:val="0"/>
          <w:divBdr>
            <w:top w:val="none" w:sz="0" w:space="0" w:color="auto"/>
            <w:left w:val="none" w:sz="0" w:space="0" w:color="auto"/>
            <w:bottom w:val="none" w:sz="0" w:space="0" w:color="auto"/>
            <w:right w:val="none" w:sz="0" w:space="0" w:color="auto"/>
          </w:divBdr>
        </w:div>
        <w:div w:id="763964291">
          <w:marLeft w:val="0"/>
          <w:marRight w:val="0"/>
          <w:marTop w:val="450"/>
          <w:marBottom w:val="0"/>
          <w:divBdr>
            <w:top w:val="none" w:sz="0" w:space="0" w:color="auto"/>
            <w:left w:val="none" w:sz="0" w:space="0" w:color="auto"/>
            <w:bottom w:val="none" w:sz="0" w:space="0" w:color="auto"/>
            <w:right w:val="none" w:sz="0" w:space="0" w:color="auto"/>
          </w:divBdr>
        </w:div>
        <w:div w:id="1466391111">
          <w:marLeft w:val="0"/>
          <w:marRight w:val="0"/>
          <w:marTop w:val="450"/>
          <w:marBottom w:val="0"/>
          <w:divBdr>
            <w:top w:val="none" w:sz="0" w:space="0" w:color="auto"/>
            <w:left w:val="none" w:sz="0" w:space="0" w:color="auto"/>
            <w:bottom w:val="none" w:sz="0" w:space="0" w:color="auto"/>
            <w:right w:val="none" w:sz="0" w:space="0" w:color="auto"/>
          </w:divBdr>
        </w:div>
        <w:div w:id="1775321073">
          <w:marLeft w:val="0"/>
          <w:marRight w:val="0"/>
          <w:marTop w:val="450"/>
          <w:marBottom w:val="0"/>
          <w:divBdr>
            <w:top w:val="none" w:sz="0" w:space="0" w:color="auto"/>
            <w:left w:val="none" w:sz="0" w:space="0" w:color="auto"/>
            <w:bottom w:val="none" w:sz="0" w:space="0" w:color="auto"/>
            <w:right w:val="none" w:sz="0" w:space="0" w:color="auto"/>
          </w:divBdr>
        </w:div>
        <w:div w:id="614562921">
          <w:marLeft w:val="0"/>
          <w:marRight w:val="0"/>
          <w:marTop w:val="450"/>
          <w:marBottom w:val="0"/>
          <w:divBdr>
            <w:top w:val="none" w:sz="0" w:space="0" w:color="auto"/>
            <w:left w:val="none" w:sz="0" w:space="0" w:color="auto"/>
            <w:bottom w:val="none" w:sz="0" w:space="0" w:color="auto"/>
            <w:right w:val="none" w:sz="0" w:space="0" w:color="auto"/>
          </w:divBdr>
        </w:div>
        <w:div w:id="1788964419">
          <w:marLeft w:val="0"/>
          <w:marRight w:val="0"/>
          <w:marTop w:val="450"/>
          <w:marBottom w:val="0"/>
          <w:divBdr>
            <w:top w:val="none" w:sz="0" w:space="0" w:color="auto"/>
            <w:left w:val="none" w:sz="0" w:space="0" w:color="auto"/>
            <w:bottom w:val="none" w:sz="0" w:space="0" w:color="auto"/>
            <w:right w:val="none" w:sz="0" w:space="0" w:color="auto"/>
          </w:divBdr>
        </w:div>
        <w:div w:id="444925787">
          <w:marLeft w:val="0"/>
          <w:marRight w:val="0"/>
          <w:marTop w:val="450"/>
          <w:marBottom w:val="0"/>
          <w:divBdr>
            <w:top w:val="none" w:sz="0" w:space="0" w:color="auto"/>
            <w:left w:val="none" w:sz="0" w:space="0" w:color="auto"/>
            <w:bottom w:val="none" w:sz="0" w:space="0" w:color="auto"/>
            <w:right w:val="none" w:sz="0" w:space="0" w:color="auto"/>
          </w:divBdr>
        </w:div>
        <w:div w:id="1981882672">
          <w:marLeft w:val="0"/>
          <w:marRight w:val="0"/>
          <w:marTop w:val="450"/>
          <w:marBottom w:val="0"/>
          <w:divBdr>
            <w:top w:val="none" w:sz="0" w:space="0" w:color="auto"/>
            <w:left w:val="none" w:sz="0" w:space="0" w:color="auto"/>
            <w:bottom w:val="none" w:sz="0" w:space="0" w:color="auto"/>
            <w:right w:val="none" w:sz="0" w:space="0" w:color="auto"/>
          </w:divBdr>
        </w:div>
        <w:div w:id="917061577">
          <w:marLeft w:val="0"/>
          <w:marRight w:val="0"/>
          <w:marTop w:val="450"/>
          <w:marBottom w:val="0"/>
          <w:divBdr>
            <w:top w:val="none" w:sz="0" w:space="0" w:color="auto"/>
            <w:left w:val="none" w:sz="0" w:space="0" w:color="auto"/>
            <w:bottom w:val="none" w:sz="0" w:space="0" w:color="auto"/>
            <w:right w:val="none" w:sz="0" w:space="0" w:color="auto"/>
          </w:divBdr>
        </w:div>
        <w:div w:id="656612452">
          <w:marLeft w:val="0"/>
          <w:marRight w:val="0"/>
          <w:marTop w:val="450"/>
          <w:marBottom w:val="0"/>
          <w:divBdr>
            <w:top w:val="none" w:sz="0" w:space="0" w:color="auto"/>
            <w:left w:val="none" w:sz="0" w:space="0" w:color="auto"/>
            <w:bottom w:val="none" w:sz="0" w:space="0" w:color="auto"/>
            <w:right w:val="none" w:sz="0" w:space="0" w:color="auto"/>
          </w:divBdr>
          <w:divsChild>
            <w:div w:id="552351689">
              <w:marLeft w:val="0"/>
              <w:marRight w:val="0"/>
              <w:marTop w:val="0"/>
              <w:marBottom w:val="0"/>
              <w:divBdr>
                <w:top w:val="none" w:sz="0" w:space="0" w:color="auto"/>
                <w:left w:val="none" w:sz="0" w:space="0" w:color="auto"/>
                <w:bottom w:val="none" w:sz="0" w:space="0" w:color="auto"/>
                <w:right w:val="none" w:sz="0" w:space="0" w:color="auto"/>
              </w:divBdr>
            </w:div>
          </w:divsChild>
        </w:div>
        <w:div w:id="1243178735">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mc.ncbi.nlm.nih.gov/articles/PMC8387387/" TargetMode="External"/><Relationship Id="rId21" Type="http://schemas.openxmlformats.org/officeDocument/2006/relationships/hyperlink" Target="https://pmc.ncbi.nlm.nih.gov/articles/PMC8387387/" TargetMode="External"/><Relationship Id="rId42" Type="http://schemas.openxmlformats.org/officeDocument/2006/relationships/image" Target="media/image2.jpeg"/><Relationship Id="rId63" Type="http://schemas.openxmlformats.org/officeDocument/2006/relationships/hyperlink" Target="https://pmc.ncbi.nlm.nih.gov/articles/PMC8387387/" TargetMode="External"/><Relationship Id="rId84" Type="http://schemas.openxmlformats.org/officeDocument/2006/relationships/hyperlink" Target="https://pmc.ncbi.nlm.nih.gov/articles/PMC8387387/" TargetMode="External"/><Relationship Id="rId138" Type="http://schemas.openxmlformats.org/officeDocument/2006/relationships/hyperlink" Target="https://pmc.ncbi.nlm.nih.gov/articles/PMC8387387/" TargetMode="External"/><Relationship Id="rId107" Type="http://schemas.openxmlformats.org/officeDocument/2006/relationships/hyperlink" Target="https://pmc.ncbi.nlm.nih.gov/articles/PMC8387387/" TargetMode="External"/><Relationship Id="rId11" Type="http://schemas.openxmlformats.org/officeDocument/2006/relationships/hyperlink" Target="https://pmc.ncbi.nlm.nih.gov/articles/PMC8387387/" TargetMode="External"/><Relationship Id="rId32" Type="http://schemas.openxmlformats.org/officeDocument/2006/relationships/hyperlink" Target="https://pmc.ncbi.nlm.nih.gov/articles/PMC8387387/" TargetMode="External"/><Relationship Id="rId53" Type="http://schemas.openxmlformats.org/officeDocument/2006/relationships/hyperlink" Target="https://pmc.ncbi.nlm.nih.gov/articles/PMC8387387/" TargetMode="External"/><Relationship Id="rId74" Type="http://schemas.openxmlformats.org/officeDocument/2006/relationships/hyperlink" Target="https://pmc.ncbi.nlm.nih.gov/articles/PMC8387387/" TargetMode="External"/><Relationship Id="rId128" Type="http://schemas.openxmlformats.org/officeDocument/2006/relationships/hyperlink" Target="https://pmc.ncbi.nlm.nih.gov/articles/PMC8387387/" TargetMode="External"/><Relationship Id="rId149" Type="http://schemas.openxmlformats.org/officeDocument/2006/relationships/hyperlink" Target="https://pmc.ncbi.nlm.nih.gov/articles/PMC8387387/" TargetMode="External"/><Relationship Id="rId5" Type="http://schemas.openxmlformats.org/officeDocument/2006/relationships/hyperlink" Target="https://pmc.ncbi.nlm.nih.gov/articles/PMC8387387/" TargetMode="External"/><Relationship Id="rId95" Type="http://schemas.openxmlformats.org/officeDocument/2006/relationships/hyperlink" Target="https://pmc.ncbi.nlm.nih.gov/articles/PMC8387387/" TargetMode="External"/><Relationship Id="rId22" Type="http://schemas.openxmlformats.org/officeDocument/2006/relationships/hyperlink" Target="https://pmc.ncbi.nlm.nih.gov/articles/PMC8387387/" TargetMode="External"/><Relationship Id="rId43" Type="http://schemas.openxmlformats.org/officeDocument/2006/relationships/hyperlink" Target="https://pmc.ncbi.nlm.nih.gov/articles/PMC8387387/" TargetMode="External"/><Relationship Id="rId64" Type="http://schemas.openxmlformats.org/officeDocument/2006/relationships/hyperlink" Target="https://pmc.ncbi.nlm.nih.gov/articles/PMC8387387/" TargetMode="External"/><Relationship Id="rId118" Type="http://schemas.openxmlformats.org/officeDocument/2006/relationships/hyperlink" Target="https://pmc.ncbi.nlm.nih.gov/articles/PMC8387387/" TargetMode="External"/><Relationship Id="rId139" Type="http://schemas.openxmlformats.org/officeDocument/2006/relationships/hyperlink" Target="https://pmc.ncbi.nlm.nih.gov/articles/PMC8387387/" TargetMode="External"/><Relationship Id="rId80" Type="http://schemas.openxmlformats.org/officeDocument/2006/relationships/hyperlink" Target="https://pmc.ncbi.nlm.nih.gov/articles/PMC8387387/" TargetMode="External"/><Relationship Id="rId85" Type="http://schemas.openxmlformats.org/officeDocument/2006/relationships/hyperlink" Target="https://pmc.ncbi.nlm.nih.gov/articles/PMC8387387/" TargetMode="External"/><Relationship Id="rId150" Type="http://schemas.openxmlformats.org/officeDocument/2006/relationships/hyperlink" Target="https://pmc.ncbi.nlm.nih.gov/articles/PMC8387387/" TargetMode="External"/><Relationship Id="rId155" Type="http://schemas.openxmlformats.org/officeDocument/2006/relationships/hyperlink" Target="https://pmc.ncbi.nlm.nih.gov/articles/PMC8387387/" TargetMode="External"/><Relationship Id="rId12" Type="http://schemas.openxmlformats.org/officeDocument/2006/relationships/hyperlink" Target="https://pmc.ncbi.nlm.nih.gov/articles/PMC8387387/" TargetMode="External"/><Relationship Id="rId17" Type="http://schemas.openxmlformats.org/officeDocument/2006/relationships/hyperlink" Target="https://pmc.ncbi.nlm.nih.gov/articles/PMC8387387/" TargetMode="External"/><Relationship Id="rId33" Type="http://schemas.openxmlformats.org/officeDocument/2006/relationships/hyperlink" Target="https://pmc.ncbi.nlm.nih.gov/articles/PMC8387387/" TargetMode="External"/><Relationship Id="rId38" Type="http://schemas.openxmlformats.org/officeDocument/2006/relationships/hyperlink" Target="https://pmc.ncbi.nlm.nih.gov/articles/PMC8387387/" TargetMode="External"/><Relationship Id="rId59" Type="http://schemas.openxmlformats.org/officeDocument/2006/relationships/hyperlink" Target="https://pmc.ncbi.nlm.nih.gov/articles/PMC8387387/" TargetMode="External"/><Relationship Id="rId103" Type="http://schemas.openxmlformats.org/officeDocument/2006/relationships/hyperlink" Target="https://pmc.ncbi.nlm.nih.gov/articles/PMC8387387/" TargetMode="External"/><Relationship Id="rId108" Type="http://schemas.openxmlformats.org/officeDocument/2006/relationships/hyperlink" Target="https://pmc.ncbi.nlm.nih.gov/articles/PMC8387387/" TargetMode="External"/><Relationship Id="rId124" Type="http://schemas.openxmlformats.org/officeDocument/2006/relationships/hyperlink" Target="https://pmc.ncbi.nlm.nih.gov/articles/PMC8387387/" TargetMode="External"/><Relationship Id="rId129" Type="http://schemas.openxmlformats.org/officeDocument/2006/relationships/hyperlink" Target="https://www.ncbi.nlm.nih.gov/core/lw/2.0/html/tileshop_pmc/tileshop_pmc_inline.html?title=Click%20on%20image%20to%20zoom&amp;p=PMC3&amp;id=8387387_41467_2021_25422_Fig7_HTML.jpg" TargetMode="External"/><Relationship Id="rId54" Type="http://schemas.openxmlformats.org/officeDocument/2006/relationships/hyperlink" Target="https://pmc.ncbi.nlm.nih.gov/articles/PMC8387387/" TargetMode="External"/><Relationship Id="rId70" Type="http://schemas.openxmlformats.org/officeDocument/2006/relationships/hyperlink" Target="https://pmc.ncbi.nlm.nih.gov/articles/PMC8387387/" TargetMode="External"/><Relationship Id="rId75" Type="http://schemas.openxmlformats.org/officeDocument/2006/relationships/hyperlink" Target="https://pmc.ncbi.nlm.nih.gov/articles/PMC8387387/" TargetMode="External"/><Relationship Id="rId91" Type="http://schemas.openxmlformats.org/officeDocument/2006/relationships/hyperlink" Target="https://www.ncbi.nlm.nih.gov/core/lw/2.0/html/tileshop_pmc/tileshop_pmc_inline.html?title=Click%20on%20image%20to%20zoom&amp;p=PMC3&amp;id=8387387_41467_2021_25422_Fig5_HTML.jpg" TargetMode="External"/><Relationship Id="rId96" Type="http://schemas.openxmlformats.org/officeDocument/2006/relationships/hyperlink" Target="https://pmc.ncbi.nlm.nih.gov/articles/PMC8387387/" TargetMode="External"/><Relationship Id="rId140" Type="http://schemas.openxmlformats.org/officeDocument/2006/relationships/hyperlink" Target="https://pmc.ncbi.nlm.nih.gov/articles/PMC8387387/" TargetMode="External"/><Relationship Id="rId145" Type="http://schemas.openxmlformats.org/officeDocument/2006/relationships/hyperlink" Target="https://pmc.ncbi.nlm.nih.gov/articles/PMC8387387/" TargetMode="External"/><Relationship Id="rId1" Type="http://schemas.openxmlformats.org/officeDocument/2006/relationships/numbering" Target="numbering.xml"/><Relationship Id="rId6" Type="http://schemas.openxmlformats.org/officeDocument/2006/relationships/hyperlink" Target="https://pmc.ncbi.nlm.nih.gov/articles/PMC8387387/" TargetMode="External"/><Relationship Id="rId23" Type="http://schemas.openxmlformats.org/officeDocument/2006/relationships/hyperlink" Target="https://pmc.ncbi.nlm.nih.gov/articles/PMC8387387/" TargetMode="External"/><Relationship Id="rId28" Type="http://schemas.openxmlformats.org/officeDocument/2006/relationships/hyperlink" Target="https://pmc.ncbi.nlm.nih.gov/articles/PMC8387387/" TargetMode="External"/><Relationship Id="rId49" Type="http://schemas.openxmlformats.org/officeDocument/2006/relationships/hyperlink" Target="https://pmc.ncbi.nlm.nih.gov/articles/PMC8387387/" TargetMode="External"/><Relationship Id="rId114" Type="http://schemas.openxmlformats.org/officeDocument/2006/relationships/hyperlink" Target="https://pmc.ncbi.nlm.nih.gov/articles/PMC8387387/" TargetMode="External"/><Relationship Id="rId119" Type="http://schemas.openxmlformats.org/officeDocument/2006/relationships/hyperlink" Target="https://pmc.ncbi.nlm.nih.gov/articles/PMC8387387/" TargetMode="External"/><Relationship Id="rId44" Type="http://schemas.openxmlformats.org/officeDocument/2006/relationships/hyperlink" Target="https://pmc.ncbi.nlm.nih.gov/articles/PMC8387387/" TargetMode="External"/><Relationship Id="rId60" Type="http://schemas.openxmlformats.org/officeDocument/2006/relationships/hyperlink" Target="https://pmc.ncbi.nlm.nih.gov/articles/PMC8387387/" TargetMode="External"/><Relationship Id="rId65" Type="http://schemas.openxmlformats.org/officeDocument/2006/relationships/hyperlink" Target="https://pmc.ncbi.nlm.nih.gov/articles/PMC8387387/" TargetMode="External"/><Relationship Id="rId81" Type="http://schemas.openxmlformats.org/officeDocument/2006/relationships/hyperlink" Target="https://pmc.ncbi.nlm.nih.gov/articles/PMC8387387/" TargetMode="External"/><Relationship Id="rId86" Type="http://schemas.openxmlformats.org/officeDocument/2006/relationships/hyperlink" Target="https://pmc.ncbi.nlm.nih.gov/articles/PMC8387387/" TargetMode="External"/><Relationship Id="rId130" Type="http://schemas.openxmlformats.org/officeDocument/2006/relationships/image" Target="media/image7.jpeg"/><Relationship Id="rId135" Type="http://schemas.openxmlformats.org/officeDocument/2006/relationships/hyperlink" Target="https://pmc.ncbi.nlm.nih.gov/articles/PMC8387387/" TargetMode="External"/><Relationship Id="rId151" Type="http://schemas.openxmlformats.org/officeDocument/2006/relationships/hyperlink" Target="https://pmc.ncbi.nlm.nih.gov/articles/PMC8387387/" TargetMode="External"/><Relationship Id="rId156" Type="http://schemas.openxmlformats.org/officeDocument/2006/relationships/hyperlink" Target="https://pmc.ncbi.nlm.nih.gov/articles/PMC8387387/" TargetMode="External"/><Relationship Id="rId13" Type="http://schemas.openxmlformats.org/officeDocument/2006/relationships/hyperlink" Target="https://pmc.ncbi.nlm.nih.gov/articles/PMC8387387/" TargetMode="External"/><Relationship Id="rId18" Type="http://schemas.openxmlformats.org/officeDocument/2006/relationships/hyperlink" Target="https://pmc.ncbi.nlm.nih.gov/articles/PMC8387387/" TargetMode="External"/><Relationship Id="rId39" Type="http://schemas.openxmlformats.org/officeDocument/2006/relationships/hyperlink" Target="https://www.ncbi.nlm.nih.gov/core/lw/2.0/html/tileshop_pmc/tileshop_pmc_inline.html?title=Click%20on%20image%20to%20zoom&amp;p=PMC3&amp;id=8387387_41467_2021_25422_Fig1_HTML.jpg" TargetMode="External"/><Relationship Id="rId109" Type="http://schemas.openxmlformats.org/officeDocument/2006/relationships/hyperlink" Target="https://pmc.ncbi.nlm.nih.gov/articles/PMC8387387/" TargetMode="External"/><Relationship Id="rId34" Type="http://schemas.openxmlformats.org/officeDocument/2006/relationships/hyperlink" Target="https://pmc.ncbi.nlm.nih.gov/articles/PMC8387387/" TargetMode="External"/><Relationship Id="rId50" Type="http://schemas.openxmlformats.org/officeDocument/2006/relationships/hyperlink" Target="https://pmc.ncbi.nlm.nih.gov/articles/PMC8387387/" TargetMode="External"/><Relationship Id="rId55" Type="http://schemas.openxmlformats.org/officeDocument/2006/relationships/hyperlink" Target="https://pmc.ncbi.nlm.nih.gov/articles/PMC8387387/" TargetMode="External"/><Relationship Id="rId76" Type="http://schemas.openxmlformats.org/officeDocument/2006/relationships/hyperlink" Target="https://pmc.ncbi.nlm.nih.gov/articles/PMC8387387/" TargetMode="External"/><Relationship Id="rId97" Type="http://schemas.openxmlformats.org/officeDocument/2006/relationships/hyperlink" Target="https://pmc.ncbi.nlm.nih.gov/articles/PMC8387387/" TargetMode="External"/><Relationship Id="rId104" Type="http://schemas.openxmlformats.org/officeDocument/2006/relationships/hyperlink" Target="https://pmc.ncbi.nlm.nih.gov/articles/PMC8387387/" TargetMode="External"/><Relationship Id="rId120" Type="http://schemas.openxmlformats.org/officeDocument/2006/relationships/hyperlink" Target="https://pmc.ncbi.nlm.nih.gov/articles/PMC8387387/" TargetMode="External"/><Relationship Id="rId125" Type="http://schemas.openxmlformats.org/officeDocument/2006/relationships/hyperlink" Target="https://pmc.ncbi.nlm.nih.gov/articles/PMC8387387/" TargetMode="External"/><Relationship Id="rId141" Type="http://schemas.openxmlformats.org/officeDocument/2006/relationships/hyperlink" Target="https://pmc.ncbi.nlm.nih.gov/articles/PMC8387387/" TargetMode="External"/><Relationship Id="rId146" Type="http://schemas.openxmlformats.org/officeDocument/2006/relationships/hyperlink" Target="https://pmc.ncbi.nlm.nih.gov/articles/PMC8387387/" TargetMode="External"/><Relationship Id="rId7" Type="http://schemas.openxmlformats.org/officeDocument/2006/relationships/hyperlink" Target="https://pmc.ncbi.nlm.nih.gov/articles/PMC8387387/" TargetMode="External"/><Relationship Id="rId71" Type="http://schemas.openxmlformats.org/officeDocument/2006/relationships/hyperlink" Target="https://pmc.ncbi.nlm.nih.gov/articles/PMC8387387/" TargetMode="External"/><Relationship Id="rId92" Type="http://schemas.openxmlformats.org/officeDocument/2006/relationships/image" Target="media/image5.jpeg"/><Relationship Id="rId2" Type="http://schemas.openxmlformats.org/officeDocument/2006/relationships/styles" Target="styles.xml"/><Relationship Id="rId29" Type="http://schemas.openxmlformats.org/officeDocument/2006/relationships/hyperlink" Target="https://pmc.ncbi.nlm.nih.gov/articles/PMC8387387/" TargetMode="External"/><Relationship Id="rId24" Type="http://schemas.openxmlformats.org/officeDocument/2006/relationships/hyperlink" Target="https://pmc.ncbi.nlm.nih.gov/articles/PMC8387387/" TargetMode="External"/><Relationship Id="rId40" Type="http://schemas.openxmlformats.org/officeDocument/2006/relationships/image" Target="media/image1.jpeg"/><Relationship Id="rId45" Type="http://schemas.openxmlformats.org/officeDocument/2006/relationships/hyperlink" Target="https://pmc.ncbi.nlm.nih.gov/articles/PMC8387387/" TargetMode="External"/><Relationship Id="rId66" Type="http://schemas.openxmlformats.org/officeDocument/2006/relationships/hyperlink" Target="https://pmc.ncbi.nlm.nih.gov/articles/PMC8387387/" TargetMode="External"/><Relationship Id="rId87" Type="http://schemas.openxmlformats.org/officeDocument/2006/relationships/hyperlink" Target="https://pmc.ncbi.nlm.nih.gov/articles/PMC8387387/" TargetMode="External"/><Relationship Id="rId110" Type="http://schemas.openxmlformats.org/officeDocument/2006/relationships/hyperlink" Target="https://pmc.ncbi.nlm.nih.gov/articles/PMC8387387/" TargetMode="External"/><Relationship Id="rId115" Type="http://schemas.openxmlformats.org/officeDocument/2006/relationships/hyperlink" Target="https://pmc.ncbi.nlm.nih.gov/articles/PMC8387387/" TargetMode="External"/><Relationship Id="rId131" Type="http://schemas.openxmlformats.org/officeDocument/2006/relationships/hyperlink" Target="https://pmc.ncbi.nlm.nih.gov/articles/PMC8387387/" TargetMode="External"/><Relationship Id="rId136" Type="http://schemas.openxmlformats.org/officeDocument/2006/relationships/hyperlink" Target="https://pmc.ncbi.nlm.nih.gov/articles/PMC8387387/" TargetMode="External"/><Relationship Id="rId157" Type="http://schemas.openxmlformats.org/officeDocument/2006/relationships/fontTable" Target="fontTable.xml"/><Relationship Id="rId61" Type="http://schemas.openxmlformats.org/officeDocument/2006/relationships/hyperlink" Target="https://pmc.ncbi.nlm.nih.gov/articles/PMC8387387/" TargetMode="External"/><Relationship Id="rId82" Type="http://schemas.openxmlformats.org/officeDocument/2006/relationships/hyperlink" Target="https://www.ncbi.nlm.nih.gov/core/lw/2.0/html/tileshop_pmc/tileshop_pmc_inline.html?title=Click%20on%20image%20to%20zoom&amp;p=PMC3&amp;id=8387387_41467_2021_25422_Fig4_HTML.jpg" TargetMode="External"/><Relationship Id="rId152" Type="http://schemas.openxmlformats.org/officeDocument/2006/relationships/hyperlink" Target="https://pmc.ncbi.nlm.nih.gov/articles/PMC8387387/" TargetMode="External"/><Relationship Id="rId19" Type="http://schemas.openxmlformats.org/officeDocument/2006/relationships/hyperlink" Target="https://pmc.ncbi.nlm.nih.gov/articles/PMC8387387/" TargetMode="External"/><Relationship Id="rId14" Type="http://schemas.openxmlformats.org/officeDocument/2006/relationships/hyperlink" Target="https://pmc.ncbi.nlm.nih.gov/articles/PMC8387387/" TargetMode="External"/><Relationship Id="rId30" Type="http://schemas.openxmlformats.org/officeDocument/2006/relationships/hyperlink" Target="https://pmc.ncbi.nlm.nih.gov/articles/PMC8387387/" TargetMode="External"/><Relationship Id="rId35" Type="http://schemas.openxmlformats.org/officeDocument/2006/relationships/hyperlink" Target="https://pmc.ncbi.nlm.nih.gov/articles/PMC8387387/" TargetMode="External"/><Relationship Id="rId56" Type="http://schemas.openxmlformats.org/officeDocument/2006/relationships/hyperlink" Target="https://pmc.ncbi.nlm.nih.gov/articles/PMC8387387/" TargetMode="External"/><Relationship Id="rId77" Type="http://schemas.openxmlformats.org/officeDocument/2006/relationships/hyperlink" Target="https://pmc.ncbi.nlm.nih.gov/articles/PMC8387387/" TargetMode="External"/><Relationship Id="rId100" Type="http://schemas.openxmlformats.org/officeDocument/2006/relationships/image" Target="media/image6.jpeg"/><Relationship Id="rId105" Type="http://schemas.openxmlformats.org/officeDocument/2006/relationships/hyperlink" Target="https://pmc.ncbi.nlm.nih.gov/articles/PMC8387387/" TargetMode="External"/><Relationship Id="rId126" Type="http://schemas.openxmlformats.org/officeDocument/2006/relationships/hyperlink" Target="https://pmc.ncbi.nlm.nih.gov/articles/PMC8387387/" TargetMode="External"/><Relationship Id="rId147" Type="http://schemas.openxmlformats.org/officeDocument/2006/relationships/hyperlink" Target="https://clinicaltrials.gov/ct2/show/NCT04862663" TargetMode="External"/><Relationship Id="rId8" Type="http://schemas.openxmlformats.org/officeDocument/2006/relationships/hyperlink" Target="https://pmc.ncbi.nlm.nih.gov/articles/PMC8387387/" TargetMode="External"/><Relationship Id="rId51" Type="http://schemas.openxmlformats.org/officeDocument/2006/relationships/hyperlink" Target="https://pmc.ncbi.nlm.nih.gov/articles/PMC8387387/" TargetMode="External"/><Relationship Id="rId72" Type="http://schemas.openxmlformats.org/officeDocument/2006/relationships/hyperlink" Target="https://pmc.ncbi.nlm.nih.gov/articles/PMC8387387/" TargetMode="External"/><Relationship Id="rId93" Type="http://schemas.openxmlformats.org/officeDocument/2006/relationships/hyperlink" Target="https://pmc.ncbi.nlm.nih.gov/articles/PMC8387387/" TargetMode="External"/><Relationship Id="rId98" Type="http://schemas.openxmlformats.org/officeDocument/2006/relationships/hyperlink" Target="https://pmc.ncbi.nlm.nih.gov/articles/PMC8387387/" TargetMode="External"/><Relationship Id="rId121" Type="http://schemas.openxmlformats.org/officeDocument/2006/relationships/hyperlink" Target="https://pmc.ncbi.nlm.nih.gov/articles/PMC8387387/" TargetMode="External"/><Relationship Id="rId142" Type="http://schemas.openxmlformats.org/officeDocument/2006/relationships/hyperlink" Target="https://pmc.ncbi.nlm.nih.gov/articles/PMC8387387/" TargetMode="External"/><Relationship Id="rId3" Type="http://schemas.openxmlformats.org/officeDocument/2006/relationships/settings" Target="settings.xml"/><Relationship Id="rId25" Type="http://schemas.openxmlformats.org/officeDocument/2006/relationships/hyperlink" Target="https://pmc.ncbi.nlm.nih.gov/articles/PMC8387387/" TargetMode="External"/><Relationship Id="rId46" Type="http://schemas.openxmlformats.org/officeDocument/2006/relationships/hyperlink" Target="https://pmc.ncbi.nlm.nih.gov/articles/PMC8387387/" TargetMode="External"/><Relationship Id="rId67" Type="http://schemas.openxmlformats.org/officeDocument/2006/relationships/hyperlink" Target="https://pmc.ncbi.nlm.nih.gov/articles/PMC8387387/" TargetMode="External"/><Relationship Id="rId116" Type="http://schemas.openxmlformats.org/officeDocument/2006/relationships/hyperlink" Target="https://pmc.ncbi.nlm.nih.gov/articles/PMC8387387/" TargetMode="External"/><Relationship Id="rId137" Type="http://schemas.openxmlformats.org/officeDocument/2006/relationships/hyperlink" Target="https://pmc.ncbi.nlm.nih.gov/articles/PMC8387387/" TargetMode="External"/><Relationship Id="rId158" Type="http://schemas.openxmlformats.org/officeDocument/2006/relationships/theme" Target="theme/theme1.xml"/><Relationship Id="rId20" Type="http://schemas.openxmlformats.org/officeDocument/2006/relationships/hyperlink" Target="https://pmc.ncbi.nlm.nih.gov/articles/PMC8387387/" TargetMode="External"/><Relationship Id="rId41" Type="http://schemas.openxmlformats.org/officeDocument/2006/relationships/hyperlink" Target="https://www.ncbi.nlm.nih.gov/core/lw/2.0/html/tileshop_pmc/tileshop_pmc_inline.html?title=Click%20on%20image%20to%20zoom&amp;p=PMC3&amp;id=8387387_41467_2021_25422_Fig2_HTML.jpg" TargetMode="External"/><Relationship Id="rId62" Type="http://schemas.openxmlformats.org/officeDocument/2006/relationships/hyperlink" Target="https://pmc.ncbi.nlm.nih.gov/articles/PMC8387387/" TargetMode="External"/><Relationship Id="rId83" Type="http://schemas.openxmlformats.org/officeDocument/2006/relationships/image" Target="media/image4.jpeg"/><Relationship Id="rId88" Type="http://schemas.openxmlformats.org/officeDocument/2006/relationships/hyperlink" Target="https://pmc.ncbi.nlm.nih.gov/articles/PMC8387387/" TargetMode="External"/><Relationship Id="rId111" Type="http://schemas.openxmlformats.org/officeDocument/2006/relationships/hyperlink" Target="https://pmc.ncbi.nlm.nih.gov/articles/PMC8387387/" TargetMode="External"/><Relationship Id="rId132" Type="http://schemas.openxmlformats.org/officeDocument/2006/relationships/hyperlink" Target="https://pmc.ncbi.nlm.nih.gov/articles/PMC8387387/" TargetMode="External"/><Relationship Id="rId153" Type="http://schemas.openxmlformats.org/officeDocument/2006/relationships/hyperlink" Target="https://pmc.ncbi.nlm.nih.gov/articles/PMC8387387/" TargetMode="External"/><Relationship Id="rId15" Type="http://schemas.openxmlformats.org/officeDocument/2006/relationships/hyperlink" Target="https://pmc.ncbi.nlm.nih.gov/articles/PMC8387387/" TargetMode="External"/><Relationship Id="rId36" Type="http://schemas.openxmlformats.org/officeDocument/2006/relationships/hyperlink" Target="https://pmc.ncbi.nlm.nih.gov/articles/PMC8387387/" TargetMode="External"/><Relationship Id="rId57" Type="http://schemas.openxmlformats.org/officeDocument/2006/relationships/hyperlink" Target="https://pmc.ncbi.nlm.nih.gov/articles/PMC8387387/" TargetMode="External"/><Relationship Id="rId106" Type="http://schemas.openxmlformats.org/officeDocument/2006/relationships/hyperlink" Target="https://pmc.ncbi.nlm.nih.gov/articles/PMC8387387/" TargetMode="External"/><Relationship Id="rId127" Type="http://schemas.openxmlformats.org/officeDocument/2006/relationships/hyperlink" Target="https://pmc.ncbi.nlm.nih.gov/articles/PMC8387387/" TargetMode="External"/><Relationship Id="rId10" Type="http://schemas.openxmlformats.org/officeDocument/2006/relationships/hyperlink" Target="https://pmc.ncbi.nlm.nih.gov/articles/PMC8387387/" TargetMode="External"/><Relationship Id="rId31" Type="http://schemas.openxmlformats.org/officeDocument/2006/relationships/hyperlink" Target="https://pmc.ncbi.nlm.nih.gov/articles/PMC8387387/" TargetMode="External"/><Relationship Id="rId52" Type="http://schemas.openxmlformats.org/officeDocument/2006/relationships/hyperlink" Target="https://pmc.ncbi.nlm.nih.gov/articles/PMC8387387/" TargetMode="External"/><Relationship Id="rId73" Type="http://schemas.openxmlformats.org/officeDocument/2006/relationships/hyperlink" Target="https://pmc.ncbi.nlm.nih.gov/articles/PMC8387387/" TargetMode="External"/><Relationship Id="rId78" Type="http://schemas.openxmlformats.org/officeDocument/2006/relationships/hyperlink" Target="https://pmc.ncbi.nlm.nih.gov/articles/PMC8387387/" TargetMode="External"/><Relationship Id="rId94" Type="http://schemas.openxmlformats.org/officeDocument/2006/relationships/hyperlink" Target="https://pmc.ncbi.nlm.nih.gov/articles/PMC8387387/" TargetMode="External"/><Relationship Id="rId99" Type="http://schemas.openxmlformats.org/officeDocument/2006/relationships/hyperlink" Target="https://www.ncbi.nlm.nih.gov/core/lw/2.0/html/tileshop_pmc/tileshop_pmc_inline.html?title=Click%20on%20image%20to%20zoom&amp;p=PMC3&amp;id=8387387_41467_2021_25422_Fig6_HTML.jpg" TargetMode="External"/><Relationship Id="rId101" Type="http://schemas.openxmlformats.org/officeDocument/2006/relationships/hyperlink" Target="https://pmc.ncbi.nlm.nih.gov/articles/PMC8387387/" TargetMode="External"/><Relationship Id="rId122" Type="http://schemas.openxmlformats.org/officeDocument/2006/relationships/hyperlink" Target="https://pmc.ncbi.nlm.nih.gov/articles/PMC8387387/" TargetMode="External"/><Relationship Id="rId143" Type="http://schemas.openxmlformats.org/officeDocument/2006/relationships/hyperlink" Target="https://pmc.ncbi.nlm.nih.gov/articles/PMC8387387/" TargetMode="External"/><Relationship Id="rId148" Type="http://schemas.openxmlformats.org/officeDocument/2006/relationships/hyperlink" Target="https://pmc.ncbi.nlm.nih.gov/articles/PMC8387387/" TargetMode="External"/><Relationship Id="rId4" Type="http://schemas.openxmlformats.org/officeDocument/2006/relationships/webSettings" Target="webSettings.xml"/><Relationship Id="rId9" Type="http://schemas.openxmlformats.org/officeDocument/2006/relationships/hyperlink" Target="https://pmc.ncbi.nlm.nih.gov/articles/PMC8387387/" TargetMode="External"/><Relationship Id="rId26" Type="http://schemas.openxmlformats.org/officeDocument/2006/relationships/hyperlink" Target="https://pmc.ncbi.nlm.nih.gov/articles/PMC8387387/" TargetMode="External"/><Relationship Id="rId47" Type="http://schemas.openxmlformats.org/officeDocument/2006/relationships/hyperlink" Target="https://pmc.ncbi.nlm.nih.gov/articles/PMC8387387/" TargetMode="External"/><Relationship Id="rId68" Type="http://schemas.openxmlformats.org/officeDocument/2006/relationships/hyperlink" Target="https://www.ncbi.nlm.nih.gov/core/lw/2.0/html/tileshop_pmc/tileshop_pmc_inline.html?title=Click%20on%20image%20to%20zoom&amp;p=PMC3&amp;id=8387387_41467_2021_25422_Fig3_HTML.jpg" TargetMode="External"/><Relationship Id="rId89" Type="http://schemas.openxmlformats.org/officeDocument/2006/relationships/hyperlink" Target="https://pmc.ncbi.nlm.nih.gov/articles/PMC8387387/" TargetMode="External"/><Relationship Id="rId112" Type="http://schemas.openxmlformats.org/officeDocument/2006/relationships/hyperlink" Target="https://pmc.ncbi.nlm.nih.gov/articles/PMC8387387/" TargetMode="External"/><Relationship Id="rId133" Type="http://schemas.openxmlformats.org/officeDocument/2006/relationships/hyperlink" Target="https://pmc.ncbi.nlm.nih.gov/articles/PMC8387387/" TargetMode="External"/><Relationship Id="rId154" Type="http://schemas.openxmlformats.org/officeDocument/2006/relationships/hyperlink" Target="https://pmc.ncbi.nlm.nih.gov/articles/PMC8387387/" TargetMode="External"/><Relationship Id="rId16" Type="http://schemas.openxmlformats.org/officeDocument/2006/relationships/hyperlink" Target="https://pmc.ncbi.nlm.nih.gov/articles/PMC8387387/" TargetMode="External"/><Relationship Id="rId37" Type="http://schemas.openxmlformats.org/officeDocument/2006/relationships/hyperlink" Target="https://pmc.ncbi.nlm.nih.gov/articles/PMC8387387/" TargetMode="External"/><Relationship Id="rId58" Type="http://schemas.openxmlformats.org/officeDocument/2006/relationships/hyperlink" Target="https://pmc.ncbi.nlm.nih.gov/articles/PMC8387387/" TargetMode="External"/><Relationship Id="rId79" Type="http://schemas.openxmlformats.org/officeDocument/2006/relationships/hyperlink" Target="https://pmc.ncbi.nlm.nih.gov/articles/PMC8387387/" TargetMode="External"/><Relationship Id="rId102" Type="http://schemas.openxmlformats.org/officeDocument/2006/relationships/hyperlink" Target="https://pmc.ncbi.nlm.nih.gov/articles/PMC8387387/" TargetMode="External"/><Relationship Id="rId123" Type="http://schemas.openxmlformats.org/officeDocument/2006/relationships/hyperlink" Target="https://pmc.ncbi.nlm.nih.gov/articles/PMC8387387/" TargetMode="External"/><Relationship Id="rId144" Type="http://schemas.openxmlformats.org/officeDocument/2006/relationships/hyperlink" Target="https://pmc.ncbi.nlm.nih.gov/articles/PMC8387387/" TargetMode="External"/><Relationship Id="rId90" Type="http://schemas.openxmlformats.org/officeDocument/2006/relationships/hyperlink" Target="https://pmc.ncbi.nlm.nih.gov/articles/PMC8387387/" TargetMode="External"/><Relationship Id="rId27" Type="http://schemas.openxmlformats.org/officeDocument/2006/relationships/hyperlink" Target="https://pmc.ncbi.nlm.nih.gov/articles/PMC8387387/" TargetMode="External"/><Relationship Id="rId48" Type="http://schemas.openxmlformats.org/officeDocument/2006/relationships/hyperlink" Target="https://pmc.ncbi.nlm.nih.gov/articles/PMC8387387/" TargetMode="External"/><Relationship Id="rId69" Type="http://schemas.openxmlformats.org/officeDocument/2006/relationships/image" Target="media/image3.jpeg"/><Relationship Id="rId113" Type="http://schemas.openxmlformats.org/officeDocument/2006/relationships/hyperlink" Target="https://pmc.ncbi.nlm.nih.gov/articles/PMC8387387/" TargetMode="External"/><Relationship Id="rId134" Type="http://schemas.openxmlformats.org/officeDocument/2006/relationships/hyperlink" Target="https://pmc.ncbi.nlm.nih.gov/articles/PMC8387387/"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41</Pages>
  <Words>5979</Words>
  <Characters>34081</Characters>
  <Application>Microsoft Office Word</Application>
  <DocSecurity>0</DocSecurity>
  <Lines>284</Lines>
  <Paragraphs>79</Paragraphs>
  <ScaleCrop>false</ScaleCrop>
  <Company/>
  <LinksUpToDate>false</LinksUpToDate>
  <CharactersWithSpaces>39981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2026-01-04T11:43:00Z</dcterms:created>
  <dcterms:modified xsi:type="dcterms:W3CDTF">2026-01-04T11:49:00Z</dcterms:modified>
</cp:coreProperties>
</file>