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0B87A" w14:textId="77777777" w:rsidR="0033022D" w:rsidRPr="0033022D" w:rsidRDefault="0033022D" w:rsidP="0033022D">
      <w:pPr>
        <w:widowControl/>
        <w:spacing w:line="450" w:lineRule="atLeast"/>
        <w:outlineLvl w:val="0"/>
        <w:rPr>
          <w:rFonts w:ascii="微软雅黑" w:eastAsia="微软雅黑" w:hAnsi="微软雅黑" w:cs="宋体"/>
          <w:b/>
          <w:bCs/>
          <w:kern w:val="36"/>
          <w:sz w:val="36"/>
          <w:szCs w:val="36"/>
        </w:rPr>
      </w:pPr>
      <w:r w:rsidRPr="0033022D">
        <w:rPr>
          <w:rFonts w:ascii="微软雅黑" w:eastAsia="微软雅黑" w:hAnsi="微软雅黑" w:cs="宋体"/>
          <w:b/>
          <w:bCs/>
          <w:kern w:val="36"/>
          <w:sz w:val="36"/>
          <w:szCs w:val="36"/>
        </w:rPr>
        <w:t>对细胞周期蛋白依赖性激酶 (CDK) 4/6 抑制剂的耐药性会导致乳腺癌细胞对其他 CDK 抑制剂产生交叉耐药性，但不会导致对化疗药物产生交叉耐药性。</w:t>
      </w:r>
    </w:p>
    <w:p w14:paraId="0F89F0E7" w14:textId="697DD1B5" w:rsidR="0033022D" w:rsidRPr="0033022D" w:rsidRDefault="0033022D" w:rsidP="0033022D">
      <w:pPr>
        <w:widowControl/>
        <w:pBdr>
          <w:bottom w:val="single" w:sz="6" w:space="0" w:color="97B1C8"/>
        </w:pBdr>
        <w:spacing w:line="450" w:lineRule="atLeast"/>
        <w:outlineLvl w:val="1"/>
        <w:rPr>
          <w:rFonts w:ascii="微软雅黑" w:eastAsia="微软雅黑" w:hAnsi="微软雅黑" w:cs="宋体"/>
          <w:kern w:val="0"/>
          <w:sz w:val="34"/>
          <w:szCs w:val="34"/>
        </w:rPr>
      </w:pPr>
      <w:r w:rsidRPr="0033022D">
        <w:rPr>
          <w:rFonts w:ascii="微软雅黑" w:eastAsia="微软雅黑" w:hAnsi="微软雅黑" w:cs="宋体" w:hint="eastAsia"/>
          <w:kern w:val="0"/>
          <w:sz w:val="34"/>
          <w:szCs w:val="34"/>
        </w:rPr>
        <w:t>摘要</w:t>
      </w:r>
    </w:p>
    <w:p w14:paraId="39EB9507"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背景</w:t>
      </w:r>
    </w:p>
    <w:p w14:paraId="1DC0EF7B"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细胞周期蛋白依赖性激酶 (CDK) 4/6 抑制剂联合内分泌治疗已被证实不仅能改善激素受体 (HR) 阳性、HER2 阴性晚期乳腺癌患者的无进展生存期，还能提高其总生存期。然而，对这种联合疗法的耐药性不可避免地会出现。如何治疗耐药性乳腺癌是目前最重要的临床问题之一。为了探究导致耐药性的作用机制，我们构建了对 CDK4/6 抑制剂耐药的乳腺癌细胞系，并分析了其生物学特性以及对不同抗癌药物的敏感性。</w:t>
      </w:r>
    </w:p>
    <w:p w14:paraId="0DB01588"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方法</w:t>
      </w:r>
    </w:p>
    <w:p w14:paraId="3736BFB3"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我们将HR阳性、HER2阴性的MCF-7和KPL-1乳腺癌细胞在添加了帕博西尼（PAL）或阿贝西利（ABE）的培养基中培养超过5个月，并成功构建了PAL或ABE耐药细胞。我们比较了PAL或ABE对耐药细胞和亲代细胞的生长、基础RB表达、RB磷酸化、细胞周期和细胞衰老的影响。此外，我们还检测了其他CDK4/6抑制剂、不同化疗药物和雌激素对细胞生长的影响。采用RT-PCR检测了细胞周期蛋白D1、CDK2、CDK4、CDK6、细胞周期蛋白E1和雌激素受体（ER）-α的表达水平。</w:t>
      </w:r>
    </w:p>
    <w:p w14:paraId="4A64FFD5"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结果</w:t>
      </w:r>
    </w:p>
    <w:p w14:paraId="1FB76500"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lastRenderedPageBreak/>
        <w:t xml:space="preserve">长期暴露于浓度高达 200 </w:t>
      </w:r>
      <w:proofErr w:type="spellStart"/>
      <w:r w:rsidRPr="0033022D">
        <w:rPr>
          <w:rFonts w:ascii="微软雅黑" w:eastAsia="微软雅黑" w:hAnsi="微软雅黑" w:cs="宋体"/>
          <w:kern w:val="0"/>
          <w:sz w:val="24"/>
          <w:szCs w:val="24"/>
        </w:rPr>
        <w:t>nM</w:t>
      </w:r>
      <w:proofErr w:type="spellEnd"/>
      <w:r w:rsidRPr="0033022D">
        <w:rPr>
          <w:rFonts w:ascii="微软雅黑" w:eastAsia="微软雅黑" w:hAnsi="微软雅黑" w:cs="宋体"/>
          <w:kern w:val="0"/>
          <w:sz w:val="24"/>
          <w:szCs w:val="24"/>
        </w:rPr>
        <w:t xml:space="preserve"> 的 PAL 或 ABE 会导致 MCF-7 或 KPL-1 乳腺癌细胞产生 PAL 或 ABE 耐药性。两种耐药细胞中 RB 的基础</w:t>
      </w:r>
      <w:proofErr w:type="gramStart"/>
      <w:r w:rsidRPr="0033022D">
        <w:rPr>
          <w:rFonts w:ascii="微软雅黑" w:eastAsia="微软雅黑" w:hAnsi="微软雅黑" w:cs="宋体"/>
          <w:kern w:val="0"/>
          <w:sz w:val="24"/>
          <w:szCs w:val="24"/>
        </w:rPr>
        <w:t>表达水</w:t>
      </w:r>
      <w:proofErr w:type="gramEnd"/>
      <w:r w:rsidRPr="0033022D">
        <w:rPr>
          <w:rFonts w:ascii="微软雅黑" w:eastAsia="微软雅黑" w:hAnsi="微软雅黑" w:cs="宋体"/>
          <w:kern w:val="0"/>
          <w:sz w:val="24"/>
          <w:szCs w:val="24"/>
        </w:rPr>
        <w:t>平均下调。PAL 或 ABE 对 RB 磷酸化的抑制作用在两种耐药细胞中均减弱。相应地，两种抑制剂诱导的 G1/S 期细胞周期阻滞和细胞衰老在两种耐药细胞中也均减弱。两种耐药细胞对另一种 CDK4/6 抑制剂均表现出交叉耐药性，但对不同的化疗药物（5-氟尿嘧啶、吉西他滨、紫杉醇、多</w:t>
      </w:r>
      <w:proofErr w:type="gramStart"/>
      <w:r w:rsidRPr="0033022D">
        <w:rPr>
          <w:rFonts w:ascii="微软雅黑" w:eastAsia="微软雅黑" w:hAnsi="微软雅黑" w:cs="宋体"/>
          <w:kern w:val="0"/>
          <w:sz w:val="24"/>
          <w:szCs w:val="24"/>
        </w:rPr>
        <w:t>西他赛</w:t>
      </w:r>
      <w:proofErr w:type="gramEnd"/>
      <w:r w:rsidRPr="0033022D">
        <w:rPr>
          <w:rFonts w:ascii="微软雅黑" w:eastAsia="微软雅黑" w:hAnsi="微软雅黑" w:cs="宋体"/>
          <w:kern w:val="0"/>
          <w:sz w:val="24"/>
          <w:szCs w:val="24"/>
        </w:rPr>
        <w:t>、阿霉素和艾立布林）的敏感性与亲代细胞几乎相同。耐药 MCF-7 细胞中</w:t>
      </w:r>
      <w:r w:rsidRPr="0033022D">
        <w:rPr>
          <w:rFonts w:ascii="微软雅黑" w:eastAsia="微软雅黑" w:hAnsi="微软雅黑" w:cs="宋体"/>
          <w:i/>
          <w:iCs/>
          <w:kern w:val="0"/>
          <w:sz w:val="24"/>
          <w:szCs w:val="24"/>
        </w:rPr>
        <w:t>CDK6</w:t>
      </w:r>
      <w:r w:rsidRPr="0033022D">
        <w:rPr>
          <w:rFonts w:ascii="微软雅黑" w:eastAsia="微软雅黑" w:hAnsi="微软雅黑" w:cs="宋体"/>
          <w:kern w:val="0"/>
          <w:sz w:val="24"/>
          <w:szCs w:val="24"/>
        </w:rPr>
        <w:t>的 mRNA 表达水平显著升高，而耐药 KPL-1 细胞中</w:t>
      </w:r>
      <w:r w:rsidRPr="0033022D">
        <w:rPr>
          <w:rFonts w:ascii="微软雅黑" w:eastAsia="微软雅黑" w:hAnsi="微软雅黑" w:cs="宋体"/>
          <w:i/>
          <w:iCs/>
          <w:kern w:val="0"/>
          <w:sz w:val="24"/>
          <w:szCs w:val="24"/>
        </w:rPr>
        <w:t>Rb1</w:t>
      </w:r>
      <w:r w:rsidRPr="0033022D">
        <w:rPr>
          <w:rFonts w:ascii="微软雅黑" w:eastAsia="微软雅黑" w:hAnsi="微软雅黑" w:cs="宋体"/>
          <w:kern w:val="0"/>
          <w:sz w:val="24"/>
          <w:szCs w:val="24"/>
        </w:rPr>
        <w:t>的 mRNA 表达水平显著降低。虽然两种耐药细胞对雌激素的敏感性均低于亲代细胞，但 ER-α 的表达水平在两者中均未发生显著变化。</w:t>
      </w:r>
    </w:p>
    <w:p w14:paraId="59AA6393"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结论</w:t>
      </w:r>
    </w:p>
    <w:p w14:paraId="78BAEF8A"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我们的研究表明，在HR阳性、HER2阴性乳腺癌细胞中，对PAL或ABE的获得性耐药会赋予对其他CDK4/6抑制剂的交叉耐药性，但不会使细胞对化疗药物产生交叉耐药性。CDK4/6抑制剂导致RB基础表达下调和RB磷酸化水平正常化，这可能是其抗细胞生长作用减弱的原因。</w:t>
      </w:r>
    </w:p>
    <w:p w14:paraId="36848BFA"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电子补充材料</w:t>
      </w:r>
    </w:p>
    <w:p w14:paraId="15FABFA1"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本文的在线版本（10.1007/s12282-020-01150-8）包含补充材料，授权用户可以访问。</w:t>
      </w:r>
    </w:p>
    <w:p w14:paraId="4F9633BE"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b/>
          <w:bCs/>
          <w:kern w:val="0"/>
          <w:sz w:val="24"/>
          <w:szCs w:val="24"/>
        </w:rPr>
        <w:t>关键词：</w:t>
      </w:r>
      <w:r w:rsidRPr="0033022D">
        <w:rPr>
          <w:rFonts w:ascii="微软雅黑" w:eastAsia="微软雅黑" w:hAnsi="微软雅黑" w:cs="宋体"/>
          <w:kern w:val="0"/>
          <w:sz w:val="24"/>
          <w:szCs w:val="24"/>
        </w:rPr>
        <w:t>乳腺癌，CDK4/6抑制剂，耐药性，化疗药物，RB</w:t>
      </w:r>
    </w:p>
    <w:p w14:paraId="504BD8F6" w14:textId="77777777" w:rsidR="0033022D" w:rsidRPr="0033022D" w:rsidRDefault="0033022D" w:rsidP="0033022D">
      <w:pPr>
        <w:widowControl/>
        <w:pBdr>
          <w:bottom w:val="single" w:sz="6" w:space="0" w:color="97B1C8"/>
        </w:pBdr>
        <w:spacing w:line="450" w:lineRule="atLeast"/>
        <w:outlineLvl w:val="1"/>
        <w:rPr>
          <w:rFonts w:ascii="微软雅黑" w:eastAsia="微软雅黑" w:hAnsi="微软雅黑" w:cs="宋体"/>
          <w:kern w:val="0"/>
          <w:sz w:val="34"/>
          <w:szCs w:val="34"/>
        </w:rPr>
      </w:pPr>
      <w:r w:rsidRPr="0033022D">
        <w:rPr>
          <w:rFonts w:ascii="微软雅黑" w:eastAsia="微软雅黑" w:hAnsi="微软雅黑" w:cs="宋体"/>
          <w:kern w:val="0"/>
          <w:sz w:val="34"/>
          <w:szCs w:val="34"/>
        </w:rPr>
        <w:t>介绍</w:t>
      </w:r>
    </w:p>
    <w:p w14:paraId="08CF4683"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lastRenderedPageBreak/>
        <w:t>激素受体（HR）阳性、人表皮生长因子受体2（HER2）阴性的乳腺癌是最常见的乳腺癌亚型。近年来，细胞周期蛋白依赖性激酶（CDK）4/6抑制剂联合内分泌治疗已成为HR阳性、HER2阴性转移性乳腺癌患者的一线或二线治疗方案。与单纯内分泌治疗相比，这些联合治疗不仅能改善无进展生存期，还能提高总生存期。然而，部分HR阳性、HER2阳性乳腺癌对联合治疗存在原发性耐药。此外，获得性耐药也时有发生。因此，如何制定针对联合治疗耐药乳腺癌的最佳治疗策略，仍然是乳腺癌治疗领域尚未解决的重要问题之一[ </w:t>
      </w:r>
      <w:hyperlink r:id="rId5" w:anchor="CR1" w:history="1">
        <w:r w:rsidRPr="0033022D">
          <w:rPr>
            <w:rFonts w:ascii="微软雅黑" w:eastAsia="微软雅黑" w:hAnsi="微软雅黑" w:cs="宋体"/>
            <w:kern w:val="0"/>
            <w:sz w:val="24"/>
            <w:szCs w:val="24"/>
            <w:u w:val="single"/>
          </w:rPr>
          <w:t>1</w:t>
        </w:r>
      </w:hyperlink>
      <w:r w:rsidRPr="0033022D">
        <w:rPr>
          <w:rFonts w:ascii="微软雅黑" w:eastAsia="微软雅黑" w:hAnsi="微软雅黑" w:cs="宋体"/>
          <w:kern w:val="0"/>
          <w:sz w:val="24"/>
          <w:szCs w:val="24"/>
        </w:rPr>
        <w:t> ]。</w:t>
      </w:r>
    </w:p>
    <w:p w14:paraId="12D0CDB5"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近年来，临床前和转化研究对导致CDK4/6抑制剂原发性或获得性耐药的作用机制进行了深入探讨。研究表明，至少存在两种</w:t>
      </w:r>
      <w:r w:rsidRPr="0033022D">
        <w:rPr>
          <w:rFonts w:ascii="MS Gothic" w:eastAsia="MS Gothic" w:hAnsi="MS Gothic" w:cs="MS Gothic" w:hint="eastAsia"/>
          <w:kern w:val="0"/>
          <w:sz w:val="24"/>
          <w:szCs w:val="24"/>
        </w:rPr>
        <w:t>​​</w:t>
      </w:r>
      <w:r w:rsidRPr="0033022D">
        <w:rPr>
          <w:rFonts w:ascii="微软雅黑" w:eastAsia="微软雅黑" w:hAnsi="微软雅黑" w:cs="宋体"/>
          <w:kern w:val="0"/>
          <w:sz w:val="24"/>
          <w:szCs w:val="24"/>
        </w:rPr>
        <w:t>机制。一种是细胞周期机制失调，例如视网膜母细胞瘤蛋白（RB）的缺失或功能障碍、CDK6扩增以及细胞周期蛋白E/CDK2通路的激活[ </w:t>
      </w:r>
      <w:hyperlink r:id="rId6" w:anchor="CR2" w:history="1">
        <w:r w:rsidRPr="0033022D">
          <w:rPr>
            <w:rFonts w:ascii="微软雅黑" w:eastAsia="微软雅黑" w:hAnsi="微软雅黑" w:cs="宋体"/>
            <w:kern w:val="0"/>
            <w:sz w:val="24"/>
            <w:szCs w:val="24"/>
            <w:u w:val="single"/>
          </w:rPr>
          <w:t>2</w:t>
        </w:r>
      </w:hyperlink>
      <w:r w:rsidRPr="0033022D">
        <w:rPr>
          <w:rFonts w:ascii="微软雅黑" w:eastAsia="微软雅黑" w:hAnsi="微软雅黑" w:cs="宋体"/>
          <w:kern w:val="0"/>
          <w:sz w:val="24"/>
          <w:szCs w:val="24"/>
        </w:rPr>
        <w:t> ]。另一种是细胞周期非依赖性机制，例如PI3K/AKT/mTOR或成纤维细胞生长因子受体（FGFR）通路的激活[ </w:t>
      </w:r>
      <w:hyperlink r:id="rId7" w:anchor="CR2" w:history="1">
        <w:r w:rsidRPr="0033022D">
          <w:rPr>
            <w:rFonts w:ascii="微软雅黑" w:eastAsia="微软雅黑" w:hAnsi="微软雅黑" w:cs="宋体"/>
            <w:kern w:val="0"/>
            <w:sz w:val="24"/>
            <w:szCs w:val="24"/>
            <w:u w:val="single"/>
          </w:rPr>
          <w:t>2 ]。事实上，近期多项转化研究表明</w:t>
        </w:r>
      </w:hyperlink>
      <w:hyperlink r:id="rId8" w:anchor="CR5" w:history="1">
        <w:r w:rsidRPr="0033022D">
          <w:rPr>
            <w:rFonts w:ascii="微软雅黑" w:eastAsia="微软雅黑" w:hAnsi="微软雅黑" w:cs="宋体"/>
            <w:kern w:val="0"/>
            <w:sz w:val="24"/>
            <w:szCs w:val="24"/>
            <w:u w:val="single"/>
          </w:rPr>
          <w:t>，</w:t>
        </w:r>
      </w:hyperlink>
      <w:r w:rsidRPr="0033022D">
        <w:rPr>
          <w:rFonts w:ascii="微软雅黑" w:eastAsia="微软雅黑" w:hAnsi="微软雅黑" w:cs="宋体"/>
          <w:kern w:val="0"/>
          <w:sz w:val="24"/>
          <w:szCs w:val="24"/>
        </w:rPr>
        <w:t>部分乳腺癌在接受CDK4/6抑制剂治疗期间出现了这些改变[ </w:t>
      </w:r>
      <w:hyperlink r:id="rId9" w:anchor="CR3" w:history="1">
        <w:r w:rsidRPr="0033022D">
          <w:rPr>
            <w:rFonts w:ascii="微软雅黑" w:eastAsia="微软雅黑" w:hAnsi="微软雅黑" w:cs="宋体"/>
            <w:kern w:val="0"/>
            <w:sz w:val="24"/>
            <w:szCs w:val="24"/>
            <w:u w:val="single"/>
          </w:rPr>
          <w:t>3-5</w:t>
        </w:r>
      </w:hyperlink>
      <w:r w:rsidRPr="0033022D">
        <w:rPr>
          <w:rFonts w:ascii="微软雅黑" w:eastAsia="微软雅黑" w:hAnsi="微软雅黑" w:cs="宋体"/>
          <w:kern w:val="0"/>
          <w:sz w:val="24"/>
          <w:szCs w:val="24"/>
        </w:rPr>
        <w:t> ]。</w:t>
      </w:r>
    </w:p>
    <w:p w14:paraId="6F70627B"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为了阐明导致 CDK4/6 抑制剂耐药的作用机制，并探索针对此类耐药乳腺癌的最佳治疗策略，我们开展了这项临床前研究。首先，我们利用两种不同的 HR 阳性 HER2 阴性乳腺癌细胞系，构建了对两种不同的 CDK4/6 抑制剂帕博西尼 (PAL) 和阿贝西利 (ABE) 产生获得性耐药的体外模型。其次，我们评估了不同抗肿瘤药物（例如其他 CDK4/6 抑制剂和细胞毒性化疗药物）的抗细胞生长活性。第三，为了探究耐药乳腺癌细胞的生物学改变，我们检测了其对雌激素的反应性以及细胞周期相关因子和雌激素受体 (ER)-α 的表达水平变化。</w:t>
      </w:r>
    </w:p>
    <w:p w14:paraId="457EFEB2" w14:textId="77777777" w:rsidR="0033022D" w:rsidRPr="0033022D" w:rsidRDefault="0033022D" w:rsidP="0033022D">
      <w:pPr>
        <w:widowControl/>
        <w:pBdr>
          <w:bottom w:val="single" w:sz="6" w:space="0" w:color="97B1C8"/>
        </w:pBdr>
        <w:spacing w:line="450" w:lineRule="atLeast"/>
        <w:outlineLvl w:val="1"/>
        <w:rPr>
          <w:rFonts w:ascii="微软雅黑" w:eastAsia="微软雅黑" w:hAnsi="微软雅黑" w:cs="宋体"/>
          <w:kern w:val="0"/>
          <w:sz w:val="34"/>
          <w:szCs w:val="34"/>
        </w:rPr>
      </w:pPr>
      <w:r w:rsidRPr="0033022D">
        <w:rPr>
          <w:rFonts w:ascii="微软雅黑" w:eastAsia="微软雅黑" w:hAnsi="微软雅黑" w:cs="宋体"/>
          <w:kern w:val="0"/>
          <w:sz w:val="34"/>
          <w:szCs w:val="34"/>
        </w:rPr>
        <w:lastRenderedPageBreak/>
        <w:t>材料与方法</w:t>
      </w:r>
    </w:p>
    <w:p w14:paraId="33FDCFCD"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试剂</w:t>
      </w:r>
    </w:p>
    <w:p w14:paraId="2B19BCD9"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 xml:space="preserve">PAL 和 ABE 分别购自 </w:t>
      </w:r>
      <w:proofErr w:type="spellStart"/>
      <w:r w:rsidRPr="0033022D">
        <w:rPr>
          <w:rFonts w:ascii="微软雅黑" w:eastAsia="微软雅黑" w:hAnsi="微软雅黑" w:cs="宋体"/>
          <w:kern w:val="0"/>
          <w:sz w:val="24"/>
          <w:szCs w:val="24"/>
        </w:rPr>
        <w:t>AdooQ</w:t>
      </w:r>
      <w:proofErr w:type="spellEnd"/>
      <w:r w:rsidRPr="0033022D">
        <w:rPr>
          <w:rFonts w:ascii="微软雅黑" w:eastAsia="微软雅黑" w:hAnsi="微软雅黑" w:cs="宋体"/>
          <w:kern w:val="0"/>
          <w:sz w:val="24"/>
          <w:szCs w:val="24"/>
        </w:rPr>
        <w:t xml:space="preserve"> BIOSCIENCE（美国加利福尼亚州尔湾市）和 LKT Laboratories, Inc.（美国明尼苏达州圣保罗市）。17β-雌二醇 (E2) 购自 Sigma-Aldrich（美国密苏里州圣路易斯市）。所有细胞毒性化疗药物（5-氟尿嘧啶 [5-FU]、</w:t>
      </w:r>
      <w:proofErr w:type="gramStart"/>
      <w:r w:rsidRPr="0033022D">
        <w:rPr>
          <w:rFonts w:ascii="微软雅黑" w:eastAsia="微软雅黑" w:hAnsi="微软雅黑" w:cs="宋体"/>
          <w:kern w:val="0"/>
          <w:sz w:val="24"/>
          <w:szCs w:val="24"/>
        </w:rPr>
        <w:t>吉西他滨</w:t>
      </w:r>
      <w:proofErr w:type="gramEnd"/>
      <w:r w:rsidRPr="0033022D">
        <w:rPr>
          <w:rFonts w:ascii="微软雅黑" w:eastAsia="微软雅黑" w:hAnsi="微软雅黑" w:cs="宋体"/>
          <w:kern w:val="0"/>
          <w:sz w:val="24"/>
          <w:szCs w:val="24"/>
        </w:rPr>
        <w:t xml:space="preserve"> [GEM]、阿霉素 [DOX]、紫杉醇 [PAC]、多</w:t>
      </w:r>
      <w:proofErr w:type="gramStart"/>
      <w:r w:rsidRPr="0033022D">
        <w:rPr>
          <w:rFonts w:ascii="微软雅黑" w:eastAsia="微软雅黑" w:hAnsi="微软雅黑" w:cs="宋体"/>
          <w:kern w:val="0"/>
          <w:sz w:val="24"/>
          <w:szCs w:val="24"/>
        </w:rPr>
        <w:t>西他赛</w:t>
      </w:r>
      <w:proofErr w:type="gramEnd"/>
      <w:r w:rsidRPr="0033022D">
        <w:rPr>
          <w:rFonts w:ascii="微软雅黑" w:eastAsia="微软雅黑" w:hAnsi="微软雅黑" w:cs="宋体"/>
          <w:kern w:val="0"/>
          <w:sz w:val="24"/>
          <w:szCs w:val="24"/>
        </w:rPr>
        <w:t xml:space="preserve"> [DOC] 和艾立布林 [ERI]）</w:t>
      </w:r>
      <w:proofErr w:type="gramStart"/>
      <w:r w:rsidRPr="0033022D">
        <w:rPr>
          <w:rFonts w:ascii="微软雅黑" w:eastAsia="微软雅黑" w:hAnsi="微软雅黑" w:cs="宋体"/>
          <w:kern w:val="0"/>
          <w:sz w:val="24"/>
          <w:szCs w:val="24"/>
        </w:rPr>
        <w:t>均购自</w:t>
      </w:r>
      <w:proofErr w:type="gramEnd"/>
      <w:r w:rsidRPr="0033022D">
        <w:rPr>
          <w:rFonts w:ascii="微软雅黑" w:eastAsia="微软雅黑" w:hAnsi="微软雅黑" w:cs="宋体"/>
          <w:kern w:val="0"/>
          <w:sz w:val="24"/>
          <w:szCs w:val="24"/>
        </w:rPr>
        <w:t xml:space="preserve"> Sigma-Aldrich。</w:t>
      </w:r>
    </w:p>
    <w:p w14:paraId="156E8E5A"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乳腺癌细胞系和细胞培养</w:t>
      </w:r>
    </w:p>
    <w:p w14:paraId="4D57CB0A"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MCF-7细胞系由已故的Robert B. Dickson教授惠赠，他来自美国华盛顿特区乔治城大学隆巴迪癌症研究中心。KPL-1细胞系由本实验室建立[ </w:t>
      </w:r>
      <w:hyperlink r:id="rId10" w:anchor="CR6" w:history="1">
        <w:r w:rsidRPr="0033022D">
          <w:rPr>
            <w:rFonts w:ascii="微软雅黑" w:eastAsia="微软雅黑" w:hAnsi="微软雅黑" w:cs="宋体"/>
            <w:kern w:val="0"/>
            <w:sz w:val="24"/>
            <w:szCs w:val="24"/>
            <w:u w:val="single"/>
          </w:rPr>
          <w:t>6</w:t>
        </w:r>
      </w:hyperlink>
      <w:r w:rsidRPr="0033022D">
        <w:rPr>
          <w:rFonts w:ascii="微软雅黑" w:eastAsia="微软雅黑" w:hAnsi="微软雅黑" w:cs="宋体"/>
          <w:kern w:val="0"/>
          <w:sz w:val="24"/>
          <w:szCs w:val="24"/>
        </w:rPr>
        <w:t> ]。MCF-7细胞表达雌激素受体α（ER-α）和孕激素受体（PR）。KPL-1细胞表达ER-α但不表达PR。MCF-7细胞对雌激素的敏感性高于KPL-1细胞。KPL-1细胞可在缺乏雌激素的培养基中生长，而MCF-7细胞则不能。两种细胞系均培养于添加10%胎牛血清（FBS）的DMEM培养基中。</w:t>
      </w:r>
    </w:p>
    <w:p w14:paraId="3C152F40"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乳腺癌细胞对 CDK4/6 抑制剂产生耐药性</w:t>
      </w:r>
    </w:p>
    <w:p w14:paraId="13C28451"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 xml:space="preserve">将MCF-7或KPL-1细胞在添加了5% FBS和不同浓度PAL或ABE的RPMI1640培养基中培养5个月。PAL或ABE的浓度逐步增加，具体如下：第一个月100 </w:t>
      </w:r>
      <w:proofErr w:type="spellStart"/>
      <w:r w:rsidRPr="0033022D">
        <w:rPr>
          <w:rFonts w:ascii="微软雅黑" w:eastAsia="微软雅黑" w:hAnsi="微软雅黑" w:cs="宋体"/>
          <w:kern w:val="0"/>
          <w:sz w:val="24"/>
          <w:szCs w:val="24"/>
        </w:rPr>
        <w:t>nM</w:t>
      </w:r>
      <w:proofErr w:type="spellEnd"/>
      <w:r w:rsidRPr="0033022D">
        <w:rPr>
          <w:rFonts w:ascii="微软雅黑" w:eastAsia="微软雅黑" w:hAnsi="微软雅黑" w:cs="宋体"/>
          <w:kern w:val="0"/>
          <w:sz w:val="24"/>
          <w:szCs w:val="24"/>
        </w:rPr>
        <w:t xml:space="preserve">，第二个月125 </w:t>
      </w:r>
      <w:proofErr w:type="spellStart"/>
      <w:r w:rsidRPr="0033022D">
        <w:rPr>
          <w:rFonts w:ascii="微软雅黑" w:eastAsia="微软雅黑" w:hAnsi="微软雅黑" w:cs="宋体"/>
          <w:kern w:val="0"/>
          <w:sz w:val="24"/>
          <w:szCs w:val="24"/>
        </w:rPr>
        <w:t>nM</w:t>
      </w:r>
      <w:proofErr w:type="spellEnd"/>
      <w:r w:rsidRPr="0033022D">
        <w:rPr>
          <w:rFonts w:ascii="微软雅黑" w:eastAsia="微软雅黑" w:hAnsi="微软雅黑" w:cs="宋体"/>
          <w:kern w:val="0"/>
          <w:sz w:val="24"/>
          <w:szCs w:val="24"/>
        </w:rPr>
        <w:t xml:space="preserve">，第三个月150 </w:t>
      </w:r>
      <w:proofErr w:type="spellStart"/>
      <w:r w:rsidRPr="0033022D">
        <w:rPr>
          <w:rFonts w:ascii="微软雅黑" w:eastAsia="微软雅黑" w:hAnsi="微软雅黑" w:cs="宋体"/>
          <w:kern w:val="0"/>
          <w:sz w:val="24"/>
          <w:szCs w:val="24"/>
        </w:rPr>
        <w:t>nM</w:t>
      </w:r>
      <w:proofErr w:type="spellEnd"/>
      <w:r w:rsidRPr="0033022D">
        <w:rPr>
          <w:rFonts w:ascii="微软雅黑" w:eastAsia="微软雅黑" w:hAnsi="微软雅黑" w:cs="宋体"/>
          <w:kern w:val="0"/>
          <w:sz w:val="24"/>
          <w:szCs w:val="24"/>
        </w:rPr>
        <w:t xml:space="preserve">，第四个月175 </w:t>
      </w:r>
      <w:proofErr w:type="spellStart"/>
      <w:r w:rsidRPr="0033022D">
        <w:rPr>
          <w:rFonts w:ascii="微软雅黑" w:eastAsia="微软雅黑" w:hAnsi="微软雅黑" w:cs="宋体"/>
          <w:kern w:val="0"/>
          <w:sz w:val="24"/>
          <w:szCs w:val="24"/>
        </w:rPr>
        <w:t>nM</w:t>
      </w:r>
      <w:proofErr w:type="spellEnd"/>
      <w:r w:rsidRPr="0033022D">
        <w:rPr>
          <w:rFonts w:ascii="微软雅黑" w:eastAsia="微软雅黑" w:hAnsi="微软雅黑" w:cs="宋体"/>
          <w:kern w:val="0"/>
          <w:sz w:val="24"/>
          <w:szCs w:val="24"/>
        </w:rPr>
        <w:t xml:space="preserve">，第五个月200 </w:t>
      </w:r>
      <w:proofErr w:type="spellStart"/>
      <w:r w:rsidRPr="0033022D">
        <w:rPr>
          <w:rFonts w:ascii="微软雅黑" w:eastAsia="微软雅黑" w:hAnsi="微软雅黑" w:cs="宋体"/>
          <w:kern w:val="0"/>
          <w:sz w:val="24"/>
          <w:szCs w:val="24"/>
        </w:rPr>
        <w:t>nM</w:t>
      </w:r>
      <w:proofErr w:type="spellEnd"/>
      <w:r w:rsidRPr="0033022D">
        <w:rPr>
          <w:rFonts w:ascii="微软雅黑" w:eastAsia="微软雅黑" w:hAnsi="微软雅黑" w:cs="宋体"/>
          <w:kern w:val="0"/>
          <w:sz w:val="24"/>
          <w:szCs w:val="24"/>
        </w:rPr>
        <w:t xml:space="preserve">。MCF-7和KPL-1细胞在添加PAL或ABE的培养基中均稳定生长。在添加200 </w:t>
      </w:r>
      <w:proofErr w:type="spellStart"/>
      <w:r w:rsidRPr="0033022D">
        <w:rPr>
          <w:rFonts w:ascii="微软雅黑" w:eastAsia="微软雅黑" w:hAnsi="微软雅黑" w:cs="宋体"/>
          <w:kern w:val="0"/>
          <w:sz w:val="24"/>
          <w:szCs w:val="24"/>
        </w:rPr>
        <w:t>nM</w:t>
      </w:r>
      <w:proofErr w:type="spellEnd"/>
      <w:r w:rsidRPr="0033022D">
        <w:rPr>
          <w:rFonts w:ascii="微软雅黑" w:eastAsia="微软雅黑" w:hAnsi="微软雅黑" w:cs="宋体"/>
          <w:kern w:val="0"/>
          <w:sz w:val="24"/>
          <w:szCs w:val="24"/>
        </w:rPr>
        <w:t xml:space="preserve"> PAL和ABE的培养基中生长的MCF-7细胞分别标记为MR-P和MR-</w:t>
      </w:r>
      <w:r w:rsidRPr="0033022D">
        <w:rPr>
          <w:rFonts w:ascii="微软雅黑" w:eastAsia="微软雅黑" w:hAnsi="微软雅黑" w:cs="宋体"/>
          <w:kern w:val="0"/>
          <w:sz w:val="24"/>
          <w:szCs w:val="24"/>
        </w:rPr>
        <w:lastRenderedPageBreak/>
        <w:t xml:space="preserve">A细胞。在添加200 </w:t>
      </w:r>
      <w:proofErr w:type="spellStart"/>
      <w:r w:rsidRPr="0033022D">
        <w:rPr>
          <w:rFonts w:ascii="微软雅黑" w:eastAsia="微软雅黑" w:hAnsi="微软雅黑" w:cs="宋体"/>
          <w:kern w:val="0"/>
          <w:sz w:val="24"/>
          <w:szCs w:val="24"/>
        </w:rPr>
        <w:t>nM</w:t>
      </w:r>
      <w:proofErr w:type="spellEnd"/>
      <w:r w:rsidRPr="0033022D">
        <w:rPr>
          <w:rFonts w:ascii="微软雅黑" w:eastAsia="微软雅黑" w:hAnsi="微软雅黑" w:cs="宋体"/>
          <w:kern w:val="0"/>
          <w:sz w:val="24"/>
          <w:szCs w:val="24"/>
        </w:rPr>
        <w:t xml:space="preserve"> PAL和ABE的培养基中生长的KPL-1细胞分别标记为KR-P和KR-A细胞。在标准培养基中生长的 MCF-7 和 KPL-1 细胞分别被标记为 MS 细胞和 KS 细胞。</w:t>
      </w:r>
    </w:p>
    <w:p w14:paraId="285AD7A4"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细胞生长测定</w:t>
      </w:r>
    </w:p>
    <w:p w14:paraId="400F7B9B"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为了检测细胞生长，将乳腺癌细胞接种于24孔板（SB Medical，东京，日本），并在添加5%胎牛血清（FBS）的RPMI1640培养基中，于37℃、5% CO</w:t>
      </w:r>
      <w:r w:rsidRPr="0033022D">
        <w:rPr>
          <w:rFonts w:ascii="Cambria Math" w:eastAsia="微软雅黑" w:hAnsi="Cambria Math" w:cs="Cambria Math"/>
          <w:kern w:val="0"/>
          <w:sz w:val="24"/>
          <w:szCs w:val="24"/>
        </w:rPr>
        <w:t>₂</w:t>
      </w:r>
      <w:r w:rsidRPr="0033022D">
        <w:rPr>
          <w:rFonts w:ascii="微软雅黑" w:eastAsia="微软雅黑" w:hAnsi="微软雅黑" w:cs="宋体"/>
          <w:kern w:val="0"/>
          <w:sz w:val="24"/>
          <w:szCs w:val="24"/>
        </w:rPr>
        <w:t>气氛下培养1天。用磷酸盐缓冲液（PBS，</w:t>
      </w:r>
      <w:proofErr w:type="spellStart"/>
      <w:r w:rsidRPr="0033022D">
        <w:rPr>
          <w:rFonts w:ascii="微软雅黑" w:eastAsia="微软雅黑" w:hAnsi="微软雅黑" w:cs="宋体"/>
          <w:kern w:val="0"/>
          <w:sz w:val="24"/>
          <w:szCs w:val="24"/>
        </w:rPr>
        <w:t>Nissui</w:t>
      </w:r>
      <w:proofErr w:type="spellEnd"/>
      <w:r w:rsidRPr="0033022D">
        <w:rPr>
          <w:rFonts w:ascii="微软雅黑" w:eastAsia="微软雅黑" w:hAnsi="微软雅黑" w:cs="宋体"/>
          <w:kern w:val="0"/>
          <w:sz w:val="24"/>
          <w:szCs w:val="24"/>
        </w:rPr>
        <w:t>公司，东京，日本）洗涤后，将细胞转移至不含雌激素的培养基中培养</w:t>
      </w:r>
      <w:r w:rsidRPr="0033022D">
        <w:rPr>
          <w:rFonts w:ascii="微软雅黑" w:eastAsia="微软雅黑" w:hAnsi="微软雅黑" w:cs="宋体"/>
          <w:kern w:val="0"/>
          <w:sz w:val="24"/>
          <w:szCs w:val="24"/>
          <w:vertAlign w:val="subscript"/>
        </w:rPr>
        <w:t>3</w:t>
      </w:r>
      <w:r w:rsidRPr="0033022D">
        <w:rPr>
          <w:rFonts w:ascii="微软雅黑" w:eastAsia="微软雅黑" w:hAnsi="微软雅黑" w:cs="宋体"/>
          <w:kern w:val="0"/>
          <w:sz w:val="24"/>
          <w:szCs w:val="24"/>
        </w:rPr>
        <w:t xml:space="preserve">天。该培养基由不含酚红的RPMI1640培养基（Life Technologies公司，卡尔斯巴德，加利福尼亚州，美国）和5%葡聚糖包被的活性炭处理的胎牛血清（GE Healthcare </w:t>
      </w:r>
      <w:proofErr w:type="spellStart"/>
      <w:r w:rsidRPr="0033022D">
        <w:rPr>
          <w:rFonts w:ascii="微软雅黑" w:eastAsia="微软雅黑" w:hAnsi="微软雅黑" w:cs="宋体"/>
          <w:kern w:val="0"/>
          <w:sz w:val="24"/>
          <w:szCs w:val="24"/>
        </w:rPr>
        <w:t>HyClone</w:t>
      </w:r>
      <w:proofErr w:type="spellEnd"/>
      <w:r w:rsidRPr="0033022D">
        <w:rPr>
          <w:rFonts w:ascii="微软雅黑" w:eastAsia="微软雅黑" w:hAnsi="微软雅黑" w:cs="宋体"/>
          <w:kern w:val="0"/>
          <w:sz w:val="24"/>
          <w:szCs w:val="24"/>
        </w:rPr>
        <w:t xml:space="preserve">公司，东京，日本）组成，并添加1 </w:t>
      </w:r>
      <w:proofErr w:type="spellStart"/>
      <w:r w:rsidRPr="0033022D">
        <w:rPr>
          <w:rFonts w:ascii="微软雅黑" w:eastAsia="微软雅黑" w:hAnsi="微软雅黑" w:cs="宋体"/>
          <w:kern w:val="0"/>
          <w:sz w:val="24"/>
          <w:szCs w:val="24"/>
        </w:rPr>
        <w:t>nM</w:t>
      </w:r>
      <w:proofErr w:type="spellEnd"/>
      <w:r w:rsidRPr="0033022D">
        <w:rPr>
          <w:rFonts w:ascii="微软雅黑" w:eastAsia="微软雅黑" w:hAnsi="微软雅黑" w:cs="宋体"/>
          <w:kern w:val="0"/>
          <w:sz w:val="24"/>
          <w:szCs w:val="24"/>
        </w:rPr>
        <w:t>雌二醇（E2）以及指定浓度的对乙酰氨基</w:t>
      </w:r>
      <w:proofErr w:type="gramStart"/>
      <w:r w:rsidRPr="0033022D">
        <w:rPr>
          <w:rFonts w:ascii="微软雅黑" w:eastAsia="微软雅黑" w:hAnsi="微软雅黑" w:cs="宋体"/>
          <w:kern w:val="0"/>
          <w:sz w:val="24"/>
          <w:szCs w:val="24"/>
        </w:rPr>
        <w:t>酚</w:t>
      </w:r>
      <w:proofErr w:type="gramEnd"/>
      <w:r w:rsidRPr="0033022D">
        <w:rPr>
          <w:rFonts w:ascii="微软雅黑" w:eastAsia="微软雅黑" w:hAnsi="微软雅黑" w:cs="宋体"/>
          <w:kern w:val="0"/>
          <w:sz w:val="24"/>
          <w:szCs w:val="24"/>
        </w:rPr>
        <w:t>（PAL）、阿贝替尼（ABE）和化疗药物。在雌二醇敏感性检测中，将细胞转移至不含雌激素的培养基中，并添加指定浓度的雌二醇（E2）培养3天。然后，收集细胞，并使用库尔</w:t>
      </w:r>
      <w:proofErr w:type="gramStart"/>
      <w:r w:rsidRPr="0033022D">
        <w:rPr>
          <w:rFonts w:ascii="微软雅黑" w:eastAsia="微软雅黑" w:hAnsi="微软雅黑" w:cs="宋体"/>
          <w:kern w:val="0"/>
          <w:sz w:val="24"/>
          <w:szCs w:val="24"/>
        </w:rPr>
        <w:t>特</w:t>
      </w:r>
      <w:proofErr w:type="gramEnd"/>
      <w:r w:rsidRPr="0033022D">
        <w:rPr>
          <w:rFonts w:ascii="微软雅黑" w:eastAsia="微软雅黑" w:hAnsi="微软雅黑" w:cs="宋体"/>
          <w:kern w:val="0"/>
          <w:sz w:val="24"/>
          <w:szCs w:val="24"/>
        </w:rPr>
        <w:t>计数器（英国哈彭登库尔特电子公司）进行计数[ </w:t>
      </w:r>
      <w:hyperlink r:id="rId11" w:anchor="CR7" w:history="1">
        <w:r w:rsidRPr="0033022D">
          <w:rPr>
            <w:rFonts w:ascii="微软雅黑" w:eastAsia="微软雅黑" w:hAnsi="微软雅黑" w:cs="宋体"/>
            <w:kern w:val="0"/>
            <w:sz w:val="24"/>
            <w:szCs w:val="24"/>
            <w:u w:val="single"/>
          </w:rPr>
          <w:t>7</w:t>
        </w:r>
      </w:hyperlink>
      <w:r w:rsidRPr="0033022D">
        <w:rPr>
          <w:rFonts w:ascii="微软雅黑" w:eastAsia="微软雅黑" w:hAnsi="微软雅黑" w:cs="宋体"/>
          <w:kern w:val="0"/>
          <w:sz w:val="24"/>
          <w:szCs w:val="24"/>
        </w:rPr>
        <w:t> ]。</w:t>
      </w:r>
    </w:p>
    <w:p w14:paraId="2D05B8A9"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细胞周期和细胞衰老检测</w:t>
      </w:r>
    </w:p>
    <w:p w14:paraId="4F89EC95"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 xml:space="preserve">为了研究细胞周期进程，收集的细胞使用 </w:t>
      </w:r>
      <w:proofErr w:type="spellStart"/>
      <w:r w:rsidRPr="0033022D">
        <w:rPr>
          <w:rFonts w:ascii="微软雅黑" w:eastAsia="微软雅黑" w:hAnsi="微软雅黑" w:cs="宋体"/>
          <w:kern w:val="0"/>
          <w:sz w:val="24"/>
          <w:szCs w:val="24"/>
        </w:rPr>
        <w:t>CycleTest</w:t>
      </w:r>
      <w:proofErr w:type="spellEnd"/>
      <w:r w:rsidRPr="0033022D">
        <w:rPr>
          <w:rFonts w:ascii="微软雅黑" w:eastAsia="微软雅黑" w:hAnsi="微软雅黑" w:cs="宋体"/>
          <w:kern w:val="0"/>
          <w:sz w:val="24"/>
          <w:szCs w:val="24"/>
        </w:rPr>
        <w:t xml:space="preserve"> Plus DNA 试剂盒（美国加州圣何塞 Becton-Dickinson 公司）按照制造商的建议用碘化丙</w:t>
      </w:r>
      <w:proofErr w:type="gramStart"/>
      <w:r w:rsidRPr="0033022D">
        <w:rPr>
          <w:rFonts w:ascii="微软雅黑" w:eastAsia="微软雅黑" w:hAnsi="微软雅黑" w:cs="宋体"/>
          <w:kern w:val="0"/>
          <w:sz w:val="24"/>
          <w:szCs w:val="24"/>
        </w:rPr>
        <w:t>啶</w:t>
      </w:r>
      <w:proofErr w:type="gramEnd"/>
      <w:r w:rsidRPr="0033022D">
        <w:rPr>
          <w:rFonts w:ascii="微软雅黑" w:eastAsia="微软雅黑" w:hAnsi="微软雅黑" w:cs="宋体"/>
          <w:kern w:val="0"/>
          <w:sz w:val="24"/>
          <w:szCs w:val="24"/>
        </w:rPr>
        <w:t xml:space="preserve">染色。使用 </w:t>
      </w:r>
      <w:proofErr w:type="spellStart"/>
      <w:r w:rsidRPr="0033022D">
        <w:rPr>
          <w:rFonts w:ascii="微软雅黑" w:eastAsia="微软雅黑" w:hAnsi="微软雅黑" w:cs="宋体"/>
          <w:kern w:val="0"/>
          <w:sz w:val="24"/>
          <w:szCs w:val="24"/>
        </w:rPr>
        <w:t>FACSCalibur</w:t>
      </w:r>
      <w:proofErr w:type="spellEnd"/>
      <w:r w:rsidRPr="0033022D">
        <w:rPr>
          <w:rFonts w:ascii="微软雅黑" w:eastAsia="微软雅黑" w:hAnsi="微软雅黑" w:cs="宋体"/>
          <w:kern w:val="0"/>
          <w:sz w:val="24"/>
          <w:szCs w:val="24"/>
        </w:rPr>
        <w:t xml:space="preserve"> 流式细胞仪（Becton-Dickinson 公司）进行流式细胞术分析，并使用 </w:t>
      </w:r>
      <w:proofErr w:type="spellStart"/>
      <w:r w:rsidRPr="0033022D">
        <w:rPr>
          <w:rFonts w:ascii="微软雅黑" w:eastAsia="微软雅黑" w:hAnsi="微软雅黑" w:cs="宋体"/>
          <w:kern w:val="0"/>
          <w:sz w:val="24"/>
          <w:szCs w:val="24"/>
        </w:rPr>
        <w:t>CELLQuest</w:t>
      </w:r>
      <w:proofErr w:type="spellEnd"/>
      <w:r w:rsidRPr="0033022D">
        <w:rPr>
          <w:rFonts w:ascii="微软雅黑" w:eastAsia="微软雅黑" w:hAnsi="微软雅黑" w:cs="宋体"/>
          <w:kern w:val="0"/>
          <w:sz w:val="24"/>
          <w:szCs w:val="24"/>
        </w:rPr>
        <w:t xml:space="preserve"> 6.0 版（Becton-Dickinson 公司）分析 DNA 直方图 [ </w:t>
      </w:r>
      <w:hyperlink r:id="rId12" w:anchor="CR7" w:history="1">
        <w:r w:rsidRPr="0033022D">
          <w:rPr>
            <w:rFonts w:ascii="微软雅黑" w:eastAsia="微软雅黑" w:hAnsi="微软雅黑" w:cs="宋体"/>
            <w:kern w:val="0"/>
            <w:sz w:val="24"/>
            <w:szCs w:val="24"/>
            <w:u w:val="single"/>
          </w:rPr>
          <w:t>7</w:t>
        </w:r>
      </w:hyperlink>
      <w:r w:rsidRPr="0033022D">
        <w:rPr>
          <w:rFonts w:ascii="微软雅黑" w:eastAsia="微软雅黑" w:hAnsi="微软雅黑" w:cs="宋体"/>
          <w:kern w:val="0"/>
          <w:sz w:val="24"/>
          <w:szCs w:val="24"/>
        </w:rPr>
        <w:t> ]。</w:t>
      </w:r>
    </w:p>
    <w:p w14:paraId="7945EB04"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lastRenderedPageBreak/>
        <w:t>衰老细胞的检测采用SA-β-半乳糖苷酶染色试剂盒（Millipore，美国马萨诸塞州比勒里卡）并按照制造商的说明书进行。简而言之，将细胞以每孔2000个细胞的低密度接种于12孔板中，并用指定浓度的PAL或ABE处理3天。之后，用PBS洗涤细胞，固定并用SA-β-半乳糖苷酶溶液（Millipore）染色4小时或过夜。每个重复实验中，在3个不同的视野中计数100个细胞，以此对衰老细胞进行定量[ </w:t>
      </w:r>
      <w:hyperlink r:id="rId13" w:anchor="CR7" w:history="1">
        <w:r w:rsidRPr="0033022D">
          <w:rPr>
            <w:rFonts w:ascii="微软雅黑" w:eastAsia="微软雅黑" w:hAnsi="微软雅黑" w:cs="宋体"/>
            <w:kern w:val="0"/>
            <w:sz w:val="24"/>
            <w:szCs w:val="24"/>
            <w:u w:val="single"/>
          </w:rPr>
          <w:t>7</w:t>
        </w:r>
      </w:hyperlink>
      <w:r w:rsidRPr="0033022D">
        <w:rPr>
          <w:rFonts w:ascii="微软雅黑" w:eastAsia="微软雅黑" w:hAnsi="微软雅黑" w:cs="宋体"/>
          <w:kern w:val="0"/>
          <w:sz w:val="24"/>
          <w:szCs w:val="24"/>
        </w:rPr>
        <w:t> ]。</w:t>
      </w:r>
    </w:p>
    <w:p w14:paraId="0A55DEF5"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蛋白质印迹分析</w:t>
      </w:r>
    </w:p>
    <w:p w14:paraId="1B572310"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使用含有蛋白酶抑制剂和磷酸酶抑制剂的Pierce RIPA裂解缓冲液（Thermo Fisher Scientific，美国马萨诸塞州沃尔瑟姆）裂解细胞并提取蛋白质。使用Pierce BCA蛋白测定试剂盒（Thermo Fisher Scientific）测定总蛋白浓度。将分离的蛋白质通过5-20% SDS-PAGE凝胶电泳分离，然后转移至</w:t>
      </w:r>
      <w:proofErr w:type="spellStart"/>
      <w:r w:rsidRPr="0033022D">
        <w:rPr>
          <w:rFonts w:ascii="微软雅黑" w:eastAsia="微软雅黑" w:hAnsi="微软雅黑" w:cs="宋体"/>
          <w:kern w:val="0"/>
          <w:sz w:val="24"/>
          <w:szCs w:val="24"/>
        </w:rPr>
        <w:t>Amersham</w:t>
      </w:r>
      <w:proofErr w:type="spellEnd"/>
      <w:r w:rsidRPr="0033022D">
        <w:rPr>
          <w:rFonts w:ascii="微软雅黑" w:eastAsia="微软雅黑" w:hAnsi="微软雅黑" w:cs="宋体"/>
          <w:kern w:val="0"/>
          <w:sz w:val="24"/>
          <w:szCs w:val="24"/>
        </w:rPr>
        <w:t xml:space="preserve"> </w:t>
      </w:r>
      <w:proofErr w:type="spellStart"/>
      <w:r w:rsidRPr="0033022D">
        <w:rPr>
          <w:rFonts w:ascii="微软雅黑" w:eastAsia="微软雅黑" w:hAnsi="微软雅黑" w:cs="宋体"/>
          <w:kern w:val="0"/>
          <w:sz w:val="24"/>
          <w:szCs w:val="24"/>
        </w:rPr>
        <w:t>Hybond</w:t>
      </w:r>
      <w:proofErr w:type="spellEnd"/>
      <w:r w:rsidRPr="0033022D">
        <w:rPr>
          <w:rFonts w:ascii="微软雅黑" w:eastAsia="微软雅黑" w:hAnsi="微软雅黑" w:cs="宋体"/>
          <w:kern w:val="0"/>
          <w:sz w:val="24"/>
          <w:szCs w:val="24"/>
        </w:rPr>
        <w:t xml:space="preserve"> PVDF膜（GE Healthcare UK，英国白金汉郡）。室温下用封闭缓冲液封闭膜1小时，然后在4℃下与</w:t>
      </w:r>
      <w:proofErr w:type="gramStart"/>
      <w:r w:rsidRPr="0033022D">
        <w:rPr>
          <w:rFonts w:ascii="微软雅黑" w:eastAsia="微软雅黑" w:hAnsi="微软雅黑" w:cs="宋体"/>
          <w:kern w:val="0"/>
          <w:sz w:val="24"/>
          <w:szCs w:val="24"/>
        </w:rPr>
        <w:t>一</w:t>
      </w:r>
      <w:proofErr w:type="gramEnd"/>
      <w:r w:rsidRPr="0033022D">
        <w:rPr>
          <w:rFonts w:ascii="微软雅黑" w:eastAsia="微软雅黑" w:hAnsi="微软雅黑" w:cs="宋体"/>
          <w:kern w:val="0"/>
          <w:sz w:val="24"/>
          <w:szCs w:val="24"/>
        </w:rPr>
        <w:t>抗孵育过夜，之后在室温下</w:t>
      </w:r>
      <w:proofErr w:type="gramStart"/>
      <w:r w:rsidRPr="0033022D">
        <w:rPr>
          <w:rFonts w:ascii="微软雅黑" w:eastAsia="微软雅黑" w:hAnsi="微软雅黑" w:cs="宋体"/>
          <w:kern w:val="0"/>
          <w:sz w:val="24"/>
          <w:szCs w:val="24"/>
        </w:rPr>
        <w:t>与二抗孵育</w:t>
      </w:r>
      <w:proofErr w:type="gramEnd"/>
      <w:r w:rsidRPr="0033022D">
        <w:rPr>
          <w:rFonts w:ascii="微软雅黑" w:eastAsia="微软雅黑" w:hAnsi="微软雅黑" w:cs="宋体"/>
          <w:kern w:val="0"/>
          <w:sz w:val="24"/>
          <w:szCs w:val="24"/>
        </w:rPr>
        <w:t>1小时。使用ECL Prime Western Blotting Detection Reagent（GE Healthcare Japan，日本东京）显色，以β-actin作为内参。使用Quantity One 1-D软件4.5版（BIORAD，日本东京）测定表达水平[ </w:t>
      </w:r>
      <w:hyperlink r:id="rId14" w:anchor="CR7" w:history="1">
        <w:r w:rsidRPr="0033022D">
          <w:rPr>
            <w:rFonts w:ascii="微软雅黑" w:eastAsia="微软雅黑" w:hAnsi="微软雅黑" w:cs="宋体"/>
            <w:kern w:val="0"/>
            <w:sz w:val="24"/>
            <w:szCs w:val="24"/>
            <w:u w:val="single"/>
          </w:rPr>
          <w:t>7</w:t>
        </w:r>
      </w:hyperlink>
      <w:r w:rsidRPr="0033022D">
        <w:rPr>
          <w:rFonts w:ascii="微软雅黑" w:eastAsia="微软雅黑" w:hAnsi="微软雅黑" w:cs="宋体"/>
          <w:kern w:val="0"/>
          <w:sz w:val="24"/>
          <w:szCs w:val="24"/>
        </w:rPr>
        <w:t> ]。</w:t>
      </w:r>
    </w:p>
    <w:p w14:paraId="78E8F048"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抗RB的兔抗体（</w:t>
      </w:r>
      <w:proofErr w:type="spellStart"/>
      <w:r w:rsidRPr="0033022D">
        <w:rPr>
          <w:rFonts w:ascii="微软雅黑" w:eastAsia="微软雅黑" w:hAnsi="微软雅黑" w:cs="宋体"/>
          <w:kern w:val="0"/>
          <w:sz w:val="24"/>
          <w:szCs w:val="24"/>
        </w:rPr>
        <w:t>mAb</w:t>
      </w:r>
      <w:proofErr w:type="spellEnd"/>
      <w:r w:rsidRPr="0033022D">
        <w:rPr>
          <w:rFonts w:ascii="微软雅黑" w:eastAsia="微软雅黑" w:hAnsi="微软雅黑" w:cs="宋体"/>
          <w:kern w:val="0"/>
          <w:sz w:val="24"/>
          <w:szCs w:val="24"/>
        </w:rPr>
        <w:t xml:space="preserve"> #9313）和抗磷酸化RB的兔抗体（</w:t>
      </w:r>
      <w:proofErr w:type="spellStart"/>
      <w:r w:rsidRPr="0033022D">
        <w:rPr>
          <w:rFonts w:ascii="微软雅黑" w:eastAsia="微软雅黑" w:hAnsi="微软雅黑" w:cs="宋体"/>
          <w:kern w:val="0"/>
          <w:sz w:val="24"/>
          <w:szCs w:val="24"/>
        </w:rPr>
        <w:t>mAb</w:t>
      </w:r>
      <w:proofErr w:type="spellEnd"/>
      <w:r w:rsidRPr="0033022D">
        <w:rPr>
          <w:rFonts w:ascii="微软雅黑" w:eastAsia="微软雅黑" w:hAnsi="微软雅黑" w:cs="宋体"/>
          <w:kern w:val="0"/>
          <w:sz w:val="24"/>
          <w:szCs w:val="24"/>
        </w:rPr>
        <w:t xml:space="preserve"> #8516）购自Cell Signaling Technologies（美国马萨诸塞州丹</w:t>
      </w:r>
      <w:proofErr w:type="gramStart"/>
      <w:r w:rsidRPr="0033022D">
        <w:rPr>
          <w:rFonts w:ascii="微软雅黑" w:eastAsia="微软雅黑" w:hAnsi="微软雅黑" w:cs="宋体"/>
          <w:kern w:val="0"/>
          <w:sz w:val="24"/>
          <w:szCs w:val="24"/>
        </w:rPr>
        <w:t>弗</w:t>
      </w:r>
      <w:proofErr w:type="gramEnd"/>
      <w:r w:rsidRPr="0033022D">
        <w:rPr>
          <w:rFonts w:ascii="微软雅黑" w:eastAsia="微软雅黑" w:hAnsi="微软雅黑" w:cs="宋体"/>
          <w:kern w:val="0"/>
          <w:sz w:val="24"/>
          <w:szCs w:val="24"/>
        </w:rPr>
        <w:t>斯）。抗β-肌动蛋白的小鼠多克隆抗体购自Sigma Aldrich。二抗，山羊抗兔IgG-HRP和山羊抗小鼠IgG-HRP，购自Santa Cruz Biotechnology（美国德克萨斯州达拉斯）[ </w:t>
      </w:r>
      <w:hyperlink r:id="rId15" w:anchor="CR7" w:history="1">
        <w:r w:rsidRPr="0033022D">
          <w:rPr>
            <w:rFonts w:ascii="微软雅黑" w:eastAsia="微软雅黑" w:hAnsi="微软雅黑" w:cs="宋体"/>
            <w:kern w:val="0"/>
            <w:sz w:val="24"/>
            <w:szCs w:val="24"/>
            <w:u w:val="single"/>
          </w:rPr>
          <w:t>7</w:t>
        </w:r>
      </w:hyperlink>
      <w:r w:rsidRPr="0033022D">
        <w:rPr>
          <w:rFonts w:ascii="微软雅黑" w:eastAsia="微软雅黑" w:hAnsi="微软雅黑" w:cs="宋体"/>
          <w:kern w:val="0"/>
          <w:sz w:val="24"/>
          <w:szCs w:val="24"/>
        </w:rPr>
        <w:t> ]。</w:t>
      </w:r>
    </w:p>
    <w:p w14:paraId="1B56E156"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lastRenderedPageBreak/>
        <w:t>RNA分离和定量逆转录聚合酶链式反应（RT-PCR）</w:t>
      </w:r>
    </w:p>
    <w:p w14:paraId="6F0F585C"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 xml:space="preserve">根据制造商说明书，使用 RNeasy </w:t>
      </w:r>
      <w:proofErr w:type="spellStart"/>
      <w:r w:rsidRPr="0033022D">
        <w:rPr>
          <w:rFonts w:ascii="微软雅黑" w:eastAsia="微软雅黑" w:hAnsi="微软雅黑" w:cs="宋体"/>
          <w:kern w:val="0"/>
          <w:sz w:val="24"/>
          <w:szCs w:val="24"/>
        </w:rPr>
        <w:t>MiniKit</w:t>
      </w:r>
      <w:proofErr w:type="spellEnd"/>
      <w:r w:rsidRPr="0033022D">
        <w:rPr>
          <w:rFonts w:ascii="微软雅黑" w:eastAsia="微软雅黑" w:hAnsi="微软雅黑" w:cs="宋体"/>
          <w:kern w:val="0"/>
          <w:sz w:val="24"/>
          <w:szCs w:val="24"/>
        </w:rPr>
        <w:t xml:space="preserve">（QIAGEN GmbH，德国希尔登）提取细胞总 RNA，并使用 </w:t>
      </w:r>
      <w:proofErr w:type="spellStart"/>
      <w:r w:rsidRPr="0033022D">
        <w:rPr>
          <w:rFonts w:ascii="微软雅黑" w:eastAsia="微软雅黑" w:hAnsi="微软雅黑" w:cs="宋体"/>
          <w:kern w:val="0"/>
          <w:sz w:val="24"/>
          <w:szCs w:val="24"/>
        </w:rPr>
        <w:t>ReverTra</w:t>
      </w:r>
      <w:proofErr w:type="spellEnd"/>
      <w:r w:rsidRPr="0033022D">
        <w:rPr>
          <w:rFonts w:ascii="微软雅黑" w:eastAsia="微软雅黑" w:hAnsi="微软雅黑" w:cs="宋体"/>
          <w:kern w:val="0"/>
          <w:sz w:val="24"/>
          <w:szCs w:val="24"/>
        </w:rPr>
        <w:t xml:space="preserve"> Ace qPCR RT 试剂盒（TOYOBO，日本东京）进行 cDNA 合成。根据制造商说明书，使用 TaqMan 基因表达分析试剂盒（Applied Biosystems，Life Technologies，美国马萨诸塞州沃尔瑟姆）和 7500 型实时荧光定量 PCR系统（Applied Biosystems）对 cDNA 进行</w:t>
      </w:r>
      <w:r w:rsidRPr="0033022D">
        <w:rPr>
          <w:rFonts w:ascii="微软雅黑" w:eastAsia="微软雅黑" w:hAnsi="微软雅黑" w:cs="宋体"/>
          <w:i/>
          <w:iCs/>
          <w:kern w:val="0"/>
          <w:sz w:val="24"/>
          <w:szCs w:val="24"/>
        </w:rPr>
        <w:t>Rb1</w:t>
      </w:r>
      <w:r w:rsidRPr="0033022D">
        <w:rPr>
          <w:rFonts w:ascii="微软雅黑" w:eastAsia="微软雅黑" w:hAnsi="微软雅黑" w:cs="宋体"/>
          <w:kern w:val="0"/>
          <w:sz w:val="24"/>
          <w:szCs w:val="24"/>
        </w:rPr>
        <w:t>、</w:t>
      </w:r>
      <w:r w:rsidRPr="0033022D">
        <w:rPr>
          <w:rFonts w:ascii="微软雅黑" w:eastAsia="微软雅黑" w:hAnsi="微软雅黑" w:cs="宋体"/>
          <w:i/>
          <w:iCs/>
          <w:kern w:val="0"/>
          <w:sz w:val="24"/>
          <w:szCs w:val="24"/>
        </w:rPr>
        <w:t>CDK2、CDK4、CDK6、细胞周期蛋白 D1 (CCND1)、细胞</w:t>
      </w:r>
      <w:r w:rsidRPr="0033022D">
        <w:rPr>
          <w:rFonts w:ascii="微软雅黑" w:eastAsia="微软雅黑" w:hAnsi="微软雅黑" w:cs="宋体"/>
          <w:kern w:val="0"/>
          <w:sz w:val="24"/>
          <w:szCs w:val="24"/>
        </w:rPr>
        <w:t>周期蛋白 E1 (CCNE1) 和 ER-α mRNA 的定量实时 PCR 分析。每个扩增反应均进行重复实验，并使用两个阈值循环的平均值来计算样本中的转录本量。mRNA 定量结果以任意单位表示，为样本量与校准品或对照样本平均值的比值。所有数值均以内源性对照</w:t>
      </w:r>
      <w:r w:rsidRPr="0033022D">
        <w:rPr>
          <w:rFonts w:ascii="微软雅黑" w:eastAsia="微软雅黑" w:hAnsi="微软雅黑" w:cs="宋体"/>
          <w:i/>
          <w:iCs/>
          <w:kern w:val="0"/>
          <w:sz w:val="24"/>
          <w:szCs w:val="24"/>
        </w:rPr>
        <w:t>ACTB 进行标准化。</w:t>
      </w:r>
      <w:proofErr w:type="gramStart"/>
      <w:r w:rsidRPr="0033022D">
        <w:rPr>
          <w:rFonts w:ascii="微软雅黑" w:eastAsia="微软雅黑" w:hAnsi="微软雅黑" w:cs="宋体"/>
          <w:kern w:val="0"/>
          <w:sz w:val="24"/>
          <w:szCs w:val="24"/>
        </w:rPr>
        <w:t>转录本量变化</w:t>
      </w:r>
      <w:proofErr w:type="gramEnd"/>
      <w:r w:rsidRPr="0033022D">
        <w:rPr>
          <w:rFonts w:ascii="微软雅黑" w:eastAsia="微软雅黑" w:hAnsi="微软雅黑" w:cs="宋体"/>
          <w:kern w:val="0"/>
          <w:sz w:val="24"/>
          <w:szCs w:val="24"/>
        </w:rPr>
        <w:t>大于 2 或小于 0.5 被认为具有显著意义 [ </w:t>
      </w:r>
      <w:hyperlink r:id="rId16" w:anchor="CR7" w:history="1">
        <w:r w:rsidRPr="0033022D">
          <w:rPr>
            <w:rFonts w:ascii="微软雅黑" w:eastAsia="微软雅黑" w:hAnsi="微软雅黑" w:cs="宋体"/>
            <w:kern w:val="0"/>
            <w:sz w:val="24"/>
            <w:szCs w:val="24"/>
            <w:u w:val="single"/>
          </w:rPr>
          <w:t>7</w:t>
        </w:r>
      </w:hyperlink>
      <w:r w:rsidRPr="0033022D">
        <w:rPr>
          <w:rFonts w:ascii="微软雅黑" w:eastAsia="微软雅黑" w:hAnsi="微软雅黑" w:cs="宋体"/>
          <w:kern w:val="0"/>
          <w:sz w:val="24"/>
          <w:szCs w:val="24"/>
        </w:rPr>
        <w:t> ]。</w:t>
      </w:r>
    </w:p>
    <w:p w14:paraId="3ABDC37F"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统计分析</w:t>
      </w:r>
    </w:p>
    <w:p w14:paraId="1D01C591"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所有数值均以均值±标准误（SE）表示。采用</w:t>
      </w:r>
      <w:proofErr w:type="spellStart"/>
      <w:r w:rsidRPr="0033022D">
        <w:rPr>
          <w:rFonts w:ascii="微软雅黑" w:eastAsia="微软雅黑" w:hAnsi="微软雅黑" w:cs="宋体"/>
          <w:kern w:val="0"/>
          <w:sz w:val="24"/>
          <w:szCs w:val="24"/>
        </w:rPr>
        <w:t>StatView</w:t>
      </w:r>
      <w:proofErr w:type="spellEnd"/>
      <w:r w:rsidRPr="0033022D">
        <w:rPr>
          <w:rFonts w:ascii="微软雅黑" w:eastAsia="微软雅黑" w:hAnsi="微软雅黑" w:cs="宋体"/>
          <w:kern w:val="0"/>
          <w:sz w:val="24"/>
          <w:szCs w:val="24"/>
        </w:rPr>
        <w:t>计算机软件（ATMS公司，东京，日本）进行方差分析，并使用Fisher最小显著性差异（PLSD）检验比较两组间的差异。双侧P值小于0.05被认为具有统计学意义。</w:t>
      </w:r>
    </w:p>
    <w:p w14:paraId="68050AC3" w14:textId="77777777" w:rsidR="0033022D" w:rsidRPr="0033022D" w:rsidRDefault="0033022D" w:rsidP="0033022D">
      <w:pPr>
        <w:widowControl/>
        <w:pBdr>
          <w:bottom w:val="single" w:sz="6" w:space="0" w:color="97B1C8"/>
        </w:pBdr>
        <w:spacing w:line="450" w:lineRule="atLeast"/>
        <w:outlineLvl w:val="1"/>
        <w:rPr>
          <w:rFonts w:ascii="微软雅黑" w:eastAsia="微软雅黑" w:hAnsi="微软雅黑" w:cs="宋体"/>
          <w:kern w:val="0"/>
          <w:sz w:val="34"/>
          <w:szCs w:val="34"/>
        </w:rPr>
      </w:pPr>
      <w:r w:rsidRPr="0033022D">
        <w:rPr>
          <w:rFonts w:ascii="微软雅黑" w:eastAsia="微软雅黑" w:hAnsi="微软雅黑" w:cs="宋体"/>
          <w:kern w:val="0"/>
          <w:sz w:val="34"/>
          <w:szCs w:val="34"/>
        </w:rPr>
        <w:t>结果</w:t>
      </w:r>
    </w:p>
    <w:p w14:paraId="247AD8CC"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建立对 PAL 或 ABE 耐药的乳腺癌细胞</w:t>
      </w:r>
    </w:p>
    <w:p w14:paraId="17DBCA8D" w14:textId="77777777" w:rsidR="0033022D" w:rsidRPr="0033022D" w:rsidRDefault="0033022D" w:rsidP="0033022D">
      <w:pPr>
        <w:widowControl/>
        <w:spacing w:before="450"/>
        <w:rPr>
          <w:rFonts w:ascii="微软雅黑" w:eastAsia="微软雅黑" w:hAnsi="微软雅黑" w:cs="宋体"/>
          <w:kern w:val="0"/>
          <w:sz w:val="24"/>
          <w:szCs w:val="24"/>
        </w:rPr>
      </w:pPr>
      <w:hyperlink r:id="rId17" w:anchor="Tab1" w:history="1">
        <w:r w:rsidRPr="0033022D">
          <w:rPr>
            <w:rFonts w:ascii="微软雅黑" w:eastAsia="微软雅黑" w:hAnsi="微软雅黑" w:cs="宋体"/>
            <w:kern w:val="0"/>
            <w:sz w:val="24"/>
            <w:szCs w:val="24"/>
            <w:u w:val="single"/>
          </w:rPr>
          <w:t>如表1</w:t>
        </w:r>
      </w:hyperlink>
      <w:r w:rsidRPr="0033022D">
        <w:rPr>
          <w:rFonts w:ascii="微软雅黑" w:eastAsia="微软雅黑" w:hAnsi="微软雅黑" w:cs="宋体"/>
          <w:kern w:val="0"/>
          <w:sz w:val="24"/>
          <w:szCs w:val="24"/>
        </w:rPr>
        <w:t>所示， PAL在MR-P细胞中的半数生长抑制浓度（IC50）和ABE在MR-A细胞中的半数生长抑制浓度</w:t>
      </w:r>
      <w:r w:rsidRPr="0033022D">
        <w:rPr>
          <w:rFonts w:ascii="微软雅黑" w:eastAsia="微软雅黑" w:hAnsi="微软雅黑" w:cs="宋体"/>
          <w:kern w:val="0"/>
          <w:sz w:val="24"/>
          <w:szCs w:val="24"/>
          <w:vertAlign w:val="subscript"/>
        </w:rPr>
        <w:t>分别比MS细胞高约9倍和16倍。PAL在KR-P细胞中的IC50和ABE在KR-A细胞中的IC50分别比KS细胞高约3倍和28倍。各耐药细胞和敏感细胞的生长抑制曲线如图</w:t>
      </w:r>
      <w:r w:rsidRPr="0033022D">
        <w:rPr>
          <w:rFonts w:ascii="微软雅黑" w:eastAsia="微软雅黑" w:hAnsi="微软雅黑" w:cs="宋体"/>
          <w:kern w:val="0"/>
          <w:sz w:val="24"/>
          <w:szCs w:val="24"/>
        </w:rPr>
        <w:fldChar w:fldCharType="begin"/>
      </w:r>
      <w:r w:rsidRPr="0033022D">
        <w:rPr>
          <w:rFonts w:ascii="微软雅黑" w:eastAsia="微软雅黑" w:hAnsi="微软雅黑" w:cs="宋体"/>
          <w:kern w:val="0"/>
          <w:sz w:val="24"/>
          <w:szCs w:val="24"/>
        </w:rPr>
        <w:instrText xml:space="preserve"> HYPERLINK "https://pmc.ncbi.nlm.nih.gov/articles/PMC7796879/" \l "Fig1" </w:instrText>
      </w:r>
      <w:r w:rsidRPr="0033022D">
        <w:rPr>
          <w:rFonts w:ascii="微软雅黑" w:eastAsia="微软雅黑" w:hAnsi="微软雅黑" w:cs="宋体"/>
          <w:kern w:val="0"/>
          <w:sz w:val="24"/>
          <w:szCs w:val="24"/>
        </w:rPr>
        <w:fldChar w:fldCharType="separate"/>
      </w:r>
      <w:r w:rsidRPr="0033022D">
        <w:rPr>
          <w:rFonts w:ascii="微软雅黑" w:eastAsia="微软雅黑" w:hAnsi="微软雅黑" w:cs="宋体"/>
          <w:kern w:val="0"/>
          <w:sz w:val="24"/>
          <w:szCs w:val="24"/>
          <w:u w:val="single"/>
        </w:rPr>
        <w:t>1</w:t>
      </w:r>
      <w:r w:rsidRPr="0033022D">
        <w:rPr>
          <w:rFonts w:ascii="微软雅黑" w:eastAsia="微软雅黑" w:hAnsi="微软雅黑" w:cs="宋体"/>
          <w:kern w:val="0"/>
          <w:sz w:val="24"/>
          <w:szCs w:val="24"/>
        </w:rPr>
        <w:fldChar w:fldCharType="end"/>
      </w:r>
      <w:r w:rsidRPr="0033022D">
        <w:rPr>
          <w:rFonts w:ascii="微软雅黑" w:eastAsia="微软雅黑" w:hAnsi="微软雅黑" w:cs="宋体"/>
          <w:kern w:val="0"/>
          <w:sz w:val="24"/>
          <w:szCs w:val="24"/>
        </w:rPr>
        <w:t>所示 。</w:t>
      </w:r>
    </w:p>
    <w:p w14:paraId="65F63ECA" w14:textId="77777777" w:rsidR="0033022D" w:rsidRPr="0033022D" w:rsidRDefault="0033022D" w:rsidP="0033022D">
      <w:pPr>
        <w:widowControl/>
        <w:spacing w:line="450" w:lineRule="atLeast"/>
        <w:outlineLvl w:val="3"/>
        <w:rPr>
          <w:rFonts w:ascii="微软雅黑" w:eastAsia="微软雅黑" w:hAnsi="微软雅黑" w:cs="宋体"/>
          <w:kern w:val="0"/>
          <w:sz w:val="30"/>
          <w:szCs w:val="30"/>
        </w:rPr>
      </w:pPr>
      <w:r w:rsidRPr="0033022D">
        <w:rPr>
          <w:rFonts w:ascii="微软雅黑" w:eastAsia="微软雅黑" w:hAnsi="微软雅黑" w:cs="宋体"/>
          <w:kern w:val="0"/>
          <w:sz w:val="30"/>
          <w:szCs w:val="30"/>
        </w:rPr>
        <w:t>表1。</w:t>
      </w:r>
    </w:p>
    <w:p w14:paraId="32D3B4BC"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PAL 和 ABE 在乳腺癌细胞中的IC50</w:t>
      </w:r>
      <w:r w:rsidRPr="0033022D">
        <w:rPr>
          <w:rFonts w:ascii="微软雅黑" w:eastAsia="微软雅黑" w:hAnsi="微软雅黑" w:cs="宋体"/>
          <w:kern w:val="0"/>
          <w:sz w:val="24"/>
          <w:szCs w:val="24"/>
          <w:vertAlign w:val="subscript"/>
        </w:rPr>
        <w:t>值（平均值 ± 标准误差）</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67"/>
        <w:gridCol w:w="2885"/>
        <w:gridCol w:w="2944"/>
      </w:tblGrid>
      <w:tr w:rsidR="0033022D" w:rsidRPr="0033022D" w14:paraId="3E46469E" w14:textId="77777777" w:rsidTr="0033022D">
        <w:trPr>
          <w:tblHeader/>
          <w:tblCellSpacing w:w="15" w:type="dxa"/>
        </w:trPr>
        <w:tc>
          <w:tcPr>
            <w:tcW w:w="1473" w:type="pct"/>
            <w:tcMar>
              <w:top w:w="56" w:type="dxa"/>
              <w:left w:w="56" w:type="dxa"/>
              <w:bottom w:w="56" w:type="dxa"/>
              <w:right w:w="56" w:type="dxa"/>
            </w:tcMar>
            <w:hideMark/>
          </w:tcPr>
          <w:p w14:paraId="7EC9529B" w14:textId="77777777" w:rsidR="0033022D" w:rsidRPr="0033022D" w:rsidRDefault="0033022D" w:rsidP="0033022D">
            <w:pPr>
              <w:widowControl/>
              <w:rPr>
                <w:rFonts w:ascii="微软雅黑" w:eastAsia="微软雅黑" w:hAnsi="微软雅黑" w:cs="宋体"/>
                <w:kern w:val="0"/>
                <w:sz w:val="24"/>
                <w:szCs w:val="24"/>
              </w:rPr>
            </w:pPr>
          </w:p>
        </w:tc>
        <w:tc>
          <w:tcPr>
            <w:tcW w:w="1737" w:type="pct"/>
            <w:tcMar>
              <w:top w:w="56" w:type="dxa"/>
              <w:left w:w="56" w:type="dxa"/>
              <w:bottom w:w="56" w:type="dxa"/>
              <w:right w:w="56" w:type="dxa"/>
            </w:tcMar>
            <w:hideMark/>
          </w:tcPr>
          <w:p w14:paraId="0C72FB00" w14:textId="77777777" w:rsidR="0033022D" w:rsidRPr="0033022D" w:rsidRDefault="0033022D" w:rsidP="0033022D">
            <w:pPr>
              <w:widowControl/>
              <w:rPr>
                <w:rFonts w:ascii="微软雅黑" w:eastAsia="微软雅黑" w:hAnsi="微软雅黑" w:cs="宋体"/>
                <w:b/>
                <w:bCs/>
                <w:kern w:val="0"/>
                <w:sz w:val="24"/>
                <w:szCs w:val="24"/>
              </w:rPr>
            </w:pPr>
            <w:r w:rsidRPr="0033022D">
              <w:rPr>
                <w:rFonts w:ascii="微软雅黑" w:eastAsia="微软雅黑" w:hAnsi="微软雅黑" w:cs="宋体"/>
                <w:b/>
                <w:bCs/>
                <w:kern w:val="0"/>
                <w:sz w:val="24"/>
                <w:szCs w:val="24"/>
              </w:rPr>
              <w:t>PAL（</w:t>
            </w:r>
            <w:proofErr w:type="spellStart"/>
            <w:r w:rsidRPr="0033022D">
              <w:rPr>
                <w:rFonts w:ascii="微软雅黑" w:eastAsia="微软雅黑" w:hAnsi="微软雅黑" w:cs="宋体"/>
                <w:b/>
                <w:bCs/>
                <w:kern w:val="0"/>
                <w:sz w:val="24"/>
                <w:szCs w:val="24"/>
              </w:rPr>
              <w:t>nM</w:t>
            </w:r>
            <w:proofErr w:type="spellEnd"/>
            <w:r w:rsidRPr="0033022D">
              <w:rPr>
                <w:rFonts w:ascii="微软雅黑" w:eastAsia="微软雅黑" w:hAnsi="微软雅黑" w:cs="宋体"/>
                <w:b/>
                <w:bCs/>
                <w:kern w:val="0"/>
                <w:sz w:val="24"/>
                <w:szCs w:val="24"/>
              </w:rPr>
              <w:t>）</w:t>
            </w:r>
          </w:p>
        </w:tc>
        <w:tc>
          <w:tcPr>
            <w:tcW w:w="1737" w:type="pct"/>
            <w:tcMar>
              <w:top w:w="56" w:type="dxa"/>
              <w:left w:w="56" w:type="dxa"/>
              <w:bottom w:w="56" w:type="dxa"/>
              <w:right w:w="56" w:type="dxa"/>
            </w:tcMar>
            <w:hideMark/>
          </w:tcPr>
          <w:p w14:paraId="3213D7B0" w14:textId="77777777" w:rsidR="0033022D" w:rsidRPr="0033022D" w:rsidRDefault="0033022D" w:rsidP="0033022D">
            <w:pPr>
              <w:widowControl/>
              <w:rPr>
                <w:rFonts w:ascii="微软雅黑" w:eastAsia="微软雅黑" w:hAnsi="微软雅黑" w:cs="宋体"/>
                <w:b/>
                <w:bCs/>
                <w:kern w:val="0"/>
                <w:sz w:val="24"/>
                <w:szCs w:val="24"/>
              </w:rPr>
            </w:pPr>
            <w:r w:rsidRPr="0033022D">
              <w:rPr>
                <w:rFonts w:ascii="微软雅黑" w:eastAsia="微软雅黑" w:hAnsi="微软雅黑" w:cs="宋体"/>
                <w:b/>
                <w:bCs/>
                <w:kern w:val="0"/>
                <w:sz w:val="24"/>
                <w:szCs w:val="24"/>
              </w:rPr>
              <w:t>ABE (</w:t>
            </w:r>
            <w:proofErr w:type="spellStart"/>
            <w:r w:rsidRPr="0033022D">
              <w:rPr>
                <w:rFonts w:ascii="微软雅黑" w:eastAsia="微软雅黑" w:hAnsi="微软雅黑" w:cs="宋体"/>
                <w:b/>
                <w:bCs/>
                <w:kern w:val="0"/>
                <w:sz w:val="24"/>
                <w:szCs w:val="24"/>
              </w:rPr>
              <w:t>nM</w:t>
            </w:r>
            <w:proofErr w:type="spellEnd"/>
            <w:r w:rsidRPr="0033022D">
              <w:rPr>
                <w:rFonts w:ascii="微软雅黑" w:eastAsia="微软雅黑" w:hAnsi="微软雅黑" w:cs="宋体"/>
                <w:b/>
                <w:bCs/>
                <w:kern w:val="0"/>
                <w:sz w:val="24"/>
                <w:szCs w:val="24"/>
              </w:rPr>
              <w:t>)</w:t>
            </w:r>
          </w:p>
        </w:tc>
      </w:tr>
      <w:tr w:rsidR="0033022D" w:rsidRPr="0033022D" w14:paraId="6120DAC8" w14:textId="77777777" w:rsidTr="0033022D">
        <w:trPr>
          <w:tblCellSpacing w:w="15" w:type="dxa"/>
        </w:trPr>
        <w:tc>
          <w:tcPr>
            <w:tcW w:w="4973" w:type="pct"/>
            <w:gridSpan w:val="3"/>
            <w:tcMar>
              <w:top w:w="56" w:type="dxa"/>
              <w:left w:w="56" w:type="dxa"/>
              <w:bottom w:w="56" w:type="dxa"/>
              <w:right w:w="56" w:type="dxa"/>
            </w:tcMar>
            <w:hideMark/>
          </w:tcPr>
          <w:p w14:paraId="290FE069"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MCF-7细胞</w:t>
            </w:r>
          </w:p>
        </w:tc>
      </w:tr>
      <w:tr w:rsidR="0033022D" w:rsidRPr="0033022D" w14:paraId="26A4227D" w14:textId="77777777" w:rsidTr="0033022D">
        <w:trPr>
          <w:tblCellSpacing w:w="15" w:type="dxa"/>
        </w:trPr>
        <w:tc>
          <w:tcPr>
            <w:tcW w:w="1473" w:type="pct"/>
            <w:tcMar>
              <w:top w:w="56" w:type="dxa"/>
              <w:left w:w="56" w:type="dxa"/>
              <w:bottom w:w="56" w:type="dxa"/>
              <w:right w:w="56" w:type="dxa"/>
            </w:tcMar>
            <w:hideMark/>
          </w:tcPr>
          <w:p w14:paraId="4476252A"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 MS细胞</w:t>
            </w:r>
          </w:p>
        </w:tc>
        <w:tc>
          <w:tcPr>
            <w:tcW w:w="1737" w:type="pct"/>
            <w:tcMar>
              <w:top w:w="56" w:type="dxa"/>
              <w:left w:w="56" w:type="dxa"/>
              <w:bottom w:w="56" w:type="dxa"/>
              <w:right w:w="56" w:type="dxa"/>
            </w:tcMar>
            <w:hideMark/>
          </w:tcPr>
          <w:p w14:paraId="037C956D"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251±44</w:t>
            </w:r>
          </w:p>
        </w:tc>
        <w:tc>
          <w:tcPr>
            <w:tcW w:w="1737" w:type="pct"/>
            <w:tcMar>
              <w:top w:w="56" w:type="dxa"/>
              <w:left w:w="56" w:type="dxa"/>
              <w:bottom w:w="56" w:type="dxa"/>
              <w:right w:w="56" w:type="dxa"/>
            </w:tcMar>
            <w:hideMark/>
          </w:tcPr>
          <w:p w14:paraId="5D7D2FEB"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94±5</w:t>
            </w:r>
          </w:p>
        </w:tc>
      </w:tr>
      <w:tr w:rsidR="0033022D" w:rsidRPr="0033022D" w14:paraId="5034564A" w14:textId="77777777" w:rsidTr="0033022D">
        <w:trPr>
          <w:tblCellSpacing w:w="15" w:type="dxa"/>
        </w:trPr>
        <w:tc>
          <w:tcPr>
            <w:tcW w:w="1473" w:type="pct"/>
            <w:tcMar>
              <w:top w:w="56" w:type="dxa"/>
              <w:left w:w="56" w:type="dxa"/>
              <w:bottom w:w="56" w:type="dxa"/>
              <w:right w:w="56" w:type="dxa"/>
            </w:tcMar>
            <w:hideMark/>
          </w:tcPr>
          <w:p w14:paraId="01CBE045"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 MR-P细胞</w:t>
            </w:r>
          </w:p>
        </w:tc>
        <w:tc>
          <w:tcPr>
            <w:tcW w:w="1737" w:type="pct"/>
            <w:tcMar>
              <w:top w:w="56" w:type="dxa"/>
              <w:left w:w="56" w:type="dxa"/>
              <w:bottom w:w="56" w:type="dxa"/>
              <w:right w:w="56" w:type="dxa"/>
            </w:tcMar>
            <w:hideMark/>
          </w:tcPr>
          <w:p w14:paraId="056755CA"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2194 ± 589*</w:t>
            </w:r>
          </w:p>
        </w:tc>
        <w:tc>
          <w:tcPr>
            <w:tcW w:w="1737" w:type="pct"/>
            <w:tcMar>
              <w:top w:w="56" w:type="dxa"/>
              <w:left w:w="56" w:type="dxa"/>
              <w:bottom w:w="56" w:type="dxa"/>
              <w:right w:w="56" w:type="dxa"/>
            </w:tcMar>
            <w:hideMark/>
          </w:tcPr>
          <w:p w14:paraId="6852EBFE"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600 ± 200*</w:t>
            </w:r>
          </w:p>
        </w:tc>
      </w:tr>
      <w:tr w:rsidR="0033022D" w:rsidRPr="0033022D" w14:paraId="4B121953" w14:textId="77777777" w:rsidTr="0033022D">
        <w:trPr>
          <w:tblCellSpacing w:w="15" w:type="dxa"/>
        </w:trPr>
        <w:tc>
          <w:tcPr>
            <w:tcW w:w="1473" w:type="pct"/>
            <w:tcMar>
              <w:top w:w="56" w:type="dxa"/>
              <w:left w:w="56" w:type="dxa"/>
              <w:bottom w:w="56" w:type="dxa"/>
              <w:right w:w="56" w:type="dxa"/>
            </w:tcMar>
            <w:hideMark/>
          </w:tcPr>
          <w:p w14:paraId="02DF3C70"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 MR-A细胞</w:t>
            </w:r>
          </w:p>
        </w:tc>
        <w:tc>
          <w:tcPr>
            <w:tcW w:w="1737" w:type="pct"/>
            <w:tcMar>
              <w:top w:w="56" w:type="dxa"/>
              <w:left w:w="56" w:type="dxa"/>
              <w:bottom w:w="56" w:type="dxa"/>
              <w:right w:w="56" w:type="dxa"/>
            </w:tcMar>
            <w:hideMark/>
          </w:tcPr>
          <w:p w14:paraId="491E4936"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850 ± 149*</w:t>
            </w:r>
          </w:p>
        </w:tc>
        <w:tc>
          <w:tcPr>
            <w:tcW w:w="1737" w:type="pct"/>
            <w:tcMar>
              <w:top w:w="56" w:type="dxa"/>
              <w:left w:w="56" w:type="dxa"/>
              <w:bottom w:w="56" w:type="dxa"/>
              <w:right w:w="56" w:type="dxa"/>
            </w:tcMar>
            <w:hideMark/>
          </w:tcPr>
          <w:p w14:paraId="29EB8320"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1507 ± 288**</w:t>
            </w:r>
          </w:p>
        </w:tc>
      </w:tr>
      <w:tr w:rsidR="0033022D" w:rsidRPr="0033022D" w14:paraId="2692E297" w14:textId="77777777" w:rsidTr="0033022D">
        <w:trPr>
          <w:tblCellSpacing w:w="15" w:type="dxa"/>
        </w:trPr>
        <w:tc>
          <w:tcPr>
            <w:tcW w:w="4973" w:type="pct"/>
            <w:gridSpan w:val="3"/>
            <w:tcMar>
              <w:top w:w="56" w:type="dxa"/>
              <w:left w:w="56" w:type="dxa"/>
              <w:bottom w:w="56" w:type="dxa"/>
              <w:right w:w="56" w:type="dxa"/>
            </w:tcMar>
            <w:hideMark/>
          </w:tcPr>
          <w:p w14:paraId="10624F8F"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KPL-1细胞</w:t>
            </w:r>
          </w:p>
        </w:tc>
      </w:tr>
      <w:tr w:rsidR="0033022D" w:rsidRPr="0033022D" w14:paraId="1290572C" w14:textId="77777777" w:rsidTr="0033022D">
        <w:trPr>
          <w:tblCellSpacing w:w="15" w:type="dxa"/>
        </w:trPr>
        <w:tc>
          <w:tcPr>
            <w:tcW w:w="1473" w:type="pct"/>
            <w:tcMar>
              <w:top w:w="56" w:type="dxa"/>
              <w:left w:w="56" w:type="dxa"/>
              <w:bottom w:w="56" w:type="dxa"/>
              <w:right w:w="56" w:type="dxa"/>
            </w:tcMar>
            <w:hideMark/>
          </w:tcPr>
          <w:p w14:paraId="6C0B72D3"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 KS细胞</w:t>
            </w:r>
          </w:p>
        </w:tc>
        <w:tc>
          <w:tcPr>
            <w:tcW w:w="1737" w:type="pct"/>
            <w:tcMar>
              <w:top w:w="56" w:type="dxa"/>
              <w:left w:w="56" w:type="dxa"/>
              <w:bottom w:w="56" w:type="dxa"/>
              <w:right w:w="56" w:type="dxa"/>
            </w:tcMar>
            <w:hideMark/>
          </w:tcPr>
          <w:p w14:paraId="0E40FCCB"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202±33</w:t>
            </w:r>
          </w:p>
        </w:tc>
        <w:tc>
          <w:tcPr>
            <w:tcW w:w="1737" w:type="pct"/>
            <w:tcMar>
              <w:top w:w="56" w:type="dxa"/>
              <w:left w:w="56" w:type="dxa"/>
              <w:bottom w:w="56" w:type="dxa"/>
              <w:right w:w="56" w:type="dxa"/>
            </w:tcMar>
            <w:hideMark/>
          </w:tcPr>
          <w:p w14:paraId="6E2EC033"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220 ± 40</w:t>
            </w:r>
          </w:p>
        </w:tc>
      </w:tr>
      <w:tr w:rsidR="0033022D" w:rsidRPr="0033022D" w14:paraId="347E22FC" w14:textId="77777777" w:rsidTr="0033022D">
        <w:trPr>
          <w:tblCellSpacing w:w="15" w:type="dxa"/>
        </w:trPr>
        <w:tc>
          <w:tcPr>
            <w:tcW w:w="1473" w:type="pct"/>
            <w:tcMar>
              <w:top w:w="56" w:type="dxa"/>
              <w:left w:w="56" w:type="dxa"/>
              <w:bottom w:w="56" w:type="dxa"/>
              <w:right w:w="56" w:type="dxa"/>
            </w:tcMar>
            <w:hideMark/>
          </w:tcPr>
          <w:p w14:paraId="466CE32A"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 KR-P细胞</w:t>
            </w:r>
          </w:p>
        </w:tc>
        <w:tc>
          <w:tcPr>
            <w:tcW w:w="1737" w:type="pct"/>
            <w:tcMar>
              <w:top w:w="56" w:type="dxa"/>
              <w:left w:w="56" w:type="dxa"/>
              <w:bottom w:w="56" w:type="dxa"/>
              <w:right w:w="56" w:type="dxa"/>
            </w:tcMar>
            <w:hideMark/>
          </w:tcPr>
          <w:p w14:paraId="5A53943A"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610 ± 74**</w:t>
            </w:r>
          </w:p>
        </w:tc>
        <w:tc>
          <w:tcPr>
            <w:tcW w:w="1737" w:type="pct"/>
            <w:tcMar>
              <w:top w:w="56" w:type="dxa"/>
              <w:left w:w="56" w:type="dxa"/>
              <w:bottom w:w="56" w:type="dxa"/>
              <w:right w:w="56" w:type="dxa"/>
            </w:tcMar>
            <w:hideMark/>
          </w:tcPr>
          <w:p w14:paraId="536A6A55"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1055 ± 292*</w:t>
            </w:r>
          </w:p>
        </w:tc>
      </w:tr>
      <w:tr w:rsidR="0033022D" w:rsidRPr="0033022D" w14:paraId="764BC677" w14:textId="77777777" w:rsidTr="0033022D">
        <w:trPr>
          <w:tblCellSpacing w:w="15" w:type="dxa"/>
        </w:trPr>
        <w:tc>
          <w:tcPr>
            <w:tcW w:w="1473" w:type="pct"/>
            <w:tcMar>
              <w:top w:w="56" w:type="dxa"/>
              <w:left w:w="56" w:type="dxa"/>
              <w:bottom w:w="56" w:type="dxa"/>
              <w:right w:w="56" w:type="dxa"/>
            </w:tcMar>
            <w:hideMark/>
          </w:tcPr>
          <w:p w14:paraId="6610EACC"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 KR-A细胞</w:t>
            </w:r>
          </w:p>
        </w:tc>
        <w:tc>
          <w:tcPr>
            <w:tcW w:w="1737" w:type="pct"/>
            <w:tcMar>
              <w:top w:w="56" w:type="dxa"/>
              <w:left w:w="56" w:type="dxa"/>
              <w:bottom w:w="56" w:type="dxa"/>
              <w:right w:w="56" w:type="dxa"/>
            </w:tcMar>
            <w:hideMark/>
          </w:tcPr>
          <w:p w14:paraId="320C785D"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1025 ± 166**</w:t>
            </w:r>
          </w:p>
        </w:tc>
        <w:tc>
          <w:tcPr>
            <w:tcW w:w="1737" w:type="pct"/>
            <w:tcMar>
              <w:top w:w="56" w:type="dxa"/>
              <w:left w:w="56" w:type="dxa"/>
              <w:bottom w:w="56" w:type="dxa"/>
              <w:right w:w="56" w:type="dxa"/>
            </w:tcMar>
            <w:hideMark/>
          </w:tcPr>
          <w:p w14:paraId="237262FA"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6158 ± 538**</w:t>
            </w:r>
          </w:p>
        </w:tc>
      </w:tr>
    </w:tbl>
    <w:p w14:paraId="15EBC774"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 </w:t>
      </w:r>
      <w:r w:rsidRPr="0033022D">
        <w:rPr>
          <w:rFonts w:ascii="微软雅黑" w:eastAsia="微软雅黑" w:hAnsi="微软雅黑" w:cs="宋体"/>
          <w:i/>
          <w:iCs/>
          <w:kern w:val="0"/>
          <w:sz w:val="24"/>
          <w:szCs w:val="24"/>
        </w:rPr>
        <w:t>P</w:t>
      </w:r>
      <w:r w:rsidRPr="0033022D">
        <w:rPr>
          <w:rFonts w:ascii="微软雅黑" w:eastAsia="微软雅黑" w:hAnsi="微软雅黑" w:cs="宋体"/>
          <w:kern w:val="0"/>
          <w:sz w:val="24"/>
          <w:szCs w:val="24"/>
        </w:rPr>
        <w:t> </w:t>
      </w:r>
      <w:r w:rsidRPr="0033022D">
        <w:rPr>
          <w:rFonts w:ascii="MS Gothic" w:eastAsia="MS Gothic" w:hAnsi="MS Gothic" w:cs="MS Gothic" w:hint="eastAsia"/>
          <w:kern w:val="0"/>
          <w:sz w:val="24"/>
          <w:szCs w:val="24"/>
        </w:rPr>
        <w:t> </w:t>
      </w:r>
      <w:r w:rsidRPr="0033022D">
        <w:rPr>
          <w:rFonts w:ascii="微软雅黑" w:eastAsia="微软雅黑" w:hAnsi="微软雅黑" w:cs="宋体"/>
          <w:kern w:val="0"/>
          <w:sz w:val="24"/>
          <w:szCs w:val="24"/>
        </w:rPr>
        <w:t>&lt; 0.05，** </w:t>
      </w:r>
      <w:r w:rsidRPr="0033022D">
        <w:rPr>
          <w:rFonts w:ascii="微软雅黑" w:eastAsia="微软雅黑" w:hAnsi="微软雅黑" w:cs="宋体"/>
          <w:i/>
          <w:iCs/>
          <w:kern w:val="0"/>
          <w:sz w:val="24"/>
          <w:szCs w:val="24"/>
        </w:rPr>
        <w:t>P</w:t>
      </w:r>
      <w:r w:rsidRPr="0033022D">
        <w:rPr>
          <w:rFonts w:ascii="微软雅黑" w:eastAsia="微软雅黑" w:hAnsi="微软雅黑" w:cs="宋体"/>
          <w:kern w:val="0"/>
          <w:sz w:val="24"/>
          <w:szCs w:val="24"/>
        </w:rPr>
        <w:t> </w:t>
      </w:r>
      <w:r w:rsidRPr="0033022D">
        <w:rPr>
          <w:rFonts w:ascii="MS Gothic" w:eastAsia="MS Gothic" w:hAnsi="MS Gothic" w:cs="MS Gothic" w:hint="eastAsia"/>
          <w:kern w:val="0"/>
          <w:sz w:val="24"/>
          <w:szCs w:val="24"/>
        </w:rPr>
        <w:t> </w:t>
      </w:r>
      <w:r w:rsidRPr="0033022D">
        <w:rPr>
          <w:rFonts w:ascii="微软雅黑" w:eastAsia="微软雅黑" w:hAnsi="微软雅黑" w:cs="宋体"/>
          <w:kern w:val="0"/>
          <w:sz w:val="24"/>
          <w:szCs w:val="24"/>
        </w:rPr>
        <w:t>&lt; 0.01</w:t>
      </w:r>
    </w:p>
    <w:p w14:paraId="114F66D7" w14:textId="77777777" w:rsidR="0033022D" w:rsidRPr="0033022D" w:rsidRDefault="0033022D" w:rsidP="0033022D">
      <w:pPr>
        <w:widowControl/>
        <w:spacing w:line="450" w:lineRule="atLeast"/>
        <w:outlineLvl w:val="3"/>
        <w:rPr>
          <w:rFonts w:ascii="微软雅黑" w:eastAsia="微软雅黑" w:hAnsi="微软雅黑" w:cs="宋体"/>
          <w:kern w:val="0"/>
          <w:sz w:val="30"/>
          <w:szCs w:val="30"/>
        </w:rPr>
      </w:pPr>
      <w:r w:rsidRPr="0033022D">
        <w:rPr>
          <w:rFonts w:ascii="微软雅黑" w:eastAsia="微软雅黑" w:hAnsi="微软雅黑" w:cs="宋体"/>
          <w:kern w:val="0"/>
          <w:sz w:val="30"/>
          <w:szCs w:val="30"/>
        </w:rPr>
        <w:t>图1。</w:t>
      </w:r>
    </w:p>
    <w:p w14:paraId="2E28F456" w14:textId="467C0D3B"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noProof/>
          <w:kern w:val="0"/>
          <w:sz w:val="24"/>
          <w:szCs w:val="24"/>
        </w:rPr>
        <w:lastRenderedPageBreak/>
        <w:drawing>
          <wp:inline distT="0" distB="0" distL="0" distR="0" wp14:anchorId="35A3F5B3" wp14:editId="3C8E9F24">
            <wp:extent cx="5274310" cy="4487545"/>
            <wp:effectExtent l="0" t="0" r="2540" b="8255"/>
            <wp:docPr id="5" name="图片 5" descr="图 1">
              <a:hlinkClick xmlns:a="http://schemas.openxmlformats.org/drawingml/2006/main" r:id="rId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1" descr="图 1">
                      <a:hlinkClick r:id="rId18" tgtFrame="&quot;_blank&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4487545"/>
                    </a:xfrm>
                    <a:prstGeom prst="rect">
                      <a:avLst/>
                    </a:prstGeom>
                    <a:noFill/>
                    <a:ln>
                      <a:noFill/>
                    </a:ln>
                  </pic:spPr>
                </pic:pic>
              </a:graphicData>
            </a:graphic>
          </wp:inline>
        </w:drawing>
      </w:r>
    </w:p>
    <w:p w14:paraId="4C2D8F84"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PAL 或 ABE 在 MCF-7 细胞或 KPL-1 细胞中的生长抑制曲线。a </w:t>
      </w:r>
      <w:r w:rsidRPr="0033022D">
        <w:rPr>
          <w:rFonts w:ascii="微软雅黑" w:eastAsia="微软雅黑" w:hAnsi="微软雅黑" w:cs="宋体"/>
          <w:b/>
          <w:bCs/>
          <w:kern w:val="0"/>
          <w:sz w:val="24"/>
          <w:szCs w:val="24"/>
        </w:rPr>
        <w:t>PAL</w:t>
      </w:r>
      <w:r w:rsidRPr="0033022D">
        <w:rPr>
          <w:rFonts w:ascii="微软雅黑" w:eastAsia="微软雅黑" w:hAnsi="微软雅黑" w:cs="宋体"/>
          <w:kern w:val="0"/>
          <w:sz w:val="24"/>
          <w:szCs w:val="24"/>
        </w:rPr>
        <w:t>在 MS 细胞和 MR-P 细胞中的生长抑制曲线。b </w:t>
      </w:r>
      <w:r w:rsidRPr="0033022D">
        <w:rPr>
          <w:rFonts w:ascii="微软雅黑" w:eastAsia="微软雅黑" w:hAnsi="微软雅黑" w:cs="宋体"/>
          <w:b/>
          <w:bCs/>
          <w:kern w:val="0"/>
          <w:sz w:val="24"/>
          <w:szCs w:val="24"/>
        </w:rPr>
        <w:t>ABE</w:t>
      </w:r>
      <w:r w:rsidRPr="0033022D">
        <w:rPr>
          <w:rFonts w:ascii="微软雅黑" w:eastAsia="微软雅黑" w:hAnsi="微软雅黑" w:cs="宋体"/>
          <w:kern w:val="0"/>
          <w:sz w:val="24"/>
          <w:szCs w:val="24"/>
        </w:rPr>
        <w:t>在 MS 细胞和 MR-A 细胞中的生长抑制曲线。c PAL 在 KS 细胞和 KR-P 细胞中的生长抑制曲线。d </w:t>
      </w:r>
      <w:r w:rsidRPr="0033022D">
        <w:rPr>
          <w:rFonts w:ascii="微软雅黑" w:eastAsia="微软雅黑" w:hAnsi="微软雅黑" w:cs="宋体"/>
          <w:b/>
          <w:bCs/>
          <w:kern w:val="0"/>
          <w:sz w:val="24"/>
          <w:szCs w:val="24"/>
        </w:rPr>
        <w:t>ABE在 KS 细胞和 KR-A 细胞中的生长抑制</w:t>
      </w:r>
      <w:r w:rsidRPr="0033022D">
        <w:rPr>
          <w:rFonts w:ascii="微软雅黑" w:eastAsia="微软雅黑" w:hAnsi="微软雅黑" w:cs="宋体"/>
          <w:kern w:val="0"/>
          <w:sz w:val="24"/>
          <w:szCs w:val="24"/>
        </w:rPr>
        <w:t>曲线。数值为平均值 ± 标准误差。空心圆圈代表敏感细胞；灰色圆圈代表耐药细胞。* </w:t>
      </w:r>
      <w:r w:rsidRPr="0033022D">
        <w:rPr>
          <w:rFonts w:ascii="微软雅黑" w:eastAsia="微软雅黑" w:hAnsi="微软雅黑" w:cs="宋体"/>
          <w:i/>
          <w:iCs/>
          <w:kern w:val="0"/>
          <w:sz w:val="24"/>
          <w:szCs w:val="24"/>
        </w:rPr>
        <w:t>P</w:t>
      </w:r>
      <w:r w:rsidRPr="0033022D">
        <w:rPr>
          <w:rFonts w:ascii="微软雅黑" w:eastAsia="微软雅黑" w:hAnsi="微软雅黑" w:cs="宋体"/>
          <w:kern w:val="0"/>
          <w:sz w:val="24"/>
          <w:szCs w:val="24"/>
        </w:rPr>
        <w:t> </w:t>
      </w:r>
      <w:r w:rsidRPr="0033022D">
        <w:rPr>
          <w:rFonts w:ascii="MS Gothic" w:eastAsia="MS Gothic" w:hAnsi="MS Gothic" w:cs="MS Gothic" w:hint="eastAsia"/>
          <w:kern w:val="0"/>
          <w:sz w:val="24"/>
          <w:szCs w:val="24"/>
        </w:rPr>
        <w:t> </w:t>
      </w:r>
      <w:r w:rsidRPr="0033022D">
        <w:rPr>
          <w:rFonts w:ascii="微软雅黑" w:eastAsia="微软雅黑" w:hAnsi="微软雅黑" w:cs="宋体"/>
          <w:kern w:val="0"/>
          <w:sz w:val="24"/>
          <w:szCs w:val="24"/>
        </w:rPr>
        <w:t>&lt; 0.05；** </w:t>
      </w:r>
      <w:r w:rsidRPr="0033022D">
        <w:rPr>
          <w:rFonts w:ascii="微软雅黑" w:eastAsia="微软雅黑" w:hAnsi="微软雅黑" w:cs="宋体"/>
          <w:i/>
          <w:iCs/>
          <w:kern w:val="0"/>
          <w:sz w:val="24"/>
          <w:szCs w:val="24"/>
        </w:rPr>
        <w:t>P</w:t>
      </w:r>
      <w:r w:rsidRPr="0033022D">
        <w:rPr>
          <w:rFonts w:ascii="微软雅黑" w:eastAsia="微软雅黑" w:hAnsi="微软雅黑" w:cs="宋体"/>
          <w:kern w:val="0"/>
          <w:sz w:val="24"/>
          <w:szCs w:val="24"/>
        </w:rPr>
        <w:t> </w:t>
      </w:r>
      <w:r w:rsidRPr="0033022D">
        <w:rPr>
          <w:rFonts w:ascii="MS Gothic" w:eastAsia="MS Gothic" w:hAnsi="MS Gothic" w:cs="MS Gothic" w:hint="eastAsia"/>
          <w:kern w:val="0"/>
          <w:sz w:val="24"/>
          <w:szCs w:val="24"/>
        </w:rPr>
        <w:t> </w:t>
      </w:r>
      <w:r w:rsidRPr="0033022D">
        <w:rPr>
          <w:rFonts w:ascii="微软雅黑" w:eastAsia="微软雅黑" w:hAnsi="微软雅黑" w:cs="宋体"/>
          <w:kern w:val="0"/>
          <w:sz w:val="24"/>
          <w:szCs w:val="24"/>
        </w:rPr>
        <w:t>&lt; 0.01，表示各浓度下敏感细胞和耐药细胞之间的比较。</w:t>
      </w:r>
    </w:p>
    <w:p w14:paraId="0AE79565"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对其他 CDK4/6 抑制剂的交叉耐药性</w:t>
      </w:r>
    </w:p>
    <w:p w14:paraId="715B0061" w14:textId="77777777" w:rsidR="0033022D" w:rsidRPr="0033022D" w:rsidRDefault="0033022D" w:rsidP="0033022D">
      <w:pPr>
        <w:widowControl/>
        <w:spacing w:before="450"/>
        <w:rPr>
          <w:rFonts w:ascii="微软雅黑" w:eastAsia="微软雅黑" w:hAnsi="微软雅黑" w:cs="宋体"/>
          <w:kern w:val="0"/>
          <w:sz w:val="24"/>
          <w:szCs w:val="24"/>
        </w:rPr>
      </w:pPr>
      <w:hyperlink r:id="rId20" w:anchor="Tab1" w:history="1">
        <w:r w:rsidRPr="0033022D">
          <w:rPr>
            <w:rFonts w:ascii="微软雅黑" w:eastAsia="微软雅黑" w:hAnsi="微软雅黑" w:cs="宋体"/>
            <w:kern w:val="0"/>
            <w:sz w:val="24"/>
            <w:szCs w:val="24"/>
            <w:u w:val="single"/>
          </w:rPr>
          <w:t>如表1</w:t>
        </w:r>
      </w:hyperlink>
      <w:r w:rsidRPr="0033022D">
        <w:rPr>
          <w:rFonts w:ascii="微软雅黑" w:eastAsia="微软雅黑" w:hAnsi="微软雅黑" w:cs="宋体"/>
          <w:kern w:val="0"/>
          <w:sz w:val="24"/>
          <w:szCs w:val="24"/>
        </w:rPr>
        <w:t>所示，MR-P和KR-P细胞对ABE的IC50值分别比MS和KS细胞高约6倍和5倍。MR-A和KR-A细胞对PAL的IC50值分别比MS和KS细胞高约3倍和5倍。各耐药细胞和敏感细胞的生长抑制曲线如图</w:t>
      </w:r>
      <w:r w:rsidRPr="0033022D">
        <w:rPr>
          <w:rFonts w:ascii="微软雅黑" w:eastAsia="微软雅黑" w:hAnsi="微软雅黑" w:cs="宋体"/>
          <w:kern w:val="0"/>
          <w:sz w:val="24"/>
          <w:szCs w:val="24"/>
        </w:rPr>
        <w:fldChar w:fldCharType="begin"/>
      </w:r>
      <w:r w:rsidRPr="0033022D">
        <w:rPr>
          <w:rFonts w:ascii="微软雅黑" w:eastAsia="微软雅黑" w:hAnsi="微软雅黑" w:cs="宋体"/>
          <w:kern w:val="0"/>
          <w:sz w:val="24"/>
          <w:szCs w:val="24"/>
        </w:rPr>
        <w:instrText xml:space="preserve"> HYPERLINK "https://pmc.ncbi.nlm.nih.gov/articles/PMC7796879/" \l "Fig2" </w:instrText>
      </w:r>
      <w:r w:rsidRPr="0033022D">
        <w:rPr>
          <w:rFonts w:ascii="微软雅黑" w:eastAsia="微软雅黑" w:hAnsi="微软雅黑" w:cs="宋体"/>
          <w:kern w:val="0"/>
          <w:sz w:val="24"/>
          <w:szCs w:val="24"/>
        </w:rPr>
        <w:fldChar w:fldCharType="separate"/>
      </w:r>
      <w:r w:rsidRPr="0033022D">
        <w:rPr>
          <w:rFonts w:ascii="微软雅黑" w:eastAsia="微软雅黑" w:hAnsi="微软雅黑" w:cs="宋体"/>
          <w:kern w:val="0"/>
          <w:sz w:val="24"/>
          <w:szCs w:val="24"/>
        </w:rPr>
        <w:t>2</w:t>
      </w:r>
      <w:r w:rsidRPr="0033022D">
        <w:rPr>
          <w:rFonts w:ascii="微软雅黑" w:eastAsia="微软雅黑" w:hAnsi="微软雅黑" w:cs="宋体"/>
          <w:kern w:val="0"/>
          <w:sz w:val="24"/>
          <w:szCs w:val="24"/>
        </w:rPr>
        <w:fldChar w:fldCharType="end"/>
      </w:r>
      <w:r w:rsidRPr="0033022D">
        <w:rPr>
          <w:rFonts w:ascii="微软雅黑" w:eastAsia="微软雅黑" w:hAnsi="微软雅黑" w:cs="宋体"/>
          <w:kern w:val="0"/>
          <w:sz w:val="24"/>
          <w:szCs w:val="24"/>
        </w:rPr>
        <w:t>所示 。</w:t>
      </w:r>
    </w:p>
    <w:p w14:paraId="4B2A8E63" w14:textId="77777777" w:rsidR="0033022D" w:rsidRPr="0033022D" w:rsidRDefault="0033022D" w:rsidP="0033022D">
      <w:pPr>
        <w:widowControl/>
        <w:spacing w:line="450" w:lineRule="atLeast"/>
        <w:outlineLvl w:val="3"/>
        <w:rPr>
          <w:rFonts w:ascii="微软雅黑" w:eastAsia="微软雅黑" w:hAnsi="微软雅黑" w:cs="宋体"/>
          <w:kern w:val="0"/>
          <w:sz w:val="30"/>
          <w:szCs w:val="30"/>
        </w:rPr>
      </w:pPr>
      <w:r w:rsidRPr="0033022D">
        <w:rPr>
          <w:rFonts w:ascii="微软雅黑" w:eastAsia="微软雅黑" w:hAnsi="微软雅黑" w:cs="宋体"/>
          <w:kern w:val="0"/>
          <w:sz w:val="30"/>
          <w:szCs w:val="30"/>
        </w:rPr>
        <w:lastRenderedPageBreak/>
        <w:t>图2。</w:t>
      </w:r>
    </w:p>
    <w:p w14:paraId="3AA53D43" w14:textId="259A53E9"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noProof/>
          <w:kern w:val="0"/>
          <w:sz w:val="24"/>
          <w:szCs w:val="24"/>
        </w:rPr>
        <w:drawing>
          <wp:inline distT="0" distB="0" distL="0" distR="0" wp14:anchorId="6E15B728" wp14:editId="58B4A7E8">
            <wp:extent cx="5274310" cy="4285615"/>
            <wp:effectExtent l="0" t="0" r="2540" b="635"/>
            <wp:docPr id="4" name="图片 4" descr="图 2">
              <a:hlinkClick xmlns:a="http://schemas.openxmlformats.org/drawingml/2006/main" r:id="rId2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2" descr="图 2">
                      <a:hlinkClick r:id="rId21" tgtFrame="&quot;_blank&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4285615"/>
                    </a:xfrm>
                    <a:prstGeom prst="rect">
                      <a:avLst/>
                    </a:prstGeom>
                    <a:noFill/>
                    <a:ln>
                      <a:noFill/>
                    </a:ln>
                  </pic:spPr>
                </pic:pic>
              </a:graphicData>
            </a:graphic>
          </wp:inline>
        </w:drawing>
      </w:r>
    </w:p>
    <w:p w14:paraId="65784A14"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PAL 和 ABE 之间的交叉耐药性。PAL 或 ABE 在 MCF-7 细胞或 KPL-1 细胞中的生长抑制曲线。a </w:t>
      </w:r>
      <w:r w:rsidRPr="0033022D">
        <w:rPr>
          <w:rFonts w:ascii="微软雅黑" w:eastAsia="微软雅黑" w:hAnsi="微软雅黑" w:cs="宋体"/>
          <w:b/>
          <w:bCs/>
          <w:kern w:val="0"/>
          <w:sz w:val="24"/>
          <w:szCs w:val="24"/>
        </w:rPr>
        <w:t>ABE</w:t>
      </w:r>
      <w:r w:rsidRPr="0033022D">
        <w:rPr>
          <w:rFonts w:ascii="微软雅黑" w:eastAsia="微软雅黑" w:hAnsi="微软雅黑" w:cs="宋体"/>
          <w:kern w:val="0"/>
          <w:sz w:val="24"/>
          <w:szCs w:val="24"/>
        </w:rPr>
        <w:t>在 MS 细胞和 MR-P 细胞中的生长抑制曲线。b </w:t>
      </w:r>
      <w:r w:rsidRPr="0033022D">
        <w:rPr>
          <w:rFonts w:ascii="微软雅黑" w:eastAsia="微软雅黑" w:hAnsi="微软雅黑" w:cs="宋体"/>
          <w:b/>
          <w:bCs/>
          <w:kern w:val="0"/>
          <w:sz w:val="24"/>
          <w:szCs w:val="24"/>
        </w:rPr>
        <w:t>PAL</w:t>
      </w:r>
      <w:r w:rsidRPr="0033022D">
        <w:rPr>
          <w:rFonts w:ascii="微软雅黑" w:eastAsia="微软雅黑" w:hAnsi="微软雅黑" w:cs="宋体"/>
          <w:kern w:val="0"/>
          <w:sz w:val="24"/>
          <w:szCs w:val="24"/>
        </w:rPr>
        <w:t>在 MS 细胞和 MR-A 细胞中的生长抑制曲线。c </w:t>
      </w:r>
      <w:r w:rsidRPr="0033022D">
        <w:rPr>
          <w:rFonts w:ascii="微软雅黑" w:eastAsia="微软雅黑" w:hAnsi="微软雅黑" w:cs="宋体"/>
          <w:b/>
          <w:bCs/>
          <w:kern w:val="0"/>
          <w:sz w:val="24"/>
          <w:szCs w:val="24"/>
        </w:rPr>
        <w:t>ABE在</w:t>
      </w:r>
      <w:r w:rsidRPr="0033022D">
        <w:rPr>
          <w:rFonts w:ascii="微软雅黑" w:eastAsia="微软雅黑" w:hAnsi="微软雅黑" w:cs="宋体"/>
          <w:kern w:val="0"/>
          <w:sz w:val="24"/>
          <w:szCs w:val="24"/>
        </w:rPr>
        <w:t>KS 细胞和 KR-P 细胞中的生长抑制曲线。d PAL 在 KS 细胞和 KR-A 细胞中的生长抑制曲线。数值为平均值 ± 标准误差。空心圆圈代表敏感细胞；灰色圆圈代表耐药细胞。* </w:t>
      </w:r>
      <w:r w:rsidRPr="0033022D">
        <w:rPr>
          <w:rFonts w:ascii="微软雅黑" w:eastAsia="微软雅黑" w:hAnsi="微软雅黑" w:cs="宋体"/>
          <w:i/>
          <w:iCs/>
          <w:kern w:val="0"/>
          <w:sz w:val="24"/>
          <w:szCs w:val="24"/>
        </w:rPr>
        <w:t>P</w:t>
      </w:r>
      <w:r w:rsidRPr="0033022D">
        <w:rPr>
          <w:rFonts w:ascii="微软雅黑" w:eastAsia="微软雅黑" w:hAnsi="微软雅黑" w:cs="宋体"/>
          <w:kern w:val="0"/>
          <w:sz w:val="24"/>
          <w:szCs w:val="24"/>
        </w:rPr>
        <w:t> </w:t>
      </w:r>
      <w:r w:rsidRPr="0033022D">
        <w:rPr>
          <w:rFonts w:ascii="MS Gothic" w:eastAsia="MS Gothic" w:hAnsi="MS Gothic" w:cs="MS Gothic" w:hint="eastAsia"/>
          <w:kern w:val="0"/>
          <w:sz w:val="24"/>
          <w:szCs w:val="24"/>
        </w:rPr>
        <w:t> </w:t>
      </w:r>
      <w:r w:rsidRPr="0033022D">
        <w:rPr>
          <w:rFonts w:ascii="微软雅黑" w:eastAsia="微软雅黑" w:hAnsi="微软雅黑" w:cs="宋体"/>
          <w:kern w:val="0"/>
          <w:sz w:val="24"/>
          <w:szCs w:val="24"/>
        </w:rPr>
        <w:t>&lt; 0.05；** </w:t>
      </w:r>
      <w:r w:rsidRPr="0033022D">
        <w:rPr>
          <w:rFonts w:ascii="微软雅黑" w:eastAsia="微软雅黑" w:hAnsi="微软雅黑" w:cs="宋体"/>
          <w:i/>
          <w:iCs/>
          <w:kern w:val="0"/>
          <w:sz w:val="24"/>
          <w:szCs w:val="24"/>
        </w:rPr>
        <w:t>P</w:t>
      </w:r>
      <w:r w:rsidRPr="0033022D">
        <w:rPr>
          <w:rFonts w:ascii="微软雅黑" w:eastAsia="微软雅黑" w:hAnsi="微软雅黑" w:cs="宋体"/>
          <w:kern w:val="0"/>
          <w:sz w:val="24"/>
          <w:szCs w:val="24"/>
        </w:rPr>
        <w:t> </w:t>
      </w:r>
      <w:r w:rsidRPr="0033022D">
        <w:rPr>
          <w:rFonts w:ascii="MS Gothic" w:eastAsia="MS Gothic" w:hAnsi="MS Gothic" w:cs="MS Gothic" w:hint="eastAsia"/>
          <w:kern w:val="0"/>
          <w:sz w:val="24"/>
          <w:szCs w:val="24"/>
        </w:rPr>
        <w:t> </w:t>
      </w:r>
      <w:r w:rsidRPr="0033022D">
        <w:rPr>
          <w:rFonts w:ascii="微软雅黑" w:eastAsia="微软雅黑" w:hAnsi="微软雅黑" w:cs="宋体"/>
          <w:kern w:val="0"/>
          <w:sz w:val="24"/>
          <w:szCs w:val="24"/>
        </w:rPr>
        <w:t>&lt; 0.01，表示各浓度下敏感细胞和耐药细胞之间的比较。</w:t>
      </w:r>
    </w:p>
    <w:p w14:paraId="52BED195"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化疗药物对耐药细胞和敏感细胞的抗肿瘤活性</w:t>
      </w:r>
    </w:p>
    <w:p w14:paraId="7D7B25AE" w14:textId="77777777" w:rsidR="0033022D" w:rsidRPr="0033022D" w:rsidRDefault="0033022D" w:rsidP="0033022D">
      <w:pPr>
        <w:widowControl/>
        <w:spacing w:before="450"/>
        <w:rPr>
          <w:rFonts w:ascii="微软雅黑" w:eastAsia="微软雅黑" w:hAnsi="微软雅黑" w:cs="宋体"/>
          <w:kern w:val="0"/>
          <w:sz w:val="24"/>
          <w:szCs w:val="24"/>
        </w:rPr>
      </w:pPr>
      <w:hyperlink r:id="rId23" w:anchor="Tab2" w:history="1">
        <w:r w:rsidRPr="0033022D">
          <w:rPr>
            <w:rFonts w:ascii="微软雅黑" w:eastAsia="微软雅黑" w:hAnsi="微软雅黑" w:cs="宋体"/>
            <w:kern w:val="0"/>
            <w:sz w:val="24"/>
            <w:szCs w:val="24"/>
            <w:u w:val="single"/>
          </w:rPr>
          <w:t>如表2</w:t>
        </w:r>
      </w:hyperlink>
      <w:r w:rsidRPr="0033022D">
        <w:rPr>
          <w:rFonts w:ascii="微软雅黑" w:eastAsia="微软雅黑" w:hAnsi="微软雅黑" w:cs="宋体"/>
          <w:kern w:val="0"/>
          <w:sz w:val="24"/>
          <w:szCs w:val="24"/>
        </w:rPr>
        <w:t>所示，六种化疗药物对MR-P、MR-A和MS细胞的IC50</w:t>
      </w:r>
      <w:proofErr w:type="gramStart"/>
      <w:r w:rsidRPr="0033022D">
        <w:rPr>
          <w:rFonts w:ascii="微软雅黑" w:eastAsia="微软雅黑" w:hAnsi="微软雅黑" w:cs="宋体"/>
          <w:kern w:val="0"/>
          <w:sz w:val="24"/>
          <w:szCs w:val="24"/>
        </w:rPr>
        <w:t>值</w:t>
      </w:r>
      <w:r w:rsidRPr="0033022D">
        <w:rPr>
          <w:rFonts w:ascii="微软雅黑" w:eastAsia="微软雅黑" w:hAnsi="微软雅黑" w:cs="宋体"/>
          <w:kern w:val="0"/>
          <w:sz w:val="24"/>
          <w:szCs w:val="24"/>
          <w:vertAlign w:val="subscript"/>
        </w:rPr>
        <w:t>几乎</w:t>
      </w:r>
      <w:proofErr w:type="gramEnd"/>
      <w:r w:rsidRPr="0033022D">
        <w:rPr>
          <w:rFonts w:ascii="微软雅黑" w:eastAsia="微软雅黑" w:hAnsi="微软雅黑" w:cs="宋体"/>
          <w:kern w:val="0"/>
          <w:sz w:val="24"/>
          <w:szCs w:val="24"/>
        </w:rPr>
        <w:t>相同，彼此之间无显著差异。同样，六种不同药物对KR-P、KR-A和KS细胞的IC50</w:t>
      </w:r>
      <w:r w:rsidRPr="0033022D">
        <w:rPr>
          <w:rFonts w:ascii="微软雅黑" w:eastAsia="微软雅黑" w:hAnsi="微软雅黑" w:cs="宋体"/>
          <w:kern w:val="0"/>
          <w:sz w:val="24"/>
          <w:szCs w:val="24"/>
          <w:vertAlign w:val="subscript"/>
        </w:rPr>
        <w:t>值也几乎相同。各耐药细胞和敏感细胞的生长抑制曲线分别如图</w:t>
      </w:r>
      <w:r w:rsidRPr="0033022D">
        <w:rPr>
          <w:rFonts w:ascii="微软雅黑" w:eastAsia="微软雅黑" w:hAnsi="微软雅黑" w:cs="宋体"/>
          <w:kern w:val="0"/>
          <w:sz w:val="24"/>
          <w:szCs w:val="24"/>
        </w:rPr>
        <w:fldChar w:fldCharType="begin"/>
      </w:r>
      <w:r w:rsidRPr="0033022D">
        <w:rPr>
          <w:rFonts w:ascii="微软雅黑" w:eastAsia="微软雅黑" w:hAnsi="微软雅黑" w:cs="宋体"/>
          <w:kern w:val="0"/>
          <w:sz w:val="24"/>
          <w:szCs w:val="24"/>
        </w:rPr>
        <w:instrText xml:space="preserve"> HYPERLINK "https://pmc.ncbi.nlm.nih.gov/articles/PMC7796879/" \l "Fig3" </w:instrText>
      </w:r>
      <w:r w:rsidRPr="0033022D">
        <w:rPr>
          <w:rFonts w:ascii="微软雅黑" w:eastAsia="微软雅黑" w:hAnsi="微软雅黑" w:cs="宋体"/>
          <w:kern w:val="0"/>
          <w:sz w:val="24"/>
          <w:szCs w:val="24"/>
        </w:rPr>
        <w:fldChar w:fldCharType="separate"/>
      </w:r>
      <w:r w:rsidRPr="0033022D">
        <w:rPr>
          <w:rFonts w:ascii="微软雅黑" w:eastAsia="微软雅黑" w:hAnsi="微软雅黑" w:cs="宋体"/>
          <w:kern w:val="0"/>
          <w:sz w:val="24"/>
          <w:szCs w:val="24"/>
          <w:u w:val="single"/>
        </w:rPr>
        <w:t>3</w:t>
      </w:r>
      <w:r w:rsidRPr="0033022D">
        <w:rPr>
          <w:rFonts w:ascii="微软雅黑" w:eastAsia="微软雅黑" w:hAnsi="微软雅黑" w:cs="宋体"/>
          <w:kern w:val="0"/>
          <w:sz w:val="24"/>
          <w:szCs w:val="24"/>
        </w:rPr>
        <w:fldChar w:fldCharType="end"/>
      </w:r>
      <w:r w:rsidRPr="0033022D">
        <w:rPr>
          <w:rFonts w:ascii="微软雅黑" w:eastAsia="微软雅黑" w:hAnsi="微软雅黑" w:cs="宋体"/>
          <w:kern w:val="0"/>
          <w:sz w:val="24"/>
          <w:szCs w:val="24"/>
        </w:rPr>
        <w:t>和图</w:t>
      </w:r>
      <w:r w:rsidRPr="0033022D">
        <w:rPr>
          <w:rFonts w:ascii="微软雅黑" w:eastAsia="微软雅黑" w:hAnsi="微软雅黑" w:cs="宋体"/>
          <w:kern w:val="0"/>
          <w:sz w:val="24"/>
          <w:szCs w:val="24"/>
        </w:rPr>
        <w:fldChar w:fldCharType="begin"/>
      </w:r>
      <w:r w:rsidRPr="0033022D">
        <w:rPr>
          <w:rFonts w:ascii="微软雅黑" w:eastAsia="微软雅黑" w:hAnsi="微软雅黑" w:cs="宋体"/>
          <w:kern w:val="0"/>
          <w:sz w:val="24"/>
          <w:szCs w:val="24"/>
        </w:rPr>
        <w:instrText xml:space="preserve"> HYPERLINK "https://pmc.ncbi.nlm.nih.gov/articles/PMC7796879/" \l "Fig4" </w:instrText>
      </w:r>
      <w:r w:rsidRPr="0033022D">
        <w:rPr>
          <w:rFonts w:ascii="微软雅黑" w:eastAsia="微软雅黑" w:hAnsi="微软雅黑" w:cs="宋体"/>
          <w:kern w:val="0"/>
          <w:sz w:val="24"/>
          <w:szCs w:val="24"/>
        </w:rPr>
        <w:fldChar w:fldCharType="separate"/>
      </w:r>
      <w:r w:rsidRPr="0033022D">
        <w:rPr>
          <w:rFonts w:ascii="微软雅黑" w:eastAsia="微软雅黑" w:hAnsi="微软雅黑" w:cs="宋体"/>
          <w:kern w:val="0"/>
          <w:sz w:val="24"/>
          <w:szCs w:val="24"/>
          <w:u w:val="single"/>
        </w:rPr>
        <w:t>4</w:t>
      </w:r>
      <w:r w:rsidRPr="0033022D">
        <w:rPr>
          <w:rFonts w:ascii="微软雅黑" w:eastAsia="微软雅黑" w:hAnsi="微软雅黑" w:cs="宋体"/>
          <w:kern w:val="0"/>
          <w:sz w:val="24"/>
          <w:szCs w:val="24"/>
        </w:rPr>
        <w:fldChar w:fldCharType="end"/>
      </w:r>
      <w:r w:rsidRPr="0033022D">
        <w:rPr>
          <w:rFonts w:ascii="微软雅黑" w:eastAsia="微软雅黑" w:hAnsi="微软雅黑" w:cs="宋体"/>
          <w:kern w:val="0"/>
          <w:sz w:val="24"/>
          <w:szCs w:val="24"/>
        </w:rPr>
        <w:t>所示 。</w:t>
      </w:r>
    </w:p>
    <w:p w14:paraId="78617B45" w14:textId="77777777" w:rsidR="0033022D" w:rsidRPr="0033022D" w:rsidRDefault="0033022D" w:rsidP="0033022D">
      <w:pPr>
        <w:widowControl/>
        <w:spacing w:line="450" w:lineRule="atLeast"/>
        <w:outlineLvl w:val="3"/>
        <w:rPr>
          <w:rFonts w:ascii="微软雅黑" w:eastAsia="微软雅黑" w:hAnsi="微软雅黑" w:cs="宋体"/>
          <w:kern w:val="0"/>
          <w:sz w:val="30"/>
          <w:szCs w:val="30"/>
        </w:rPr>
      </w:pPr>
      <w:r w:rsidRPr="0033022D">
        <w:rPr>
          <w:rFonts w:ascii="微软雅黑" w:eastAsia="微软雅黑" w:hAnsi="微软雅黑" w:cs="宋体"/>
          <w:kern w:val="0"/>
          <w:sz w:val="30"/>
          <w:szCs w:val="30"/>
        </w:rPr>
        <w:t>表2。</w:t>
      </w:r>
    </w:p>
    <w:p w14:paraId="4EC2F808"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化疗药物对乳腺癌细胞的IC50值（平均值±标准误）</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48"/>
        <w:gridCol w:w="1900"/>
        <w:gridCol w:w="2016"/>
        <w:gridCol w:w="2132"/>
      </w:tblGrid>
      <w:tr w:rsidR="0033022D" w:rsidRPr="0033022D" w14:paraId="56D0B2B1" w14:textId="77777777" w:rsidTr="0033022D">
        <w:trPr>
          <w:tblHeader/>
          <w:tblCellSpacing w:w="15" w:type="dxa"/>
        </w:trPr>
        <w:tc>
          <w:tcPr>
            <w:tcW w:w="4973" w:type="pct"/>
            <w:gridSpan w:val="4"/>
            <w:tcMar>
              <w:top w:w="56" w:type="dxa"/>
              <w:left w:w="56" w:type="dxa"/>
              <w:bottom w:w="56" w:type="dxa"/>
              <w:right w:w="56" w:type="dxa"/>
            </w:tcMar>
            <w:hideMark/>
          </w:tcPr>
          <w:p w14:paraId="28B22F63" w14:textId="77777777" w:rsidR="0033022D" w:rsidRPr="0033022D" w:rsidRDefault="0033022D" w:rsidP="0033022D">
            <w:pPr>
              <w:widowControl/>
              <w:rPr>
                <w:rFonts w:ascii="微软雅黑" w:eastAsia="微软雅黑" w:hAnsi="微软雅黑" w:cs="宋体"/>
                <w:b/>
                <w:bCs/>
                <w:kern w:val="0"/>
                <w:sz w:val="24"/>
                <w:szCs w:val="24"/>
              </w:rPr>
            </w:pPr>
            <w:r w:rsidRPr="0033022D">
              <w:rPr>
                <w:rFonts w:ascii="微软雅黑" w:eastAsia="微软雅黑" w:hAnsi="微软雅黑" w:cs="宋体"/>
                <w:b/>
                <w:bCs/>
                <w:kern w:val="0"/>
                <w:sz w:val="24"/>
                <w:szCs w:val="24"/>
              </w:rPr>
              <w:t>MCF-7细胞</w:t>
            </w:r>
          </w:p>
        </w:tc>
      </w:tr>
      <w:tr w:rsidR="0033022D" w:rsidRPr="0033022D" w14:paraId="73D164D4" w14:textId="77777777" w:rsidTr="0033022D">
        <w:trPr>
          <w:tblHeader/>
          <w:tblCellSpacing w:w="15" w:type="dxa"/>
        </w:trPr>
        <w:tc>
          <w:tcPr>
            <w:tcW w:w="1345" w:type="pct"/>
            <w:tcMar>
              <w:top w:w="56" w:type="dxa"/>
              <w:left w:w="56" w:type="dxa"/>
              <w:bottom w:w="56" w:type="dxa"/>
              <w:right w:w="56" w:type="dxa"/>
            </w:tcMar>
            <w:hideMark/>
          </w:tcPr>
          <w:p w14:paraId="1F642651" w14:textId="77777777" w:rsidR="0033022D" w:rsidRPr="0033022D" w:rsidRDefault="0033022D" w:rsidP="0033022D">
            <w:pPr>
              <w:widowControl/>
              <w:rPr>
                <w:rFonts w:ascii="微软雅黑" w:eastAsia="微软雅黑" w:hAnsi="微软雅黑" w:cs="宋体"/>
                <w:b/>
                <w:bCs/>
                <w:kern w:val="0"/>
                <w:sz w:val="24"/>
                <w:szCs w:val="24"/>
              </w:rPr>
            </w:pPr>
            <w:r w:rsidRPr="0033022D">
              <w:rPr>
                <w:rFonts w:ascii="微软雅黑" w:eastAsia="微软雅黑" w:hAnsi="微软雅黑" w:cs="宋体"/>
                <w:b/>
                <w:bCs/>
                <w:kern w:val="0"/>
                <w:sz w:val="24"/>
                <w:szCs w:val="24"/>
              </w:rPr>
              <w:t>试剂（</w:t>
            </w:r>
            <w:proofErr w:type="spellStart"/>
            <w:r w:rsidRPr="0033022D">
              <w:rPr>
                <w:rFonts w:ascii="微软雅黑" w:eastAsia="微软雅黑" w:hAnsi="微软雅黑" w:cs="宋体"/>
                <w:b/>
                <w:bCs/>
                <w:kern w:val="0"/>
                <w:sz w:val="24"/>
                <w:szCs w:val="24"/>
              </w:rPr>
              <w:t>nM</w:t>
            </w:r>
            <w:proofErr w:type="spellEnd"/>
            <w:r w:rsidRPr="0033022D">
              <w:rPr>
                <w:rFonts w:ascii="微软雅黑" w:eastAsia="微软雅黑" w:hAnsi="微软雅黑" w:cs="宋体"/>
                <w:b/>
                <w:bCs/>
                <w:kern w:val="0"/>
                <w:sz w:val="24"/>
                <w:szCs w:val="24"/>
              </w:rPr>
              <w:t>）</w:t>
            </w:r>
          </w:p>
        </w:tc>
        <w:tc>
          <w:tcPr>
            <w:tcW w:w="1142" w:type="pct"/>
            <w:tcMar>
              <w:top w:w="56" w:type="dxa"/>
              <w:left w:w="56" w:type="dxa"/>
              <w:bottom w:w="56" w:type="dxa"/>
              <w:right w:w="56" w:type="dxa"/>
            </w:tcMar>
            <w:hideMark/>
          </w:tcPr>
          <w:p w14:paraId="601EA81F" w14:textId="77777777" w:rsidR="0033022D" w:rsidRPr="0033022D" w:rsidRDefault="0033022D" w:rsidP="0033022D">
            <w:pPr>
              <w:widowControl/>
              <w:rPr>
                <w:rFonts w:ascii="微软雅黑" w:eastAsia="微软雅黑" w:hAnsi="微软雅黑" w:cs="宋体"/>
                <w:b/>
                <w:bCs/>
                <w:kern w:val="0"/>
                <w:sz w:val="24"/>
                <w:szCs w:val="24"/>
              </w:rPr>
            </w:pPr>
            <w:r w:rsidRPr="0033022D">
              <w:rPr>
                <w:rFonts w:ascii="微软雅黑" w:eastAsia="微软雅黑" w:hAnsi="微软雅黑" w:cs="宋体"/>
                <w:b/>
                <w:bCs/>
                <w:kern w:val="0"/>
                <w:sz w:val="24"/>
                <w:szCs w:val="24"/>
              </w:rPr>
              <w:t>MS细胞</w:t>
            </w:r>
          </w:p>
        </w:tc>
        <w:tc>
          <w:tcPr>
            <w:tcW w:w="1212" w:type="pct"/>
            <w:tcMar>
              <w:top w:w="56" w:type="dxa"/>
              <w:left w:w="56" w:type="dxa"/>
              <w:bottom w:w="56" w:type="dxa"/>
              <w:right w:w="56" w:type="dxa"/>
            </w:tcMar>
            <w:hideMark/>
          </w:tcPr>
          <w:p w14:paraId="13249E08" w14:textId="77777777" w:rsidR="0033022D" w:rsidRPr="0033022D" w:rsidRDefault="0033022D" w:rsidP="0033022D">
            <w:pPr>
              <w:widowControl/>
              <w:rPr>
                <w:rFonts w:ascii="微软雅黑" w:eastAsia="微软雅黑" w:hAnsi="微软雅黑" w:cs="宋体"/>
                <w:b/>
                <w:bCs/>
                <w:kern w:val="0"/>
                <w:sz w:val="24"/>
                <w:szCs w:val="24"/>
              </w:rPr>
            </w:pPr>
            <w:r w:rsidRPr="0033022D">
              <w:rPr>
                <w:rFonts w:ascii="微软雅黑" w:eastAsia="微软雅黑" w:hAnsi="微软雅黑" w:cs="宋体"/>
                <w:b/>
                <w:bCs/>
                <w:kern w:val="0"/>
                <w:sz w:val="24"/>
                <w:szCs w:val="24"/>
              </w:rPr>
              <w:t>MR-P细胞</w:t>
            </w:r>
          </w:p>
        </w:tc>
        <w:tc>
          <w:tcPr>
            <w:tcW w:w="1233" w:type="pct"/>
            <w:tcMar>
              <w:top w:w="56" w:type="dxa"/>
              <w:left w:w="56" w:type="dxa"/>
              <w:bottom w:w="56" w:type="dxa"/>
              <w:right w:w="56" w:type="dxa"/>
            </w:tcMar>
            <w:hideMark/>
          </w:tcPr>
          <w:p w14:paraId="7ECF5A8A" w14:textId="77777777" w:rsidR="0033022D" w:rsidRPr="0033022D" w:rsidRDefault="0033022D" w:rsidP="0033022D">
            <w:pPr>
              <w:widowControl/>
              <w:rPr>
                <w:rFonts w:ascii="微软雅黑" w:eastAsia="微软雅黑" w:hAnsi="微软雅黑" w:cs="宋体"/>
                <w:b/>
                <w:bCs/>
                <w:kern w:val="0"/>
                <w:sz w:val="24"/>
                <w:szCs w:val="24"/>
              </w:rPr>
            </w:pPr>
            <w:r w:rsidRPr="0033022D">
              <w:rPr>
                <w:rFonts w:ascii="微软雅黑" w:eastAsia="微软雅黑" w:hAnsi="微软雅黑" w:cs="宋体"/>
                <w:b/>
                <w:bCs/>
                <w:kern w:val="0"/>
                <w:sz w:val="24"/>
                <w:szCs w:val="24"/>
              </w:rPr>
              <w:t>MR-A细胞</w:t>
            </w:r>
          </w:p>
        </w:tc>
      </w:tr>
      <w:tr w:rsidR="0033022D" w:rsidRPr="0033022D" w14:paraId="2B4A2295" w14:textId="77777777" w:rsidTr="0033022D">
        <w:trPr>
          <w:tblCellSpacing w:w="15" w:type="dxa"/>
        </w:trPr>
        <w:tc>
          <w:tcPr>
            <w:tcW w:w="1345" w:type="pct"/>
            <w:tcMar>
              <w:top w:w="56" w:type="dxa"/>
              <w:left w:w="56" w:type="dxa"/>
              <w:bottom w:w="56" w:type="dxa"/>
              <w:right w:w="56" w:type="dxa"/>
            </w:tcMar>
            <w:hideMark/>
          </w:tcPr>
          <w:p w14:paraId="43160D3B"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5-氟尿嘧啶</w:t>
            </w:r>
          </w:p>
        </w:tc>
        <w:tc>
          <w:tcPr>
            <w:tcW w:w="1142" w:type="pct"/>
            <w:tcMar>
              <w:top w:w="56" w:type="dxa"/>
              <w:left w:w="56" w:type="dxa"/>
              <w:bottom w:w="56" w:type="dxa"/>
              <w:right w:w="56" w:type="dxa"/>
            </w:tcMar>
            <w:hideMark/>
          </w:tcPr>
          <w:p w14:paraId="40065FC8"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7.3 ± 0.7</w:t>
            </w:r>
          </w:p>
        </w:tc>
        <w:tc>
          <w:tcPr>
            <w:tcW w:w="1212" w:type="pct"/>
            <w:tcMar>
              <w:top w:w="56" w:type="dxa"/>
              <w:left w:w="56" w:type="dxa"/>
              <w:bottom w:w="56" w:type="dxa"/>
              <w:right w:w="56" w:type="dxa"/>
            </w:tcMar>
            <w:hideMark/>
          </w:tcPr>
          <w:p w14:paraId="4F956335"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8.0 ± 0.2</w:t>
            </w:r>
          </w:p>
        </w:tc>
        <w:tc>
          <w:tcPr>
            <w:tcW w:w="1233" w:type="pct"/>
            <w:tcMar>
              <w:top w:w="56" w:type="dxa"/>
              <w:left w:w="56" w:type="dxa"/>
              <w:bottom w:w="56" w:type="dxa"/>
              <w:right w:w="56" w:type="dxa"/>
            </w:tcMar>
            <w:hideMark/>
          </w:tcPr>
          <w:p w14:paraId="310BC325"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6.4 ± 0.4</w:t>
            </w:r>
          </w:p>
        </w:tc>
      </w:tr>
      <w:tr w:rsidR="0033022D" w:rsidRPr="0033022D" w14:paraId="3546FEC1" w14:textId="77777777" w:rsidTr="0033022D">
        <w:trPr>
          <w:tblCellSpacing w:w="15" w:type="dxa"/>
        </w:trPr>
        <w:tc>
          <w:tcPr>
            <w:tcW w:w="1345" w:type="pct"/>
            <w:tcMar>
              <w:top w:w="56" w:type="dxa"/>
              <w:left w:w="56" w:type="dxa"/>
              <w:bottom w:w="56" w:type="dxa"/>
              <w:right w:w="56" w:type="dxa"/>
            </w:tcMar>
            <w:hideMark/>
          </w:tcPr>
          <w:p w14:paraId="561D7430"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宝石</w:t>
            </w:r>
          </w:p>
        </w:tc>
        <w:tc>
          <w:tcPr>
            <w:tcW w:w="1142" w:type="pct"/>
            <w:tcMar>
              <w:top w:w="56" w:type="dxa"/>
              <w:left w:w="56" w:type="dxa"/>
              <w:bottom w:w="56" w:type="dxa"/>
              <w:right w:w="56" w:type="dxa"/>
            </w:tcMar>
            <w:hideMark/>
          </w:tcPr>
          <w:p w14:paraId="42FF28E8"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8.6 ± 1.2</w:t>
            </w:r>
          </w:p>
        </w:tc>
        <w:tc>
          <w:tcPr>
            <w:tcW w:w="1212" w:type="pct"/>
            <w:tcMar>
              <w:top w:w="56" w:type="dxa"/>
              <w:left w:w="56" w:type="dxa"/>
              <w:bottom w:w="56" w:type="dxa"/>
              <w:right w:w="56" w:type="dxa"/>
            </w:tcMar>
            <w:hideMark/>
          </w:tcPr>
          <w:p w14:paraId="51D13375"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8.2 ± 0.6</w:t>
            </w:r>
          </w:p>
        </w:tc>
        <w:tc>
          <w:tcPr>
            <w:tcW w:w="1233" w:type="pct"/>
            <w:tcMar>
              <w:top w:w="56" w:type="dxa"/>
              <w:left w:w="56" w:type="dxa"/>
              <w:bottom w:w="56" w:type="dxa"/>
              <w:right w:w="56" w:type="dxa"/>
            </w:tcMar>
            <w:hideMark/>
          </w:tcPr>
          <w:p w14:paraId="61AFEDE9"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9.4 ± 0.7</w:t>
            </w:r>
          </w:p>
        </w:tc>
      </w:tr>
      <w:tr w:rsidR="0033022D" w:rsidRPr="0033022D" w14:paraId="40888527" w14:textId="77777777" w:rsidTr="0033022D">
        <w:trPr>
          <w:tblCellSpacing w:w="15" w:type="dxa"/>
        </w:trPr>
        <w:tc>
          <w:tcPr>
            <w:tcW w:w="1345" w:type="pct"/>
            <w:tcMar>
              <w:top w:w="56" w:type="dxa"/>
              <w:left w:w="56" w:type="dxa"/>
              <w:bottom w:w="56" w:type="dxa"/>
              <w:right w:w="56" w:type="dxa"/>
            </w:tcMar>
            <w:hideMark/>
          </w:tcPr>
          <w:p w14:paraId="7FA7F64B"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DOX</w:t>
            </w:r>
          </w:p>
        </w:tc>
        <w:tc>
          <w:tcPr>
            <w:tcW w:w="1142" w:type="pct"/>
            <w:tcMar>
              <w:top w:w="56" w:type="dxa"/>
              <w:left w:w="56" w:type="dxa"/>
              <w:bottom w:w="56" w:type="dxa"/>
              <w:right w:w="56" w:type="dxa"/>
            </w:tcMar>
            <w:hideMark/>
          </w:tcPr>
          <w:p w14:paraId="69A0A6AF"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36.4 ± 5.6</w:t>
            </w:r>
          </w:p>
        </w:tc>
        <w:tc>
          <w:tcPr>
            <w:tcW w:w="1212" w:type="pct"/>
            <w:tcMar>
              <w:top w:w="56" w:type="dxa"/>
              <w:left w:w="56" w:type="dxa"/>
              <w:bottom w:w="56" w:type="dxa"/>
              <w:right w:w="56" w:type="dxa"/>
            </w:tcMar>
            <w:hideMark/>
          </w:tcPr>
          <w:p w14:paraId="53278920"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36.2 ± 2.9</w:t>
            </w:r>
          </w:p>
        </w:tc>
        <w:tc>
          <w:tcPr>
            <w:tcW w:w="1233" w:type="pct"/>
            <w:tcMar>
              <w:top w:w="56" w:type="dxa"/>
              <w:left w:w="56" w:type="dxa"/>
              <w:bottom w:w="56" w:type="dxa"/>
              <w:right w:w="56" w:type="dxa"/>
            </w:tcMar>
            <w:hideMark/>
          </w:tcPr>
          <w:p w14:paraId="2EC46CA3"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32.8 ± 3.7</w:t>
            </w:r>
          </w:p>
        </w:tc>
      </w:tr>
      <w:tr w:rsidR="0033022D" w:rsidRPr="0033022D" w14:paraId="68AEE258" w14:textId="77777777" w:rsidTr="0033022D">
        <w:trPr>
          <w:tblCellSpacing w:w="15" w:type="dxa"/>
        </w:trPr>
        <w:tc>
          <w:tcPr>
            <w:tcW w:w="1345" w:type="pct"/>
            <w:tcMar>
              <w:top w:w="56" w:type="dxa"/>
              <w:left w:w="56" w:type="dxa"/>
              <w:bottom w:w="56" w:type="dxa"/>
              <w:right w:w="56" w:type="dxa"/>
            </w:tcMar>
            <w:hideMark/>
          </w:tcPr>
          <w:p w14:paraId="5068FE23"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PAC</w:t>
            </w:r>
          </w:p>
        </w:tc>
        <w:tc>
          <w:tcPr>
            <w:tcW w:w="1142" w:type="pct"/>
            <w:tcMar>
              <w:top w:w="56" w:type="dxa"/>
              <w:left w:w="56" w:type="dxa"/>
              <w:bottom w:w="56" w:type="dxa"/>
              <w:right w:w="56" w:type="dxa"/>
            </w:tcMar>
            <w:hideMark/>
          </w:tcPr>
          <w:p w14:paraId="66EA5DCD"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3.7 ± 0.4</w:t>
            </w:r>
          </w:p>
        </w:tc>
        <w:tc>
          <w:tcPr>
            <w:tcW w:w="1212" w:type="pct"/>
            <w:tcMar>
              <w:top w:w="56" w:type="dxa"/>
              <w:left w:w="56" w:type="dxa"/>
              <w:bottom w:w="56" w:type="dxa"/>
              <w:right w:w="56" w:type="dxa"/>
            </w:tcMar>
            <w:hideMark/>
          </w:tcPr>
          <w:p w14:paraId="481D808D"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1.3 ± 0.6</w:t>
            </w:r>
          </w:p>
        </w:tc>
        <w:tc>
          <w:tcPr>
            <w:tcW w:w="1233" w:type="pct"/>
            <w:tcMar>
              <w:top w:w="56" w:type="dxa"/>
              <w:left w:w="56" w:type="dxa"/>
              <w:bottom w:w="56" w:type="dxa"/>
              <w:right w:w="56" w:type="dxa"/>
            </w:tcMar>
            <w:hideMark/>
          </w:tcPr>
          <w:p w14:paraId="2ED97D76"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3.7 ± 1.0</w:t>
            </w:r>
          </w:p>
        </w:tc>
      </w:tr>
      <w:tr w:rsidR="0033022D" w:rsidRPr="0033022D" w14:paraId="04F511C1" w14:textId="77777777" w:rsidTr="0033022D">
        <w:trPr>
          <w:tblCellSpacing w:w="15" w:type="dxa"/>
        </w:trPr>
        <w:tc>
          <w:tcPr>
            <w:tcW w:w="1345" w:type="pct"/>
            <w:tcMar>
              <w:top w:w="56" w:type="dxa"/>
              <w:left w:w="56" w:type="dxa"/>
              <w:bottom w:w="56" w:type="dxa"/>
              <w:right w:w="56" w:type="dxa"/>
            </w:tcMar>
            <w:hideMark/>
          </w:tcPr>
          <w:p w14:paraId="182E38F1"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文件</w:t>
            </w:r>
          </w:p>
        </w:tc>
        <w:tc>
          <w:tcPr>
            <w:tcW w:w="1142" w:type="pct"/>
            <w:tcMar>
              <w:top w:w="56" w:type="dxa"/>
              <w:left w:w="56" w:type="dxa"/>
              <w:bottom w:w="56" w:type="dxa"/>
              <w:right w:w="56" w:type="dxa"/>
            </w:tcMar>
            <w:hideMark/>
          </w:tcPr>
          <w:p w14:paraId="404B2967"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6.6 ± 0.9</w:t>
            </w:r>
          </w:p>
        </w:tc>
        <w:tc>
          <w:tcPr>
            <w:tcW w:w="1212" w:type="pct"/>
            <w:tcMar>
              <w:top w:w="56" w:type="dxa"/>
              <w:left w:w="56" w:type="dxa"/>
              <w:bottom w:w="56" w:type="dxa"/>
              <w:right w:w="56" w:type="dxa"/>
            </w:tcMar>
            <w:hideMark/>
          </w:tcPr>
          <w:p w14:paraId="1E802292"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6.6 ± 0.2</w:t>
            </w:r>
          </w:p>
        </w:tc>
        <w:tc>
          <w:tcPr>
            <w:tcW w:w="1233" w:type="pct"/>
            <w:tcMar>
              <w:top w:w="56" w:type="dxa"/>
              <w:left w:w="56" w:type="dxa"/>
              <w:bottom w:w="56" w:type="dxa"/>
              <w:right w:w="56" w:type="dxa"/>
            </w:tcMar>
            <w:hideMark/>
          </w:tcPr>
          <w:p w14:paraId="34BAFFD3"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5.2 ± 0.1</w:t>
            </w:r>
          </w:p>
        </w:tc>
      </w:tr>
      <w:tr w:rsidR="0033022D" w:rsidRPr="0033022D" w14:paraId="5E2CF6D0" w14:textId="77777777" w:rsidTr="0033022D">
        <w:trPr>
          <w:tblCellSpacing w:w="15" w:type="dxa"/>
        </w:trPr>
        <w:tc>
          <w:tcPr>
            <w:tcW w:w="1345" w:type="pct"/>
            <w:tcMar>
              <w:top w:w="56" w:type="dxa"/>
              <w:left w:w="56" w:type="dxa"/>
              <w:bottom w:w="56" w:type="dxa"/>
              <w:right w:w="56" w:type="dxa"/>
            </w:tcMar>
            <w:hideMark/>
          </w:tcPr>
          <w:p w14:paraId="48B6D342"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ERI</w:t>
            </w:r>
          </w:p>
        </w:tc>
        <w:tc>
          <w:tcPr>
            <w:tcW w:w="1142" w:type="pct"/>
            <w:tcMar>
              <w:top w:w="56" w:type="dxa"/>
              <w:left w:w="56" w:type="dxa"/>
              <w:bottom w:w="56" w:type="dxa"/>
              <w:right w:w="56" w:type="dxa"/>
            </w:tcMar>
            <w:hideMark/>
          </w:tcPr>
          <w:p w14:paraId="28D36305"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2.7 ± 0.2</w:t>
            </w:r>
          </w:p>
        </w:tc>
        <w:tc>
          <w:tcPr>
            <w:tcW w:w="1212" w:type="pct"/>
            <w:tcMar>
              <w:top w:w="56" w:type="dxa"/>
              <w:left w:w="56" w:type="dxa"/>
              <w:bottom w:w="56" w:type="dxa"/>
              <w:right w:w="56" w:type="dxa"/>
            </w:tcMar>
            <w:hideMark/>
          </w:tcPr>
          <w:p w14:paraId="508A7AB3"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1.9 ± 0.7</w:t>
            </w:r>
          </w:p>
        </w:tc>
        <w:tc>
          <w:tcPr>
            <w:tcW w:w="1233" w:type="pct"/>
            <w:tcMar>
              <w:top w:w="56" w:type="dxa"/>
              <w:left w:w="56" w:type="dxa"/>
              <w:bottom w:w="56" w:type="dxa"/>
              <w:right w:w="56" w:type="dxa"/>
            </w:tcMar>
            <w:hideMark/>
          </w:tcPr>
          <w:p w14:paraId="6B921498"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2.2 ± 0.1</w:t>
            </w:r>
          </w:p>
        </w:tc>
      </w:tr>
      <w:tr w:rsidR="0033022D" w:rsidRPr="0033022D" w14:paraId="349180BD" w14:textId="77777777" w:rsidTr="0033022D">
        <w:trPr>
          <w:tblHeader/>
          <w:tblCellSpacing w:w="15" w:type="dxa"/>
        </w:trPr>
        <w:tc>
          <w:tcPr>
            <w:tcW w:w="4973" w:type="pct"/>
            <w:gridSpan w:val="4"/>
            <w:tcMar>
              <w:top w:w="56" w:type="dxa"/>
              <w:left w:w="56" w:type="dxa"/>
              <w:bottom w:w="56" w:type="dxa"/>
              <w:right w:w="56" w:type="dxa"/>
            </w:tcMar>
            <w:hideMark/>
          </w:tcPr>
          <w:p w14:paraId="7E058378" w14:textId="77777777" w:rsidR="0033022D" w:rsidRPr="0033022D" w:rsidRDefault="0033022D" w:rsidP="0033022D">
            <w:pPr>
              <w:widowControl/>
              <w:rPr>
                <w:rFonts w:ascii="微软雅黑" w:eastAsia="微软雅黑" w:hAnsi="微软雅黑" w:cs="宋体"/>
                <w:b/>
                <w:bCs/>
                <w:kern w:val="0"/>
                <w:sz w:val="24"/>
                <w:szCs w:val="24"/>
              </w:rPr>
            </w:pPr>
            <w:r w:rsidRPr="0033022D">
              <w:rPr>
                <w:rFonts w:ascii="微软雅黑" w:eastAsia="微软雅黑" w:hAnsi="微软雅黑" w:cs="宋体"/>
                <w:b/>
                <w:bCs/>
                <w:kern w:val="0"/>
                <w:sz w:val="24"/>
                <w:szCs w:val="24"/>
              </w:rPr>
              <w:t>KPL-1细胞</w:t>
            </w:r>
          </w:p>
        </w:tc>
      </w:tr>
      <w:tr w:rsidR="0033022D" w:rsidRPr="0033022D" w14:paraId="67935E26" w14:textId="77777777" w:rsidTr="0033022D">
        <w:trPr>
          <w:tblHeader/>
          <w:tblCellSpacing w:w="15" w:type="dxa"/>
        </w:trPr>
        <w:tc>
          <w:tcPr>
            <w:tcW w:w="1345" w:type="pct"/>
            <w:tcMar>
              <w:top w:w="56" w:type="dxa"/>
              <w:left w:w="56" w:type="dxa"/>
              <w:bottom w:w="56" w:type="dxa"/>
              <w:right w:w="56" w:type="dxa"/>
            </w:tcMar>
            <w:hideMark/>
          </w:tcPr>
          <w:p w14:paraId="4D04AD19" w14:textId="77777777" w:rsidR="0033022D" w:rsidRPr="0033022D" w:rsidRDefault="0033022D" w:rsidP="0033022D">
            <w:pPr>
              <w:widowControl/>
              <w:rPr>
                <w:rFonts w:ascii="微软雅黑" w:eastAsia="微软雅黑" w:hAnsi="微软雅黑" w:cs="宋体"/>
                <w:b/>
                <w:bCs/>
                <w:kern w:val="0"/>
                <w:sz w:val="24"/>
                <w:szCs w:val="24"/>
              </w:rPr>
            </w:pPr>
            <w:r w:rsidRPr="0033022D">
              <w:rPr>
                <w:rFonts w:ascii="微软雅黑" w:eastAsia="微软雅黑" w:hAnsi="微软雅黑" w:cs="宋体"/>
                <w:b/>
                <w:bCs/>
                <w:kern w:val="0"/>
                <w:sz w:val="24"/>
                <w:szCs w:val="24"/>
              </w:rPr>
              <w:t>试剂（</w:t>
            </w:r>
            <w:proofErr w:type="spellStart"/>
            <w:r w:rsidRPr="0033022D">
              <w:rPr>
                <w:rFonts w:ascii="微软雅黑" w:eastAsia="微软雅黑" w:hAnsi="微软雅黑" w:cs="宋体"/>
                <w:b/>
                <w:bCs/>
                <w:kern w:val="0"/>
                <w:sz w:val="24"/>
                <w:szCs w:val="24"/>
              </w:rPr>
              <w:t>nM</w:t>
            </w:r>
            <w:proofErr w:type="spellEnd"/>
            <w:r w:rsidRPr="0033022D">
              <w:rPr>
                <w:rFonts w:ascii="微软雅黑" w:eastAsia="微软雅黑" w:hAnsi="微软雅黑" w:cs="宋体"/>
                <w:b/>
                <w:bCs/>
                <w:kern w:val="0"/>
                <w:sz w:val="24"/>
                <w:szCs w:val="24"/>
              </w:rPr>
              <w:t>）</w:t>
            </w:r>
          </w:p>
        </w:tc>
        <w:tc>
          <w:tcPr>
            <w:tcW w:w="1142" w:type="pct"/>
            <w:tcMar>
              <w:top w:w="56" w:type="dxa"/>
              <w:left w:w="56" w:type="dxa"/>
              <w:bottom w:w="56" w:type="dxa"/>
              <w:right w:w="56" w:type="dxa"/>
            </w:tcMar>
            <w:hideMark/>
          </w:tcPr>
          <w:p w14:paraId="47717B23" w14:textId="77777777" w:rsidR="0033022D" w:rsidRPr="0033022D" w:rsidRDefault="0033022D" w:rsidP="0033022D">
            <w:pPr>
              <w:widowControl/>
              <w:rPr>
                <w:rFonts w:ascii="微软雅黑" w:eastAsia="微软雅黑" w:hAnsi="微软雅黑" w:cs="宋体"/>
                <w:b/>
                <w:bCs/>
                <w:kern w:val="0"/>
                <w:sz w:val="24"/>
                <w:szCs w:val="24"/>
              </w:rPr>
            </w:pPr>
            <w:r w:rsidRPr="0033022D">
              <w:rPr>
                <w:rFonts w:ascii="微软雅黑" w:eastAsia="微软雅黑" w:hAnsi="微软雅黑" w:cs="宋体"/>
                <w:b/>
                <w:bCs/>
                <w:kern w:val="0"/>
                <w:sz w:val="24"/>
                <w:szCs w:val="24"/>
              </w:rPr>
              <w:t>KS细胞</w:t>
            </w:r>
          </w:p>
        </w:tc>
        <w:tc>
          <w:tcPr>
            <w:tcW w:w="1212" w:type="pct"/>
            <w:tcMar>
              <w:top w:w="56" w:type="dxa"/>
              <w:left w:w="56" w:type="dxa"/>
              <w:bottom w:w="56" w:type="dxa"/>
              <w:right w:w="56" w:type="dxa"/>
            </w:tcMar>
            <w:hideMark/>
          </w:tcPr>
          <w:p w14:paraId="678DCC7F" w14:textId="77777777" w:rsidR="0033022D" w:rsidRPr="0033022D" w:rsidRDefault="0033022D" w:rsidP="0033022D">
            <w:pPr>
              <w:widowControl/>
              <w:rPr>
                <w:rFonts w:ascii="微软雅黑" w:eastAsia="微软雅黑" w:hAnsi="微软雅黑" w:cs="宋体"/>
                <w:b/>
                <w:bCs/>
                <w:kern w:val="0"/>
                <w:sz w:val="24"/>
                <w:szCs w:val="24"/>
              </w:rPr>
            </w:pPr>
            <w:r w:rsidRPr="0033022D">
              <w:rPr>
                <w:rFonts w:ascii="微软雅黑" w:eastAsia="微软雅黑" w:hAnsi="微软雅黑" w:cs="宋体"/>
                <w:b/>
                <w:bCs/>
                <w:kern w:val="0"/>
                <w:sz w:val="24"/>
                <w:szCs w:val="24"/>
              </w:rPr>
              <w:t>KR-P细胞</w:t>
            </w:r>
          </w:p>
        </w:tc>
        <w:tc>
          <w:tcPr>
            <w:tcW w:w="1233" w:type="pct"/>
            <w:tcMar>
              <w:top w:w="56" w:type="dxa"/>
              <w:left w:w="56" w:type="dxa"/>
              <w:bottom w:w="56" w:type="dxa"/>
              <w:right w:w="56" w:type="dxa"/>
            </w:tcMar>
            <w:hideMark/>
          </w:tcPr>
          <w:p w14:paraId="45EB1BB9" w14:textId="77777777" w:rsidR="0033022D" w:rsidRPr="0033022D" w:rsidRDefault="0033022D" w:rsidP="0033022D">
            <w:pPr>
              <w:widowControl/>
              <w:rPr>
                <w:rFonts w:ascii="微软雅黑" w:eastAsia="微软雅黑" w:hAnsi="微软雅黑" w:cs="宋体"/>
                <w:b/>
                <w:bCs/>
                <w:kern w:val="0"/>
                <w:sz w:val="24"/>
                <w:szCs w:val="24"/>
              </w:rPr>
            </w:pPr>
            <w:r w:rsidRPr="0033022D">
              <w:rPr>
                <w:rFonts w:ascii="微软雅黑" w:eastAsia="微软雅黑" w:hAnsi="微软雅黑" w:cs="宋体"/>
                <w:b/>
                <w:bCs/>
                <w:kern w:val="0"/>
                <w:sz w:val="24"/>
                <w:szCs w:val="24"/>
              </w:rPr>
              <w:t>KR-A细胞</w:t>
            </w:r>
          </w:p>
        </w:tc>
      </w:tr>
      <w:tr w:rsidR="0033022D" w:rsidRPr="0033022D" w14:paraId="7830F2FA" w14:textId="77777777" w:rsidTr="0033022D">
        <w:trPr>
          <w:tblCellSpacing w:w="15" w:type="dxa"/>
        </w:trPr>
        <w:tc>
          <w:tcPr>
            <w:tcW w:w="1345" w:type="pct"/>
            <w:tcMar>
              <w:top w:w="56" w:type="dxa"/>
              <w:left w:w="56" w:type="dxa"/>
              <w:bottom w:w="56" w:type="dxa"/>
              <w:right w:w="56" w:type="dxa"/>
            </w:tcMar>
            <w:hideMark/>
          </w:tcPr>
          <w:p w14:paraId="1B8FBEC2"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5-氟尿嘧啶</w:t>
            </w:r>
          </w:p>
        </w:tc>
        <w:tc>
          <w:tcPr>
            <w:tcW w:w="1142" w:type="pct"/>
            <w:tcMar>
              <w:top w:w="56" w:type="dxa"/>
              <w:left w:w="56" w:type="dxa"/>
              <w:bottom w:w="56" w:type="dxa"/>
              <w:right w:w="56" w:type="dxa"/>
            </w:tcMar>
            <w:hideMark/>
          </w:tcPr>
          <w:p w14:paraId="7495E1FA"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6.9 ± 0.2</w:t>
            </w:r>
          </w:p>
        </w:tc>
        <w:tc>
          <w:tcPr>
            <w:tcW w:w="1212" w:type="pct"/>
            <w:tcMar>
              <w:top w:w="56" w:type="dxa"/>
              <w:left w:w="56" w:type="dxa"/>
              <w:bottom w:w="56" w:type="dxa"/>
              <w:right w:w="56" w:type="dxa"/>
            </w:tcMar>
            <w:hideMark/>
          </w:tcPr>
          <w:p w14:paraId="350B3B4B"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7.1 ± 1.3</w:t>
            </w:r>
          </w:p>
        </w:tc>
        <w:tc>
          <w:tcPr>
            <w:tcW w:w="1233" w:type="pct"/>
            <w:tcMar>
              <w:top w:w="56" w:type="dxa"/>
              <w:left w:w="56" w:type="dxa"/>
              <w:bottom w:w="56" w:type="dxa"/>
              <w:right w:w="56" w:type="dxa"/>
            </w:tcMar>
            <w:hideMark/>
          </w:tcPr>
          <w:p w14:paraId="0AEE6F4F"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6.1 ± 1.8</w:t>
            </w:r>
          </w:p>
        </w:tc>
      </w:tr>
      <w:tr w:rsidR="0033022D" w:rsidRPr="0033022D" w14:paraId="162621A5" w14:textId="77777777" w:rsidTr="0033022D">
        <w:trPr>
          <w:tblCellSpacing w:w="15" w:type="dxa"/>
        </w:trPr>
        <w:tc>
          <w:tcPr>
            <w:tcW w:w="1345" w:type="pct"/>
            <w:tcMar>
              <w:top w:w="56" w:type="dxa"/>
              <w:left w:w="56" w:type="dxa"/>
              <w:bottom w:w="56" w:type="dxa"/>
              <w:right w:w="56" w:type="dxa"/>
            </w:tcMar>
            <w:hideMark/>
          </w:tcPr>
          <w:p w14:paraId="08E65364"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宝石</w:t>
            </w:r>
          </w:p>
        </w:tc>
        <w:tc>
          <w:tcPr>
            <w:tcW w:w="1142" w:type="pct"/>
            <w:tcMar>
              <w:top w:w="56" w:type="dxa"/>
              <w:left w:w="56" w:type="dxa"/>
              <w:bottom w:w="56" w:type="dxa"/>
              <w:right w:w="56" w:type="dxa"/>
            </w:tcMar>
            <w:hideMark/>
          </w:tcPr>
          <w:p w14:paraId="0719CC78"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5.5 ± 0.3</w:t>
            </w:r>
          </w:p>
        </w:tc>
        <w:tc>
          <w:tcPr>
            <w:tcW w:w="1212" w:type="pct"/>
            <w:tcMar>
              <w:top w:w="56" w:type="dxa"/>
              <w:left w:w="56" w:type="dxa"/>
              <w:bottom w:w="56" w:type="dxa"/>
              <w:right w:w="56" w:type="dxa"/>
            </w:tcMar>
            <w:hideMark/>
          </w:tcPr>
          <w:p w14:paraId="03C5C05C"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3.4 ± 1.1</w:t>
            </w:r>
          </w:p>
        </w:tc>
        <w:tc>
          <w:tcPr>
            <w:tcW w:w="1233" w:type="pct"/>
            <w:tcMar>
              <w:top w:w="56" w:type="dxa"/>
              <w:left w:w="56" w:type="dxa"/>
              <w:bottom w:w="56" w:type="dxa"/>
              <w:right w:w="56" w:type="dxa"/>
            </w:tcMar>
            <w:hideMark/>
          </w:tcPr>
          <w:p w14:paraId="547135B4"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5.6 ± 0.9</w:t>
            </w:r>
          </w:p>
        </w:tc>
      </w:tr>
      <w:tr w:rsidR="0033022D" w:rsidRPr="0033022D" w14:paraId="3012CBE1" w14:textId="77777777" w:rsidTr="0033022D">
        <w:trPr>
          <w:tblCellSpacing w:w="15" w:type="dxa"/>
        </w:trPr>
        <w:tc>
          <w:tcPr>
            <w:tcW w:w="1345" w:type="pct"/>
            <w:tcMar>
              <w:top w:w="56" w:type="dxa"/>
              <w:left w:w="56" w:type="dxa"/>
              <w:bottom w:w="56" w:type="dxa"/>
              <w:right w:w="56" w:type="dxa"/>
            </w:tcMar>
            <w:hideMark/>
          </w:tcPr>
          <w:p w14:paraId="4FE575F5"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DOX</w:t>
            </w:r>
          </w:p>
        </w:tc>
        <w:tc>
          <w:tcPr>
            <w:tcW w:w="1142" w:type="pct"/>
            <w:tcMar>
              <w:top w:w="56" w:type="dxa"/>
              <w:left w:w="56" w:type="dxa"/>
              <w:bottom w:w="56" w:type="dxa"/>
              <w:right w:w="56" w:type="dxa"/>
            </w:tcMar>
            <w:hideMark/>
          </w:tcPr>
          <w:p w14:paraId="30EB08A1"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20.2 ± 2.6</w:t>
            </w:r>
          </w:p>
        </w:tc>
        <w:tc>
          <w:tcPr>
            <w:tcW w:w="1212" w:type="pct"/>
            <w:tcMar>
              <w:top w:w="56" w:type="dxa"/>
              <w:left w:w="56" w:type="dxa"/>
              <w:bottom w:w="56" w:type="dxa"/>
              <w:right w:w="56" w:type="dxa"/>
            </w:tcMar>
            <w:hideMark/>
          </w:tcPr>
          <w:p w14:paraId="43B6CD0C"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31.9 ± 4.1</w:t>
            </w:r>
          </w:p>
        </w:tc>
        <w:tc>
          <w:tcPr>
            <w:tcW w:w="1233" w:type="pct"/>
            <w:tcMar>
              <w:top w:w="56" w:type="dxa"/>
              <w:left w:w="56" w:type="dxa"/>
              <w:bottom w:w="56" w:type="dxa"/>
              <w:right w:w="56" w:type="dxa"/>
            </w:tcMar>
            <w:hideMark/>
          </w:tcPr>
          <w:p w14:paraId="56E526EA"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25.9 ± 4.1</w:t>
            </w:r>
          </w:p>
        </w:tc>
      </w:tr>
      <w:tr w:rsidR="0033022D" w:rsidRPr="0033022D" w14:paraId="306A93E1" w14:textId="77777777" w:rsidTr="0033022D">
        <w:trPr>
          <w:tblCellSpacing w:w="15" w:type="dxa"/>
        </w:trPr>
        <w:tc>
          <w:tcPr>
            <w:tcW w:w="1345" w:type="pct"/>
            <w:tcMar>
              <w:top w:w="56" w:type="dxa"/>
              <w:left w:w="56" w:type="dxa"/>
              <w:bottom w:w="56" w:type="dxa"/>
              <w:right w:w="56" w:type="dxa"/>
            </w:tcMar>
            <w:hideMark/>
          </w:tcPr>
          <w:p w14:paraId="5C244DA7"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lastRenderedPageBreak/>
              <w:t>PAC</w:t>
            </w:r>
          </w:p>
        </w:tc>
        <w:tc>
          <w:tcPr>
            <w:tcW w:w="1142" w:type="pct"/>
            <w:tcMar>
              <w:top w:w="56" w:type="dxa"/>
              <w:left w:w="56" w:type="dxa"/>
              <w:bottom w:w="56" w:type="dxa"/>
              <w:right w:w="56" w:type="dxa"/>
            </w:tcMar>
            <w:hideMark/>
          </w:tcPr>
          <w:p w14:paraId="77C3F47A"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6.0 ± 1.3</w:t>
            </w:r>
          </w:p>
        </w:tc>
        <w:tc>
          <w:tcPr>
            <w:tcW w:w="1212" w:type="pct"/>
            <w:tcMar>
              <w:top w:w="56" w:type="dxa"/>
              <w:left w:w="56" w:type="dxa"/>
              <w:bottom w:w="56" w:type="dxa"/>
              <w:right w:w="56" w:type="dxa"/>
            </w:tcMar>
            <w:hideMark/>
          </w:tcPr>
          <w:p w14:paraId="3386F358"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3.2 ± 1.3</w:t>
            </w:r>
          </w:p>
        </w:tc>
        <w:tc>
          <w:tcPr>
            <w:tcW w:w="1233" w:type="pct"/>
            <w:tcMar>
              <w:top w:w="56" w:type="dxa"/>
              <w:left w:w="56" w:type="dxa"/>
              <w:bottom w:w="56" w:type="dxa"/>
              <w:right w:w="56" w:type="dxa"/>
            </w:tcMar>
            <w:hideMark/>
          </w:tcPr>
          <w:p w14:paraId="5B3236BB"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3.2 ± 0.7</w:t>
            </w:r>
          </w:p>
        </w:tc>
      </w:tr>
      <w:tr w:rsidR="0033022D" w:rsidRPr="0033022D" w14:paraId="14BAE6B6" w14:textId="77777777" w:rsidTr="0033022D">
        <w:trPr>
          <w:tblCellSpacing w:w="15" w:type="dxa"/>
        </w:trPr>
        <w:tc>
          <w:tcPr>
            <w:tcW w:w="1345" w:type="pct"/>
            <w:tcMar>
              <w:top w:w="56" w:type="dxa"/>
              <w:left w:w="56" w:type="dxa"/>
              <w:bottom w:w="56" w:type="dxa"/>
              <w:right w:w="56" w:type="dxa"/>
            </w:tcMar>
            <w:hideMark/>
          </w:tcPr>
          <w:p w14:paraId="03B7E074"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文件</w:t>
            </w:r>
          </w:p>
        </w:tc>
        <w:tc>
          <w:tcPr>
            <w:tcW w:w="1142" w:type="pct"/>
            <w:tcMar>
              <w:top w:w="56" w:type="dxa"/>
              <w:left w:w="56" w:type="dxa"/>
              <w:bottom w:w="56" w:type="dxa"/>
              <w:right w:w="56" w:type="dxa"/>
            </w:tcMar>
            <w:hideMark/>
          </w:tcPr>
          <w:p w14:paraId="402A8115"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10.8 ± 1.6</w:t>
            </w:r>
          </w:p>
        </w:tc>
        <w:tc>
          <w:tcPr>
            <w:tcW w:w="1212" w:type="pct"/>
            <w:tcMar>
              <w:top w:w="56" w:type="dxa"/>
              <w:left w:w="56" w:type="dxa"/>
              <w:bottom w:w="56" w:type="dxa"/>
              <w:right w:w="56" w:type="dxa"/>
            </w:tcMar>
            <w:hideMark/>
          </w:tcPr>
          <w:p w14:paraId="39A6CC49"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15.9 ± 3.6</w:t>
            </w:r>
          </w:p>
        </w:tc>
        <w:tc>
          <w:tcPr>
            <w:tcW w:w="1233" w:type="pct"/>
            <w:tcMar>
              <w:top w:w="56" w:type="dxa"/>
              <w:left w:w="56" w:type="dxa"/>
              <w:bottom w:w="56" w:type="dxa"/>
              <w:right w:w="56" w:type="dxa"/>
            </w:tcMar>
            <w:hideMark/>
          </w:tcPr>
          <w:p w14:paraId="4EF7D533"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8.8 ± 0.70</w:t>
            </w:r>
          </w:p>
        </w:tc>
      </w:tr>
      <w:tr w:rsidR="0033022D" w:rsidRPr="0033022D" w14:paraId="316F63DD" w14:textId="77777777" w:rsidTr="0033022D">
        <w:trPr>
          <w:tblCellSpacing w:w="15" w:type="dxa"/>
        </w:trPr>
        <w:tc>
          <w:tcPr>
            <w:tcW w:w="1345" w:type="pct"/>
            <w:tcMar>
              <w:top w:w="56" w:type="dxa"/>
              <w:left w:w="56" w:type="dxa"/>
              <w:bottom w:w="56" w:type="dxa"/>
              <w:right w:w="56" w:type="dxa"/>
            </w:tcMar>
            <w:hideMark/>
          </w:tcPr>
          <w:p w14:paraId="61319E25"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ERI</w:t>
            </w:r>
          </w:p>
        </w:tc>
        <w:tc>
          <w:tcPr>
            <w:tcW w:w="1142" w:type="pct"/>
            <w:tcMar>
              <w:top w:w="56" w:type="dxa"/>
              <w:left w:w="56" w:type="dxa"/>
              <w:bottom w:w="56" w:type="dxa"/>
              <w:right w:w="56" w:type="dxa"/>
            </w:tcMar>
            <w:hideMark/>
          </w:tcPr>
          <w:p w14:paraId="478CDCF7"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7.5 ± 0.2</w:t>
            </w:r>
          </w:p>
        </w:tc>
        <w:tc>
          <w:tcPr>
            <w:tcW w:w="1212" w:type="pct"/>
            <w:tcMar>
              <w:top w:w="56" w:type="dxa"/>
              <w:left w:w="56" w:type="dxa"/>
              <w:bottom w:w="56" w:type="dxa"/>
              <w:right w:w="56" w:type="dxa"/>
            </w:tcMar>
            <w:hideMark/>
          </w:tcPr>
          <w:p w14:paraId="0205BC50"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8.1 ± 0.9</w:t>
            </w:r>
          </w:p>
        </w:tc>
        <w:tc>
          <w:tcPr>
            <w:tcW w:w="1233" w:type="pct"/>
            <w:tcMar>
              <w:top w:w="56" w:type="dxa"/>
              <w:left w:w="56" w:type="dxa"/>
              <w:bottom w:w="56" w:type="dxa"/>
              <w:right w:w="56" w:type="dxa"/>
            </w:tcMar>
            <w:hideMark/>
          </w:tcPr>
          <w:p w14:paraId="3115EE9A"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7.0 ± 0.9</w:t>
            </w:r>
          </w:p>
        </w:tc>
      </w:tr>
    </w:tbl>
    <w:p w14:paraId="34A52CE1" w14:textId="77777777" w:rsidR="0033022D" w:rsidRPr="0033022D" w:rsidRDefault="0033022D" w:rsidP="0033022D">
      <w:pPr>
        <w:widowControl/>
        <w:spacing w:line="450" w:lineRule="atLeast"/>
        <w:outlineLvl w:val="3"/>
        <w:rPr>
          <w:rFonts w:ascii="微软雅黑" w:eastAsia="微软雅黑" w:hAnsi="微软雅黑" w:cs="宋体"/>
          <w:kern w:val="0"/>
          <w:sz w:val="30"/>
          <w:szCs w:val="30"/>
        </w:rPr>
      </w:pPr>
      <w:r w:rsidRPr="0033022D">
        <w:rPr>
          <w:rFonts w:ascii="微软雅黑" w:eastAsia="微软雅黑" w:hAnsi="微软雅黑" w:cs="宋体"/>
          <w:kern w:val="0"/>
          <w:sz w:val="30"/>
          <w:szCs w:val="30"/>
        </w:rPr>
        <w:t>图 3。</w:t>
      </w:r>
    </w:p>
    <w:p w14:paraId="3FB7832A" w14:textId="600CEC5A"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noProof/>
          <w:kern w:val="0"/>
          <w:sz w:val="24"/>
          <w:szCs w:val="24"/>
        </w:rPr>
        <w:drawing>
          <wp:inline distT="0" distB="0" distL="0" distR="0" wp14:anchorId="52205F48" wp14:editId="161934D7">
            <wp:extent cx="5274310" cy="4377690"/>
            <wp:effectExtent l="0" t="0" r="2540" b="3810"/>
            <wp:docPr id="3" name="图片 3" descr="图 3">
              <a:hlinkClick xmlns:a="http://schemas.openxmlformats.org/drawingml/2006/main" r:id="rId2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3" descr="图 3">
                      <a:hlinkClick r:id="rId24" tgtFrame="&quot;_blank&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4377690"/>
                    </a:xfrm>
                    <a:prstGeom prst="rect">
                      <a:avLst/>
                    </a:prstGeom>
                    <a:noFill/>
                    <a:ln>
                      <a:noFill/>
                    </a:ln>
                  </pic:spPr>
                </pic:pic>
              </a:graphicData>
            </a:graphic>
          </wp:inline>
        </w:drawing>
      </w:r>
    </w:p>
    <w:p w14:paraId="05A97B47"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在对 PAL 或 ABE 敏感或耐药的 MCF-7 细胞中，化疗药物的生长抑制曲线如图所示。细胞分别用 5-FU ( </w:t>
      </w:r>
      <w:r w:rsidRPr="0033022D">
        <w:rPr>
          <w:rFonts w:ascii="微软雅黑" w:eastAsia="微软雅黑" w:hAnsi="微软雅黑" w:cs="宋体"/>
          <w:b/>
          <w:bCs/>
          <w:kern w:val="0"/>
          <w:sz w:val="24"/>
          <w:szCs w:val="24"/>
        </w:rPr>
        <w:t>a</w:t>
      </w:r>
      <w:r w:rsidRPr="0033022D">
        <w:rPr>
          <w:rFonts w:ascii="微软雅黑" w:eastAsia="微软雅黑" w:hAnsi="微软雅黑" w:cs="宋体"/>
          <w:kern w:val="0"/>
          <w:sz w:val="24"/>
          <w:szCs w:val="24"/>
        </w:rPr>
        <w:t> )、GEM ( </w:t>
      </w:r>
      <w:r w:rsidRPr="0033022D">
        <w:rPr>
          <w:rFonts w:ascii="微软雅黑" w:eastAsia="微软雅黑" w:hAnsi="微软雅黑" w:cs="宋体"/>
          <w:b/>
          <w:bCs/>
          <w:kern w:val="0"/>
          <w:sz w:val="24"/>
          <w:szCs w:val="24"/>
        </w:rPr>
        <w:t>b</w:t>
      </w:r>
      <w:r w:rsidRPr="0033022D">
        <w:rPr>
          <w:rFonts w:ascii="微软雅黑" w:eastAsia="微软雅黑" w:hAnsi="微软雅黑" w:cs="宋体"/>
          <w:kern w:val="0"/>
          <w:sz w:val="24"/>
          <w:szCs w:val="24"/>
        </w:rPr>
        <w:t> )、DOX ( </w:t>
      </w:r>
      <w:r w:rsidRPr="0033022D">
        <w:rPr>
          <w:rFonts w:ascii="微软雅黑" w:eastAsia="微软雅黑" w:hAnsi="微软雅黑" w:cs="宋体"/>
          <w:b/>
          <w:bCs/>
          <w:kern w:val="0"/>
          <w:sz w:val="24"/>
          <w:szCs w:val="24"/>
        </w:rPr>
        <w:t>c</w:t>
      </w:r>
      <w:r w:rsidRPr="0033022D">
        <w:rPr>
          <w:rFonts w:ascii="微软雅黑" w:eastAsia="微软雅黑" w:hAnsi="微软雅黑" w:cs="宋体"/>
          <w:kern w:val="0"/>
          <w:sz w:val="24"/>
          <w:szCs w:val="24"/>
        </w:rPr>
        <w:t> )、PAC ( </w:t>
      </w:r>
      <w:r w:rsidRPr="0033022D">
        <w:rPr>
          <w:rFonts w:ascii="微软雅黑" w:eastAsia="微软雅黑" w:hAnsi="微软雅黑" w:cs="宋体"/>
          <w:b/>
          <w:bCs/>
          <w:kern w:val="0"/>
          <w:sz w:val="24"/>
          <w:szCs w:val="24"/>
        </w:rPr>
        <w:t>d</w:t>
      </w:r>
      <w:r w:rsidRPr="0033022D">
        <w:rPr>
          <w:rFonts w:ascii="微软雅黑" w:eastAsia="微软雅黑" w:hAnsi="微软雅黑" w:cs="宋体"/>
          <w:kern w:val="0"/>
          <w:sz w:val="24"/>
          <w:szCs w:val="24"/>
        </w:rPr>
        <w:t> )、DOC ( </w:t>
      </w:r>
      <w:r w:rsidRPr="0033022D">
        <w:rPr>
          <w:rFonts w:ascii="微软雅黑" w:eastAsia="微软雅黑" w:hAnsi="微软雅黑" w:cs="宋体"/>
          <w:b/>
          <w:bCs/>
          <w:kern w:val="0"/>
          <w:sz w:val="24"/>
          <w:szCs w:val="24"/>
        </w:rPr>
        <w:t>e</w:t>
      </w:r>
      <w:r w:rsidRPr="0033022D">
        <w:rPr>
          <w:rFonts w:ascii="微软雅黑" w:eastAsia="微软雅黑" w:hAnsi="微软雅黑" w:cs="宋体"/>
          <w:kern w:val="0"/>
          <w:sz w:val="24"/>
          <w:szCs w:val="24"/>
        </w:rPr>
        <w:t xml:space="preserve"> ) </w:t>
      </w:r>
      <w:r w:rsidRPr="0033022D">
        <w:rPr>
          <w:rFonts w:ascii="微软雅黑" w:eastAsia="微软雅黑" w:hAnsi="微软雅黑" w:cs="宋体"/>
          <w:kern w:val="0"/>
          <w:sz w:val="24"/>
          <w:szCs w:val="24"/>
        </w:rPr>
        <w:lastRenderedPageBreak/>
        <w:t>和 ERI ( </w:t>
      </w:r>
      <w:r w:rsidRPr="0033022D">
        <w:rPr>
          <w:rFonts w:ascii="微软雅黑" w:eastAsia="微软雅黑" w:hAnsi="微软雅黑" w:cs="宋体"/>
          <w:b/>
          <w:bCs/>
          <w:kern w:val="0"/>
          <w:sz w:val="24"/>
          <w:szCs w:val="24"/>
        </w:rPr>
        <w:t>f</w:t>
      </w:r>
      <w:r w:rsidRPr="0033022D">
        <w:rPr>
          <w:rFonts w:ascii="微软雅黑" w:eastAsia="微软雅黑" w:hAnsi="微软雅黑" w:cs="宋体"/>
          <w:kern w:val="0"/>
          <w:sz w:val="24"/>
          <w:szCs w:val="24"/>
        </w:rPr>
        <w:t> ) 处理 3 天。数值为平均值 ± 标准误差。空心圆圈代表 MS 细胞；浅灰色圆圈代表 MR-P 细胞；深灰色圆圈代表 MR-A 细胞。</w:t>
      </w:r>
    </w:p>
    <w:p w14:paraId="51EB1375" w14:textId="77777777" w:rsidR="0033022D" w:rsidRPr="0033022D" w:rsidRDefault="0033022D" w:rsidP="0033022D">
      <w:pPr>
        <w:widowControl/>
        <w:spacing w:line="450" w:lineRule="atLeast"/>
        <w:outlineLvl w:val="3"/>
        <w:rPr>
          <w:rFonts w:ascii="微软雅黑" w:eastAsia="微软雅黑" w:hAnsi="微软雅黑" w:cs="宋体"/>
          <w:kern w:val="0"/>
          <w:sz w:val="30"/>
          <w:szCs w:val="30"/>
        </w:rPr>
      </w:pPr>
      <w:r w:rsidRPr="0033022D">
        <w:rPr>
          <w:rFonts w:ascii="微软雅黑" w:eastAsia="微软雅黑" w:hAnsi="微软雅黑" w:cs="宋体"/>
          <w:kern w:val="0"/>
          <w:sz w:val="30"/>
          <w:szCs w:val="30"/>
        </w:rPr>
        <w:t>图 4。</w:t>
      </w:r>
    </w:p>
    <w:p w14:paraId="42563FFA" w14:textId="3E26C1F8"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noProof/>
          <w:kern w:val="0"/>
          <w:sz w:val="24"/>
          <w:szCs w:val="24"/>
        </w:rPr>
        <w:drawing>
          <wp:inline distT="0" distB="0" distL="0" distR="0" wp14:anchorId="3EF440C5" wp14:editId="65991E28">
            <wp:extent cx="5274310" cy="4606290"/>
            <wp:effectExtent l="0" t="0" r="2540" b="3810"/>
            <wp:docPr id="2" name="图片 2" descr="图 4">
              <a:hlinkClick xmlns:a="http://schemas.openxmlformats.org/drawingml/2006/main" r:id="rId2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4" descr="图 4">
                      <a:hlinkClick r:id="rId26" tgtFrame="&quot;_blank&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4606290"/>
                    </a:xfrm>
                    <a:prstGeom prst="rect">
                      <a:avLst/>
                    </a:prstGeom>
                    <a:noFill/>
                    <a:ln>
                      <a:noFill/>
                    </a:ln>
                  </pic:spPr>
                </pic:pic>
              </a:graphicData>
            </a:graphic>
          </wp:inline>
        </w:drawing>
      </w:r>
    </w:p>
    <w:p w14:paraId="380066A3"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kern w:val="0"/>
          <w:sz w:val="24"/>
          <w:szCs w:val="24"/>
        </w:rPr>
        <w:t>在对 PAL 或 ABE 敏感或耐药的 KPL-1 细胞中，化疗药物的生长抑制曲线。细胞分别用 5-FU ( </w:t>
      </w:r>
      <w:r w:rsidRPr="0033022D">
        <w:rPr>
          <w:rFonts w:ascii="微软雅黑" w:eastAsia="微软雅黑" w:hAnsi="微软雅黑" w:cs="宋体"/>
          <w:b/>
          <w:bCs/>
          <w:kern w:val="0"/>
          <w:sz w:val="24"/>
          <w:szCs w:val="24"/>
        </w:rPr>
        <w:t>a</w:t>
      </w:r>
      <w:r w:rsidRPr="0033022D">
        <w:rPr>
          <w:rFonts w:ascii="微软雅黑" w:eastAsia="微软雅黑" w:hAnsi="微软雅黑" w:cs="宋体"/>
          <w:kern w:val="0"/>
          <w:sz w:val="24"/>
          <w:szCs w:val="24"/>
        </w:rPr>
        <w:t> )、GEM ( </w:t>
      </w:r>
      <w:r w:rsidRPr="0033022D">
        <w:rPr>
          <w:rFonts w:ascii="微软雅黑" w:eastAsia="微软雅黑" w:hAnsi="微软雅黑" w:cs="宋体"/>
          <w:b/>
          <w:bCs/>
          <w:kern w:val="0"/>
          <w:sz w:val="24"/>
          <w:szCs w:val="24"/>
        </w:rPr>
        <w:t>b</w:t>
      </w:r>
      <w:r w:rsidRPr="0033022D">
        <w:rPr>
          <w:rFonts w:ascii="微软雅黑" w:eastAsia="微软雅黑" w:hAnsi="微软雅黑" w:cs="宋体"/>
          <w:kern w:val="0"/>
          <w:sz w:val="24"/>
          <w:szCs w:val="24"/>
        </w:rPr>
        <w:t> )、DOX ( </w:t>
      </w:r>
      <w:r w:rsidRPr="0033022D">
        <w:rPr>
          <w:rFonts w:ascii="微软雅黑" w:eastAsia="微软雅黑" w:hAnsi="微软雅黑" w:cs="宋体"/>
          <w:b/>
          <w:bCs/>
          <w:kern w:val="0"/>
          <w:sz w:val="24"/>
          <w:szCs w:val="24"/>
        </w:rPr>
        <w:t>c</w:t>
      </w:r>
      <w:r w:rsidRPr="0033022D">
        <w:rPr>
          <w:rFonts w:ascii="微软雅黑" w:eastAsia="微软雅黑" w:hAnsi="微软雅黑" w:cs="宋体"/>
          <w:kern w:val="0"/>
          <w:sz w:val="24"/>
          <w:szCs w:val="24"/>
        </w:rPr>
        <w:t> )、PAC ( </w:t>
      </w:r>
      <w:r w:rsidRPr="0033022D">
        <w:rPr>
          <w:rFonts w:ascii="微软雅黑" w:eastAsia="微软雅黑" w:hAnsi="微软雅黑" w:cs="宋体"/>
          <w:b/>
          <w:bCs/>
          <w:kern w:val="0"/>
          <w:sz w:val="24"/>
          <w:szCs w:val="24"/>
        </w:rPr>
        <w:t>d</w:t>
      </w:r>
      <w:r w:rsidRPr="0033022D">
        <w:rPr>
          <w:rFonts w:ascii="微软雅黑" w:eastAsia="微软雅黑" w:hAnsi="微软雅黑" w:cs="宋体"/>
          <w:kern w:val="0"/>
          <w:sz w:val="24"/>
          <w:szCs w:val="24"/>
        </w:rPr>
        <w:t> )、DOC ( </w:t>
      </w:r>
      <w:r w:rsidRPr="0033022D">
        <w:rPr>
          <w:rFonts w:ascii="微软雅黑" w:eastAsia="微软雅黑" w:hAnsi="微软雅黑" w:cs="宋体"/>
          <w:b/>
          <w:bCs/>
          <w:kern w:val="0"/>
          <w:sz w:val="24"/>
          <w:szCs w:val="24"/>
        </w:rPr>
        <w:t>e</w:t>
      </w:r>
      <w:r w:rsidRPr="0033022D">
        <w:rPr>
          <w:rFonts w:ascii="微软雅黑" w:eastAsia="微软雅黑" w:hAnsi="微软雅黑" w:cs="宋体"/>
          <w:kern w:val="0"/>
          <w:sz w:val="24"/>
          <w:szCs w:val="24"/>
        </w:rPr>
        <w:t> ) 和 ERI ( </w:t>
      </w:r>
      <w:r w:rsidRPr="0033022D">
        <w:rPr>
          <w:rFonts w:ascii="微软雅黑" w:eastAsia="微软雅黑" w:hAnsi="微软雅黑" w:cs="宋体"/>
          <w:b/>
          <w:bCs/>
          <w:kern w:val="0"/>
          <w:sz w:val="24"/>
          <w:szCs w:val="24"/>
        </w:rPr>
        <w:t>f</w:t>
      </w:r>
      <w:r w:rsidRPr="0033022D">
        <w:rPr>
          <w:rFonts w:ascii="微软雅黑" w:eastAsia="微软雅黑" w:hAnsi="微软雅黑" w:cs="宋体"/>
          <w:kern w:val="0"/>
          <w:sz w:val="24"/>
          <w:szCs w:val="24"/>
        </w:rPr>
        <w:t> ) 处理 3 天。数值为平均值 ± 标准误差。空心圆圈代表 KS 细胞；浅灰色圆圈代表 KR-P 细胞；深灰色圆圈代表 KR-A 细胞。</w:t>
      </w:r>
    </w:p>
    <w:p w14:paraId="026E40FB"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PAL和ABE对耐药细胞和敏感细胞的细胞周期进程和细胞衰老的影响</w:t>
      </w:r>
    </w:p>
    <w:p w14:paraId="5ABF856B"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lastRenderedPageBreak/>
        <w:t>由于已有充分文献证明 CDK4/6 抑制剂的抗细胞生长活性依赖于 G1/S 期阻滞和细胞衰老 [ </w:t>
      </w:r>
      <w:hyperlink r:id="rId28" w:anchor="CR8" w:history="1">
        <w:r w:rsidRPr="0033022D">
          <w:rPr>
            <w:rFonts w:ascii="微软雅黑" w:eastAsia="微软雅黑" w:hAnsi="微软雅黑" w:cs="宋体"/>
            <w:kern w:val="0"/>
            <w:sz w:val="24"/>
            <w:szCs w:val="24"/>
            <w:u w:val="single"/>
          </w:rPr>
          <w:t>8</w:t>
        </w:r>
      </w:hyperlink>
      <w:r w:rsidRPr="0033022D">
        <w:rPr>
          <w:rFonts w:ascii="微软雅黑" w:eastAsia="微软雅黑" w:hAnsi="微软雅黑" w:cs="宋体"/>
          <w:kern w:val="0"/>
          <w:sz w:val="24"/>
          <w:szCs w:val="24"/>
        </w:rPr>
        <w:t> ]，因此本研究在 PAL 或 ABE 耐药细胞中考察了 PAL 和 ABE 的作用。与 MS 或 KS 细胞相比，PAL 和 ABE 在 MR-P 或 KR-P 细胞中诱导的 G1/S 期阻滞程度均较低（在线资源 1）。同样，与 MS 或 KS 细胞相比，PAL 和 ABE 在 MR-P 或 KR-P 细胞中诱导的细胞衰老程度也较低（在线资源 1）。</w:t>
      </w:r>
    </w:p>
    <w:p w14:paraId="006E4879"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耐药细胞和敏感细胞中基础RB和磷酸化RB的表达水平</w:t>
      </w:r>
    </w:p>
    <w:p w14:paraId="21DEF1F9"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由于基础和磷酸化RB的表达水平调控细胞周期蛋白D-CDK4/6-Rb-E2F通路[ </w:t>
      </w:r>
      <w:hyperlink r:id="rId29" w:anchor="CR8" w:history="1">
        <w:r w:rsidRPr="0033022D">
          <w:rPr>
            <w:rFonts w:ascii="微软雅黑" w:eastAsia="微软雅黑" w:hAnsi="微软雅黑" w:cs="宋体"/>
            <w:kern w:val="0"/>
            <w:sz w:val="24"/>
            <w:szCs w:val="24"/>
            <w:u w:val="single"/>
          </w:rPr>
          <w:t>8</w:t>
        </w:r>
      </w:hyperlink>
      <w:r w:rsidRPr="0033022D">
        <w:rPr>
          <w:rFonts w:ascii="微软雅黑" w:eastAsia="微软雅黑" w:hAnsi="微软雅黑" w:cs="宋体"/>
          <w:kern w:val="0"/>
          <w:sz w:val="24"/>
          <w:szCs w:val="24"/>
        </w:rPr>
        <w:t> ]，我们利用抗性细胞和敏感细胞，通过Western blotting检测了它们的蛋白表达。与MS细胞相比，MR-P和MR-A细胞中RB的基础表达水平显著下调（图 </w:t>
      </w:r>
      <w:hyperlink r:id="rId30" w:anchor="Fig5" w:history="1">
        <w:r w:rsidRPr="0033022D">
          <w:rPr>
            <w:rFonts w:ascii="微软雅黑" w:eastAsia="微软雅黑" w:hAnsi="微软雅黑" w:cs="宋体"/>
            <w:kern w:val="0"/>
            <w:sz w:val="24"/>
            <w:szCs w:val="24"/>
            <w:u w:val="single"/>
          </w:rPr>
          <w:t>5a</w:t>
        </w:r>
      </w:hyperlink>
      <w:r w:rsidRPr="0033022D">
        <w:rPr>
          <w:rFonts w:ascii="微软雅黑" w:eastAsia="微软雅黑" w:hAnsi="微软雅黑" w:cs="宋体"/>
          <w:kern w:val="0"/>
          <w:sz w:val="24"/>
          <w:szCs w:val="24"/>
        </w:rPr>
        <w:t>）。同样，与KS细胞相比，KR-P和KR-A细胞中RB的基础表达水平也显著下调（图 </w:t>
      </w:r>
      <w:hyperlink r:id="rId31" w:anchor="Fig5" w:history="1">
        <w:r w:rsidRPr="0033022D">
          <w:rPr>
            <w:rFonts w:ascii="微软雅黑" w:eastAsia="微软雅黑" w:hAnsi="微软雅黑" w:cs="宋体"/>
            <w:kern w:val="0"/>
            <w:sz w:val="24"/>
            <w:szCs w:val="24"/>
            <w:u w:val="single"/>
          </w:rPr>
          <w:t>5b</w:t>
        </w:r>
      </w:hyperlink>
      <w:r w:rsidRPr="0033022D">
        <w:rPr>
          <w:rFonts w:ascii="微软雅黑" w:eastAsia="微软雅黑" w:hAnsi="微软雅黑" w:cs="宋体"/>
          <w:kern w:val="0"/>
          <w:sz w:val="24"/>
          <w:szCs w:val="24"/>
        </w:rPr>
        <w:t>）。与MS细胞相比，PAL或ABE对MR-P和MR-A细胞中RB磷酸化的抑制作用部分恢复（图 </w:t>
      </w:r>
      <w:hyperlink r:id="rId32" w:anchor="Fig5" w:history="1">
        <w:r w:rsidRPr="0033022D">
          <w:rPr>
            <w:rFonts w:ascii="微软雅黑" w:eastAsia="微软雅黑" w:hAnsi="微软雅黑" w:cs="宋体"/>
            <w:kern w:val="0"/>
            <w:sz w:val="24"/>
            <w:szCs w:val="24"/>
            <w:u w:val="single"/>
          </w:rPr>
          <w:t>5a</w:t>
        </w:r>
      </w:hyperlink>
      <w:r w:rsidRPr="0033022D">
        <w:rPr>
          <w:rFonts w:ascii="微软雅黑" w:eastAsia="微软雅黑" w:hAnsi="微软雅黑" w:cs="宋体"/>
          <w:kern w:val="0"/>
          <w:sz w:val="24"/>
          <w:szCs w:val="24"/>
        </w:rPr>
        <w:t>）。同样，与KS细胞相比，PAL或ABE对KR-P和KR-A细胞中RB磷酸化的抑制作用也部分恢复（图 </w:t>
      </w:r>
      <w:hyperlink r:id="rId33" w:anchor="Fig5" w:history="1">
        <w:r w:rsidRPr="0033022D">
          <w:rPr>
            <w:rFonts w:ascii="微软雅黑" w:eastAsia="微软雅黑" w:hAnsi="微软雅黑" w:cs="宋体"/>
            <w:kern w:val="0"/>
            <w:sz w:val="24"/>
            <w:szCs w:val="24"/>
            <w:u w:val="single"/>
          </w:rPr>
          <w:t>5b</w:t>
        </w:r>
      </w:hyperlink>
      <w:r w:rsidRPr="0033022D">
        <w:rPr>
          <w:rFonts w:ascii="微软雅黑" w:eastAsia="微软雅黑" w:hAnsi="微软雅黑" w:cs="宋体"/>
          <w:kern w:val="0"/>
          <w:sz w:val="24"/>
          <w:szCs w:val="24"/>
        </w:rPr>
        <w:t>）。</w:t>
      </w:r>
    </w:p>
    <w:p w14:paraId="00F590CA" w14:textId="77777777" w:rsidR="0033022D" w:rsidRPr="0033022D" w:rsidRDefault="0033022D" w:rsidP="0033022D">
      <w:pPr>
        <w:widowControl/>
        <w:spacing w:line="450" w:lineRule="atLeast"/>
        <w:outlineLvl w:val="3"/>
        <w:rPr>
          <w:rFonts w:ascii="微软雅黑" w:eastAsia="微软雅黑" w:hAnsi="微软雅黑" w:cs="宋体"/>
          <w:kern w:val="0"/>
          <w:sz w:val="30"/>
          <w:szCs w:val="30"/>
        </w:rPr>
      </w:pPr>
      <w:r w:rsidRPr="0033022D">
        <w:rPr>
          <w:rFonts w:ascii="微软雅黑" w:eastAsia="微软雅黑" w:hAnsi="微软雅黑" w:cs="宋体"/>
          <w:kern w:val="0"/>
          <w:sz w:val="30"/>
          <w:szCs w:val="30"/>
        </w:rPr>
        <w:t>图 5。</w:t>
      </w:r>
    </w:p>
    <w:p w14:paraId="67C03E41" w14:textId="70973E72"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noProof/>
          <w:kern w:val="0"/>
          <w:sz w:val="24"/>
          <w:szCs w:val="24"/>
        </w:rPr>
        <w:lastRenderedPageBreak/>
        <w:drawing>
          <wp:inline distT="0" distB="0" distL="0" distR="0" wp14:anchorId="3B65A9D2" wp14:editId="15837E76">
            <wp:extent cx="5274310" cy="6851650"/>
            <wp:effectExtent l="0" t="0" r="2540" b="6350"/>
            <wp:docPr id="1" name="图片 1" descr="图 5">
              <a:hlinkClick xmlns:a="http://schemas.openxmlformats.org/drawingml/2006/main" r:id="rId3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5" descr="图 5">
                      <a:hlinkClick r:id="rId34" tgtFrame="&quot;_blank&quot;"/>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274310" cy="6851650"/>
                    </a:xfrm>
                    <a:prstGeom prst="rect">
                      <a:avLst/>
                    </a:prstGeom>
                    <a:noFill/>
                    <a:ln>
                      <a:noFill/>
                    </a:ln>
                  </pic:spPr>
                </pic:pic>
              </a:graphicData>
            </a:graphic>
          </wp:inline>
        </w:drawing>
      </w:r>
    </w:p>
    <w:p w14:paraId="75D0B194" w14:textId="77777777" w:rsidR="0033022D" w:rsidRPr="0033022D" w:rsidRDefault="0033022D" w:rsidP="0033022D">
      <w:pPr>
        <w:widowControl/>
        <w:rPr>
          <w:rFonts w:ascii="微软雅黑" w:eastAsia="微软雅黑" w:hAnsi="微软雅黑" w:cs="宋体"/>
          <w:kern w:val="0"/>
          <w:sz w:val="24"/>
          <w:szCs w:val="24"/>
        </w:rPr>
      </w:pPr>
      <w:r w:rsidRPr="0033022D">
        <w:rPr>
          <w:rFonts w:ascii="微软雅黑" w:eastAsia="微软雅黑" w:hAnsi="微软雅黑" w:cs="宋体"/>
          <w:b/>
          <w:bCs/>
          <w:kern w:val="0"/>
          <w:sz w:val="24"/>
          <w:szCs w:val="24"/>
        </w:rPr>
        <w:t>图a和图b</w:t>
      </w:r>
      <w:r w:rsidRPr="0033022D">
        <w:rPr>
          <w:rFonts w:ascii="微软雅黑" w:eastAsia="微软雅黑" w:hAnsi="微软雅黑" w:cs="宋体"/>
          <w:kern w:val="0"/>
          <w:sz w:val="24"/>
          <w:szCs w:val="24"/>
        </w:rPr>
        <w:t>分别展示了PAL或ABE处理MS细胞后RB蛋白及其磷酸化形式的表达水平。图中白色柱代表对照组，白色柱代表PAL处理组MS细胞，白色柱代表ABE处理组MS细胞，白色柱代表ABE处理组MS细胞，白色柱代表PAL处理组MR-P细胞，白色柱代表ABE处理组MR-A细胞，黑色柱代表ABE处理组MR-A细胞。图</w:t>
      </w:r>
      <w:r w:rsidRPr="0033022D">
        <w:rPr>
          <w:rFonts w:ascii="微软雅黑" w:eastAsia="微软雅黑" w:hAnsi="微软雅黑" w:cs="宋体"/>
          <w:b/>
          <w:bCs/>
          <w:kern w:val="0"/>
          <w:sz w:val="24"/>
          <w:szCs w:val="24"/>
        </w:rPr>
        <w:t>c和图d</w:t>
      </w:r>
      <w:r w:rsidRPr="0033022D">
        <w:rPr>
          <w:rFonts w:ascii="微软雅黑" w:eastAsia="微软雅黑" w:hAnsi="微软雅黑" w:cs="宋体"/>
          <w:kern w:val="0"/>
          <w:sz w:val="24"/>
          <w:szCs w:val="24"/>
        </w:rPr>
        <w:t>分别展示了PAL或ABE处理KS细胞后RB蛋白</w:t>
      </w:r>
      <w:r w:rsidRPr="0033022D">
        <w:rPr>
          <w:rFonts w:ascii="微软雅黑" w:eastAsia="微软雅黑" w:hAnsi="微软雅黑" w:cs="宋体"/>
          <w:kern w:val="0"/>
          <w:sz w:val="24"/>
          <w:szCs w:val="24"/>
        </w:rPr>
        <w:lastRenderedPageBreak/>
        <w:t>及其磷酸化形式的表达水平。图中白色柱代表对照组KS细胞，白色柱代表PAL处理组KS细胞，白色柱代表ABE处理组KS细胞，白色柱代表ABE处理组KS细胞，白色柱代表PAL处理组KR-P细胞，白色柱代表KR-A细胞，黑色柱代表ABE处理组KR-A细胞。蛋白表达水平采用Western blotting法测定，具体方法见“材料与方法”部分。图中展示的是代表性结果。所有数值均经对照组标准化后进行分析，结果以平均值±标准误（SE）表示。对照组细胞中各分子的表达水平定义为1。* </w:t>
      </w:r>
      <w:r w:rsidRPr="0033022D">
        <w:rPr>
          <w:rFonts w:ascii="微软雅黑" w:eastAsia="微软雅黑" w:hAnsi="微软雅黑" w:cs="宋体"/>
          <w:i/>
          <w:iCs/>
          <w:kern w:val="0"/>
          <w:sz w:val="24"/>
          <w:szCs w:val="24"/>
        </w:rPr>
        <w:t>P</w:t>
      </w:r>
      <w:r w:rsidRPr="0033022D">
        <w:rPr>
          <w:rFonts w:ascii="微软雅黑" w:eastAsia="微软雅黑" w:hAnsi="微软雅黑" w:cs="宋体"/>
          <w:kern w:val="0"/>
          <w:sz w:val="24"/>
          <w:szCs w:val="24"/>
        </w:rPr>
        <w:t> </w:t>
      </w:r>
      <w:r w:rsidRPr="0033022D">
        <w:rPr>
          <w:rFonts w:ascii="MS Gothic" w:eastAsia="MS Gothic" w:hAnsi="MS Gothic" w:cs="MS Gothic" w:hint="eastAsia"/>
          <w:kern w:val="0"/>
          <w:sz w:val="24"/>
          <w:szCs w:val="24"/>
        </w:rPr>
        <w:t> </w:t>
      </w:r>
      <w:r w:rsidRPr="0033022D">
        <w:rPr>
          <w:rFonts w:ascii="微软雅黑" w:eastAsia="微软雅黑" w:hAnsi="微软雅黑" w:cs="宋体"/>
          <w:kern w:val="0"/>
          <w:sz w:val="24"/>
          <w:szCs w:val="24"/>
        </w:rPr>
        <w:t>&lt; 0.05；** </w:t>
      </w:r>
      <w:r w:rsidRPr="0033022D">
        <w:rPr>
          <w:rFonts w:ascii="微软雅黑" w:eastAsia="微软雅黑" w:hAnsi="微软雅黑" w:cs="宋体"/>
          <w:i/>
          <w:iCs/>
          <w:kern w:val="0"/>
          <w:sz w:val="24"/>
          <w:szCs w:val="24"/>
        </w:rPr>
        <w:t>P</w:t>
      </w:r>
      <w:r w:rsidRPr="0033022D">
        <w:rPr>
          <w:rFonts w:ascii="微软雅黑" w:eastAsia="微软雅黑" w:hAnsi="微软雅黑" w:cs="宋体"/>
          <w:kern w:val="0"/>
          <w:sz w:val="24"/>
          <w:szCs w:val="24"/>
        </w:rPr>
        <w:t> </w:t>
      </w:r>
      <w:r w:rsidRPr="0033022D">
        <w:rPr>
          <w:rFonts w:ascii="MS Gothic" w:eastAsia="MS Gothic" w:hAnsi="MS Gothic" w:cs="MS Gothic" w:hint="eastAsia"/>
          <w:kern w:val="0"/>
          <w:sz w:val="24"/>
          <w:szCs w:val="24"/>
        </w:rPr>
        <w:t> </w:t>
      </w:r>
      <w:r w:rsidRPr="0033022D">
        <w:rPr>
          <w:rFonts w:ascii="微软雅黑" w:eastAsia="微软雅黑" w:hAnsi="微软雅黑" w:cs="宋体"/>
          <w:kern w:val="0"/>
          <w:sz w:val="24"/>
          <w:szCs w:val="24"/>
        </w:rPr>
        <w:t>&lt; 0.01</w:t>
      </w:r>
    </w:p>
    <w:p w14:paraId="62396F5A"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耐药细胞中细胞周期蛋白和CDK表达水平的变化</w:t>
      </w:r>
    </w:p>
    <w:p w14:paraId="5071C1CF"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i/>
          <w:iCs/>
          <w:kern w:val="0"/>
          <w:sz w:val="24"/>
          <w:szCs w:val="24"/>
        </w:rPr>
        <w:t>由于CCND1</w:t>
      </w:r>
      <w:r w:rsidRPr="0033022D">
        <w:rPr>
          <w:rFonts w:ascii="微软雅黑" w:eastAsia="微软雅黑" w:hAnsi="微软雅黑" w:cs="宋体"/>
          <w:kern w:val="0"/>
          <w:sz w:val="24"/>
          <w:szCs w:val="24"/>
        </w:rPr>
        <w:t>、</w:t>
      </w:r>
      <w:r w:rsidRPr="0033022D">
        <w:rPr>
          <w:rFonts w:ascii="微软雅黑" w:eastAsia="微软雅黑" w:hAnsi="微软雅黑" w:cs="宋体"/>
          <w:i/>
          <w:iCs/>
          <w:kern w:val="0"/>
          <w:sz w:val="24"/>
          <w:szCs w:val="24"/>
        </w:rPr>
        <w:t>CCNE1</w:t>
      </w:r>
      <w:r w:rsidRPr="0033022D">
        <w:rPr>
          <w:rFonts w:ascii="微软雅黑" w:eastAsia="微软雅黑" w:hAnsi="微软雅黑" w:cs="宋体"/>
          <w:kern w:val="0"/>
          <w:sz w:val="24"/>
          <w:szCs w:val="24"/>
        </w:rPr>
        <w:t>、</w:t>
      </w:r>
      <w:r w:rsidRPr="0033022D">
        <w:rPr>
          <w:rFonts w:ascii="微软雅黑" w:eastAsia="微软雅黑" w:hAnsi="微软雅黑" w:cs="宋体"/>
          <w:i/>
          <w:iCs/>
          <w:kern w:val="0"/>
          <w:sz w:val="24"/>
          <w:szCs w:val="24"/>
        </w:rPr>
        <w:t>CDK2</w:t>
      </w:r>
      <w:r w:rsidRPr="0033022D">
        <w:rPr>
          <w:rFonts w:ascii="微软雅黑" w:eastAsia="微软雅黑" w:hAnsi="微软雅黑" w:cs="宋体"/>
          <w:kern w:val="0"/>
          <w:sz w:val="24"/>
          <w:szCs w:val="24"/>
        </w:rPr>
        <w:t>、</w:t>
      </w:r>
      <w:r w:rsidRPr="0033022D">
        <w:rPr>
          <w:rFonts w:ascii="微软雅黑" w:eastAsia="微软雅黑" w:hAnsi="微软雅黑" w:cs="宋体"/>
          <w:i/>
          <w:iCs/>
          <w:kern w:val="0"/>
          <w:sz w:val="24"/>
          <w:szCs w:val="24"/>
        </w:rPr>
        <w:t>CDK4</w:t>
      </w:r>
      <w:r w:rsidRPr="0033022D">
        <w:rPr>
          <w:rFonts w:ascii="微软雅黑" w:eastAsia="微软雅黑" w:hAnsi="微软雅黑" w:cs="宋体"/>
          <w:kern w:val="0"/>
          <w:sz w:val="24"/>
          <w:szCs w:val="24"/>
        </w:rPr>
        <w:t>和</w:t>
      </w:r>
      <w:r w:rsidRPr="0033022D">
        <w:rPr>
          <w:rFonts w:ascii="微软雅黑" w:eastAsia="微软雅黑" w:hAnsi="微软雅黑" w:cs="宋体"/>
          <w:i/>
          <w:iCs/>
          <w:kern w:val="0"/>
          <w:sz w:val="24"/>
          <w:szCs w:val="24"/>
        </w:rPr>
        <w:t>CDK6</w:t>
      </w:r>
      <w:r w:rsidRPr="0033022D">
        <w:rPr>
          <w:rFonts w:ascii="微软雅黑" w:eastAsia="微软雅黑" w:hAnsi="微软雅黑" w:cs="宋体"/>
          <w:kern w:val="0"/>
          <w:sz w:val="24"/>
          <w:szCs w:val="24"/>
        </w:rPr>
        <w:t>的基础表达水平可能影响RB的磷酸化[ </w:t>
      </w:r>
      <w:hyperlink r:id="rId36" w:anchor="CR8" w:history="1">
        <w:r w:rsidRPr="0033022D">
          <w:rPr>
            <w:rFonts w:ascii="微软雅黑" w:eastAsia="微软雅黑" w:hAnsi="微软雅黑" w:cs="宋体"/>
            <w:kern w:val="0"/>
            <w:sz w:val="24"/>
            <w:szCs w:val="24"/>
            <w:u w:val="single"/>
          </w:rPr>
          <w:t>8</w:t>
        </w:r>
      </w:hyperlink>
      <w:r w:rsidRPr="0033022D">
        <w:rPr>
          <w:rFonts w:ascii="微软雅黑" w:eastAsia="微软雅黑" w:hAnsi="微软雅黑" w:cs="宋体"/>
          <w:kern w:val="0"/>
          <w:sz w:val="24"/>
          <w:szCs w:val="24"/>
        </w:rPr>
        <w:t> ]，因此我们采用RT-PCR检测了耐药细胞和敏感细胞中这些分子的mRNA表达水平。与MS细胞相比，MR-P和MR-A细胞中</w:t>
      </w:r>
      <w:r w:rsidRPr="0033022D">
        <w:rPr>
          <w:rFonts w:ascii="微软雅黑" w:eastAsia="微软雅黑" w:hAnsi="微软雅黑" w:cs="宋体"/>
          <w:i/>
          <w:iCs/>
          <w:kern w:val="0"/>
          <w:sz w:val="24"/>
          <w:szCs w:val="24"/>
        </w:rPr>
        <w:t>CDK6</w:t>
      </w:r>
      <w:r w:rsidRPr="0033022D">
        <w:rPr>
          <w:rFonts w:ascii="微软雅黑" w:eastAsia="微软雅黑" w:hAnsi="微软雅黑" w:cs="宋体"/>
          <w:kern w:val="0"/>
          <w:sz w:val="24"/>
          <w:szCs w:val="24"/>
        </w:rPr>
        <w:t>的mRNA表达水平显著上调（在线资源2）。与KS细胞相比，KR-P和KR-A细胞中</w:t>
      </w:r>
      <w:r w:rsidRPr="0033022D">
        <w:rPr>
          <w:rFonts w:ascii="微软雅黑" w:eastAsia="微软雅黑" w:hAnsi="微软雅黑" w:cs="宋体"/>
          <w:i/>
          <w:iCs/>
          <w:kern w:val="0"/>
          <w:sz w:val="24"/>
          <w:szCs w:val="24"/>
        </w:rPr>
        <w:t>Rb1</w:t>
      </w:r>
      <w:r w:rsidRPr="0033022D">
        <w:rPr>
          <w:rFonts w:ascii="微软雅黑" w:eastAsia="微软雅黑" w:hAnsi="微软雅黑" w:cs="宋体"/>
          <w:kern w:val="0"/>
          <w:sz w:val="24"/>
          <w:szCs w:val="24"/>
        </w:rPr>
        <w:t>的mRNA表达水平显著下调（在线资源2）。其他分子的表达水平在耐药细胞中未见显著变化（在线资源2）。</w:t>
      </w:r>
    </w:p>
    <w:p w14:paraId="3725148A" w14:textId="77777777" w:rsidR="0033022D" w:rsidRPr="0033022D" w:rsidRDefault="0033022D" w:rsidP="0033022D">
      <w:pPr>
        <w:widowControl/>
        <w:spacing w:line="450" w:lineRule="atLeast"/>
        <w:outlineLvl w:val="2"/>
        <w:rPr>
          <w:rFonts w:ascii="微软雅黑" w:eastAsia="微软雅黑" w:hAnsi="微软雅黑" w:cs="宋体"/>
          <w:kern w:val="0"/>
          <w:sz w:val="32"/>
          <w:szCs w:val="32"/>
        </w:rPr>
      </w:pPr>
      <w:r w:rsidRPr="0033022D">
        <w:rPr>
          <w:rFonts w:ascii="微软雅黑" w:eastAsia="微软雅黑" w:hAnsi="微软雅黑" w:cs="宋体"/>
          <w:kern w:val="0"/>
          <w:sz w:val="32"/>
          <w:szCs w:val="32"/>
        </w:rPr>
        <w:t>耐药细胞和敏感细胞对E2和ER-α表达的敏感性</w:t>
      </w:r>
    </w:p>
    <w:p w14:paraId="2491D304"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CDK4/6抑制剂耐药性被认为会影响雌激素敏感性[ </w:t>
      </w:r>
      <w:hyperlink r:id="rId37" w:anchor="CR9" w:history="1">
        <w:r w:rsidRPr="0033022D">
          <w:rPr>
            <w:rFonts w:ascii="微软雅黑" w:eastAsia="微软雅黑" w:hAnsi="微软雅黑" w:cs="宋体"/>
            <w:kern w:val="0"/>
            <w:sz w:val="24"/>
            <w:szCs w:val="24"/>
            <w:u w:val="single"/>
          </w:rPr>
          <w:t>9</w:t>
        </w:r>
      </w:hyperlink>
      <w:r w:rsidRPr="0033022D">
        <w:rPr>
          <w:rFonts w:ascii="微软雅黑" w:eastAsia="微软雅黑" w:hAnsi="微软雅黑" w:cs="宋体"/>
          <w:kern w:val="0"/>
          <w:sz w:val="24"/>
          <w:szCs w:val="24"/>
        </w:rPr>
        <w:t> , </w:t>
      </w:r>
      <w:hyperlink r:id="rId38" w:anchor="CR10" w:history="1">
        <w:r w:rsidRPr="0033022D">
          <w:rPr>
            <w:rFonts w:ascii="微软雅黑" w:eastAsia="微软雅黑" w:hAnsi="微软雅黑" w:cs="宋体"/>
            <w:kern w:val="0"/>
            <w:sz w:val="24"/>
            <w:szCs w:val="24"/>
            <w:u w:val="single"/>
          </w:rPr>
          <w:t>10</w:t>
        </w:r>
      </w:hyperlink>
      <w:r w:rsidRPr="0033022D">
        <w:rPr>
          <w:rFonts w:ascii="微软雅黑" w:eastAsia="微软雅黑" w:hAnsi="微软雅黑" w:cs="宋体"/>
          <w:kern w:val="0"/>
          <w:sz w:val="24"/>
          <w:szCs w:val="24"/>
        </w:rPr>
        <w:t> ]；因此，我们研究了E2对耐药细胞和敏感细胞的促生长作用。与MS和KP细胞相比，MR-P、MR-A、KR-P和KR-A细胞中E2的促生长作用显著下调（在线资源3）。然而，耐药细胞和敏感细胞中ER-α的mRNA表达水平相似（在线资源2）。</w:t>
      </w:r>
    </w:p>
    <w:p w14:paraId="095914FA" w14:textId="77777777" w:rsidR="0033022D" w:rsidRPr="0033022D" w:rsidRDefault="0033022D" w:rsidP="0033022D">
      <w:pPr>
        <w:widowControl/>
        <w:pBdr>
          <w:bottom w:val="single" w:sz="6" w:space="0" w:color="97B1C8"/>
        </w:pBdr>
        <w:spacing w:line="450" w:lineRule="atLeast"/>
        <w:outlineLvl w:val="1"/>
        <w:rPr>
          <w:rFonts w:ascii="微软雅黑" w:eastAsia="微软雅黑" w:hAnsi="微软雅黑" w:cs="宋体"/>
          <w:kern w:val="0"/>
          <w:sz w:val="34"/>
          <w:szCs w:val="34"/>
        </w:rPr>
      </w:pPr>
      <w:r w:rsidRPr="0033022D">
        <w:rPr>
          <w:rFonts w:ascii="微软雅黑" w:eastAsia="微软雅黑" w:hAnsi="微软雅黑" w:cs="宋体"/>
          <w:kern w:val="0"/>
          <w:sz w:val="34"/>
          <w:szCs w:val="34"/>
        </w:rPr>
        <w:t>讨论</w:t>
      </w:r>
    </w:p>
    <w:p w14:paraId="39866A1A"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lastRenderedPageBreak/>
        <w:t>我们成功构建了两种不同的HR阳性、HER2阴性细胞系MCF-7和KPL-1，它们对两种不同的CDK4/6抑制剂PAL和ABE具有耐药性。我们通过逐步增加PAL或ABE的浓度，使细胞长期暴露于这两种抑制剂中。众所周知，MCF-7细胞对雌激素高度敏感，其生长在体外和体内均依赖于雌激素的补充。相比之下，我们构建的KPL-1细胞对雌激素相对敏感，但其生长在体外和体内均不依赖于雌激素的补充。KPL-1细胞来源于一位对三苯氧胺和醋酸甲羟孕酮临床耐药的复发性乳腺癌患者[ </w:t>
      </w:r>
      <w:hyperlink r:id="rId39" w:anchor="CR6" w:history="1">
        <w:r w:rsidRPr="0033022D">
          <w:rPr>
            <w:rFonts w:ascii="微软雅黑" w:eastAsia="微软雅黑" w:hAnsi="微软雅黑" w:cs="宋体"/>
            <w:kern w:val="0"/>
            <w:sz w:val="24"/>
            <w:szCs w:val="24"/>
            <w:u w:val="single"/>
          </w:rPr>
          <w:t>6</w:t>
        </w:r>
      </w:hyperlink>
      <w:r w:rsidRPr="0033022D">
        <w:rPr>
          <w:rFonts w:ascii="微软雅黑" w:eastAsia="微软雅黑" w:hAnsi="微软雅黑" w:cs="宋体"/>
          <w:kern w:val="0"/>
          <w:sz w:val="24"/>
          <w:szCs w:val="24"/>
        </w:rPr>
        <w:t> ]。这些结果表明，MCF-7和KPL-1细胞系在雌激素反应性方面存在差异。</w:t>
      </w:r>
    </w:p>
    <w:p w14:paraId="74A13285"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亲代MCF-7和KPL-1细胞对PAL和ABE均敏感，细胞生长受到抑制。亲代MCF-7细胞对ABE的敏感性略高于亲代KPL-1细胞（表</w:t>
      </w:r>
      <w:hyperlink r:id="rId40" w:anchor="Tab1" w:history="1">
        <w:r w:rsidRPr="0033022D">
          <w:rPr>
            <w:rFonts w:ascii="微软雅黑" w:eastAsia="微软雅黑" w:hAnsi="微软雅黑" w:cs="宋体"/>
            <w:kern w:val="0"/>
            <w:sz w:val="24"/>
            <w:szCs w:val="24"/>
            <w:u w:val="single"/>
          </w:rPr>
          <w:t>1</w:t>
        </w:r>
      </w:hyperlink>
      <w:r w:rsidRPr="0033022D">
        <w:rPr>
          <w:rFonts w:ascii="微软雅黑" w:eastAsia="微软雅黑" w:hAnsi="微软雅黑" w:cs="宋体"/>
          <w:kern w:val="0"/>
          <w:sz w:val="24"/>
          <w:szCs w:val="24"/>
        </w:rPr>
        <w:t>）。根据PAL或ABE的IC50值</w:t>
      </w:r>
      <w:r w:rsidRPr="0033022D">
        <w:rPr>
          <w:rFonts w:ascii="微软雅黑" w:eastAsia="微软雅黑" w:hAnsi="微软雅黑" w:cs="宋体"/>
          <w:kern w:val="0"/>
          <w:sz w:val="24"/>
          <w:szCs w:val="24"/>
          <w:vertAlign w:val="subscript"/>
        </w:rPr>
        <w:t>，</w:t>
      </w:r>
      <w:r w:rsidRPr="0033022D">
        <w:rPr>
          <w:rFonts w:ascii="微软雅黑" w:eastAsia="微软雅黑" w:hAnsi="微软雅黑" w:cs="宋体"/>
          <w:kern w:val="0"/>
          <w:sz w:val="24"/>
          <w:szCs w:val="24"/>
        </w:rPr>
        <w:t> PAL或ABE耐药的MCF-7或KPL-1细胞对PAL和ABE的耐药性分别提高了3至16倍（表</w:t>
      </w:r>
      <w:hyperlink r:id="rId41" w:anchor="Tab1" w:history="1">
        <w:r w:rsidRPr="0033022D">
          <w:rPr>
            <w:rFonts w:ascii="微软雅黑" w:eastAsia="微软雅黑" w:hAnsi="微软雅黑" w:cs="宋体"/>
            <w:kern w:val="0"/>
            <w:sz w:val="24"/>
            <w:szCs w:val="24"/>
            <w:u w:val="single"/>
          </w:rPr>
          <w:t>1</w:t>
        </w:r>
      </w:hyperlink>
      <w:r w:rsidRPr="0033022D">
        <w:rPr>
          <w:rFonts w:ascii="微软雅黑" w:eastAsia="微软雅黑" w:hAnsi="微软雅黑" w:cs="宋体"/>
          <w:kern w:val="0"/>
          <w:sz w:val="24"/>
          <w:szCs w:val="24"/>
        </w:rPr>
        <w:t>）。值得注意的是，MCF-7和KPL-1细胞均表现出PAL和ABE之间的交叉耐药性（表</w:t>
      </w:r>
      <w:hyperlink r:id="rId42" w:anchor="Tab1" w:history="1">
        <w:r w:rsidRPr="0033022D">
          <w:rPr>
            <w:rFonts w:ascii="微软雅黑" w:eastAsia="微软雅黑" w:hAnsi="微软雅黑" w:cs="宋体"/>
            <w:kern w:val="0"/>
            <w:sz w:val="24"/>
            <w:szCs w:val="24"/>
            <w:u w:val="single"/>
          </w:rPr>
          <w:t>1</w:t>
        </w:r>
      </w:hyperlink>
      <w:r w:rsidRPr="0033022D">
        <w:rPr>
          <w:rFonts w:ascii="微软雅黑" w:eastAsia="微软雅黑" w:hAnsi="微软雅黑" w:cs="宋体"/>
          <w:kern w:val="0"/>
          <w:sz w:val="24"/>
          <w:szCs w:val="24"/>
        </w:rPr>
        <w:t>）。根据PAL或ABE的IC50值</w:t>
      </w:r>
      <w:r w:rsidRPr="0033022D">
        <w:rPr>
          <w:rFonts w:ascii="微软雅黑" w:eastAsia="微软雅黑" w:hAnsi="微软雅黑" w:cs="宋体"/>
          <w:kern w:val="0"/>
          <w:sz w:val="24"/>
          <w:szCs w:val="24"/>
          <w:vertAlign w:val="subscript"/>
        </w:rPr>
        <w:t>，</w:t>
      </w:r>
      <w:r w:rsidRPr="0033022D">
        <w:rPr>
          <w:rFonts w:ascii="微软雅黑" w:eastAsia="微软雅黑" w:hAnsi="微软雅黑" w:cs="宋体"/>
          <w:kern w:val="0"/>
          <w:sz w:val="24"/>
          <w:szCs w:val="24"/>
        </w:rPr>
        <w:t> PAL或ABE耐药的MCF-7或KPL-1细胞对APL和ABE的交叉耐药性分别提高了3至6倍（表</w:t>
      </w:r>
      <w:hyperlink r:id="rId43" w:anchor="Tab1" w:history="1">
        <w:r w:rsidRPr="0033022D">
          <w:rPr>
            <w:rFonts w:ascii="微软雅黑" w:eastAsia="微软雅黑" w:hAnsi="微软雅黑" w:cs="宋体"/>
            <w:kern w:val="0"/>
            <w:sz w:val="24"/>
            <w:szCs w:val="24"/>
            <w:u w:val="single"/>
          </w:rPr>
          <w:t>1</w:t>
        </w:r>
      </w:hyperlink>
      <w:r w:rsidRPr="0033022D">
        <w:rPr>
          <w:rFonts w:ascii="微软雅黑" w:eastAsia="微软雅黑" w:hAnsi="微软雅黑" w:cs="宋体"/>
          <w:kern w:val="0"/>
          <w:sz w:val="24"/>
          <w:szCs w:val="24"/>
        </w:rPr>
        <w:t>）。在临床前和临床条件下均有报道称 CDK4/6 抑制剂之间存在交叉耐药性 [ </w:t>
      </w:r>
      <w:hyperlink r:id="rId44" w:anchor="CR1" w:history="1">
        <w:r w:rsidRPr="0033022D">
          <w:rPr>
            <w:rFonts w:ascii="微软雅黑" w:eastAsia="微软雅黑" w:hAnsi="微软雅黑" w:cs="宋体"/>
            <w:kern w:val="0"/>
            <w:sz w:val="24"/>
            <w:szCs w:val="24"/>
            <w:u w:val="single"/>
          </w:rPr>
          <w:t>1</w:t>
        </w:r>
      </w:hyperlink>
      <w:r w:rsidRPr="0033022D">
        <w:rPr>
          <w:rFonts w:ascii="微软雅黑" w:eastAsia="微软雅黑" w:hAnsi="微软雅黑" w:cs="宋体"/>
          <w:kern w:val="0"/>
          <w:sz w:val="24"/>
          <w:szCs w:val="24"/>
        </w:rPr>
        <w:t> , </w:t>
      </w:r>
      <w:hyperlink r:id="rId45" w:anchor="CR10" w:history="1">
        <w:r w:rsidRPr="0033022D">
          <w:rPr>
            <w:rFonts w:ascii="微软雅黑" w:eastAsia="微软雅黑" w:hAnsi="微软雅黑" w:cs="宋体"/>
            <w:kern w:val="0"/>
            <w:sz w:val="24"/>
            <w:szCs w:val="24"/>
            <w:u w:val="single"/>
          </w:rPr>
          <w:t>10</w:t>
        </w:r>
      </w:hyperlink>
      <w:r w:rsidRPr="0033022D">
        <w:rPr>
          <w:rFonts w:ascii="微软雅黑" w:eastAsia="微软雅黑" w:hAnsi="微软雅黑" w:cs="宋体"/>
          <w:kern w:val="0"/>
          <w:sz w:val="24"/>
          <w:szCs w:val="24"/>
        </w:rPr>
        <w:t> – </w:t>
      </w:r>
      <w:hyperlink r:id="rId46" w:anchor="CR12" w:history="1">
        <w:r w:rsidRPr="0033022D">
          <w:rPr>
            <w:rFonts w:ascii="微软雅黑" w:eastAsia="微软雅黑" w:hAnsi="微软雅黑" w:cs="宋体"/>
            <w:kern w:val="0"/>
            <w:sz w:val="24"/>
            <w:szCs w:val="24"/>
            <w:u w:val="single"/>
          </w:rPr>
          <w:t>12</w:t>
        </w:r>
      </w:hyperlink>
      <w:r w:rsidRPr="0033022D">
        <w:rPr>
          <w:rFonts w:ascii="微软雅黑" w:eastAsia="微软雅黑" w:hAnsi="微软雅黑" w:cs="宋体"/>
          <w:kern w:val="0"/>
          <w:sz w:val="24"/>
          <w:szCs w:val="24"/>
        </w:rPr>
        <w:t> ]。</w:t>
      </w:r>
    </w:p>
    <w:p w14:paraId="671C18AB"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如前所述，如何治疗对 CDK4/6 抑制剂耐药的乳腺癌是目前最重要的临床问题之一。基于临床前研究提示 PI3K-AKT-mTOR 信号通路的激活会导致对 CDK4/6 抑制剂的获得性耐药，mTOR 抑制剂依维莫司和 PI3K 抑制剂阿培利西布已被用于临床治疗 CDK4/6 抑制剂耐药的乳腺癌 [ </w:t>
      </w:r>
      <w:hyperlink r:id="rId47" w:anchor="CR1" w:history="1">
        <w:r w:rsidRPr="0033022D">
          <w:rPr>
            <w:rFonts w:ascii="微软雅黑" w:eastAsia="微软雅黑" w:hAnsi="微软雅黑" w:cs="宋体"/>
            <w:kern w:val="0"/>
            <w:sz w:val="24"/>
            <w:szCs w:val="24"/>
            <w:u w:val="single"/>
          </w:rPr>
          <w:t>1</w:t>
        </w:r>
      </w:hyperlink>
      <w:r w:rsidRPr="0033022D">
        <w:rPr>
          <w:rFonts w:ascii="微软雅黑" w:eastAsia="微软雅黑" w:hAnsi="微软雅黑" w:cs="宋体"/>
          <w:kern w:val="0"/>
          <w:sz w:val="24"/>
          <w:szCs w:val="24"/>
        </w:rPr>
        <w:t> , </w:t>
      </w:r>
      <w:hyperlink r:id="rId48" w:anchor="CR13" w:history="1">
        <w:r w:rsidRPr="0033022D">
          <w:rPr>
            <w:rFonts w:ascii="微软雅黑" w:eastAsia="微软雅黑" w:hAnsi="微软雅黑" w:cs="宋体"/>
            <w:kern w:val="0"/>
            <w:sz w:val="24"/>
            <w:szCs w:val="24"/>
            <w:u w:val="single"/>
          </w:rPr>
          <w:t>13</w:t>
        </w:r>
      </w:hyperlink>
      <w:r w:rsidRPr="0033022D">
        <w:rPr>
          <w:rFonts w:ascii="微软雅黑" w:eastAsia="微软雅黑" w:hAnsi="微软雅黑" w:cs="宋体"/>
          <w:kern w:val="0"/>
          <w:sz w:val="24"/>
          <w:szCs w:val="24"/>
        </w:rPr>
        <w:t> ]。然而，它们的抗肿瘤活性仍有待阐明。此外，基于临床前研究提示 FGFR 通路的激活突变或</w:t>
      </w:r>
      <w:r w:rsidRPr="0033022D">
        <w:rPr>
          <w:rFonts w:ascii="微软雅黑" w:eastAsia="微软雅黑" w:hAnsi="微软雅黑" w:cs="宋体"/>
          <w:kern w:val="0"/>
          <w:sz w:val="24"/>
          <w:szCs w:val="24"/>
        </w:rPr>
        <w:lastRenderedPageBreak/>
        <w:t>扩增会导致对 CDK4/6 抑制剂的获得性耐药，FGFR 酪氨酸激酶抑制剂鲁西他尼已在晚期乳腺癌患者中进行了临床试验 [ </w:t>
      </w:r>
      <w:hyperlink r:id="rId49" w:anchor="CR14" w:history="1">
        <w:r w:rsidRPr="0033022D">
          <w:rPr>
            <w:rFonts w:ascii="微软雅黑" w:eastAsia="微软雅黑" w:hAnsi="微软雅黑" w:cs="宋体"/>
            <w:kern w:val="0"/>
            <w:sz w:val="24"/>
            <w:szCs w:val="24"/>
            <w:u w:val="single"/>
          </w:rPr>
          <w:t>14</w:t>
        </w:r>
      </w:hyperlink>
      <w:r w:rsidRPr="0033022D">
        <w:rPr>
          <w:rFonts w:ascii="微软雅黑" w:eastAsia="微软雅黑" w:hAnsi="微软雅黑" w:cs="宋体"/>
          <w:kern w:val="0"/>
          <w:sz w:val="24"/>
          <w:szCs w:val="24"/>
        </w:rPr>
        <w:t> ]。</w:t>
      </w:r>
    </w:p>
    <w:p w14:paraId="3BEB37CE"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对于CDK4/6抑制剂耐药的晚期乳腺癌患者，医生通常会使用细胞毒性化疗药物。人们可能会假设，对CDK4/6抑制剂耐药的乳腺癌会产生对化疗药物的交叉耐药性，从而降低CDK4/6抑制剂治疗后的疾病进展生存期。然而，近期分析表明，与单独内分泌治疗相比，CDK4/6抑制剂联合内分泌治疗不仅能延长晚期乳腺癌患者的总生存期，还能延长其无进展生存期[ </w:t>
      </w:r>
      <w:hyperlink r:id="rId50" w:anchor="CR1" w:history="1">
        <w:r w:rsidRPr="0033022D">
          <w:rPr>
            <w:rFonts w:ascii="微软雅黑" w:eastAsia="微软雅黑" w:hAnsi="微软雅黑" w:cs="宋体"/>
            <w:kern w:val="0"/>
            <w:sz w:val="24"/>
            <w:szCs w:val="24"/>
            <w:u w:val="single"/>
          </w:rPr>
          <w:t>1</w:t>
        </w:r>
      </w:hyperlink>
      <w:r w:rsidRPr="0033022D">
        <w:rPr>
          <w:rFonts w:ascii="微软雅黑" w:eastAsia="微软雅黑" w:hAnsi="微软雅黑" w:cs="宋体"/>
          <w:kern w:val="0"/>
          <w:sz w:val="24"/>
          <w:szCs w:val="24"/>
        </w:rPr>
        <w:t> ]。这提示对CDK4/6抑制剂耐药的乳腺癌仍然对化疗药物敏感。为了进一步阐明这一点，本研究比较了六种临床常用化疗药物在对CDK4/6抑制剂敏感和耐药的乳腺癌细胞中的抗肿瘤活性。正如预期，与各自的亲代细胞系相比，所有化疗药物在对PAL或ABE耐药的两种乳腺癌细胞系中的抗肿瘤活性均未发生改变（表</w:t>
      </w:r>
      <w:hyperlink r:id="rId51" w:anchor="Tab2" w:history="1">
        <w:r w:rsidRPr="0033022D">
          <w:rPr>
            <w:rFonts w:ascii="微软雅黑" w:eastAsia="微软雅黑" w:hAnsi="微软雅黑" w:cs="宋体"/>
            <w:kern w:val="0"/>
            <w:sz w:val="24"/>
            <w:szCs w:val="24"/>
            <w:u w:val="single"/>
          </w:rPr>
          <w:t>2</w:t>
        </w:r>
      </w:hyperlink>
      <w:r w:rsidRPr="0033022D">
        <w:rPr>
          <w:rFonts w:ascii="微软雅黑" w:eastAsia="微软雅黑" w:hAnsi="微软雅黑" w:cs="宋体"/>
          <w:kern w:val="0"/>
          <w:sz w:val="24"/>
          <w:szCs w:val="24"/>
        </w:rPr>
        <w:t>）。近期也有类似报道，但仅评估了两种化疗药物[ </w:t>
      </w:r>
      <w:hyperlink r:id="rId52" w:anchor="CR10" w:history="1">
        <w:r w:rsidRPr="0033022D">
          <w:rPr>
            <w:rFonts w:ascii="微软雅黑" w:eastAsia="微软雅黑" w:hAnsi="微软雅黑" w:cs="宋体"/>
            <w:kern w:val="0"/>
            <w:sz w:val="24"/>
            <w:szCs w:val="24"/>
            <w:u w:val="single"/>
          </w:rPr>
          <w:t>10</w:t>
        </w:r>
      </w:hyperlink>
      <w:r w:rsidRPr="0033022D">
        <w:rPr>
          <w:rFonts w:ascii="微软雅黑" w:eastAsia="微软雅黑" w:hAnsi="微软雅黑" w:cs="宋体"/>
          <w:kern w:val="0"/>
          <w:sz w:val="24"/>
          <w:szCs w:val="24"/>
        </w:rPr>
        <w:t> ]。</w:t>
      </w:r>
    </w:p>
    <w:p w14:paraId="49C8B1F4"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近年来，人们对导致 CDK4/6 抑制剂获得性耐药的作用机制进行了广泛的研究。其中一种可能的机制是细胞周期机制的改变。为了验证这一假设，本研究检测了对 PAL 或 ABE 敏感或耐药的乳腺癌细胞中细胞周期相关分子的基础表达水平。结果显示，与亲代细胞相比，两种耐药细胞系中 RB 的基础表达均显著下调（图 </w:t>
      </w:r>
      <w:hyperlink r:id="rId53" w:anchor="Fig4" w:history="1">
        <w:r w:rsidRPr="0033022D">
          <w:rPr>
            <w:rFonts w:ascii="微软雅黑" w:eastAsia="微软雅黑" w:hAnsi="微软雅黑" w:cs="宋体"/>
            <w:kern w:val="0"/>
            <w:sz w:val="24"/>
            <w:szCs w:val="24"/>
            <w:u w:val="single"/>
          </w:rPr>
          <w:t>4</w:t>
        </w:r>
      </w:hyperlink>
      <w:r w:rsidRPr="0033022D">
        <w:rPr>
          <w:rFonts w:ascii="微软雅黑" w:eastAsia="微软雅黑" w:hAnsi="微软雅黑" w:cs="宋体"/>
          <w:kern w:val="0"/>
          <w:sz w:val="24"/>
          <w:szCs w:val="24"/>
        </w:rPr>
        <w:t>）。此外，与亲代细胞相比，耐药细胞中磷酸化 RB 的表达水平也得到了恢复（图 </w:t>
      </w:r>
      <w:hyperlink r:id="rId54" w:anchor="Fig4" w:history="1">
        <w:r w:rsidRPr="0033022D">
          <w:rPr>
            <w:rFonts w:ascii="微软雅黑" w:eastAsia="微软雅黑" w:hAnsi="微软雅黑" w:cs="宋体"/>
            <w:kern w:val="0"/>
            <w:sz w:val="24"/>
            <w:szCs w:val="24"/>
            <w:u w:val="single"/>
          </w:rPr>
          <w:t>4</w:t>
        </w:r>
      </w:hyperlink>
      <w:r w:rsidRPr="0033022D">
        <w:rPr>
          <w:rFonts w:ascii="微软雅黑" w:eastAsia="微软雅黑" w:hAnsi="微软雅黑" w:cs="宋体"/>
          <w:kern w:val="0"/>
          <w:sz w:val="24"/>
          <w:szCs w:val="24"/>
        </w:rPr>
        <w:t>）。众所周知，RB 的功能障碍或缺失与 CDK4/6 抑制剂的耐药性相关，这已在临床前和临床研究中得到证实 [ </w:t>
      </w:r>
      <w:hyperlink r:id="rId55" w:anchor="CR2" w:history="1">
        <w:r w:rsidRPr="0033022D">
          <w:rPr>
            <w:rFonts w:ascii="微软雅黑" w:eastAsia="微软雅黑" w:hAnsi="微软雅黑" w:cs="宋体"/>
            <w:kern w:val="0"/>
            <w:sz w:val="24"/>
            <w:szCs w:val="24"/>
            <w:u w:val="single"/>
          </w:rPr>
          <w:t>2</w:t>
        </w:r>
      </w:hyperlink>
      <w:r w:rsidRPr="0033022D">
        <w:rPr>
          <w:rFonts w:ascii="微软雅黑" w:eastAsia="微软雅黑" w:hAnsi="微软雅黑" w:cs="宋体"/>
          <w:kern w:val="0"/>
          <w:sz w:val="24"/>
          <w:szCs w:val="24"/>
        </w:rPr>
        <w:t> , </w:t>
      </w:r>
      <w:hyperlink r:id="rId56" w:anchor="CR15" w:history="1">
        <w:r w:rsidRPr="0033022D">
          <w:rPr>
            <w:rFonts w:ascii="微软雅黑" w:eastAsia="微软雅黑" w:hAnsi="微软雅黑" w:cs="宋体"/>
            <w:kern w:val="0"/>
            <w:sz w:val="24"/>
            <w:szCs w:val="24"/>
            <w:u w:val="single"/>
          </w:rPr>
          <w:t>15</w:t>
        </w:r>
      </w:hyperlink>
      <w:r w:rsidRPr="0033022D">
        <w:rPr>
          <w:rFonts w:ascii="微软雅黑" w:eastAsia="微软雅黑" w:hAnsi="微软雅黑" w:cs="宋体"/>
          <w:kern w:val="0"/>
          <w:sz w:val="24"/>
          <w:szCs w:val="24"/>
        </w:rPr>
        <w:t> ]。RB 磷酸化在细胞周期蛋白 D-CDK4/6-RB-E2F 通路中也发挥着至关重要的作用。这些研究结果强烈表明，</w:t>
      </w:r>
      <w:r w:rsidRPr="0033022D">
        <w:rPr>
          <w:rFonts w:ascii="微软雅黑" w:eastAsia="微软雅黑" w:hAnsi="微软雅黑" w:cs="宋体"/>
          <w:kern w:val="0"/>
          <w:sz w:val="24"/>
          <w:szCs w:val="24"/>
        </w:rPr>
        <w:lastRenderedPageBreak/>
        <w:t>基础 RB 表达降低和 RB 磷酸化正常化使乳腺癌细胞对 CDK4/6 抑制剂产生耐药性。</w:t>
      </w:r>
    </w:p>
    <w:p w14:paraId="335FA87F"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另一方面，在耐药的MCF-7细胞中， </w:t>
      </w:r>
      <w:r w:rsidRPr="0033022D">
        <w:rPr>
          <w:rFonts w:ascii="微软雅黑" w:eastAsia="微软雅黑" w:hAnsi="微软雅黑" w:cs="宋体"/>
          <w:i/>
          <w:iCs/>
          <w:kern w:val="0"/>
          <w:sz w:val="24"/>
          <w:szCs w:val="24"/>
        </w:rPr>
        <w:t>CDK6</w:t>
      </w:r>
      <w:r w:rsidRPr="0033022D">
        <w:rPr>
          <w:rFonts w:ascii="微软雅黑" w:eastAsia="微软雅黑" w:hAnsi="微软雅黑" w:cs="宋体"/>
          <w:kern w:val="0"/>
          <w:sz w:val="24"/>
          <w:szCs w:val="24"/>
        </w:rPr>
        <w:t>的mRNA基础表达水平上调，但在耐药的KPL-1细胞中则未见上调（在线资源2）。临床前研究报道，CDK6扩增与CDK4/6抑制剂耐药性相关[ </w:t>
      </w:r>
      <w:hyperlink r:id="rId57" w:anchor="CR9" w:history="1">
        <w:r w:rsidRPr="0033022D">
          <w:rPr>
            <w:rFonts w:ascii="微软雅黑" w:eastAsia="微软雅黑" w:hAnsi="微软雅黑" w:cs="宋体"/>
            <w:kern w:val="0"/>
            <w:sz w:val="24"/>
            <w:szCs w:val="24"/>
            <w:u w:val="single"/>
          </w:rPr>
          <w:t>9</w:t>
        </w:r>
      </w:hyperlink>
      <w:r w:rsidRPr="0033022D">
        <w:rPr>
          <w:rFonts w:ascii="微软雅黑" w:eastAsia="微软雅黑" w:hAnsi="微软雅黑" w:cs="宋体"/>
          <w:kern w:val="0"/>
          <w:sz w:val="24"/>
          <w:szCs w:val="24"/>
        </w:rPr>
        <w:t> ]。这表明，细胞周期机制的改变，例如CDK6表达增加，在某些乳腺癌获得CDK4/6抑制剂耐药性的过程中发挥作用。</w:t>
      </w:r>
    </w:p>
    <w:p w14:paraId="77CFD538"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近期临床前研究表明，细胞对 CDK4/6 抑制剂产生耐药性会导致 ER-α 表达降低，从而对雌激素不敏感 [ </w:t>
      </w:r>
      <w:hyperlink r:id="rId58" w:anchor="CR9" w:history="1">
        <w:r w:rsidRPr="0033022D">
          <w:rPr>
            <w:rFonts w:ascii="微软雅黑" w:eastAsia="微软雅黑" w:hAnsi="微软雅黑" w:cs="宋体"/>
            <w:kern w:val="0"/>
            <w:sz w:val="24"/>
            <w:szCs w:val="24"/>
            <w:u w:val="single"/>
          </w:rPr>
          <w:t>9</w:t>
        </w:r>
      </w:hyperlink>
      <w:r w:rsidRPr="0033022D">
        <w:rPr>
          <w:rFonts w:ascii="微软雅黑" w:eastAsia="微软雅黑" w:hAnsi="微软雅黑" w:cs="宋体"/>
          <w:kern w:val="0"/>
          <w:sz w:val="24"/>
          <w:szCs w:val="24"/>
        </w:rPr>
        <w:t> , </w:t>
      </w:r>
      <w:hyperlink r:id="rId59" w:anchor="CR10" w:history="1">
        <w:r w:rsidRPr="0033022D">
          <w:rPr>
            <w:rFonts w:ascii="微软雅黑" w:eastAsia="微软雅黑" w:hAnsi="微软雅黑" w:cs="宋体"/>
            <w:kern w:val="0"/>
            <w:sz w:val="24"/>
            <w:szCs w:val="24"/>
            <w:u w:val="single"/>
          </w:rPr>
          <w:t>10</w:t>
        </w:r>
      </w:hyperlink>
      <w:r w:rsidRPr="0033022D">
        <w:rPr>
          <w:rFonts w:ascii="微软雅黑" w:eastAsia="微软雅黑" w:hAnsi="微软雅黑" w:cs="宋体"/>
          <w:kern w:val="0"/>
          <w:sz w:val="24"/>
          <w:szCs w:val="24"/>
        </w:rPr>
        <w:t> ]。为了验证这一假设，本研究探讨了 CDK4/6 抑制剂敏感和耐药乳腺癌细胞的雌激素敏感性。在两种模型中，耐药细胞的 E2 促生长作用均显著低于敏感细胞（在线资源 3）。这种现象在 KPL-1 细胞中比在 MCF-7 细胞中更为明显。这可能是由于 KPL-1 细胞的基础雌激素敏感性低于 MCF-7 细胞，正如之前报道的那样 [ </w:t>
      </w:r>
      <w:hyperlink r:id="rId60" w:anchor="CR6" w:history="1">
        <w:r w:rsidRPr="0033022D">
          <w:rPr>
            <w:rFonts w:ascii="微软雅黑" w:eastAsia="微软雅黑" w:hAnsi="微软雅黑" w:cs="宋体"/>
            <w:kern w:val="0"/>
            <w:sz w:val="24"/>
            <w:szCs w:val="24"/>
            <w:u w:val="single"/>
          </w:rPr>
          <w:t>6</w:t>
        </w:r>
      </w:hyperlink>
      <w:r w:rsidRPr="0033022D">
        <w:rPr>
          <w:rFonts w:ascii="微软雅黑" w:eastAsia="微软雅黑" w:hAnsi="微软雅黑" w:cs="宋体"/>
          <w:kern w:val="0"/>
          <w:sz w:val="24"/>
          <w:szCs w:val="24"/>
        </w:rPr>
        <w:t> ]。为了阐明耐药细胞雌激素不敏感的作用机制，我们比较了耐药细胞和敏感细胞中 ER-α 的表达。然而，在 MCF-7 和 KPL-1 模型中，ER-α 的表达均未发生改变。这些发现支持以下假设：获得性CDK4/6抑制剂耐药会降低雌激素敏感性和内分泌治疗敏感性，从而削弱CDK4/6抑制剂联合内分泌治疗的抗肿瘤活性。需要进一步的临床前和临床研究来阐明这一假设。</w:t>
      </w:r>
    </w:p>
    <w:p w14:paraId="7B33B150" w14:textId="77777777" w:rsidR="0033022D" w:rsidRPr="0033022D" w:rsidRDefault="0033022D" w:rsidP="0033022D">
      <w:pPr>
        <w:widowControl/>
        <w:spacing w:before="450"/>
        <w:rPr>
          <w:rFonts w:ascii="微软雅黑" w:eastAsia="微软雅黑" w:hAnsi="微软雅黑" w:cs="宋体"/>
          <w:kern w:val="0"/>
          <w:sz w:val="24"/>
          <w:szCs w:val="24"/>
        </w:rPr>
      </w:pPr>
      <w:r w:rsidRPr="0033022D">
        <w:rPr>
          <w:rFonts w:ascii="微软雅黑" w:eastAsia="微软雅黑" w:hAnsi="微软雅黑" w:cs="宋体"/>
          <w:kern w:val="0"/>
          <w:sz w:val="24"/>
          <w:szCs w:val="24"/>
        </w:rPr>
        <w:t>本实验研究存在一些局限性。所有实验均在体外进行，且仅使用了两种乳腺癌细胞系。然而，本研究使用了两种不同的HR阳性、HER2阴性、对PAL或ABE耐药的细胞系，结果发现这些耐药细胞对另一种CDK4/6抑制剂产生了交叉耐</w:t>
      </w:r>
      <w:r w:rsidRPr="0033022D">
        <w:rPr>
          <w:rFonts w:ascii="微软雅黑" w:eastAsia="微软雅黑" w:hAnsi="微软雅黑" w:cs="宋体"/>
          <w:kern w:val="0"/>
          <w:sz w:val="24"/>
          <w:szCs w:val="24"/>
        </w:rPr>
        <w:lastRenderedPageBreak/>
        <w:t>药性，但对几种常用于治疗CDK4/6抑制剂耐药晚期乳腺癌的化疗药物没有产生交叉耐药性。RB基础表达水平降低以及磷酸化RB表达水平恢复正常可能解释了耐药细胞中G1/S期阻滞和细胞衰老减少导致的抗肿瘤</w:t>
      </w:r>
      <w:r w:rsidRPr="0033022D">
        <w:rPr>
          <w:rFonts w:ascii="MS Gothic" w:eastAsia="MS Gothic" w:hAnsi="MS Gothic" w:cs="MS Gothic" w:hint="eastAsia"/>
          <w:kern w:val="0"/>
          <w:sz w:val="24"/>
          <w:szCs w:val="24"/>
        </w:rPr>
        <w:t>​​</w:t>
      </w:r>
      <w:r w:rsidRPr="0033022D">
        <w:rPr>
          <w:rFonts w:ascii="微软雅黑" w:eastAsia="微软雅黑" w:hAnsi="微软雅黑" w:cs="宋体"/>
          <w:kern w:val="0"/>
          <w:sz w:val="24"/>
          <w:szCs w:val="24"/>
        </w:rPr>
        <w:t>活性降低。</w:t>
      </w:r>
    </w:p>
    <w:p w14:paraId="12F1101F" w14:textId="77777777" w:rsidR="00034FA5" w:rsidRPr="0033022D" w:rsidRDefault="00034FA5" w:rsidP="0033022D">
      <w:pPr>
        <w:rPr>
          <w:rFonts w:ascii="微软雅黑" w:eastAsia="微软雅黑" w:hAnsi="微软雅黑"/>
        </w:rPr>
      </w:pPr>
    </w:p>
    <w:sectPr w:rsidR="00034FA5" w:rsidRPr="0033022D">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97369"/>
    <w:multiLevelType w:val="multilevel"/>
    <w:tmpl w:val="C158E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FA5"/>
    <w:rsid w:val="00034FA5"/>
    <w:rsid w:val="00330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5BEAC"/>
  <w15:chartTrackingRefBased/>
  <w15:docId w15:val="{569BEB24-DB5C-424E-80E2-57218B1F2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33022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33022D"/>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33022D"/>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33022D"/>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3022D"/>
    <w:rPr>
      <w:rFonts w:ascii="宋体" w:eastAsia="宋体" w:hAnsi="宋体" w:cs="宋体"/>
      <w:b/>
      <w:bCs/>
      <w:kern w:val="36"/>
      <w:sz w:val="48"/>
      <w:szCs w:val="48"/>
    </w:rPr>
  </w:style>
  <w:style w:type="character" w:customStyle="1" w:styleId="20">
    <w:name w:val="标题 2 字符"/>
    <w:basedOn w:val="a0"/>
    <w:link w:val="2"/>
    <w:uiPriority w:val="9"/>
    <w:rsid w:val="0033022D"/>
    <w:rPr>
      <w:rFonts w:ascii="宋体" w:eastAsia="宋体" w:hAnsi="宋体" w:cs="宋体"/>
      <w:b/>
      <w:bCs/>
      <w:kern w:val="0"/>
      <w:sz w:val="36"/>
      <w:szCs w:val="36"/>
    </w:rPr>
  </w:style>
  <w:style w:type="character" w:customStyle="1" w:styleId="30">
    <w:name w:val="标题 3 字符"/>
    <w:basedOn w:val="a0"/>
    <w:link w:val="3"/>
    <w:uiPriority w:val="9"/>
    <w:rsid w:val="0033022D"/>
    <w:rPr>
      <w:rFonts w:ascii="宋体" w:eastAsia="宋体" w:hAnsi="宋体" w:cs="宋体"/>
      <w:b/>
      <w:bCs/>
      <w:kern w:val="0"/>
      <w:sz w:val="27"/>
      <w:szCs w:val="27"/>
    </w:rPr>
  </w:style>
  <w:style w:type="character" w:customStyle="1" w:styleId="40">
    <w:name w:val="标题 4 字符"/>
    <w:basedOn w:val="a0"/>
    <w:link w:val="4"/>
    <w:uiPriority w:val="9"/>
    <w:rsid w:val="0033022D"/>
    <w:rPr>
      <w:rFonts w:ascii="宋体" w:eastAsia="宋体" w:hAnsi="宋体" w:cs="宋体"/>
      <w:b/>
      <w:bCs/>
      <w:kern w:val="0"/>
      <w:sz w:val="24"/>
      <w:szCs w:val="24"/>
    </w:rPr>
  </w:style>
  <w:style w:type="character" w:styleId="a3">
    <w:name w:val="Hyperlink"/>
    <w:basedOn w:val="a0"/>
    <w:uiPriority w:val="99"/>
    <w:semiHidden/>
    <w:unhideWhenUsed/>
    <w:rsid w:val="0033022D"/>
    <w:rPr>
      <w:color w:val="0000FF"/>
      <w:u w:val="single"/>
    </w:rPr>
  </w:style>
  <w:style w:type="character" w:customStyle="1" w:styleId="name">
    <w:name w:val="name"/>
    <w:basedOn w:val="a0"/>
    <w:rsid w:val="0033022D"/>
  </w:style>
  <w:style w:type="paragraph" w:styleId="a4">
    <w:name w:val="Normal (Web)"/>
    <w:basedOn w:val="a"/>
    <w:uiPriority w:val="99"/>
    <w:semiHidden/>
    <w:unhideWhenUsed/>
    <w:rsid w:val="0033022D"/>
    <w:pPr>
      <w:widowControl/>
      <w:spacing w:before="100" w:beforeAutospacing="1" w:after="100" w:afterAutospacing="1"/>
      <w:jc w:val="left"/>
    </w:pPr>
    <w:rPr>
      <w:rFonts w:ascii="宋体" w:eastAsia="宋体" w:hAnsi="宋体" w:cs="宋体"/>
      <w:kern w:val="0"/>
      <w:sz w:val="24"/>
      <w:szCs w:val="24"/>
    </w:rPr>
  </w:style>
  <w:style w:type="character" w:styleId="a5">
    <w:name w:val="Emphasis"/>
    <w:basedOn w:val="a0"/>
    <w:uiPriority w:val="20"/>
    <w:qFormat/>
    <w:rsid w:val="0033022D"/>
    <w:rPr>
      <w:i/>
      <w:iCs/>
    </w:rPr>
  </w:style>
  <w:style w:type="character" w:styleId="a6">
    <w:name w:val="Strong"/>
    <w:basedOn w:val="a0"/>
    <w:uiPriority w:val="22"/>
    <w:qFormat/>
    <w:rsid w:val="0033022D"/>
    <w:rPr>
      <w:b/>
      <w:bCs/>
    </w:rPr>
  </w:style>
  <w:style w:type="paragraph" w:customStyle="1" w:styleId="img-box">
    <w:name w:val="img-box"/>
    <w:basedOn w:val="a"/>
    <w:rsid w:val="0033022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8373340">
      <w:bodyDiv w:val="1"/>
      <w:marLeft w:val="0"/>
      <w:marRight w:val="0"/>
      <w:marTop w:val="0"/>
      <w:marBottom w:val="0"/>
      <w:divBdr>
        <w:top w:val="none" w:sz="0" w:space="0" w:color="auto"/>
        <w:left w:val="none" w:sz="0" w:space="0" w:color="auto"/>
        <w:bottom w:val="none" w:sz="0" w:space="0" w:color="auto"/>
        <w:right w:val="none" w:sz="0" w:space="0" w:color="auto"/>
      </w:divBdr>
      <w:divsChild>
        <w:div w:id="1890726219">
          <w:marLeft w:val="0"/>
          <w:marRight w:val="0"/>
          <w:marTop w:val="0"/>
          <w:marBottom w:val="0"/>
          <w:divBdr>
            <w:top w:val="none" w:sz="0" w:space="0" w:color="auto"/>
            <w:left w:val="none" w:sz="0" w:space="0" w:color="auto"/>
            <w:bottom w:val="none" w:sz="0" w:space="0" w:color="auto"/>
            <w:right w:val="none" w:sz="0" w:space="0" w:color="auto"/>
          </w:divBdr>
          <w:divsChild>
            <w:div w:id="473570817">
              <w:marLeft w:val="0"/>
              <w:marRight w:val="0"/>
              <w:marTop w:val="225"/>
              <w:marBottom w:val="0"/>
              <w:divBdr>
                <w:top w:val="none" w:sz="0" w:space="0" w:color="auto"/>
                <w:left w:val="none" w:sz="0" w:space="0" w:color="auto"/>
                <w:bottom w:val="none" w:sz="0" w:space="0" w:color="auto"/>
                <w:right w:val="none" w:sz="0" w:space="0" w:color="auto"/>
              </w:divBdr>
            </w:div>
            <w:div w:id="1176920097">
              <w:marLeft w:val="0"/>
              <w:marRight w:val="0"/>
              <w:marTop w:val="0"/>
              <w:marBottom w:val="0"/>
              <w:divBdr>
                <w:top w:val="none" w:sz="0" w:space="0" w:color="auto"/>
                <w:left w:val="none" w:sz="0" w:space="0" w:color="auto"/>
                <w:bottom w:val="none" w:sz="0" w:space="0" w:color="auto"/>
                <w:right w:val="none" w:sz="0" w:space="0" w:color="auto"/>
              </w:divBdr>
            </w:div>
          </w:divsChild>
        </w:div>
        <w:div w:id="378475681">
          <w:marLeft w:val="0"/>
          <w:marRight w:val="0"/>
          <w:marTop w:val="450"/>
          <w:marBottom w:val="0"/>
          <w:divBdr>
            <w:top w:val="none" w:sz="0" w:space="0" w:color="auto"/>
            <w:left w:val="none" w:sz="0" w:space="0" w:color="auto"/>
            <w:bottom w:val="none" w:sz="0" w:space="0" w:color="auto"/>
            <w:right w:val="none" w:sz="0" w:space="0" w:color="auto"/>
          </w:divBdr>
        </w:div>
        <w:div w:id="810102067">
          <w:marLeft w:val="0"/>
          <w:marRight w:val="0"/>
          <w:marTop w:val="450"/>
          <w:marBottom w:val="0"/>
          <w:divBdr>
            <w:top w:val="none" w:sz="0" w:space="0" w:color="auto"/>
            <w:left w:val="none" w:sz="0" w:space="0" w:color="auto"/>
            <w:bottom w:val="none" w:sz="0" w:space="0" w:color="auto"/>
            <w:right w:val="none" w:sz="0" w:space="0" w:color="auto"/>
          </w:divBdr>
        </w:div>
        <w:div w:id="603608451">
          <w:marLeft w:val="0"/>
          <w:marRight w:val="0"/>
          <w:marTop w:val="450"/>
          <w:marBottom w:val="0"/>
          <w:divBdr>
            <w:top w:val="none" w:sz="0" w:space="0" w:color="auto"/>
            <w:left w:val="none" w:sz="0" w:space="0" w:color="auto"/>
            <w:bottom w:val="none" w:sz="0" w:space="0" w:color="auto"/>
            <w:right w:val="none" w:sz="0" w:space="0" w:color="auto"/>
          </w:divBdr>
        </w:div>
        <w:div w:id="758871812">
          <w:marLeft w:val="0"/>
          <w:marRight w:val="0"/>
          <w:marTop w:val="450"/>
          <w:marBottom w:val="0"/>
          <w:divBdr>
            <w:top w:val="none" w:sz="0" w:space="0" w:color="auto"/>
            <w:left w:val="none" w:sz="0" w:space="0" w:color="auto"/>
            <w:bottom w:val="none" w:sz="0" w:space="0" w:color="auto"/>
            <w:right w:val="none" w:sz="0" w:space="0" w:color="auto"/>
          </w:divBdr>
          <w:divsChild>
            <w:div w:id="635526538">
              <w:marLeft w:val="0"/>
              <w:marRight w:val="0"/>
              <w:marTop w:val="0"/>
              <w:marBottom w:val="0"/>
              <w:divBdr>
                <w:top w:val="none" w:sz="0" w:space="0" w:color="auto"/>
                <w:left w:val="none" w:sz="0" w:space="0" w:color="auto"/>
                <w:bottom w:val="none" w:sz="0" w:space="0" w:color="auto"/>
                <w:right w:val="none" w:sz="0" w:space="0" w:color="auto"/>
              </w:divBdr>
            </w:div>
          </w:divsChild>
        </w:div>
        <w:div w:id="1862817373">
          <w:marLeft w:val="0"/>
          <w:marRight w:val="0"/>
          <w:marTop w:val="450"/>
          <w:marBottom w:val="0"/>
          <w:divBdr>
            <w:top w:val="none" w:sz="0" w:space="0" w:color="auto"/>
            <w:left w:val="none" w:sz="0" w:space="0" w:color="auto"/>
            <w:bottom w:val="none" w:sz="0" w:space="0" w:color="auto"/>
            <w:right w:val="none" w:sz="0" w:space="0" w:color="auto"/>
          </w:divBdr>
        </w:div>
        <w:div w:id="1177230890">
          <w:marLeft w:val="0"/>
          <w:marRight w:val="0"/>
          <w:marTop w:val="450"/>
          <w:marBottom w:val="0"/>
          <w:divBdr>
            <w:top w:val="none" w:sz="0" w:space="0" w:color="auto"/>
            <w:left w:val="none" w:sz="0" w:space="0" w:color="auto"/>
            <w:bottom w:val="none" w:sz="0" w:space="0" w:color="auto"/>
            <w:right w:val="none" w:sz="0" w:space="0" w:color="auto"/>
          </w:divBdr>
        </w:div>
        <w:div w:id="875384294">
          <w:marLeft w:val="0"/>
          <w:marRight w:val="0"/>
          <w:marTop w:val="450"/>
          <w:marBottom w:val="0"/>
          <w:divBdr>
            <w:top w:val="none" w:sz="0" w:space="0" w:color="auto"/>
            <w:left w:val="none" w:sz="0" w:space="0" w:color="auto"/>
            <w:bottom w:val="none" w:sz="0" w:space="0" w:color="auto"/>
            <w:right w:val="none" w:sz="0" w:space="0" w:color="auto"/>
          </w:divBdr>
        </w:div>
        <w:div w:id="256401814">
          <w:marLeft w:val="0"/>
          <w:marRight w:val="0"/>
          <w:marTop w:val="450"/>
          <w:marBottom w:val="0"/>
          <w:divBdr>
            <w:top w:val="none" w:sz="0" w:space="0" w:color="auto"/>
            <w:left w:val="none" w:sz="0" w:space="0" w:color="auto"/>
            <w:bottom w:val="none" w:sz="0" w:space="0" w:color="auto"/>
            <w:right w:val="none" w:sz="0" w:space="0" w:color="auto"/>
          </w:divBdr>
        </w:div>
        <w:div w:id="2095205788">
          <w:marLeft w:val="0"/>
          <w:marRight w:val="0"/>
          <w:marTop w:val="450"/>
          <w:marBottom w:val="0"/>
          <w:divBdr>
            <w:top w:val="none" w:sz="0" w:space="0" w:color="auto"/>
            <w:left w:val="none" w:sz="0" w:space="0" w:color="auto"/>
            <w:bottom w:val="none" w:sz="0" w:space="0" w:color="auto"/>
            <w:right w:val="none" w:sz="0" w:space="0" w:color="auto"/>
          </w:divBdr>
        </w:div>
        <w:div w:id="178662477">
          <w:marLeft w:val="0"/>
          <w:marRight w:val="0"/>
          <w:marTop w:val="450"/>
          <w:marBottom w:val="0"/>
          <w:divBdr>
            <w:top w:val="none" w:sz="0" w:space="0" w:color="auto"/>
            <w:left w:val="none" w:sz="0" w:space="0" w:color="auto"/>
            <w:bottom w:val="none" w:sz="0" w:space="0" w:color="auto"/>
            <w:right w:val="none" w:sz="0" w:space="0" w:color="auto"/>
          </w:divBdr>
        </w:div>
        <w:div w:id="347296767">
          <w:marLeft w:val="0"/>
          <w:marRight w:val="0"/>
          <w:marTop w:val="450"/>
          <w:marBottom w:val="0"/>
          <w:divBdr>
            <w:top w:val="none" w:sz="0" w:space="0" w:color="auto"/>
            <w:left w:val="none" w:sz="0" w:space="0" w:color="auto"/>
            <w:bottom w:val="none" w:sz="0" w:space="0" w:color="auto"/>
            <w:right w:val="none" w:sz="0" w:space="0" w:color="auto"/>
          </w:divBdr>
        </w:div>
        <w:div w:id="2090424205">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mc.ncbi.nlm.nih.gov/articles/PMC7796879/" TargetMode="External"/><Relationship Id="rId18" Type="http://schemas.openxmlformats.org/officeDocument/2006/relationships/hyperlink" Target="https://www.ncbi.nlm.nih.gov/core/lw/2.0/html/tileshop_pmc/tileshop_pmc_inline.html?title=Click%20on%20image%20to%20zoom&amp;p=PMC3&amp;id=7796879_12282_2020_1150_Fig1_HTML.jpg" TargetMode="External"/><Relationship Id="rId26" Type="http://schemas.openxmlformats.org/officeDocument/2006/relationships/hyperlink" Target="https://www.ncbi.nlm.nih.gov/core/lw/2.0/html/tileshop_pmc/tileshop_pmc_inline.html?title=Click%20on%20image%20to%20zoom&amp;p=PMC3&amp;id=7796879_12282_2020_1150_Fig4_HTML.jpg" TargetMode="External"/><Relationship Id="rId39" Type="http://schemas.openxmlformats.org/officeDocument/2006/relationships/hyperlink" Target="https://pmc.ncbi.nlm.nih.gov/articles/PMC7796879/" TargetMode="External"/><Relationship Id="rId21" Type="http://schemas.openxmlformats.org/officeDocument/2006/relationships/hyperlink" Target="https://www.ncbi.nlm.nih.gov/core/lw/2.0/html/tileshop_pmc/tileshop_pmc_inline.html?title=Click%20on%20image%20to%20zoom&amp;p=PMC3&amp;id=7796879_12282_2020_1150_Fig2_HTML.jpg" TargetMode="External"/><Relationship Id="rId34" Type="http://schemas.openxmlformats.org/officeDocument/2006/relationships/hyperlink" Target="https://www.ncbi.nlm.nih.gov/core/lw/2.0/html/tileshop_pmc/tileshop_pmc_inline.html?title=Click%20on%20image%20to%20zoom&amp;p=PMC3&amp;id=7796879_12282_2020_1150_Fig5_HTML.jpg" TargetMode="External"/><Relationship Id="rId42" Type="http://schemas.openxmlformats.org/officeDocument/2006/relationships/hyperlink" Target="https://pmc.ncbi.nlm.nih.gov/articles/PMC7796879/" TargetMode="External"/><Relationship Id="rId47" Type="http://schemas.openxmlformats.org/officeDocument/2006/relationships/hyperlink" Target="https://pmc.ncbi.nlm.nih.gov/articles/PMC7796879/" TargetMode="External"/><Relationship Id="rId50" Type="http://schemas.openxmlformats.org/officeDocument/2006/relationships/hyperlink" Target="https://pmc.ncbi.nlm.nih.gov/articles/PMC7796879/" TargetMode="External"/><Relationship Id="rId55" Type="http://schemas.openxmlformats.org/officeDocument/2006/relationships/hyperlink" Target="https://pmc.ncbi.nlm.nih.gov/articles/PMC7796879/" TargetMode="External"/><Relationship Id="rId7" Type="http://schemas.openxmlformats.org/officeDocument/2006/relationships/hyperlink" Target="https://pmc.ncbi.nlm.nih.gov/articles/PMC7796879/" TargetMode="External"/><Relationship Id="rId2" Type="http://schemas.openxmlformats.org/officeDocument/2006/relationships/styles" Target="styles.xml"/><Relationship Id="rId16" Type="http://schemas.openxmlformats.org/officeDocument/2006/relationships/hyperlink" Target="https://pmc.ncbi.nlm.nih.gov/articles/PMC7796879/" TargetMode="External"/><Relationship Id="rId29" Type="http://schemas.openxmlformats.org/officeDocument/2006/relationships/hyperlink" Target="https://pmc.ncbi.nlm.nih.gov/articles/PMC7796879/" TargetMode="External"/><Relationship Id="rId11" Type="http://schemas.openxmlformats.org/officeDocument/2006/relationships/hyperlink" Target="https://pmc.ncbi.nlm.nih.gov/articles/PMC7796879/" TargetMode="External"/><Relationship Id="rId24" Type="http://schemas.openxmlformats.org/officeDocument/2006/relationships/hyperlink" Target="https://www.ncbi.nlm.nih.gov/core/lw/2.0/html/tileshop_pmc/tileshop_pmc_inline.html?title=Click%20on%20image%20to%20zoom&amp;p=PMC3&amp;id=7796879_12282_2020_1150_Fig3_HTML.jpg" TargetMode="External"/><Relationship Id="rId32" Type="http://schemas.openxmlformats.org/officeDocument/2006/relationships/hyperlink" Target="https://pmc.ncbi.nlm.nih.gov/articles/PMC7796879/" TargetMode="External"/><Relationship Id="rId37" Type="http://schemas.openxmlformats.org/officeDocument/2006/relationships/hyperlink" Target="https://pmc.ncbi.nlm.nih.gov/articles/PMC7796879/" TargetMode="External"/><Relationship Id="rId40" Type="http://schemas.openxmlformats.org/officeDocument/2006/relationships/hyperlink" Target="https://pmc.ncbi.nlm.nih.gov/articles/PMC7796879/" TargetMode="External"/><Relationship Id="rId45" Type="http://schemas.openxmlformats.org/officeDocument/2006/relationships/hyperlink" Target="https://pmc.ncbi.nlm.nih.gov/articles/PMC7796879/" TargetMode="External"/><Relationship Id="rId53" Type="http://schemas.openxmlformats.org/officeDocument/2006/relationships/hyperlink" Target="https://pmc.ncbi.nlm.nih.gov/articles/PMC7796879/" TargetMode="External"/><Relationship Id="rId58" Type="http://schemas.openxmlformats.org/officeDocument/2006/relationships/hyperlink" Target="https://pmc.ncbi.nlm.nih.gov/articles/PMC7796879/" TargetMode="External"/><Relationship Id="rId5" Type="http://schemas.openxmlformats.org/officeDocument/2006/relationships/hyperlink" Target="https://pmc.ncbi.nlm.nih.gov/articles/PMC7796879/" TargetMode="External"/><Relationship Id="rId61" Type="http://schemas.openxmlformats.org/officeDocument/2006/relationships/fontTable" Target="fontTable.xml"/><Relationship Id="rId19" Type="http://schemas.openxmlformats.org/officeDocument/2006/relationships/image" Target="media/image1.jpeg"/><Relationship Id="rId14" Type="http://schemas.openxmlformats.org/officeDocument/2006/relationships/hyperlink" Target="https://pmc.ncbi.nlm.nih.gov/articles/PMC7796879/" TargetMode="External"/><Relationship Id="rId22" Type="http://schemas.openxmlformats.org/officeDocument/2006/relationships/image" Target="media/image2.jpeg"/><Relationship Id="rId27" Type="http://schemas.openxmlformats.org/officeDocument/2006/relationships/image" Target="media/image4.jpeg"/><Relationship Id="rId30" Type="http://schemas.openxmlformats.org/officeDocument/2006/relationships/hyperlink" Target="https://pmc.ncbi.nlm.nih.gov/articles/PMC7796879/" TargetMode="External"/><Relationship Id="rId35" Type="http://schemas.openxmlformats.org/officeDocument/2006/relationships/image" Target="media/image5.jpeg"/><Relationship Id="rId43" Type="http://schemas.openxmlformats.org/officeDocument/2006/relationships/hyperlink" Target="https://pmc.ncbi.nlm.nih.gov/articles/PMC7796879/" TargetMode="External"/><Relationship Id="rId48" Type="http://schemas.openxmlformats.org/officeDocument/2006/relationships/hyperlink" Target="https://pmc.ncbi.nlm.nih.gov/articles/PMC7796879/" TargetMode="External"/><Relationship Id="rId56" Type="http://schemas.openxmlformats.org/officeDocument/2006/relationships/hyperlink" Target="https://pmc.ncbi.nlm.nih.gov/articles/PMC7796879/" TargetMode="External"/><Relationship Id="rId8" Type="http://schemas.openxmlformats.org/officeDocument/2006/relationships/hyperlink" Target="https://pmc.ncbi.nlm.nih.gov/articles/PMC7796879/" TargetMode="External"/><Relationship Id="rId51" Type="http://schemas.openxmlformats.org/officeDocument/2006/relationships/hyperlink" Target="https://pmc.ncbi.nlm.nih.gov/articles/PMC7796879/" TargetMode="External"/><Relationship Id="rId3" Type="http://schemas.openxmlformats.org/officeDocument/2006/relationships/settings" Target="settings.xml"/><Relationship Id="rId12" Type="http://schemas.openxmlformats.org/officeDocument/2006/relationships/hyperlink" Target="https://pmc.ncbi.nlm.nih.gov/articles/PMC7796879/" TargetMode="External"/><Relationship Id="rId17" Type="http://schemas.openxmlformats.org/officeDocument/2006/relationships/hyperlink" Target="https://pmc.ncbi.nlm.nih.gov/articles/PMC7796879/" TargetMode="External"/><Relationship Id="rId25" Type="http://schemas.openxmlformats.org/officeDocument/2006/relationships/image" Target="media/image3.jpeg"/><Relationship Id="rId33" Type="http://schemas.openxmlformats.org/officeDocument/2006/relationships/hyperlink" Target="https://pmc.ncbi.nlm.nih.gov/articles/PMC7796879/" TargetMode="External"/><Relationship Id="rId38" Type="http://schemas.openxmlformats.org/officeDocument/2006/relationships/hyperlink" Target="https://pmc.ncbi.nlm.nih.gov/articles/PMC7796879/" TargetMode="External"/><Relationship Id="rId46" Type="http://schemas.openxmlformats.org/officeDocument/2006/relationships/hyperlink" Target="https://pmc.ncbi.nlm.nih.gov/articles/PMC7796879/" TargetMode="External"/><Relationship Id="rId59" Type="http://schemas.openxmlformats.org/officeDocument/2006/relationships/hyperlink" Target="https://pmc.ncbi.nlm.nih.gov/articles/PMC7796879/" TargetMode="External"/><Relationship Id="rId20" Type="http://schemas.openxmlformats.org/officeDocument/2006/relationships/hyperlink" Target="https://pmc.ncbi.nlm.nih.gov/articles/PMC7796879/" TargetMode="External"/><Relationship Id="rId41" Type="http://schemas.openxmlformats.org/officeDocument/2006/relationships/hyperlink" Target="https://pmc.ncbi.nlm.nih.gov/articles/PMC7796879/" TargetMode="External"/><Relationship Id="rId54" Type="http://schemas.openxmlformats.org/officeDocument/2006/relationships/hyperlink" Target="https://pmc.ncbi.nlm.nih.gov/articles/PMC7796879/"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pmc.ncbi.nlm.nih.gov/articles/PMC7796879/" TargetMode="External"/><Relationship Id="rId15" Type="http://schemas.openxmlformats.org/officeDocument/2006/relationships/hyperlink" Target="https://pmc.ncbi.nlm.nih.gov/articles/PMC7796879/" TargetMode="External"/><Relationship Id="rId23" Type="http://schemas.openxmlformats.org/officeDocument/2006/relationships/hyperlink" Target="https://pmc.ncbi.nlm.nih.gov/articles/PMC7796879/" TargetMode="External"/><Relationship Id="rId28" Type="http://schemas.openxmlformats.org/officeDocument/2006/relationships/hyperlink" Target="https://pmc.ncbi.nlm.nih.gov/articles/PMC7796879/" TargetMode="External"/><Relationship Id="rId36" Type="http://schemas.openxmlformats.org/officeDocument/2006/relationships/hyperlink" Target="https://pmc.ncbi.nlm.nih.gov/articles/PMC7796879/" TargetMode="External"/><Relationship Id="rId49" Type="http://schemas.openxmlformats.org/officeDocument/2006/relationships/hyperlink" Target="https://pmc.ncbi.nlm.nih.gov/articles/PMC7796879/" TargetMode="External"/><Relationship Id="rId57" Type="http://schemas.openxmlformats.org/officeDocument/2006/relationships/hyperlink" Target="https://pmc.ncbi.nlm.nih.gov/articles/PMC7796879/" TargetMode="External"/><Relationship Id="rId10" Type="http://schemas.openxmlformats.org/officeDocument/2006/relationships/hyperlink" Target="https://pmc.ncbi.nlm.nih.gov/articles/PMC7796879/" TargetMode="External"/><Relationship Id="rId31" Type="http://schemas.openxmlformats.org/officeDocument/2006/relationships/hyperlink" Target="https://pmc.ncbi.nlm.nih.gov/articles/PMC7796879/" TargetMode="External"/><Relationship Id="rId44" Type="http://schemas.openxmlformats.org/officeDocument/2006/relationships/hyperlink" Target="https://pmc.ncbi.nlm.nih.gov/articles/PMC7796879/" TargetMode="External"/><Relationship Id="rId52" Type="http://schemas.openxmlformats.org/officeDocument/2006/relationships/hyperlink" Target="https://pmc.ncbi.nlm.nih.gov/articles/PMC7796879/" TargetMode="External"/><Relationship Id="rId60" Type="http://schemas.openxmlformats.org/officeDocument/2006/relationships/hyperlink" Target="https://pmc.ncbi.nlm.nih.gov/articles/PMC7796879/" TargetMode="External"/><Relationship Id="rId4" Type="http://schemas.openxmlformats.org/officeDocument/2006/relationships/webSettings" Target="webSettings.xml"/><Relationship Id="rId9" Type="http://schemas.openxmlformats.org/officeDocument/2006/relationships/hyperlink" Target="https://pmc.ncbi.nlm.nih.gov/articles/PMC779687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2138</Words>
  <Characters>12187</Characters>
  <Application>Microsoft Office Word</Application>
  <DocSecurity>0</DocSecurity>
  <Lines>101</Lines>
  <Paragraphs>28</Paragraphs>
  <ScaleCrop>false</ScaleCrop>
  <Company/>
  <LinksUpToDate>false</LinksUpToDate>
  <CharactersWithSpaces>14297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2026-01-04T10:14:00Z</dcterms:created>
  <dcterms:modified xsi:type="dcterms:W3CDTF">2026-01-04T10:16:00Z</dcterms:modified>
</cp:coreProperties>
</file>