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A52C32" w14:textId="77777777" w:rsidR="00734FB9" w:rsidRPr="00734FB9" w:rsidRDefault="00734FB9" w:rsidP="00734FB9">
      <w:pPr>
        <w:widowControl/>
        <w:spacing w:line="450" w:lineRule="atLeast"/>
        <w:outlineLvl w:val="0"/>
        <w:rPr>
          <w:rFonts w:ascii="微软雅黑" w:eastAsia="微软雅黑" w:hAnsi="微软雅黑" w:cs="宋体"/>
          <w:b/>
          <w:bCs/>
          <w:kern w:val="36"/>
          <w:sz w:val="36"/>
          <w:szCs w:val="36"/>
        </w:rPr>
      </w:pPr>
      <w:r w:rsidRPr="00734FB9">
        <w:rPr>
          <w:rFonts w:ascii="微软雅黑" w:eastAsia="微软雅黑" w:hAnsi="微软雅黑" w:cs="宋体"/>
          <w:b/>
          <w:bCs/>
          <w:kern w:val="36"/>
          <w:sz w:val="36"/>
          <w:szCs w:val="36"/>
        </w:rPr>
        <w:t>CDK4/6抑制剂耐药机制及治疗策略（综述）</w:t>
      </w:r>
    </w:p>
    <w:p w14:paraId="2902A59A" w14:textId="2A77F28B" w:rsidR="00734FB9" w:rsidRPr="00734FB9" w:rsidRDefault="00734FB9" w:rsidP="00734FB9">
      <w:pPr>
        <w:widowControl/>
        <w:pBdr>
          <w:bottom w:val="single" w:sz="6" w:space="0" w:color="97B1C8"/>
        </w:pBdr>
        <w:spacing w:line="450" w:lineRule="atLeast"/>
        <w:outlineLvl w:val="1"/>
        <w:rPr>
          <w:rFonts w:ascii="微软雅黑" w:eastAsia="微软雅黑" w:hAnsi="微软雅黑" w:cs="宋体" w:hint="eastAsia"/>
          <w:kern w:val="0"/>
          <w:sz w:val="34"/>
          <w:szCs w:val="34"/>
        </w:rPr>
      </w:pPr>
      <w:r w:rsidRPr="00EC5263">
        <w:rPr>
          <w:rFonts w:ascii="微软雅黑" w:eastAsia="微软雅黑" w:hAnsi="微软雅黑" w:cs="宋体" w:hint="eastAsia"/>
          <w:kern w:val="0"/>
          <w:sz w:val="34"/>
          <w:szCs w:val="34"/>
        </w:rPr>
        <w:t>摘要</w:t>
      </w:r>
    </w:p>
    <w:p w14:paraId="6597CADA"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近年来，乳腺癌发病率逐年上升，已成为全球女性健康的主要威胁。在所有乳腺癌亚型中，激素受体（HR）阳性/人表皮生长因子受体2（HER2）阴性的</w:t>
      </w:r>
      <w:proofErr w:type="gramStart"/>
      <w:r w:rsidRPr="00734FB9">
        <w:rPr>
          <w:rFonts w:ascii="微软雅黑" w:eastAsia="微软雅黑" w:hAnsi="微软雅黑" w:cs="宋体"/>
          <w:kern w:val="0"/>
          <w:sz w:val="24"/>
          <w:szCs w:val="24"/>
        </w:rPr>
        <w:t>管腔型乳腺癌</w:t>
      </w:r>
      <w:proofErr w:type="gramEnd"/>
      <w:r w:rsidRPr="00734FB9">
        <w:rPr>
          <w:rFonts w:ascii="微软雅黑" w:eastAsia="微软雅黑" w:hAnsi="微软雅黑" w:cs="宋体"/>
          <w:kern w:val="0"/>
          <w:sz w:val="24"/>
          <w:szCs w:val="24"/>
        </w:rPr>
        <w:t>是最常见的类型。细胞周期蛋白依赖性激酶4和6（CDK4/6）抑制剂是乳腺癌靶</w:t>
      </w:r>
      <w:proofErr w:type="gramStart"/>
      <w:r w:rsidRPr="00734FB9">
        <w:rPr>
          <w:rFonts w:ascii="微软雅黑" w:eastAsia="微软雅黑" w:hAnsi="微软雅黑" w:cs="宋体"/>
          <w:kern w:val="0"/>
          <w:sz w:val="24"/>
          <w:szCs w:val="24"/>
        </w:rPr>
        <w:t>向治疗</w:t>
      </w:r>
      <w:proofErr w:type="gramEnd"/>
      <w:r w:rsidRPr="00734FB9">
        <w:rPr>
          <w:rFonts w:ascii="微软雅黑" w:eastAsia="微软雅黑" w:hAnsi="微软雅黑" w:cs="宋体"/>
          <w:kern w:val="0"/>
          <w:sz w:val="24"/>
          <w:szCs w:val="24"/>
        </w:rPr>
        <w:t>领域的热点，在多项临床试验中已证实对HR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/HER2-乳腺癌患者具有良好的疗效，但耐药性问题不可避免。目前，美国食品药品监督管理局（FDA）已批准三种特异性CDK4/6抑制剂（帕博西尼、瑞博西尼和阿贝西利）用于HR + /HER2-乳腺癌的一线治疗。CDK4/6抑制剂的耐药机制可分为细胞周期特异性耐药和细胞周期非特异性耐药。随着 CDK4/6 抑制剂耐药机制的发现，人们提出了多种靶</w:t>
      </w:r>
      <w:proofErr w:type="gramStart"/>
      <w:r w:rsidRPr="00734FB9">
        <w:rPr>
          <w:rFonts w:ascii="微软雅黑" w:eastAsia="微软雅黑" w:hAnsi="微软雅黑" w:cs="宋体"/>
          <w:kern w:val="0"/>
          <w:sz w:val="24"/>
          <w:szCs w:val="24"/>
        </w:rPr>
        <w:t>向治疗</w:t>
      </w:r>
      <w:proofErr w:type="gramEnd"/>
      <w:r w:rsidRPr="00734FB9">
        <w:rPr>
          <w:rFonts w:ascii="微软雅黑" w:eastAsia="微软雅黑" w:hAnsi="微软雅黑" w:cs="宋体"/>
          <w:kern w:val="0"/>
          <w:sz w:val="24"/>
          <w:szCs w:val="24"/>
        </w:rPr>
        <w:t>策略。本文主要综述了 CDK4/6 抑制剂的作用机制、耐药机制以及耐药后的治疗策略。</w:t>
      </w:r>
    </w:p>
    <w:p w14:paraId="0B4DF918"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b/>
          <w:bCs/>
          <w:kern w:val="0"/>
          <w:sz w:val="24"/>
          <w:szCs w:val="24"/>
        </w:rPr>
        <w:t>关键词：</w:t>
      </w:r>
      <w:r w:rsidRPr="00734FB9">
        <w:rPr>
          <w:rFonts w:ascii="微软雅黑" w:eastAsia="微软雅黑" w:hAnsi="微软雅黑" w:cs="宋体"/>
          <w:kern w:val="0"/>
          <w:sz w:val="24"/>
          <w:szCs w:val="24"/>
        </w:rPr>
        <w:t> CDK4/6、乳腺癌、耐药性、机制、策略</w:t>
      </w:r>
    </w:p>
    <w:p w14:paraId="4959D6C6" w14:textId="77777777" w:rsidR="00734FB9" w:rsidRPr="00734FB9" w:rsidRDefault="00734FB9" w:rsidP="00734FB9">
      <w:pPr>
        <w:widowControl/>
        <w:pBdr>
          <w:bottom w:val="single" w:sz="6" w:space="0" w:color="97B1C8"/>
        </w:pBdr>
        <w:spacing w:line="450" w:lineRule="atLeast"/>
        <w:outlineLvl w:val="1"/>
        <w:rPr>
          <w:rFonts w:ascii="微软雅黑" w:eastAsia="微软雅黑" w:hAnsi="微软雅黑" w:cs="宋体"/>
          <w:kern w:val="0"/>
          <w:sz w:val="34"/>
          <w:szCs w:val="34"/>
        </w:rPr>
      </w:pPr>
      <w:r w:rsidRPr="00734FB9">
        <w:rPr>
          <w:rFonts w:ascii="微软雅黑" w:eastAsia="微软雅黑" w:hAnsi="微软雅黑" w:cs="宋体"/>
          <w:kern w:val="0"/>
          <w:sz w:val="34"/>
          <w:szCs w:val="34"/>
        </w:rPr>
        <w:t>1. 引言</w:t>
      </w:r>
    </w:p>
    <w:p w14:paraId="16914798"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乳腺癌是全球女性最常见的癌症（占癌症总发病率的31%），也是女性癌症相关死亡的第二大原因（占癌症相关死亡总数的15%）（</w:t>
      </w:r>
      <w:hyperlink r:id="rId5" w:anchor="f1-ijmm-50-4-05184" w:history="1">
        <w:r w:rsidRPr="00734FB9">
          <w:rPr>
            <w:rFonts w:ascii="微软雅黑" w:eastAsia="微软雅黑" w:hAnsi="微软雅黑" w:cs="宋体"/>
            <w:kern w:val="0"/>
            <w:sz w:val="24"/>
            <w:szCs w:val="24"/>
            <w:u w:val="single"/>
          </w:rPr>
          <w:t>图1</w:t>
        </w:r>
      </w:hyperlink>
      <w:r w:rsidRPr="00734FB9">
        <w:rPr>
          <w:rFonts w:ascii="微软雅黑" w:eastAsia="微软雅黑" w:hAnsi="微软雅黑" w:cs="宋体"/>
          <w:kern w:val="0"/>
          <w:sz w:val="24"/>
          <w:szCs w:val="24"/>
        </w:rPr>
        <w:t>）( </w:t>
      </w:r>
      <w:hyperlink r:id="rId6" w:anchor="b1-ijmm-50-4-05184" w:history="1">
        <w:r w:rsidRPr="00734FB9">
          <w:rPr>
            <w:rFonts w:ascii="微软雅黑" w:eastAsia="微软雅黑" w:hAnsi="微软雅黑" w:cs="宋体"/>
            <w:kern w:val="0"/>
            <w:sz w:val="24"/>
            <w:szCs w:val="24"/>
            <w:u w:val="single"/>
          </w:rPr>
          <w:t>1</w:t>
        </w:r>
      </w:hyperlink>
      <w:r w:rsidRPr="00734FB9">
        <w:rPr>
          <w:rFonts w:ascii="微软雅黑" w:eastAsia="微软雅黑" w:hAnsi="微软雅黑" w:cs="宋体"/>
          <w:kern w:val="0"/>
          <w:sz w:val="24"/>
          <w:szCs w:val="24"/>
        </w:rPr>
        <w:t> )。在所有乳腺癌亚型中，激素受体（HR）</w:t>
      </w:r>
      <w:proofErr w:type="gramStart"/>
      <w:r w:rsidRPr="00734FB9">
        <w:rPr>
          <w:rFonts w:ascii="微软雅黑" w:eastAsia="微软雅黑" w:hAnsi="微软雅黑" w:cs="宋体"/>
          <w:kern w:val="0"/>
          <w:sz w:val="24"/>
          <w:szCs w:val="24"/>
          <w:vertAlign w:val="superscript"/>
        </w:rPr>
        <w:t>阳性</w:t>
      </w:r>
      <w:r w:rsidRPr="00734FB9">
        <w:rPr>
          <w:rFonts w:ascii="微软雅黑" w:eastAsia="微软雅黑" w:hAnsi="微软雅黑" w:cs="宋体"/>
          <w:kern w:val="0"/>
          <w:sz w:val="24"/>
          <w:szCs w:val="24"/>
        </w:rPr>
        <w:t>管腔型</w:t>
      </w:r>
      <w:proofErr w:type="gramEnd"/>
      <w:r w:rsidRPr="00734FB9">
        <w:rPr>
          <w:rFonts w:ascii="微软雅黑" w:eastAsia="微软雅黑" w:hAnsi="微软雅黑" w:cs="宋体"/>
          <w:kern w:val="0"/>
          <w:sz w:val="24"/>
          <w:szCs w:val="24"/>
        </w:rPr>
        <w:t>乳腺癌是最常见的类型，占乳腺癌总病例的75%和转移性乳腺癌（MBC）病例的70%( </w:t>
      </w:r>
      <w:hyperlink r:id="rId7" w:anchor="b2-ijmm-50-4-05184" w:history="1">
        <w:r w:rsidRPr="00734FB9">
          <w:rPr>
            <w:rFonts w:ascii="微软雅黑" w:eastAsia="微软雅黑" w:hAnsi="微软雅黑" w:cs="宋体"/>
            <w:kern w:val="0"/>
            <w:sz w:val="24"/>
            <w:szCs w:val="24"/>
            <w:u w:val="single"/>
          </w:rPr>
          <w:t>2 )。内分泌治疗是HR</w:t>
        </w:r>
      </w:hyperlink>
      <w:proofErr w:type="gramStart"/>
      <w:r w:rsidRPr="00734FB9">
        <w:rPr>
          <w:rFonts w:ascii="微软雅黑" w:eastAsia="微软雅黑" w:hAnsi="微软雅黑" w:cs="宋体"/>
          <w:kern w:val="0"/>
          <w:sz w:val="24"/>
          <w:szCs w:val="24"/>
        </w:rPr>
        <w:t>阳性管腔型</w:t>
      </w:r>
      <w:proofErr w:type="gramEnd"/>
      <w:r w:rsidRPr="00734FB9">
        <w:rPr>
          <w:rFonts w:ascii="微软雅黑" w:eastAsia="微软雅黑" w:hAnsi="微软雅黑" w:cs="宋体"/>
          <w:kern w:val="0"/>
          <w:sz w:val="24"/>
          <w:szCs w:val="24"/>
        </w:rPr>
        <w:t>乳腺癌的主要治疗方法，但其疗效受限于耐药性，而耐药性在晚</w:t>
      </w:r>
      <w:r w:rsidRPr="00734FB9">
        <w:rPr>
          <w:rFonts w:ascii="MS Gothic" w:eastAsia="MS Gothic" w:hAnsi="MS Gothic" w:cs="MS Gothic" w:hint="eastAsia"/>
          <w:kern w:val="0"/>
          <w:sz w:val="24"/>
          <w:szCs w:val="24"/>
        </w:rPr>
        <w:t>​​</w:t>
      </w:r>
      <w:r w:rsidRPr="00734FB9">
        <w:rPr>
          <w:rFonts w:ascii="微软雅黑" w:eastAsia="微软雅黑" w:hAnsi="微软雅黑" w:cs="宋体"/>
          <w:kern w:val="0"/>
          <w:sz w:val="24"/>
          <w:szCs w:val="24"/>
        </w:rPr>
        <w:t>期乳腺癌（ABC）患者中几乎不可避免( </w:t>
      </w:r>
      <w:hyperlink r:id="rId8" w:anchor="b3-ijmm-50-4-05184" w:history="1">
        <w:r w:rsidRPr="00734FB9">
          <w:rPr>
            <w:rFonts w:ascii="微软雅黑" w:eastAsia="微软雅黑" w:hAnsi="微软雅黑" w:cs="宋体"/>
            <w:kern w:val="0"/>
            <w:sz w:val="24"/>
            <w:szCs w:val="24"/>
            <w:u w:val="single"/>
          </w:rPr>
          <w:t>3-6 </w:t>
        </w:r>
      </w:hyperlink>
      <w:hyperlink r:id="rId9" w:anchor="b6-ijmm-50-4-05184" w:history="1">
        <w:r w:rsidRPr="00734FB9">
          <w:rPr>
            <w:rFonts w:ascii="微软雅黑" w:eastAsia="微软雅黑" w:hAnsi="微软雅黑" w:cs="宋体"/>
            <w:kern w:val="0"/>
            <w:sz w:val="24"/>
            <w:szCs w:val="24"/>
            <w:u w:val="single"/>
          </w:rPr>
          <w:t>)</w:t>
        </w:r>
      </w:hyperlink>
      <w:r w:rsidRPr="00734FB9">
        <w:rPr>
          <w:rFonts w:ascii="微软雅黑" w:eastAsia="微软雅黑" w:hAnsi="微软雅黑" w:cs="宋体"/>
          <w:kern w:val="0"/>
          <w:sz w:val="24"/>
          <w:szCs w:val="24"/>
        </w:rPr>
        <w:t>。近年来，靶</w:t>
      </w:r>
      <w:proofErr w:type="gramStart"/>
      <w:r w:rsidRPr="00734FB9">
        <w:rPr>
          <w:rFonts w:ascii="微软雅黑" w:eastAsia="微软雅黑" w:hAnsi="微软雅黑" w:cs="宋体"/>
          <w:kern w:val="0"/>
          <w:sz w:val="24"/>
          <w:szCs w:val="24"/>
        </w:rPr>
        <w:t>向治疗</w:t>
      </w:r>
      <w:proofErr w:type="gramEnd"/>
      <w:r w:rsidRPr="00734FB9">
        <w:rPr>
          <w:rFonts w:ascii="微软雅黑" w:eastAsia="微软雅黑" w:hAnsi="微软雅黑" w:cs="宋体"/>
          <w:kern w:val="0"/>
          <w:sz w:val="24"/>
          <w:szCs w:val="24"/>
        </w:rPr>
        <w:t>联合内分泌治疗克服特定人群的内分泌治疗耐药性，为HR阳性乳腺癌患者提供了新的治疗前景</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7 </w:t>
      </w:r>
      <w:hyperlink r:id="rId10" w:anchor="b7-ijmm-50-4-05184" w:history="1">
        <w:r w:rsidRPr="00734FB9">
          <w:rPr>
            <w:rFonts w:ascii="微软雅黑" w:eastAsia="微软雅黑" w:hAnsi="微软雅黑" w:cs="宋体"/>
            <w:kern w:val="0"/>
            <w:sz w:val="24"/>
            <w:szCs w:val="24"/>
            <w:u w:val="single"/>
          </w:rPr>
          <w:t>)</w:t>
        </w:r>
      </w:hyperlink>
      <w:r w:rsidRPr="00734FB9">
        <w:rPr>
          <w:rFonts w:ascii="微软雅黑" w:eastAsia="微软雅黑" w:hAnsi="微软雅黑" w:cs="宋体"/>
          <w:kern w:val="0"/>
          <w:sz w:val="24"/>
          <w:szCs w:val="24"/>
        </w:rPr>
        <w:t>。恶性肿瘤</w:t>
      </w:r>
      <w:r w:rsidRPr="00734FB9">
        <w:rPr>
          <w:rFonts w:ascii="微软雅黑" w:eastAsia="微软雅黑" w:hAnsi="微软雅黑" w:cs="宋体"/>
          <w:kern w:val="0"/>
          <w:sz w:val="24"/>
          <w:szCs w:val="24"/>
        </w:rPr>
        <w:lastRenderedPageBreak/>
        <w:t>最基本的生物学特征之一是细胞周期调控紊乱导致的恶性转化和肿瘤细胞的无序增殖。CDK4/6抑制剂通过选择性抑制细胞周期蛋白依赖性激酶4和6（CDK4/6）来恢复细胞周期，并阻断包括乳腺癌细胞在内的多种肿瘤细胞的增殖。CDK4/6抑制剂可以有效改善HR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/HER2-乳腺癌患者的预后，但不同个体对CDK4/6抑制剂的敏感性存在差异。本综述旨在探讨CDK4/6抑制剂的作用机制、耐药机制以及耐药后的治疗策略。</w:t>
      </w:r>
    </w:p>
    <w:p w14:paraId="5E7447A4" w14:textId="77777777" w:rsidR="00734FB9" w:rsidRPr="00734FB9" w:rsidRDefault="00734FB9" w:rsidP="00734FB9">
      <w:pPr>
        <w:widowControl/>
        <w:spacing w:line="450" w:lineRule="atLeast"/>
        <w:outlineLvl w:val="2"/>
        <w:rPr>
          <w:rFonts w:ascii="微软雅黑" w:eastAsia="微软雅黑" w:hAnsi="微软雅黑" w:cs="宋体"/>
          <w:kern w:val="0"/>
          <w:sz w:val="30"/>
          <w:szCs w:val="30"/>
        </w:rPr>
      </w:pPr>
      <w:r w:rsidRPr="00734FB9">
        <w:rPr>
          <w:rFonts w:ascii="微软雅黑" w:eastAsia="微软雅黑" w:hAnsi="微软雅黑" w:cs="宋体"/>
          <w:kern w:val="0"/>
          <w:sz w:val="30"/>
          <w:szCs w:val="30"/>
        </w:rPr>
        <w:t>图1。</w:t>
      </w:r>
    </w:p>
    <w:p w14:paraId="2DED4BFA" w14:textId="7B73937E" w:rsidR="00734FB9" w:rsidRPr="00734FB9" w:rsidRDefault="00734FB9" w:rsidP="00734FB9">
      <w:pPr>
        <w:widowControl/>
        <w:spacing w:before="450"/>
        <w:rPr>
          <w:rFonts w:ascii="微软雅黑" w:eastAsia="微软雅黑" w:hAnsi="微软雅黑" w:cs="宋体"/>
          <w:kern w:val="0"/>
          <w:sz w:val="24"/>
          <w:szCs w:val="24"/>
        </w:rPr>
      </w:pPr>
      <w:r w:rsidRPr="00EC5263">
        <w:rPr>
          <w:rFonts w:ascii="微软雅黑" w:eastAsia="微软雅黑" w:hAnsi="微软雅黑" w:cs="宋体"/>
          <w:noProof/>
          <w:kern w:val="0"/>
          <w:sz w:val="24"/>
          <w:szCs w:val="24"/>
        </w:rPr>
        <w:drawing>
          <wp:inline distT="0" distB="0" distL="0" distR="0" wp14:anchorId="24A7346D" wp14:editId="3993F039">
            <wp:extent cx="5274310" cy="4523740"/>
            <wp:effectExtent l="0" t="0" r="2540" b="0"/>
            <wp:docPr id="5" name="图片 5" descr="图 1">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 1">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4523740"/>
                    </a:xfrm>
                    <a:prstGeom prst="rect">
                      <a:avLst/>
                    </a:prstGeom>
                    <a:noFill/>
                    <a:ln>
                      <a:noFill/>
                    </a:ln>
                  </pic:spPr>
                </pic:pic>
              </a:graphicData>
            </a:graphic>
          </wp:inline>
        </w:drawing>
      </w:r>
    </w:p>
    <w:p w14:paraId="245BCD5A"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2022 年美国新增病例和癌症相关死亡人数排名前 10 的癌症类型。</w:t>
      </w:r>
    </w:p>
    <w:p w14:paraId="70E1B29C" w14:textId="77777777" w:rsidR="00734FB9" w:rsidRPr="00734FB9" w:rsidRDefault="00734FB9" w:rsidP="00734FB9">
      <w:pPr>
        <w:widowControl/>
        <w:pBdr>
          <w:bottom w:val="single" w:sz="6" w:space="0" w:color="97B1C8"/>
        </w:pBdr>
        <w:spacing w:line="450" w:lineRule="atLeast"/>
        <w:outlineLvl w:val="1"/>
        <w:rPr>
          <w:rFonts w:ascii="微软雅黑" w:eastAsia="微软雅黑" w:hAnsi="微软雅黑" w:cs="宋体"/>
          <w:kern w:val="0"/>
          <w:sz w:val="34"/>
          <w:szCs w:val="34"/>
        </w:rPr>
      </w:pPr>
      <w:r w:rsidRPr="00734FB9">
        <w:rPr>
          <w:rFonts w:ascii="微软雅黑" w:eastAsia="微软雅黑" w:hAnsi="微软雅黑" w:cs="宋体"/>
          <w:kern w:val="0"/>
          <w:sz w:val="34"/>
          <w:szCs w:val="34"/>
        </w:rPr>
        <w:t>2. CDK4/6抑制剂的作用机制</w:t>
      </w:r>
    </w:p>
    <w:p w14:paraId="1D8DFE5D"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lastRenderedPageBreak/>
        <w:t>为了确保每个细胞周期都能准确完成，正常的细胞周期中存在复杂的调控机制。CDK4/6是细胞周期的关键调控因子，它通过与细胞周期蛋白D（cyclin D）形成复合物发挥作用（</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"b8-ijmm-50-4-05184"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8</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）。该复合物可以直接磷酸化视网膜母细胞瘤基因（RB），进而释放转录因子E2F，促进细胞周期相关基因的转录，推动细胞周期从G1</w:t>
      </w:r>
      <w:r w:rsidRPr="00734FB9">
        <w:rPr>
          <w:rFonts w:ascii="微软雅黑" w:eastAsia="微软雅黑" w:hAnsi="微软雅黑" w:cs="宋体"/>
          <w:kern w:val="0"/>
          <w:sz w:val="24"/>
          <w:szCs w:val="24"/>
          <w:vertAlign w:val="subscript"/>
        </w:rPr>
        <w:t>期</w:t>
      </w:r>
      <w:r w:rsidRPr="00734FB9">
        <w:rPr>
          <w:rFonts w:ascii="微软雅黑" w:eastAsia="微软雅黑" w:hAnsi="微软雅黑" w:cs="宋体"/>
          <w:kern w:val="0"/>
          <w:sz w:val="24"/>
          <w:szCs w:val="24"/>
        </w:rPr>
        <w:t>进入S期，最终导致DNA复制（</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"f2-ijmm-50-4-05184"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图2</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hyperlink r:id="rId13" w:anchor="b9-ijmm-50-4-05184" w:history="1">
        <w:r w:rsidRPr="00734FB9">
          <w:rPr>
            <w:rFonts w:ascii="微软雅黑" w:eastAsia="微软雅黑" w:hAnsi="微软雅黑" w:cs="宋体"/>
            <w:kern w:val="0"/>
            <w:sz w:val="24"/>
            <w:szCs w:val="24"/>
            <w:u w:val="single"/>
          </w:rPr>
          <w:t>9</w:t>
        </w:r>
      </w:hyperlink>
      <w:r w:rsidRPr="00734FB9">
        <w:rPr>
          <w:rFonts w:ascii="微软雅黑" w:eastAsia="微软雅黑" w:hAnsi="微软雅黑" w:cs="宋体"/>
          <w:kern w:val="0"/>
          <w:sz w:val="24"/>
          <w:szCs w:val="24"/>
        </w:rPr>
        <w:t>）。在雌激素受体（ER）</w:t>
      </w:r>
      <w:r w:rsidRPr="00734FB9">
        <w:rPr>
          <w:rFonts w:ascii="微软雅黑" w:eastAsia="微软雅黑" w:hAnsi="微软雅黑" w:cs="宋体"/>
          <w:kern w:val="0"/>
          <w:sz w:val="24"/>
          <w:szCs w:val="24"/>
          <w:vertAlign w:val="superscript"/>
        </w:rPr>
        <w:t>阳性</w:t>
      </w:r>
      <w:r w:rsidRPr="00734FB9">
        <w:rPr>
          <w:rFonts w:ascii="微软雅黑" w:eastAsia="微软雅黑" w:hAnsi="微软雅黑" w:cs="宋体"/>
          <w:kern w:val="0"/>
          <w:sz w:val="24"/>
          <w:szCs w:val="24"/>
        </w:rPr>
        <w:t>乳腺癌中，雌激素诱导ER信号通路激活，导致cyclin D和CDK4/6表达上调，进而导致细胞增殖失控（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"b10-ijmm-50-4-05184"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10</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 , </w:t>
      </w:r>
      <w:hyperlink r:id="rId14" w:anchor="b11-ijmm-50-4-05184" w:history="1">
        <w:r w:rsidRPr="00734FB9">
          <w:rPr>
            <w:rFonts w:ascii="微软雅黑" w:eastAsia="微软雅黑" w:hAnsi="微软雅黑" w:cs="宋体"/>
            <w:kern w:val="0"/>
            <w:sz w:val="24"/>
            <w:szCs w:val="24"/>
            <w:u w:val="single"/>
          </w:rPr>
          <w:t>11 ）。CDK4/6在ER</w:t>
        </w:r>
      </w:hyperlink>
      <w:r w:rsidRPr="00734FB9">
        <w:rPr>
          <w:rFonts w:ascii="微软雅黑" w:eastAsia="微软雅黑" w:hAnsi="微软雅黑" w:cs="宋体"/>
          <w:kern w:val="0"/>
          <w:sz w:val="24"/>
          <w:szCs w:val="24"/>
          <w:vertAlign w:val="superscript"/>
        </w:rPr>
        <w:t>阳性</w:t>
      </w:r>
      <w:r w:rsidRPr="00734FB9">
        <w:rPr>
          <w:rFonts w:ascii="微软雅黑" w:eastAsia="微软雅黑" w:hAnsi="微软雅黑" w:cs="宋体"/>
          <w:kern w:val="0"/>
          <w:sz w:val="24"/>
          <w:szCs w:val="24"/>
        </w:rPr>
        <w:t>乳腺癌中被激活；因此，CDK4/6抑制剂可以显著抑制ER</w:t>
      </w:r>
      <w:r w:rsidRPr="00734FB9">
        <w:rPr>
          <w:rFonts w:ascii="微软雅黑" w:eastAsia="微软雅黑" w:hAnsi="微软雅黑" w:cs="宋体"/>
          <w:kern w:val="0"/>
          <w:sz w:val="24"/>
          <w:szCs w:val="24"/>
          <w:vertAlign w:val="superscript"/>
        </w:rPr>
        <w:t>阳性</w:t>
      </w:r>
      <w:r w:rsidRPr="00734FB9">
        <w:rPr>
          <w:rFonts w:ascii="微软雅黑" w:eastAsia="微软雅黑" w:hAnsi="微软雅黑" w:cs="宋体"/>
          <w:kern w:val="0"/>
          <w:sz w:val="24"/>
          <w:szCs w:val="24"/>
        </w:rPr>
        <w:t>乳腺癌的进展。</w:t>
      </w:r>
    </w:p>
    <w:p w14:paraId="6B63FAA4" w14:textId="77777777" w:rsidR="00734FB9" w:rsidRPr="00734FB9" w:rsidRDefault="00734FB9" w:rsidP="00734FB9">
      <w:pPr>
        <w:widowControl/>
        <w:spacing w:line="450" w:lineRule="atLeast"/>
        <w:outlineLvl w:val="2"/>
        <w:rPr>
          <w:rFonts w:ascii="微软雅黑" w:eastAsia="微软雅黑" w:hAnsi="微软雅黑" w:cs="宋体"/>
          <w:kern w:val="0"/>
          <w:sz w:val="30"/>
          <w:szCs w:val="30"/>
        </w:rPr>
      </w:pPr>
      <w:r w:rsidRPr="00734FB9">
        <w:rPr>
          <w:rFonts w:ascii="微软雅黑" w:eastAsia="微软雅黑" w:hAnsi="微软雅黑" w:cs="宋体"/>
          <w:kern w:val="0"/>
          <w:sz w:val="30"/>
          <w:szCs w:val="30"/>
        </w:rPr>
        <w:t>图2。</w:t>
      </w:r>
    </w:p>
    <w:p w14:paraId="75936301" w14:textId="5BB1EC43" w:rsidR="00734FB9" w:rsidRPr="00734FB9" w:rsidRDefault="00734FB9" w:rsidP="00734FB9">
      <w:pPr>
        <w:widowControl/>
        <w:spacing w:before="450"/>
        <w:rPr>
          <w:rFonts w:ascii="微软雅黑" w:eastAsia="微软雅黑" w:hAnsi="微软雅黑" w:cs="宋体"/>
          <w:kern w:val="0"/>
          <w:sz w:val="24"/>
          <w:szCs w:val="24"/>
        </w:rPr>
      </w:pPr>
      <w:r w:rsidRPr="00EC5263">
        <w:rPr>
          <w:rFonts w:ascii="微软雅黑" w:eastAsia="微软雅黑" w:hAnsi="微软雅黑" w:cs="宋体"/>
          <w:noProof/>
          <w:kern w:val="0"/>
          <w:sz w:val="24"/>
          <w:szCs w:val="24"/>
        </w:rPr>
        <w:drawing>
          <wp:inline distT="0" distB="0" distL="0" distR="0" wp14:anchorId="3D930640" wp14:editId="6950CC13">
            <wp:extent cx="5274310" cy="2352040"/>
            <wp:effectExtent l="0" t="0" r="2540" b="0"/>
            <wp:docPr id="4" name="图片 4" descr="图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2352040"/>
                    </a:xfrm>
                    <a:prstGeom prst="rect">
                      <a:avLst/>
                    </a:prstGeom>
                    <a:noFill/>
                    <a:ln>
                      <a:noFill/>
                    </a:ln>
                  </pic:spPr>
                </pic:pic>
              </a:graphicData>
            </a:graphic>
          </wp:inline>
        </w:drawing>
      </w:r>
    </w:p>
    <w:p w14:paraId="60C490C4"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CDK4/6抑制剂的作用机制。CDK，细胞周期蛋白依赖性激酶；RB，视网膜母细胞瘤蛋白。</w:t>
      </w:r>
    </w:p>
    <w:p w14:paraId="6FF294A7" w14:textId="77777777" w:rsidR="00734FB9" w:rsidRPr="00734FB9" w:rsidRDefault="00734FB9" w:rsidP="00734FB9">
      <w:pPr>
        <w:widowControl/>
        <w:pBdr>
          <w:bottom w:val="single" w:sz="6" w:space="0" w:color="97B1C8"/>
        </w:pBdr>
        <w:spacing w:line="450" w:lineRule="atLeast"/>
        <w:outlineLvl w:val="1"/>
        <w:rPr>
          <w:rFonts w:ascii="微软雅黑" w:eastAsia="微软雅黑" w:hAnsi="微软雅黑" w:cs="宋体"/>
          <w:kern w:val="0"/>
          <w:sz w:val="34"/>
          <w:szCs w:val="34"/>
        </w:rPr>
      </w:pPr>
      <w:r w:rsidRPr="00734FB9">
        <w:rPr>
          <w:rFonts w:ascii="微软雅黑" w:eastAsia="微软雅黑" w:hAnsi="微软雅黑" w:cs="宋体"/>
          <w:kern w:val="0"/>
          <w:sz w:val="34"/>
          <w:szCs w:val="34"/>
        </w:rPr>
        <w:t>3. CDK4/6抑制剂的关键临床试验</w:t>
      </w:r>
    </w:p>
    <w:p w14:paraId="483DC89F"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基于PALOMA、MONALEESA和MONARCH三项临床试验的数据，美国食品药品监督管理局（FDA）和欧洲药品管理局（EMA）已批准三种CDK4/6抑制剂用于治疗HR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/HER2-晚期乳腺癌</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ABC）患者：帕博西尼（Palbociclib，商</w:t>
      </w:r>
      <w:r w:rsidRPr="00734FB9">
        <w:rPr>
          <w:rFonts w:ascii="微软雅黑" w:eastAsia="微软雅黑" w:hAnsi="微软雅黑" w:cs="宋体"/>
          <w:kern w:val="0"/>
          <w:sz w:val="24"/>
          <w:szCs w:val="24"/>
        </w:rPr>
        <w:lastRenderedPageBreak/>
        <w:t>品名</w:t>
      </w:r>
      <w:proofErr w:type="spellStart"/>
      <w:r w:rsidRPr="00734FB9">
        <w:rPr>
          <w:rFonts w:ascii="微软雅黑" w:eastAsia="微软雅黑" w:hAnsi="微软雅黑" w:cs="宋体"/>
          <w:kern w:val="0"/>
          <w:sz w:val="24"/>
          <w:szCs w:val="24"/>
        </w:rPr>
        <w:t>Ibrance</w:t>
      </w:r>
      <w:proofErr w:type="spellEnd"/>
      <w:r w:rsidRPr="00734FB9">
        <w:rPr>
          <w:rFonts w:ascii="微软雅黑" w:eastAsia="微软雅黑" w:hAnsi="微软雅黑" w:cs="宋体"/>
          <w:kern w:val="0"/>
          <w:sz w:val="24"/>
          <w:szCs w:val="24"/>
        </w:rPr>
        <w:t>®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辉瑞公司）、瑞博西尼（</w:t>
      </w:r>
      <w:proofErr w:type="spellStart"/>
      <w:r w:rsidRPr="00734FB9">
        <w:rPr>
          <w:rFonts w:ascii="微软雅黑" w:eastAsia="微软雅黑" w:hAnsi="微软雅黑" w:cs="宋体"/>
          <w:kern w:val="0"/>
          <w:sz w:val="24"/>
          <w:szCs w:val="24"/>
        </w:rPr>
        <w:t>ribociclib</w:t>
      </w:r>
      <w:proofErr w:type="spellEnd"/>
      <w:r w:rsidRPr="00734FB9">
        <w:rPr>
          <w:rFonts w:ascii="微软雅黑" w:eastAsia="微软雅黑" w:hAnsi="微软雅黑" w:cs="宋体"/>
          <w:kern w:val="0"/>
          <w:sz w:val="24"/>
          <w:szCs w:val="24"/>
        </w:rPr>
        <w:t>，商品名</w:t>
      </w:r>
      <w:proofErr w:type="spellStart"/>
      <w:r w:rsidRPr="00734FB9">
        <w:rPr>
          <w:rFonts w:ascii="微软雅黑" w:eastAsia="微软雅黑" w:hAnsi="微软雅黑" w:cs="宋体"/>
          <w:kern w:val="0"/>
          <w:sz w:val="24"/>
          <w:szCs w:val="24"/>
        </w:rPr>
        <w:t>Kisqali</w:t>
      </w:r>
      <w:proofErr w:type="spellEnd"/>
      <w:r w:rsidRPr="00734FB9">
        <w:rPr>
          <w:rFonts w:ascii="微软雅黑" w:eastAsia="微软雅黑" w:hAnsi="微软雅黑" w:cs="宋体"/>
          <w:kern w:val="0"/>
          <w:sz w:val="24"/>
          <w:szCs w:val="24"/>
        </w:rPr>
        <w:t>®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诺华公司）和阿贝西利（</w:t>
      </w:r>
      <w:proofErr w:type="spellStart"/>
      <w:r w:rsidRPr="00734FB9">
        <w:rPr>
          <w:rFonts w:ascii="微软雅黑" w:eastAsia="微软雅黑" w:hAnsi="微软雅黑" w:cs="宋体"/>
          <w:kern w:val="0"/>
          <w:sz w:val="24"/>
          <w:szCs w:val="24"/>
        </w:rPr>
        <w:t>abemaciclib</w:t>
      </w:r>
      <w:proofErr w:type="spellEnd"/>
      <w:r w:rsidRPr="00734FB9">
        <w:rPr>
          <w:rFonts w:ascii="微软雅黑" w:eastAsia="微软雅黑" w:hAnsi="微软雅黑" w:cs="宋体"/>
          <w:kern w:val="0"/>
          <w:sz w:val="24"/>
          <w:szCs w:val="24"/>
        </w:rPr>
        <w:t>，商品名</w:t>
      </w:r>
      <w:proofErr w:type="spellStart"/>
      <w:r w:rsidRPr="00734FB9">
        <w:rPr>
          <w:rFonts w:ascii="微软雅黑" w:eastAsia="微软雅黑" w:hAnsi="微软雅黑" w:cs="宋体"/>
          <w:kern w:val="0"/>
          <w:sz w:val="24"/>
          <w:szCs w:val="24"/>
        </w:rPr>
        <w:t>Verzenio</w:t>
      </w:r>
      <w:proofErr w:type="spellEnd"/>
      <w:r w:rsidRPr="00734FB9">
        <w:rPr>
          <w:rFonts w:ascii="微软雅黑" w:eastAsia="微软雅黑" w:hAnsi="微软雅黑" w:cs="宋体"/>
          <w:kern w:val="0"/>
          <w:sz w:val="24"/>
          <w:szCs w:val="24"/>
        </w:rPr>
        <w:t>®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礼来公司）（</w:t>
      </w:r>
      <w:hyperlink r:id="rId16" w:anchor="b12-ijmm-50-4-05184" w:history="1">
        <w:r w:rsidRPr="00734FB9">
          <w:rPr>
            <w:rFonts w:ascii="微软雅黑" w:eastAsia="微软雅黑" w:hAnsi="微软雅黑" w:cs="宋体"/>
            <w:kern w:val="0"/>
            <w:sz w:val="24"/>
            <w:szCs w:val="24"/>
            <w:u w:val="single"/>
          </w:rPr>
          <w:t>12-17 ）。此外，一种新的CDK4/6抑制剂</w:t>
        </w:r>
        <w:proofErr w:type="gramStart"/>
        <w:r w:rsidRPr="00734FB9">
          <w:rPr>
            <w:rFonts w:ascii="微软雅黑" w:eastAsia="微软雅黑" w:hAnsi="微软雅黑" w:cs="宋体"/>
            <w:kern w:val="0"/>
            <w:sz w:val="24"/>
            <w:szCs w:val="24"/>
            <w:u w:val="single"/>
          </w:rPr>
          <w:t>达匹西</w:t>
        </w:r>
        <w:proofErr w:type="gramEnd"/>
        <w:r w:rsidRPr="00734FB9">
          <w:rPr>
            <w:rFonts w:ascii="微软雅黑" w:eastAsia="微软雅黑" w:hAnsi="微软雅黑" w:cs="宋体"/>
            <w:kern w:val="0"/>
            <w:sz w:val="24"/>
            <w:szCs w:val="24"/>
            <w:u w:val="single"/>
          </w:rPr>
          <w:t>利（dalpiciclib）在2021年美国临床</w:t>
        </w:r>
      </w:hyperlink>
      <w:hyperlink r:id="rId17" w:anchor="b18-ijmm-50-4-05184" w:history="1">
        <w:r w:rsidRPr="00734FB9">
          <w:rPr>
            <w:rFonts w:ascii="微软雅黑" w:eastAsia="微软雅黑" w:hAnsi="微软雅黑" w:cs="宋体"/>
            <w:kern w:val="0"/>
            <w:sz w:val="24"/>
            <w:szCs w:val="24"/>
            <w:u w:val="single"/>
          </w:rPr>
          <w:t>肿瘤</w:t>
        </w:r>
      </w:hyperlink>
      <w:r w:rsidRPr="00734FB9">
        <w:rPr>
          <w:rFonts w:ascii="微软雅黑" w:eastAsia="微软雅黑" w:hAnsi="微软雅黑" w:cs="宋体"/>
          <w:kern w:val="0"/>
          <w:sz w:val="24"/>
          <w:szCs w:val="24"/>
        </w:rPr>
        <w:t>学会（ASCO ）年会上被报道（</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"b17-ijmm-50-4-05184"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18</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 DAWNA-1 研究显示，在接受内分泌治疗后复发或进展的 HR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 HER2- ABC 患者中，</w:t>
      </w:r>
      <w:proofErr w:type="gramStart"/>
      <w:r w:rsidRPr="00734FB9">
        <w:rPr>
          <w:rFonts w:ascii="微软雅黑" w:eastAsia="微软雅黑" w:hAnsi="微软雅黑" w:cs="宋体"/>
          <w:kern w:val="0"/>
          <w:sz w:val="24"/>
          <w:szCs w:val="24"/>
        </w:rPr>
        <w:t>达匹西利</w:t>
      </w:r>
      <w:proofErr w:type="gramEnd"/>
      <w:r w:rsidRPr="00734FB9">
        <w:rPr>
          <w:rFonts w:ascii="微软雅黑" w:eastAsia="微软雅黑" w:hAnsi="微软雅黑" w:cs="宋体"/>
          <w:kern w:val="0"/>
          <w:sz w:val="24"/>
          <w:szCs w:val="24"/>
          <w:vertAlign w:val="superscript"/>
        </w:rPr>
        <w:t>联合</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组的中位无进展生存期显著优于安慰剂联合</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 xml:space="preserve">组（15.7 </w:t>
      </w:r>
      <w:proofErr w:type="gramStart"/>
      <w:r w:rsidRPr="00734FB9">
        <w:rPr>
          <w:rFonts w:ascii="微软雅黑" w:eastAsia="微软雅黑" w:hAnsi="微软雅黑" w:cs="宋体"/>
          <w:kern w:val="0"/>
          <w:sz w:val="24"/>
          <w:szCs w:val="24"/>
        </w:rPr>
        <w:t>个</w:t>
      </w:r>
      <w:proofErr w:type="gramEnd"/>
      <w:r w:rsidRPr="00734FB9">
        <w:rPr>
          <w:rFonts w:ascii="微软雅黑" w:eastAsia="微软雅黑" w:hAnsi="微软雅黑" w:cs="宋体"/>
          <w:kern w:val="0"/>
          <w:sz w:val="24"/>
          <w:szCs w:val="24"/>
        </w:rPr>
        <w:t xml:space="preserve">月 vs. 7.2 </w:t>
      </w:r>
      <w:proofErr w:type="gramStart"/>
      <w:r w:rsidRPr="00734FB9">
        <w:rPr>
          <w:rFonts w:ascii="微软雅黑" w:eastAsia="微软雅黑" w:hAnsi="微软雅黑" w:cs="宋体"/>
          <w:kern w:val="0"/>
          <w:sz w:val="24"/>
          <w:szCs w:val="24"/>
        </w:rPr>
        <w:t>个</w:t>
      </w:r>
      <w:proofErr w:type="gramEnd"/>
      <w:r w:rsidRPr="00734FB9">
        <w:rPr>
          <w:rFonts w:ascii="微软雅黑" w:eastAsia="微软雅黑" w:hAnsi="微软雅黑" w:cs="宋体"/>
          <w:kern w:val="0"/>
          <w:sz w:val="24"/>
          <w:szCs w:val="24"/>
        </w:rPr>
        <w:t>月；风险比，0.42；P&lt;0.0001）（</w:t>
      </w:r>
      <w:hyperlink r:id="rId18" w:anchor="tI-ijmm-50-4-05184" w:history="1">
        <w:r w:rsidRPr="00734FB9">
          <w:rPr>
            <w:rFonts w:ascii="微软雅黑" w:eastAsia="微软雅黑" w:hAnsi="微软雅黑" w:cs="宋体"/>
            <w:kern w:val="0"/>
            <w:sz w:val="24"/>
            <w:szCs w:val="24"/>
            <w:u w:val="single"/>
          </w:rPr>
          <w:t>表 I</w:t>
        </w:r>
      </w:hyperlink>
      <w:r w:rsidRPr="00734FB9">
        <w:rPr>
          <w:rFonts w:ascii="微软雅黑" w:eastAsia="微软雅黑" w:hAnsi="微软雅黑" w:cs="宋体"/>
          <w:kern w:val="0"/>
          <w:sz w:val="24"/>
          <w:szCs w:val="24"/>
        </w:rPr>
        <w:t>）( </w:t>
      </w:r>
      <w:hyperlink r:id="rId19" w:anchor="b19-ijmm-50-4-05184" w:history="1">
        <w:r w:rsidRPr="00734FB9">
          <w:rPr>
            <w:rFonts w:ascii="微软雅黑" w:eastAsia="微软雅黑" w:hAnsi="微软雅黑" w:cs="宋体"/>
            <w:kern w:val="0"/>
            <w:sz w:val="24"/>
            <w:szCs w:val="24"/>
            <w:u w:val="single"/>
          </w:rPr>
          <w:t>19 )。此外，临床试验</w:t>
        </w:r>
      </w:hyperlink>
      <w:hyperlink r:id="rId20" w:tgtFrame="_blank" w:history="1">
        <w:r w:rsidRPr="00734FB9">
          <w:rPr>
            <w:rFonts w:ascii="微软雅黑" w:eastAsia="微软雅黑" w:hAnsi="微软雅黑" w:cs="宋体"/>
            <w:kern w:val="0"/>
            <w:sz w:val="24"/>
            <w:szCs w:val="24"/>
            <w:u w:val="single"/>
          </w:rPr>
          <w:t>NCT03481998</w:t>
        </w:r>
      </w:hyperlink>
      <w:r w:rsidRPr="00734FB9">
        <w:rPr>
          <w:rFonts w:ascii="微软雅黑" w:eastAsia="微软雅黑" w:hAnsi="微软雅黑" w:cs="宋体"/>
          <w:kern w:val="0"/>
          <w:sz w:val="24"/>
          <w:szCs w:val="24"/>
        </w:rPr>
        <w:t>也证实</w:t>
      </w:r>
      <w:proofErr w:type="gramStart"/>
      <w:r w:rsidRPr="00734FB9">
        <w:rPr>
          <w:rFonts w:ascii="微软雅黑" w:eastAsia="微软雅黑" w:hAnsi="微软雅黑" w:cs="宋体"/>
          <w:kern w:val="0"/>
          <w:sz w:val="24"/>
          <w:szCs w:val="24"/>
        </w:rPr>
        <w:t>了达匹西利</w:t>
      </w:r>
      <w:proofErr w:type="gramEnd"/>
      <w:r w:rsidRPr="00734FB9">
        <w:rPr>
          <w:rFonts w:ascii="微软雅黑" w:eastAsia="微软雅黑" w:hAnsi="微软雅黑" w:cs="宋体"/>
          <w:kern w:val="0"/>
          <w:sz w:val="24"/>
          <w:szCs w:val="24"/>
        </w:rPr>
        <w:t>（SHR6390）的安全性( </w:t>
      </w:r>
      <w:hyperlink r:id="rId21" w:anchor="b20-ijmm-50-4-05184" w:history="1">
        <w:r w:rsidRPr="00734FB9">
          <w:rPr>
            <w:rFonts w:ascii="微软雅黑" w:eastAsia="微软雅黑" w:hAnsi="微软雅黑" w:cs="宋体"/>
            <w:kern w:val="0"/>
            <w:sz w:val="24"/>
            <w:szCs w:val="24"/>
            <w:u w:val="single"/>
          </w:rPr>
          <w:t>20</w:t>
        </w:r>
      </w:hyperlink>
      <w:r w:rsidRPr="00734FB9">
        <w:rPr>
          <w:rFonts w:ascii="微软雅黑" w:eastAsia="微软雅黑" w:hAnsi="微软雅黑" w:cs="宋体"/>
          <w:kern w:val="0"/>
          <w:sz w:val="24"/>
          <w:szCs w:val="24"/>
        </w:rPr>
        <w:t> )。</w:t>
      </w:r>
    </w:p>
    <w:p w14:paraId="054662A4" w14:textId="77777777" w:rsidR="00734FB9" w:rsidRPr="00734FB9" w:rsidRDefault="00734FB9" w:rsidP="00734FB9">
      <w:pPr>
        <w:widowControl/>
        <w:spacing w:line="450" w:lineRule="atLeast"/>
        <w:outlineLvl w:val="2"/>
        <w:rPr>
          <w:rFonts w:ascii="微软雅黑" w:eastAsia="微软雅黑" w:hAnsi="微软雅黑" w:cs="宋体"/>
          <w:kern w:val="0"/>
          <w:sz w:val="30"/>
          <w:szCs w:val="30"/>
        </w:rPr>
      </w:pPr>
      <w:r w:rsidRPr="00734FB9">
        <w:rPr>
          <w:rFonts w:ascii="微软雅黑" w:eastAsia="微软雅黑" w:hAnsi="微软雅黑" w:cs="宋体"/>
          <w:kern w:val="0"/>
          <w:sz w:val="30"/>
          <w:szCs w:val="30"/>
        </w:rPr>
        <w:t>表</w:t>
      </w:r>
      <w:proofErr w:type="gramStart"/>
      <w:r w:rsidRPr="00734FB9">
        <w:rPr>
          <w:rFonts w:ascii="微软雅黑" w:eastAsia="微软雅黑" w:hAnsi="微软雅黑" w:cs="宋体"/>
          <w:kern w:val="0"/>
          <w:sz w:val="30"/>
          <w:szCs w:val="30"/>
        </w:rPr>
        <w:t>一</w:t>
      </w:r>
      <w:proofErr w:type="gramEnd"/>
      <w:r w:rsidRPr="00734FB9">
        <w:rPr>
          <w:rFonts w:ascii="微软雅黑" w:eastAsia="微软雅黑" w:hAnsi="微软雅黑" w:cs="宋体"/>
          <w:kern w:val="0"/>
          <w:sz w:val="30"/>
          <w:szCs w:val="30"/>
        </w:rPr>
        <w:t>。</w:t>
      </w:r>
    </w:p>
    <w:p w14:paraId="7842F01D"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CDK4/6 抑制剂在激素受体阳性/人表皮生长因子受体 2阴性晚期乳腺癌/转移性乳腺癌患者中的关键临床试验。</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97"/>
        <w:gridCol w:w="1755"/>
        <w:gridCol w:w="402"/>
        <w:gridCol w:w="1445"/>
        <w:gridCol w:w="642"/>
        <w:gridCol w:w="402"/>
        <w:gridCol w:w="1055"/>
        <w:gridCol w:w="798"/>
      </w:tblGrid>
      <w:tr w:rsidR="00EC5263" w:rsidRPr="00EC5263" w14:paraId="232980BC" w14:textId="77777777" w:rsidTr="00734FB9">
        <w:trPr>
          <w:tblHeader/>
          <w:tblCellSpacing w:w="15" w:type="dxa"/>
        </w:trPr>
        <w:tc>
          <w:tcPr>
            <w:tcW w:w="885" w:type="pct"/>
            <w:tcMar>
              <w:top w:w="56" w:type="dxa"/>
              <w:left w:w="56" w:type="dxa"/>
              <w:bottom w:w="56" w:type="dxa"/>
              <w:right w:w="56" w:type="dxa"/>
            </w:tcMar>
            <w:hideMark/>
          </w:tcPr>
          <w:p w14:paraId="3B026DC4"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国家癌症研究所</w:t>
            </w:r>
          </w:p>
        </w:tc>
        <w:tc>
          <w:tcPr>
            <w:tcW w:w="878" w:type="pct"/>
            <w:tcMar>
              <w:top w:w="56" w:type="dxa"/>
              <w:left w:w="56" w:type="dxa"/>
              <w:bottom w:w="56" w:type="dxa"/>
              <w:right w:w="56" w:type="dxa"/>
            </w:tcMar>
            <w:hideMark/>
          </w:tcPr>
          <w:p w14:paraId="6739BAF6"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研究名称</w:t>
            </w:r>
          </w:p>
        </w:tc>
        <w:tc>
          <w:tcPr>
            <w:tcW w:w="205" w:type="pct"/>
            <w:tcMar>
              <w:top w:w="56" w:type="dxa"/>
              <w:left w:w="56" w:type="dxa"/>
              <w:bottom w:w="56" w:type="dxa"/>
              <w:right w:w="56" w:type="dxa"/>
            </w:tcMar>
            <w:hideMark/>
          </w:tcPr>
          <w:p w14:paraId="2CC66980"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阶段</w:t>
            </w:r>
          </w:p>
        </w:tc>
        <w:tc>
          <w:tcPr>
            <w:tcW w:w="959" w:type="pct"/>
            <w:tcMar>
              <w:top w:w="56" w:type="dxa"/>
              <w:left w:w="56" w:type="dxa"/>
              <w:bottom w:w="56" w:type="dxa"/>
              <w:right w:w="56" w:type="dxa"/>
            </w:tcMar>
            <w:hideMark/>
          </w:tcPr>
          <w:p w14:paraId="52CA302F"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干涉</w:t>
            </w:r>
          </w:p>
        </w:tc>
        <w:tc>
          <w:tcPr>
            <w:tcW w:w="439" w:type="pct"/>
            <w:tcMar>
              <w:top w:w="56" w:type="dxa"/>
              <w:left w:w="56" w:type="dxa"/>
              <w:bottom w:w="56" w:type="dxa"/>
              <w:right w:w="56" w:type="dxa"/>
            </w:tcMar>
            <w:hideMark/>
          </w:tcPr>
          <w:p w14:paraId="31A76F5D"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很多</w:t>
            </w:r>
          </w:p>
        </w:tc>
        <w:tc>
          <w:tcPr>
            <w:tcW w:w="257" w:type="pct"/>
            <w:tcMar>
              <w:top w:w="56" w:type="dxa"/>
              <w:left w:w="56" w:type="dxa"/>
              <w:bottom w:w="56" w:type="dxa"/>
              <w:right w:w="56" w:type="dxa"/>
            </w:tcMar>
            <w:hideMark/>
          </w:tcPr>
          <w:p w14:paraId="7F681906"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更年期状态</w:t>
            </w:r>
          </w:p>
        </w:tc>
        <w:tc>
          <w:tcPr>
            <w:tcW w:w="769" w:type="pct"/>
            <w:tcMar>
              <w:top w:w="56" w:type="dxa"/>
              <w:left w:w="56" w:type="dxa"/>
              <w:bottom w:w="56" w:type="dxa"/>
              <w:right w:w="56" w:type="dxa"/>
            </w:tcMar>
            <w:hideMark/>
          </w:tcPr>
          <w:p w14:paraId="5794FE01" w14:textId="77777777" w:rsidR="00734FB9" w:rsidRPr="00734FB9" w:rsidRDefault="00734FB9" w:rsidP="00734FB9">
            <w:pPr>
              <w:widowControl/>
              <w:rPr>
                <w:rFonts w:ascii="微软雅黑" w:eastAsia="微软雅黑" w:hAnsi="微软雅黑" w:cs="宋体"/>
                <w:b/>
                <w:bCs/>
                <w:kern w:val="0"/>
                <w:sz w:val="24"/>
                <w:szCs w:val="24"/>
              </w:rPr>
            </w:pPr>
            <w:proofErr w:type="spellStart"/>
            <w:r w:rsidRPr="00734FB9">
              <w:rPr>
                <w:rFonts w:ascii="微软雅黑" w:eastAsia="微软雅黑" w:hAnsi="微软雅黑" w:cs="宋体"/>
                <w:b/>
                <w:bCs/>
                <w:kern w:val="0"/>
                <w:sz w:val="24"/>
                <w:szCs w:val="24"/>
              </w:rPr>
              <w:t>mPFS</w:t>
            </w:r>
            <w:proofErr w:type="spellEnd"/>
            <w:r w:rsidRPr="00734FB9">
              <w:rPr>
                <w:rFonts w:ascii="微软雅黑" w:eastAsia="微软雅黑" w:hAnsi="微软雅黑" w:cs="宋体"/>
                <w:b/>
                <w:bCs/>
                <w:kern w:val="0"/>
                <w:sz w:val="24"/>
                <w:szCs w:val="24"/>
              </w:rPr>
              <w:t xml:space="preserve"> 时间，月</w:t>
            </w:r>
          </w:p>
        </w:tc>
        <w:tc>
          <w:tcPr>
            <w:tcW w:w="473" w:type="pct"/>
            <w:tcMar>
              <w:top w:w="56" w:type="dxa"/>
              <w:left w:w="56" w:type="dxa"/>
              <w:bottom w:w="56" w:type="dxa"/>
              <w:right w:w="56" w:type="dxa"/>
            </w:tcMar>
            <w:hideMark/>
          </w:tcPr>
          <w:p w14:paraId="09E14BE7"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操作系统时间，月</w:t>
            </w:r>
          </w:p>
        </w:tc>
      </w:tr>
      <w:tr w:rsidR="00EC5263" w:rsidRPr="00EC5263" w14:paraId="3DCADEA2" w14:textId="77777777" w:rsidTr="00734FB9">
        <w:trPr>
          <w:tblCellSpacing w:w="15" w:type="dxa"/>
        </w:trPr>
        <w:tc>
          <w:tcPr>
            <w:tcW w:w="885" w:type="pct"/>
            <w:tcMar>
              <w:top w:w="56" w:type="dxa"/>
              <w:left w:w="56" w:type="dxa"/>
              <w:bottom w:w="56" w:type="dxa"/>
              <w:right w:w="56" w:type="dxa"/>
            </w:tcMar>
            <w:hideMark/>
          </w:tcPr>
          <w:p w14:paraId="0A3C7F65" w14:textId="77777777" w:rsidR="00734FB9" w:rsidRPr="00734FB9" w:rsidRDefault="00734FB9" w:rsidP="00734FB9">
            <w:pPr>
              <w:widowControl/>
              <w:rPr>
                <w:rFonts w:ascii="微软雅黑" w:eastAsia="微软雅黑" w:hAnsi="微软雅黑" w:cs="宋体"/>
                <w:kern w:val="0"/>
                <w:sz w:val="24"/>
                <w:szCs w:val="24"/>
              </w:rPr>
            </w:pPr>
            <w:hyperlink r:id="rId22" w:tgtFrame="_blank" w:history="1">
              <w:r w:rsidRPr="00734FB9">
                <w:rPr>
                  <w:rFonts w:ascii="微软雅黑" w:eastAsia="微软雅黑" w:hAnsi="微软雅黑" w:cs="宋体"/>
                  <w:kern w:val="0"/>
                  <w:sz w:val="24"/>
                  <w:szCs w:val="24"/>
                  <w:u w:val="single"/>
                </w:rPr>
                <w:t>NCT00721409</w:t>
              </w:r>
            </w:hyperlink>
          </w:p>
        </w:tc>
        <w:tc>
          <w:tcPr>
            <w:tcW w:w="878" w:type="pct"/>
            <w:tcMar>
              <w:top w:w="56" w:type="dxa"/>
              <w:left w:w="56" w:type="dxa"/>
              <w:bottom w:w="56" w:type="dxa"/>
              <w:right w:w="56" w:type="dxa"/>
            </w:tcMar>
            <w:hideMark/>
          </w:tcPr>
          <w:p w14:paraId="4DF00A0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帕洛玛-1</w:t>
            </w:r>
          </w:p>
        </w:tc>
        <w:tc>
          <w:tcPr>
            <w:tcW w:w="205" w:type="pct"/>
            <w:tcMar>
              <w:top w:w="56" w:type="dxa"/>
              <w:left w:w="56" w:type="dxa"/>
              <w:bottom w:w="56" w:type="dxa"/>
              <w:right w:w="56" w:type="dxa"/>
            </w:tcMar>
            <w:hideMark/>
          </w:tcPr>
          <w:p w14:paraId="0CBD7B33"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二</w:t>
            </w:r>
          </w:p>
        </w:tc>
        <w:tc>
          <w:tcPr>
            <w:tcW w:w="959" w:type="pct"/>
            <w:tcMar>
              <w:top w:w="56" w:type="dxa"/>
              <w:left w:w="56" w:type="dxa"/>
              <w:bottom w:w="56" w:type="dxa"/>
              <w:right w:w="56" w:type="dxa"/>
            </w:tcMar>
            <w:hideMark/>
          </w:tcPr>
          <w:p w14:paraId="5C2C0009"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让±Pal</w:t>
            </w:r>
          </w:p>
        </w:tc>
        <w:tc>
          <w:tcPr>
            <w:tcW w:w="439" w:type="pct"/>
            <w:tcMar>
              <w:top w:w="56" w:type="dxa"/>
              <w:left w:w="56" w:type="dxa"/>
              <w:bottom w:w="56" w:type="dxa"/>
              <w:right w:w="56" w:type="dxa"/>
            </w:tcMar>
            <w:hideMark/>
          </w:tcPr>
          <w:p w14:paraId="1F0A2F11"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第一</w:t>
            </w:r>
          </w:p>
        </w:tc>
        <w:tc>
          <w:tcPr>
            <w:tcW w:w="257" w:type="pct"/>
            <w:tcMar>
              <w:top w:w="56" w:type="dxa"/>
              <w:left w:w="56" w:type="dxa"/>
              <w:bottom w:w="56" w:type="dxa"/>
              <w:right w:w="56" w:type="dxa"/>
            </w:tcMar>
            <w:hideMark/>
          </w:tcPr>
          <w:p w14:paraId="64BC51D3"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邮政</w:t>
            </w:r>
          </w:p>
        </w:tc>
        <w:tc>
          <w:tcPr>
            <w:tcW w:w="769" w:type="pct"/>
            <w:tcMar>
              <w:top w:w="56" w:type="dxa"/>
              <w:left w:w="56" w:type="dxa"/>
              <w:bottom w:w="56" w:type="dxa"/>
              <w:right w:w="56" w:type="dxa"/>
            </w:tcMar>
            <w:hideMark/>
          </w:tcPr>
          <w:p w14:paraId="279C03C4"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20.2 对 10.2</w:t>
            </w:r>
          </w:p>
        </w:tc>
        <w:tc>
          <w:tcPr>
            <w:tcW w:w="473" w:type="pct"/>
            <w:tcMar>
              <w:top w:w="56" w:type="dxa"/>
              <w:left w:w="56" w:type="dxa"/>
              <w:bottom w:w="56" w:type="dxa"/>
              <w:right w:w="56" w:type="dxa"/>
            </w:tcMar>
            <w:hideMark/>
          </w:tcPr>
          <w:p w14:paraId="27493033"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37.5 对 34.5</w:t>
            </w:r>
          </w:p>
        </w:tc>
      </w:tr>
      <w:tr w:rsidR="00EC5263" w:rsidRPr="00EC5263" w14:paraId="5FF8CCBD" w14:textId="77777777" w:rsidTr="00734FB9">
        <w:trPr>
          <w:tblCellSpacing w:w="15" w:type="dxa"/>
        </w:trPr>
        <w:tc>
          <w:tcPr>
            <w:tcW w:w="885" w:type="pct"/>
            <w:tcMar>
              <w:top w:w="56" w:type="dxa"/>
              <w:left w:w="56" w:type="dxa"/>
              <w:bottom w:w="56" w:type="dxa"/>
              <w:right w:w="56" w:type="dxa"/>
            </w:tcMar>
            <w:hideMark/>
          </w:tcPr>
          <w:p w14:paraId="2ACBB8FB" w14:textId="77777777" w:rsidR="00734FB9" w:rsidRPr="00734FB9" w:rsidRDefault="00734FB9" w:rsidP="00734FB9">
            <w:pPr>
              <w:widowControl/>
              <w:rPr>
                <w:rFonts w:ascii="微软雅黑" w:eastAsia="微软雅黑" w:hAnsi="微软雅黑" w:cs="宋体"/>
                <w:kern w:val="0"/>
                <w:sz w:val="24"/>
                <w:szCs w:val="24"/>
              </w:rPr>
            </w:pPr>
            <w:hyperlink r:id="rId23" w:tgtFrame="_blank" w:history="1">
              <w:r w:rsidRPr="00734FB9">
                <w:rPr>
                  <w:rFonts w:ascii="微软雅黑" w:eastAsia="微软雅黑" w:hAnsi="微软雅黑" w:cs="宋体"/>
                  <w:kern w:val="0"/>
                  <w:sz w:val="24"/>
                  <w:szCs w:val="24"/>
                  <w:u w:val="single"/>
                </w:rPr>
                <w:t>NCT01740427</w:t>
              </w:r>
            </w:hyperlink>
          </w:p>
        </w:tc>
        <w:tc>
          <w:tcPr>
            <w:tcW w:w="878" w:type="pct"/>
            <w:tcMar>
              <w:top w:w="56" w:type="dxa"/>
              <w:left w:w="56" w:type="dxa"/>
              <w:bottom w:w="56" w:type="dxa"/>
              <w:right w:w="56" w:type="dxa"/>
            </w:tcMar>
            <w:hideMark/>
          </w:tcPr>
          <w:p w14:paraId="64843DA3"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PALOMA-2</w:t>
            </w:r>
          </w:p>
        </w:tc>
        <w:tc>
          <w:tcPr>
            <w:tcW w:w="205" w:type="pct"/>
            <w:tcMar>
              <w:top w:w="56" w:type="dxa"/>
              <w:left w:w="56" w:type="dxa"/>
              <w:bottom w:w="56" w:type="dxa"/>
              <w:right w:w="56" w:type="dxa"/>
            </w:tcMar>
            <w:hideMark/>
          </w:tcPr>
          <w:p w14:paraId="403D88DB"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959" w:type="pct"/>
            <w:tcMar>
              <w:top w:w="56" w:type="dxa"/>
              <w:left w:w="56" w:type="dxa"/>
              <w:bottom w:w="56" w:type="dxa"/>
              <w:right w:w="56" w:type="dxa"/>
            </w:tcMar>
            <w:hideMark/>
          </w:tcPr>
          <w:p w14:paraId="13B80FF4"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让±Pal</w:t>
            </w:r>
          </w:p>
        </w:tc>
        <w:tc>
          <w:tcPr>
            <w:tcW w:w="439" w:type="pct"/>
            <w:tcMar>
              <w:top w:w="56" w:type="dxa"/>
              <w:left w:w="56" w:type="dxa"/>
              <w:bottom w:w="56" w:type="dxa"/>
              <w:right w:w="56" w:type="dxa"/>
            </w:tcMar>
            <w:hideMark/>
          </w:tcPr>
          <w:p w14:paraId="1748C7AE"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第一</w:t>
            </w:r>
          </w:p>
        </w:tc>
        <w:tc>
          <w:tcPr>
            <w:tcW w:w="257" w:type="pct"/>
            <w:tcMar>
              <w:top w:w="56" w:type="dxa"/>
              <w:left w:w="56" w:type="dxa"/>
              <w:bottom w:w="56" w:type="dxa"/>
              <w:right w:w="56" w:type="dxa"/>
            </w:tcMar>
            <w:hideMark/>
          </w:tcPr>
          <w:p w14:paraId="5E210EFD"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邮政</w:t>
            </w:r>
          </w:p>
        </w:tc>
        <w:tc>
          <w:tcPr>
            <w:tcW w:w="769" w:type="pct"/>
            <w:tcMar>
              <w:top w:w="56" w:type="dxa"/>
              <w:left w:w="56" w:type="dxa"/>
              <w:bottom w:w="56" w:type="dxa"/>
              <w:right w:w="56" w:type="dxa"/>
            </w:tcMar>
            <w:hideMark/>
          </w:tcPr>
          <w:p w14:paraId="3548E344"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24.8 对 14.5</w:t>
            </w:r>
          </w:p>
        </w:tc>
        <w:tc>
          <w:tcPr>
            <w:tcW w:w="473" w:type="pct"/>
            <w:tcMar>
              <w:top w:w="56" w:type="dxa"/>
              <w:left w:w="56" w:type="dxa"/>
              <w:bottom w:w="56" w:type="dxa"/>
              <w:right w:w="56" w:type="dxa"/>
            </w:tcMar>
            <w:hideMark/>
          </w:tcPr>
          <w:p w14:paraId="48437BFF"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53.9 对 51.2</w:t>
            </w:r>
          </w:p>
        </w:tc>
      </w:tr>
      <w:tr w:rsidR="00EC5263" w:rsidRPr="00EC5263" w14:paraId="06FD8345" w14:textId="77777777" w:rsidTr="00734FB9">
        <w:trPr>
          <w:tblCellSpacing w:w="15" w:type="dxa"/>
        </w:trPr>
        <w:tc>
          <w:tcPr>
            <w:tcW w:w="885" w:type="pct"/>
            <w:tcMar>
              <w:top w:w="56" w:type="dxa"/>
              <w:left w:w="56" w:type="dxa"/>
              <w:bottom w:w="56" w:type="dxa"/>
              <w:right w:w="56" w:type="dxa"/>
            </w:tcMar>
            <w:hideMark/>
          </w:tcPr>
          <w:p w14:paraId="66D34619" w14:textId="77777777" w:rsidR="00734FB9" w:rsidRPr="00734FB9" w:rsidRDefault="00734FB9" w:rsidP="00734FB9">
            <w:pPr>
              <w:widowControl/>
              <w:rPr>
                <w:rFonts w:ascii="微软雅黑" w:eastAsia="微软雅黑" w:hAnsi="微软雅黑" w:cs="宋体"/>
                <w:kern w:val="0"/>
                <w:sz w:val="24"/>
                <w:szCs w:val="24"/>
              </w:rPr>
            </w:pPr>
            <w:hyperlink r:id="rId24" w:tgtFrame="_blank" w:history="1">
              <w:r w:rsidRPr="00734FB9">
                <w:rPr>
                  <w:rFonts w:ascii="微软雅黑" w:eastAsia="微软雅黑" w:hAnsi="微软雅黑" w:cs="宋体"/>
                  <w:kern w:val="0"/>
                  <w:sz w:val="24"/>
                  <w:szCs w:val="24"/>
                  <w:u w:val="single"/>
                </w:rPr>
                <w:t>NCT01942135</w:t>
              </w:r>
            </w:hyperlink>
          </w:p>
        </w:tc>
        <w:tc>
          <w:tcPr>
            <w:tcW w:w="878" w:type="pct"/>
            <w:tcMar>
              <w:top w:w="56" w:type="dxa"/>
              <w:left w:w="56" w:type="dxa"/>
              <w:bottom w:w="56" w:type="dxa"/>
              <w:right w:w="56" w:type="dxa"/>
            </w:tcMar>
            <w:hideMark/>
          </w:tcPr>
          <w:p w14:paraId="52352C4F"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PALOMA-3</w:t>
            </w:r>
          </w:p>
        </w:tc>
        <w:tc>
          <w:tcPr>
            <w:tcW w:w="205" w:type="pct"/>
            <w:tcMar>
              <w:top w:w="56" w:type="dxa"/>
              <w:left w:w="56" w:type="dxa"/>
              <w:bottom w:w="56" w:type="dxa"/>
              <w:right w:w="56" w:type="dxa"/>
            </w:tcMar>
            <w:hideMark/>
          </w:tcPr>
          <w:p w14:paraId="5CF1BCDF"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959" w:type="pct"/>
            <w:tcMar>
              <w:top w:w="56" w:type="dxa"/>
              <w:left w:w="56" w:type="dxa"/>
              <w:bottom w:w="56" w:type="dxa"/>
              <w:right w:w="56" w:type="dxa"/>
            </w:tcMar>
            <w:hideMark/>
          </w:tcPr>
          <w:p w14:paraId="40E79F9D"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满±帕尔</w:t>
            </w:r>
          </w:p>
        </w:tc>
        <w:tc>
          <w:tcPr>
            <w:tcW w:w="439" w:type="pct"/>
            <w:tcMar>
              <w:top w:w="56" w:type="dxa"/>
              <w:left w:w="56" w:type="dxa"/>
              <w:bottom w:w="56" w:type="dxa"/>
              <w:right w:w="56" w:type="dxa"/>
            </w:tcMar>
            <w:hideMark/>
          </w:tcPr>
          <w:p w14:paraId="10E31365"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第一 + 第二 + 之后</w:t>
            </w:r>
          </w:p>
        </w:tc>
        <w:tc>
          <w:tcPr>
            <w:tcW w:w="257" w:type="pct"/>
            <w:tcMar>
              <w:top w:w="56" w:type="dxa"/>
              <w:left w:w="56" w:type="dxa"/>
              <w:bottom w:w="56" w:type="dxa"/>
              <w:right w:w="56" w:type="dxa"/>
            </w:tcMar>
            <w:hideMark/>
          </w:tcPr>
          <w:p w14:paraId="726BB67F"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前后</w:t>
            </w:r>
          </w:p>
        </w:tc>
        <w:tc>
          <w:tcPr>
            <w:tcW w:w="769" w:type="pct"/>
            <w:tcMar>
              <w:top w:w="56" w:type="dxa"/>
              <w:left w:w="56" w:type="dxa"/>
              <w:bottom w:w="56" w:type="dxa"/>
              <w:right w:w="56" w:type="dxa"/>
            </w:tcMar>
            <w:hideMark/>
          </w:tcPr>
          <w:p w14:paraId="294517CE"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9.2 对比 3.8</w:t>
            </w:r>
          </w:p>
        </w:tc>
        <w:tc>
          <w:tcPr>
            <w:tcW w:w="473" w:type="pct"/>
            <w:tcMar>
              <w:top w:w="56" w:type="dxa"/>
              <w:left w:w="56" w:type="dxa"/>
              <w:bottom w:w="56" w:type="dxa"/>
              <w:right w:w="56" w:type="dxa"/>
            </w:tcMar>
            <w:hideMark/>
          </w:tcPr>
          <w:p w14:paraId="5AAF0271"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34.9 对 28.0</w:t>
            </w:r>
          </w:p>
        </w:tc>
      </w:tr>
      <w:tr w:rsidR="00EC5263" w:rsidRPr="00EC5263" w14:paraId="5FB87C40" w14:textId="77777777" w:rsidTr="00734FB9">
        <w:trPr>
          <w:tblCellSpacing w:w="15" w:type="dxa"/>
        </w:trPr>
        <w:tc>
          <w:tcPr>
            <w:tcW w:w="885" w:type="pct"/>
            <w:tcMar>
              <w:top w:w="56" w:type="dxa"/>
              <w:left w:w="56" w:type="dxa"/>
              <w:bottom w:w="56" w:type="dxa"/>
              <w:right w:w="56" w:type="dxa"/>
            </w:tcMar>
            <w:hideMark/>
          </w:tcPr>
          <w:p w14:paraId="46A195DA" w14:textId="77777777" w:rsidR="00734FB9" w:rsidRPr="00734FB9" w:rsidRDefault="00734FB9" w:rsidP="00734FB9">
            <w:pPr>
              <w:widowControl/>
              <w:rPr>
                <w:rFonts w:ascii="微软雅黑" w:eastAsia="微软雅黑" w:hAnsi="微软雅黑" w:cs="宋体"/>
                <w:kern w:val="0"/>
                <w:sz w:val="24"/>
                <w:szCs w:val="24"/>
              </w:rPr>
            </w:pPr>
            <w:hyperlink r:id="rId25" w:tgtFrame="_blank" w:history="1">
              <w:r w:rsidRPr="00734FB9">
                <w:rPr>
                  <w:rFonts w:ascii="微软雅黑" w:eastAsia="微软雅黑" w:hAnsi="微软雅黑" w:cs="宋体"/>
                  <w:kern w:val="0"/>
                  <w:sz w:val="24"/>
                  <w:szCs w:val="24"/>
                  <w:u w:val="single"/>
                </w:rPr>
                <w:t>NCT02297438</w:t>
              </w:r>
            </w:hyperlink>
          </w:p>
        </w:tc>
        <w:tc>
          <w:tcPr>
            <w:tcW w:w="878" w:type="pct"/>
            <w:tcMar>
              <w:top w:w="56" w:type="dxa"/>
              <w:left w:w="56" w:type="dxa"/>
              <w:bottom w:w="56" w:type="dxa"/>
              <w:right w:w="56" w:type="dxa"/>
            </w:tcMar>
            <w:hideMark/>
          </w:tcPr>
          <w:p w14:paraId="3FFEB758"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PALOMA-4</w:t>
            </w:r>
          </w:p>
        </w:tc>
        <w:tc>
          <w:tcPr>
            <w:tcW w:w="205" w:type="pct"/>
            <w:tcMar>
              <w:top w:w="56" w:type="dxa"/>
              <w:left w:w="56" w:type="dxa"/>
              <w:bottom w:w="56" w:type="dxa"/>
              <w:right w:w="56" w:type="dxa"/>
            </w:tcMar>
            <w:hideMark/>
          </w:tcPr>
          <w:p w14:paraId="29CC7B12"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959" w:type="pct"/>
            <w:tcMar>
              <w:top w:w="56" w:type="dxa"/>
              <w:left w:w="56" w:type="dxa"/>
              <w:bottom w:w="56" w:type="dxa"/>
              <w:right w:w="56" w:type="dxa"/>
            </w:tcMar>
            <w:hideMark/>
          </w:tcPr>
          <w:p w14:paraId="249A1BAF"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让±Pal</w:t>
            </w:r>
          </w:p>
        </w:tc>
        <w:tc>
          <w:tcPr>
            <w:tcW w:w="439" w:type="pct"/>
            <w:tcMar>
              <w:top w:w="56" w:type="dxa"/>
              <w:left w:w="56" w:type="dxa"/>
              <w:bottom w:w="56" w:type="dxa"/>
              <w:right w:w="56" w:type="dxa"/>
            </w:tcMar>
            <w:hideMark/>
          </w:tcPr>
          <w:p w14:paraId="4724E09D"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第一名（亚洲）</w:t>
            </w:r>
          </w:p>
        </w:tc>
        <w:tc>
          <w:tcPr>
            <w:tcW w:w="257" w:type="pct"/>
            <w:tcMar>
              <w:top w:w="56" w:type="dxa"/>
              <w:left w:w="56" w:type="dxa"/>
              <w:bottom w:w="56" w:type="dxa"/>
              <w:right w:w="56" w:type="dxa"/>
            </w:tcMar>
            <w:hideMark/>
          </w:tcPr>
          <w:p w14:paraId="6CC9D148"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邮政</w:t>
            </w:r>
          </w:p>
        </w:tc>
        <w:tc>
          <w:tcPr>
            <w:tcW w:w="769" w:type="pct"/>
            <w:tcMar>
              <w:top w:w="56" w:type="dxa"/>
              <w:left w:w="56" w:type="dxa"/>
              <w:bottom w:w="56" w:type="dxa"/>
              <w:right w:w="56" w:type="dxa"/>
            </w:tcMar>
            <w:hideMark/>
          </w:tcPr>
          <w:p w14:paraId="156EA6BA"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21.5 对 13.9</w:t>
            </w:r>
          </w:p>
        </w:tc>
        <w:tc>
          <w:tcPr>
            <w:tcW w:w="473" w:type="pct"/>
            <w:tcMar>
              <w:top w:w="56" w:type="dxa"/>
              <w:left w:w="56" w:type="dxa"/>
              <w:bottom w:w="56" w:type="dxa"/>
              <w:right w:w="56" w:type="dxa"/>
            </w:tcMar>
            <w:hideMark/>
          </w:tcPr>
          <w:p w14:paraId="50FEF2E1"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51.7 对 51.5</w:t>
            </w:r>
          </w:p>
        </w:tc>
      </w:tr>
      <w:tr w:rsidR="00EC5263" w:rsidRPr="00EC5263" w14:paraId="29A8BC39" w14:textId="77777777" w:rsidTr="00734FB9">
        <w:trPr>
          <w:tblCellSpacing w:w="15" w:type="dxa"/>
        </w:trPr>
        <w:tc>
          <w:tcPr>
            <w:tcW w:w="885" w:type="pct"/>
            <w:tcMar>
              <w:top w:w="56" w:type="dxa"/>
              <w:left w:w="56" w:type="dxa"/>
              <w:bottom w:w="56" w:type="dxa"/>
              <w:right w:w="56" w:type="dxa"/>
            </w:tcMar>
            <w:hideMark/>
          </w:tcPr>
          <w:p w14:paraId="43838D46" w14:textId="77777777" w:rsidR="00734FB9" w:rsidRPr="00734FB9" w:rsidRDefault="00734FB9" w:rsidP="00734FB9">
            <w:pPr>
              <w:widowControl/>
              <w:rPr>
                <w:rFonts w:ascii="微软雅黑" w:eastAsia="微软雅黑" w:hAnsi="微软雅黑" w:cs="宋体"/>
                <w:kern w:val="0"/>
                <w:sz w:val="24"/>
                <w:szCs w:val="24"/>
              </w:rPr>
            </w:pPr>
            <w:hyperlink r:id="rId26" w:tgtFrame="_blank" w:history="1">
              <w:r w:rsidRPr="00734FB9">
                <w:rPr>
                  <w:rFonts w:ascii="微软雅黑" w:eastAsia="微软雅黑" w:hAnsi="微软雅黑" w:cs="宋体"/>
                  <w:kern w:val="0"/>
                  <w:sz w:val="24"/>
                  <w:szCs w:val="24"/>
                  <w:u w:val="single"/>
                </w:rPr>
                <w:t>NCT01958021</w:t>
              </w:r>
            </w:hyperlink>
          </w:p>
        </w:tc>
        <w:tc>
          <w:tcPr>
            <w:tcW w:w="878" w:type="pct"/>
            <w:tcMar>
              <w:top w:w="56" w:type="dxa"/>
              <w:left w:w="56" w:type="dxa"/>
              <w:bottom w:w="56" w:type="dxa"/>
              <w:right w:w="56" w:type="dxa"/>
            </w:tcMar>
            <w:hideMark/>
          </w:tcPr>
          <w:p w14:paraId="28CF9118"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MONALEESA-2</w:t>
            </w:r>
          </w:p>
        </w:tc>
        <w:tc>
          <w:tcPr>
            <w:tcW w:w="205" w:type="pct"/>
            <w:tcMar>
              <w:top w:w="56" w:type="dxa"/>
              <w:left w:w="56" w:type="dxa"/>
              <w:bottom w:w="56" w:type="dxa"/>
              <w:right w:w="56" w:type="dxa"/>
            </w:tcMar>
            <w:hideMark/>
          </w:tcPr>
          <w:p w14:paraId="3DFE1751"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959" w:type="pct"/>
            <w:tcMar>
              <w:top w:w="56" w:type="dxa"/>
              <w:left w:w="56" w:type="dxa"/>
              <w:bottom w:w="56" w:type="dxa"/>
              <w:right w:w="56" w:type="dxa"/>
            </w:tcMar>
            <w:hideMark/>
          </w:tcPr>
          <w:p w14:paraId="57D150D9"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令 ± 核糖</w:t>
            </w:r>
          </w:p>
        </w:tc>
        <w:tc>
          <w:tcPr>
            <w:tcW w:w="439" w:type="pct"/>
            <w:tcMar>
              <w:top w:w="56" w:type="dxa"/>
              <w:left w:w="56" w:type="dxa"/>
              <w:bottom w:w="56" w:type="dxa"/>
              <w:right w:w="56" w:type="dxa"/>
            </w:tcMar>
            <w:hideMark/>
          </w:tcPr>
          <w:p w14:paraId="1417672E"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第一</w:t>
            </w:r>
          </w:p>
        </w:tc>
        <w:tc>
          <w:tcPr>
            <w:tcW w:w="257" w:type="pct"/>
            <w:tcMar>
              <w:top w:w="56" w:type="dxa"/>
              <w:left w:w="56" w:type="dxa"/>
              <w:bottom w:w="56" w:type="dxa"/>
              <w:right w:w="56" w:type="dxa"/>
            </w:tcMar>
            <w:hideMark/>
          </w:tcPr>
          <w:p w14:paraId="60DE1B16"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邮政</w:t>
            </w:r>
          </w:p>
        </w:tc>
        <w:tc>
          <w:tcPr>
            <w:tcW w:w="769" w:type="pct"/>
            <w:tcMar>
              <w:top w:w="56" w:type="dxa"/>
              <w:left w:w="56" w:type="dxa"/>
              <w:bottom w:w="56" w:type="dxa"/>
              <w:right w:w="56" w:type="dxa"/>
            </w:tcMar>
            <w:hideMark/>
          </w:tcPr>
          <w:p w14:paraId="43C210DB"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25.3 对 16.0</w:t>
            </w:r>
          </w:p>
        </w:tc>
        <w:tc>
          <w:tcPr>
            <w:tcW w:w="473" w:type="pct"/>
            <w:tcMar>
              <w:top w:w="56" w:type="dxa"/>
              <w:left w:w="56" w:type="dxa"/>
              <w:bottom w:w="56" w:type="dxa"/>
              <w:right w:w="56" w:type="dxa"/>
            </w:tcMar>
            <w:hideMark/>
          </w:tcPr>
          <w:p w14:paraId="070D70B0"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63.9 对 51.4</w:t>
            </w:r>
          </w:p>
        </w:tc>
      </w:tr>
      <w:tr w:rsidR="00EC5263" w:rsidRPr="00EC5263" w14:paraId="44746BAF" w14:textId="77777777" w:rsidTr="00734FB9">
        <w:trPr>
          <w:tblCellSpacing w:w="15" w:type="dxa"/>
        </w:trPr>
        <w:tc>
          <w:tcPr>
            <w:tcW w:w="885" w:type="pct"/>
            <w:tcMar>
              <w:top w:w="56" w:type="dxa"/>
              <w:left w:w="56" w:type="dxa"/>
              <w:bottom w:w="56" w:type="dxa"/>
              <w:right w:w="56" w:type="dxa"/>
            </w:tcMar>
            <w:hideMark/>
          </w:tcPr>
          <w:p w14:paraId="49499798" w14:textId="77777777" w:rsidR="00734FB9" w:rsidRPr="00734FB9" w:rsidRDefault="00734FB9" w:rsidP="00734FB9">
            <w:pPr>
              <w:widowControl/>
              <w:rPr>
                <w:rFonts w:ascii="微软雅黑" w:eastAsia="微软雅黑" w:hAnsi="微软雅黑" w:cs="宋体"/>
                <w:kern w:val="0"/>
                <w:sz w:val="24"/>
                <w:szCs w:val="24"/>
              </w:rPr>
            </w:pPr>
            <w:hyperlink r:id="rId27" w:tgtFrame="_blank" w:history="1">
              <w:r w:rsidRPr="00734FB9">
                <w:rPr>
                  <w:rFonts w:ascii="微软雅黑" w:eastAsia="微软雅黑" w:hAnsi="微软雅黑" w:cs="宋体"/>
                  <w:kern w:val="0"/>
                  <w:sz w:val="24"/>
                  <w:szCs w:val="24"/>
                  <w:u w:val="single"/>
                </w:rPr>
                <w:t>NCT02422615</w:t>
              </w:r>
            </w:hyperlink>
          </w:p>
        </w:tc>
        <w:tc>
          <w:tcPr>
            <w:tcW w:w="878" w:type="pct"/>
            <w:tcMar>
              <w:top w:w="56" w:type="dxa"/>
              <w:left w:w="56" w:type="dxa"/>
              <w:bottom w:w="56" w:type="dxa"/>
              <w:right w:w="56" w:type="dxa"/>
            </w:tcMar>
            <w:hideMark/>
          </w:tcPr>
          <w:p w14:paraId="27498799"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MONALEESA-3</w:t>
            </w:r>
          </w:p>
        </w:tc>
        <w:tc>
          <w:tcPr>
            <w:tcW w:w="205" w:type="pct"/>
            <w:tcMar>
              <w:top w:w="56" w:type="dxa"/>
              <w:left w:w="56" w:type="dxa"/>
              <w:bottom w:w="56" w:type="dxa"/>
              <w:right w:w="56" w:type="dxa"/>
            </w:tcMar>
            <w:hideMark/>
          </w:tcPr>
          <w:p w14:paraId="4AE3C934"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959" w:type="pct"/>
            <w:tcMar>
              <w:top w:w="56" w:type="dxa"/>
              <w:left w:w="56" w:type="dxa"/>
              <w:bottom w:w="56" w:type="dxa"/>
              <w:right w:w="56" w:type="dxa"/>
            </w:tcMar>
            <w:hideMark/>
          </w:tcPr>
          <w:p w14:paraId="1FAABAD1"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满±核糖</w:t>
            </w:r>
          </w:p>
        </w:tc>
        <w:tc>
          <w:tcPr>
            <w:tcW w:w="439" w:type="pct"/>
            <w:tcMar>
              <w:top w:w="56" w:type="dxa"/>
              <w:left w:w="56" w:type="dxa"/>
              <w:bottom w:w="56" w:type="dxa"/>
              <w:right w:w="56" w:type="dxa"/>
            </w:tcMar>
            <w:hideMark/>
          </w:tcPr>
          <w:p w14:paraId="73CD9F1E"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第一名 + 第二名</w:t>
            </w:r>
          </w:p>
        </w:tc>
        <w:tc>
          <w:tcPr>
            <w:tcW w:w="257" w:type="pct"/>
            <w:tcMar>
              <w:top w:w="56" w:type="dxa"/>
              <w:left w:w="56" w:type="dxa"/>
              <w:bottom w:w="56" w:type="dxa"/>
              <w:right w:w="56" w:type="dxa"/>
            </w:tcMar>
            <w:hideMark/>
          </w:tcPr>
          <w:p w14:paraId="325E2EC5"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邮政</w:t>
            </w:r>
          </w:p>
        </w:tc>
        <w:tc>
          <w:tcPr>
            <w:tcW w:w="769" w:type="pct"/>
            <w:tcMar>
              <w:top w:w="56" w:type="dxa"/>
              <w:left w:w="56" w:type="dxa"/>
              <w:bottom w:w="56" w:type="dxa"/>
              <w:right w:w="56" w:type="dxa"/>
            </w:tcMar>
            <w:hideMark/>
          </w:tcPr>
          <w:p w14:paraId="6235128E"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20.5 对 12.8</w:t>
            </w:r>
          </w:p>
        </w:tc>
        <w:tc>
          <w:tcPr>
            <w:tcW w:w="473" w:type="pct"/>
            <w:tcMar>
              <w:top w:w="56" w:type="dxa"/>
              <w:left w:w="56" w:type="dxa"/>
              <w:bottom w:w="56" w:type="dxa"/>
              <w:right w:w="56" w:type="dxa"/>
            </w:tcMar>
            <w:hideMark/>
          </w:tcPr>
          <w:p w14:paraId="2915CD5F"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53.7 对 41.5</w:t>
            </w:r>
          </w:p>
        </w:tc>
      </w:tr>
      <w:tr w:rsidR="00EC5263" w:rsidRPr="00EC5263" w14:paraId="622C34E8" w14:textId="77777777" w:rsidTr="00734FB9">
        <w:trPr>
          <w:tblCellSpacing w:w="15" w:type="dxa"/>
        </w:trPr>
        <w:tc>
          <w:tcPr>
            <w:tcW w:w="885" w:type="pct"/>
            <w:tcMar>
              <w:top w:w="56" w:type="dxa"/>
              <w:left w:w="56" w:type="dxa"/>
              <w:bottom w:w="56" w:type="dxa"/>
              <w:right w:w="56" w:type="dxa"/>
            </w:tcMar>
            <w:hideMark/>
          </w:tcPr>
          <w:p w14:paraId="4153FEED" w14:textId="77777777" w:rsidR="00734FB9" w:rsidRPr="00734FB9" w:rsidRDefault="00734FB9" w:rsidP="00734FB9">
            <w:pPr>
              <w:widowControl/>
              <w:rPr>
                <w:rFonts w:ascii="微软雅黑" w:eastAsia="微软雅黑" w:hAnsi="微软雅黑" w:cs="宋体"/>
                <w:kern w:val="0"/>
                <w:sz w:val="24"/>
                <w:szCs w:val="24"/>
              </w:rPr>
            </w:pPr>
            <w:hyperlink r:id="rId28" w:tgtFrame="_blank" w:history="1">
              <w:r w:rsidRPr="00734FB9">
                <w:rPr>
                  <w:rFonts w:ascii="微软雅黑" w:eastAsia="微软雅黑" w:hAnsi="微软雅黑" w:cs="宋体"/>
                  <w:kern w:val="0"/>
                  <w:sz w:val="24"/>
                  <w:szCs w:val="24"/>
                  <w:u w:val="single"/>
                </w:rPr>
                <w:t>NCT02278120</w:t>
              </w:r>
            </w:hyperlink>
          </w:p>
        </w:tc>
        <w:tc>
          <w:tcPr>
            <w:tcW w:w="878" w:type="pct"/>
            <w:tcMar>
              <w:top w:w="56" w:type="dxa"/>
              <w:left w:w="56" w:type="dxa"/>
              <w:bottom w:w="56" w:type="dxa"/>
              <w:right w:w="56" w:type="dxa"/>
            </w:tcMar>
            <w:hideMark/>
          </w:tcPr>
          <w:p w14:paraId="4E67A895"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MONALEESA-7</w:t>
            </w:r>
          </w:p>
        </w:tc>
        <w:tc>
          <w:tcPr>
            <w:tcW w:w="205" w:type="pct"/>
            <w:tcMar>
              <w:top w:w="56" w:type="dxa"/>
              <w:left w:w="56" w:type="dxa"/>
              <w:bottom w:w="56" w:type="dxa"/>
              <w:right w:w="56" w:type="dxa"/>
            </w:tcMar>
            <w:hideMark/>
          </w:tcPr>
          <w:p w14:paraId="79BB37D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959" w:type="pct"/>
            <w:tcMar>
              <w:top w:w="56" w:type="dxa"/>
              <w:left w:w="56" w:type="dxa"/>
              <w:bottom w:w="56" w:type="dxa"/>
              <w:right w:w="56" w:type="dxa"/>
            </w:tcMar>
            <w:hideMark/>
          </w:tcPr>
          <w:p w14:paraId="1E5A1989"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TAM/NSAI ± 核糖体</w:t>
            </w:r>
          </w:p>
        </w:tc>
        <w:tc>
          <w:tcPr>
            <w:tcW w:w="439" w:type="pct"/>
            <w:tcMar>
              <w:top w:w="56" w:type="dxa"/>
              <w:left w:w="56" w:type="dxa"/>
              <w:bottom w:w="56" w:type="dxa"/>
              <w:right w:w="56" w:type="dxa"/>
            </w:tcMar>
            <w:hideMark/>
          </w:tcPr>
          <w:p w14:paraId="01925BF0"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第一名 + 第二名</w:t>
            </w:r>
          </w:p>
        </w:tc>
        <w:tc>
          <w:tcPr>
            <w:tcW w:w="257" w:type="pct"/>
            <w:tcMar>
              <w:top w:w="56" w:type="dxa"/>
              <w:left w:w="56" w:type="dxa"/>
              <w:bottom w:w="56" w:type="dxa"/>
              <w:right w:w="56" w:type="dxa"/>
            </w:tcMar>
            <w:hideMark/>
          </w:tcPr>
          <w:p w14:paraId="66DDBE62"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预</w:t>
            </w:r>
          </w:p>
        </w:tc>
        <w:tc>
          <w:tcPr>
            <w:tcW w:w="769" w:type="pct"/>
            <w:tcMar>
              <w:top w:w="56" w:type="dxa"/>
              <w:left w:w="56" w:type="dxa"/>
              <w:bottom w:w="56" w:type="dxa"/>
              <w:right w:w="56" w:type="dxa"/>
            </w:tcMar>
            <w:hideMark/>
          </w:tcPr>
          <w:p w14:paraId="63DD9848"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23.8 对 13.0</w:t>
            </w:r>
          </w:p>
        </w:tc>
        <w:tc>
          <w:tcPr>
            <w:tcW w:w="473" w:type="pct"/>
            <w:tcMar>
              <w:top w:w="56" w:type="dxa"/>
              <w:left w:w="56" w:type="dxa"/>
              <w:bottom w:w="56" w:type="dxa"/>
              <w:right w:w="56" w:type="dxa"/>
            </w:tcMar>
            <w:hideMark/>
          </w:tcPr>
          <w:p w14:paraId="4727EFED"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NR 对比 40.9</w:t>
            </w:r>
          </w:p>
        </w:tc>
      </w:tr>
      <w:tr w:rsidR="00EC5263" w:rsidRPr="00EC5263" w14:paraId="05920F10" w14:textId="77777777" w:rsidTr="00734FB9">
        <w:trPr>
          <w:tblCellSpacing w:w="15" w:type="dxa"/>
        </w:trPr>
        <w:tc>
          <w:tcPr>
            <w:tcW w:w="885" w:type="pct"/>
            <w:tcMar>
              <w:top w:w="56" w:type="dxa"/>
              <w:left w:w="56" w:type="dxa"/>
              <w:bottom w:w="56" w:type="dxa"/>
              <w:right w:w="56" w:type="dxa"/>
            </w:tcMar>
            <w:hideMark/>
          </w:tcPr>
          <w:p w14:paraId="54F69201" w14:textId="77777777" w:rsidR="00734FB9" w:rsidRPr="00734FB9" w:rsidRDefault="00734FB9" w:rsidP="00734FB9">
            <w:pPr>
              <w:widowControl/>
              <w:rPr>
                <w:rFonts w:ascii="微软雅黑" w:eastAsia="微软雅黑" w:hAnsi="微软雅黑" w:cs="宋体"/>
                <w:kern w:val="0"/>
                <w:sz w:val="24"/>
                <w:szCs w:val="24"/>
              </w:rPr>
            </w:pPr>
            <w:hyperlink r:id="rId29" w:tgtFrame="_blank" w:history="1">
              <w:r w:rsidRPr="00734FB9">
                <w:rPr>
                  <w:rFonts w:ascii="微软雅黑" w:eastAsia="微软雅黑" w:hAnsi="微软雅黑" w:cs="宋体"/>
                  <w:kern w:val="0"/>
                  <w:sz w:val="24"/>
                  <w:szCs w:val="24"/>
                  <w:u w:val="single"/>
                </w:rPr>
                <w:t>NCT02102490</w:t>
              </w:r>
            </w:hyperlink>
          </w:p>
        </w:tc>
        <w:tc>
          <w:tcPr>
            <w:tcW w:w="878" w:type="pct"/>
            <w:tcMar>
              <w:top w:w="56" w:type="dxa"/>
              <w:left w:w="56" w:type="dxa"/>
              <w:bottom w:w="56" w:type="dxa"/>
              <w:right w:w="56" w:type="dxa"/>
            </w:tcMar>
            <w:hideMark/>
          </w:tcPr>
          <w:p w14:paraId="124C1585"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君主-1</w:t>
            </w:r>
          </w:p>
        </w:tc>
        <w:tc>
          <w:tcPr>
            <w:tcW w:w="205" w:type="pct"/>
            <w:tcMar>
              <w:top w:w="56" w:type="dxa"/>
              <w:left w:w="56" w:type="dxa"/>
              <w:bottom w:w="56" w:type="dxa"/>
              <w:right w:w="56" w:type="dxa"/>
            </w:tcMar>
            <w:hideMark/>
          </w:tcPr>
          <w:p w14:paraId="0BE24B0A"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二</w:t>
            </w:r>
          </w:p>
        </w:tc>
        <w:tc>
          <w:tcPr>
            <w:tcW w:w="959" w:type="pct"/>
            <w:tcMar>
              <w:top w:w="56" w:type="dxa"/>
              <w:left w:w="56" w:type="dxa"/>
              <w:bottom w:w="56" w:type="dxa"/>
              <w:right w:w="56" w:type="dxa"/>
            </w:tcMar>
            <w:hideMark/>
          </w:tcPr>
          <w:p w14:paraId="03656932"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阿贝玛</w:t>
            </w:r>
          </w:p>
        </w:tc>
        <w:tc>
          <w:tcPr>
            <w:tcW w:w="439" w:type="pct"/>
            <w:tcMar>
              <w:top w:w="56" w:type="dxa"/>
              <w:left w:w="56" w:type="dxa"/>
              <w:bottom w:w="56" w:type="dxa"/>
              <w:right w:w="56" w:type="dxa"/>
            </w:tcMar>
            <w:hideMark/>
          </w:tcPr>
          <w:p w14:paraId="64815D3B"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第二</w:t>
            </w:r>
          </w:p>
        </w:tc>
        <w:tc>
          <w:tcPr>
            <w:tcW w:w="257" w:type="pct"/>
            <w:tcMar>
              <w:top w:w="56" w:type="dxa"/>
              <w:left w:w="56" w:type="dxa"/>
              <w:bottom w:w="56" w:type="dxa"/>
              <w:right w:w="56" w:type="dxa"/>
            </w:tcMar>
            <w:hideMark/>
          </w:tcPr>
          <w:p w14:paraId="51E297DE"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前后</w:t>
            </w:r>
          </w:p>
        </w:tc>
        <w:tc>
          <w:tcPr>
            <w:tcW w:w="769" w:type="pct"/>
            <w:tcMar>
              <w:top w:w="56" w:type="dxa"/>
              <w:left w:w="56" w:type="dxa"/>
              <w:bottom w:w="56" w:type="dxa"/>
              <w:right w:w="56" w:type="dxa"/>
            </w:tcMar>
            <w:hideMark/>
          </w:tcPr>
          <w:p w14:paraId="7CE90E04"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6.0</w:t>
            </w:r>
          </w:p>
        </w:tc>
        <w:tc>
          <w:tcPr>
            <w:tcW w:w="473" w:type="pct"/>
            <w:tcMar>
              <w:top w:w="56" w:type="dxa"/>
              <w:left w:w="56" w:type="dxa"/>
              <w:bottom w:w="56" w:type="dxa"/>
              <w:right w:w="56" w:type="dxa"/>
            </w:tcMar>
            <w:hideMark/>
          </w:tcPr>
          <w:p w14:paraId="13CB9EA6"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22.32</w:t>
            </w:r>
          </w:p>
        </w:tc>
      </w:tr>
      <w:tr w:rsidR="00EC5263" w:rsidRPr="00EC5263" w14:paraId="7422F957" w14:textId="77777777" w:rsidTr="00734FB9">
        <w:trPr>
          <w:tblCellSpacing w:w="15" w:type="dxa"/>
        </w:trPr>
        <w:tc>
          <w:tcPr>
            <w:tcW w:w="885" w:type="pct"/>
            <w:tcMar>
              <w:top w:w="56" w:type="dxa"/>
              <w:left w:w="56" w:type="dxa"/>
              <w:bottom w:w="56" w:type="dxa"/>
              <w:right w:w="56" w:type="dxa"/>
            </w:tcMar>
            <w:hideMark/>
          </w:tcPr>
          <w:p w14:paraId="4F589A99" w14:textId="77777777" w:rsidR="00734FB9" w:rsidRPr="00734FB9" w:rsidRDefault="00734FB9" w:rsidP="00734FB9">
            <w:pPr>
              <w:widowControl/>
              <w:rPr>
                <w:rFonts w:ascii="微软雅黑" w:eastAsia="微软雅黑" w:hAnsi="微软雅黑" w:cs="宋体"/>
                <w:kern w:val="0"/>
                <w:sz w:val="24"/>
                <w:szCs w:val="24"/>
              </w:rPr>
            </w:pPr>
            <w:hyperlink r:id="rId30" w:tgtFrame="_blank" w:history="1">
              <w:r w:rsidRPr="00734FB9">
                <w:rPr>
                  <w:rFonts w:ascii="微软雅黑" w:eastAsia="微软雅黑" w:hAnsi="微软雅黑" w:cs="宋体"/>
                  <w:kern w:val="0"/>
                  <w:sz w:val="24"/>
                  <w:szCs w:val="24"/>
                  <w:u w:val="single"/>
                </w:rPr>
                <w:t>NCT02107703</w:t>
              </w:r>
            </w:hyperlink>
          </w:p>
        </w:tc>
        <w:tc>
          <w:tcPr>
            <w:tcW w:w="878" w:type="pct"/>
            <w:tcMar>
              <w:top w:w="56" w:type="dxa"/>
              <w:left w:w="56" w:type="dxa"/>
              <w:bottom w:w="56" w:type="dxa"/>
              <w:right w:w="56" w:type="dxa"/>
            </w:tcMar>
            <w:hideMark/>
          </w:tcPr>
          <w:p w14:paraId="152FCBDB"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君主-2</w:t>
            </w:r>
          </w:p>
        </w:tc>
        <w:tc>
          <w:tcPr>
            <w:tcW w:w="205" w:type="pct"/>
            <w:tcMar>
              <w:top w:w="56" w:type="dxa"/>
              <w:left w:w="56" w:type="dxa"/>
              <w:bottom w:w="56" w:type="dxa"/>
              <w:right w:w="56" w:type="dxa"/>
            </w:tcMar>
            <w:hideMark/>
          </w:tcPr>
          <w:p w14:paraId="65AC561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959" w:type="pct"/>
            <w:tcMar>
              <w:top w:w="56" w:type="dxa"/>
              <w:left w:w="56" w:type="dxa"/>
              <w:bottom w:w="56" w:type="dxa"/>
              <w:right w:w="56" w:type="dxa"/>
            </w:tcMar>
            <w:hideMark/>
          </w:tcPr>
          <w:p w14:paraId="1F6F9FC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满±</w:t>
            </w:r>
            <w:proofErr w:type="gramStart"/>
            <w:r w:rsidRPr="00734FB9">
              <w:rPr>
                <w:rFonts w:ascii="微软雅黑" w:eastAsia="微软雅黑" w:hAnsi="微软雅黑" w:cs="宋体"/>
                <w:kern w:val="0"/>
                <w:sz w:val="24"/>
                <w:szCs w:val="24"/>
              </w:rPr>
              <w:t>阿贝马</w:t>
            </w:r>
            <w:proofErr w:type="gramEnd"/>
          </w:p>
        </w:tc>
        <w:tc>
          <w:tcPr>
            <w:tcW w:w="439" w:type="pct"/>
            <w:tcMar>
              <w:top w:w="56" w:type="dxa"/>
              <w:left w:w="56" w:type="dxa"/>
              <w:bottom w:w="56" w:type="dxa"/>
              <w:right w:w="56" w:type="dxa"/>
            </w:tcMar>
            <w:hideMark/>
          </w:tcPr>
          <w:p w14:paraId="18514C98"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 xml:space="preserve">第一名 + </w:t>
            </w:r>
            <w:r w:rsidRPr="00734FB9">
              <w:rPr>
                <w:rFonts w:ascii="微软雅黑" w:eastAsia="微软雅黑" w:hAnsi="微软雅黑" w:cs="宋体"/>
                <w:kern w:val="0"/>
                <w:sz w:val="24"/>
                <w:szCs w:val="24"/>
              </w:rPr>
              <w:lastRenderedPageBreak/>
              <w:t>第二名</w:t>
            </w:r>
          </w:p>
        </w:tc>
        <w:tc>
          <w:tcPr>
            <w:tcW w:w="257" w:type="pct"/>
            <w:tcMar>
              <w:top w:w="56" w:type="dxa"/>
              <w:left w:w="56" w:type="dxa"/>
              <w:bottom w:w="56" w:type="dxa"/>
              <w:right w:w="56" w:type="dxa"/>
            </w:tcMar>
            <w:hideMark/>
          </w:tcPr>
          <w:p w14:paraId="01F418A6"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lastRenderedPageBreak/>
              <w:t>前后</w:t>
            </w:r>
          </w:p>
        </w:tc>
        <w:tc>
          <w:tcPr>
            <w:tcW w:w="769" w:type="pct"/>
            <w:tcMar>
              <w:top w:w="56" w:type="dxa"/>
              <w:left w:w="56" w:type="dxa"/>
              <w:bottom w:w="56" w:type="dxa"/>
              <w:right w:w="56" w:type="dxa"/>
            </w:tcMar>
            <w:hideMark/>
          </w:tcPr>
          <w:p w14:paraId="0C6238FA"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16.4 对 9.3</w:t>
            </w:r>
          </w:p>
        </w:tc>
        <w:tc>
          <w:tcPr>
            <w:tcW w:w="473" w:type="pct"/>
            <w:tcMar>
              <w:top w:w="56" w:type="dxa"/>
              <w:left w:w="56" w:type="dxa"/>
              <w:bottom w:w="56" w:type="dxa"/>
              <w:right w:w="56" w:type="dxa"/>
            </w:tcMar>
            <w:hideMark/>
          </w:tcPr>
          <w:p w14:paraId="2F3089CB"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46.7 对 37.3</w:t>
            </w:r>
          </w:p>
        </w:tc>
      </w:tr>
      <w:tr w:rsidR="00EC5263" w:rsidRPr="00EC5263" w14:paraId="1F384148" w14:textId="77777777" w:rsidTr="00734FB9">
        <w:trPr>
          <w:tblCellSpacing w:w="15" w:type="dxa"/>
        </w:trPr>
        <w:tc>
          <w:tcPr>
            <w:tcW w:w="885" w:type="pct"/>
            <w:tcMar>
              <w:top w:w="56" w:type="dxa"/>
              <w:left w:w="56" w:type="dxa"/>
              <w:bottom w:w="56" w:type="dxa"/>
              <w:right w:w="56" w:type="dxa"/>
            </w:tcMar>
            <w:hideMark/>
          </w:tcPr>
          <w:p w14:paraId="7CC46FEE" w14:textId="77777777" w:rsidR="00734FB9" w:rsidRPr="00734FB9" w:rsidRDefault="00734FB9" w:rsidP="00734FB9">
            <w:pPr>
              <w:widowControl/>
              <w:rPr>
                <w:rFonts w:ascii="微软雅黑" w:eastAsia="微软雅黑" w:hAnsi="微软雅黑" w:cs="宋体"/>
                <w:kern w:val="0"/>
                <w:sz w:val="24"/>
                <w:szCs w:val="24"/>
              </w:rPr>
            </w:pPr>
            <w:hyperlink r:id="rId31" w:tgtFrame="_blank" w:history="1">
              <w:r w:rsidRPr="00734FB9">
                <w:rPr>
                  <w:rFonts w:ascii="微软雅黑" w:eastAsia="微软雅黑" w:hAnsi="微软雅黑" w:cs="宋体"/>
                  <w:kern w:val="0"/>
                  <w:sz w:val="24"/>
                  <w:szCs w:val="24"/>
                  <w:u w:val="single"/>
                </w:rPr>
                <w:t>NCT02246621</w:t>
              </w:r>
            </w:hyperlink>
          </w:p>
        </w:tc>
        <w:tc>
          <w:tcPr>
            <w:tcW w:w="878" w:type="pct"/>
            <w:tcMar>
              <w:top w:w="56" w:type="dxa"/>
              <w:left w:w="56" w:type="dxa"/>
              <w:bottom w:w="56" w:type="dxa"/>
              <w:right w:w="56" w:type="dxa"/>
            </w:tcMar>
            <w:hideMark/>
          </w:tcPr>
          <w:p w14:paraId="170706A8"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君主-3</w:t>
            </w:r>
          </w:p>
        </w:tc>
        <w:tc>
          <w:tcPr>
            <w:tcW w:w="205" w:type="pct"/>
            <w:tcMar>
              <w:top w:w="56" w:type="dxa"/>
              <w:left w:w="56" w:type="dxa"/>
              <w:bottom w:w="56" w:type="dxa"/>
              <w:right w:w="56" w:type="dxa"/>
            </w:tcMar>
            <w:hideMark/>
          </w:tcPr>
          <w:p w14:paraId="039724FD"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959" w:type="pct"/>
            <w:tcMar>
              <w:top w:w="56" w:type="dxa"/>
              <w:left w:w="56" w:type="dxa"/>
              <w:bottom w:w="56" w:type="dxa"/>
              <w:right w:w="56" w:type="dxa"/>
            </w:tcMar>
            <w:hideMark/>
          </w:tcPr>
          <w:p w14:paraId="5872BC19"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 xml:space="preserve">NSAI ± </w:t>
            </w:r>
            <w:proofErr w:type="spellStart"/>
            <w:r w:rsidRPr="00734FB9">
              <w:rPr>
                <w:rFonts w:ascii="微软雅黑" w:eastAsia="微软雅黑" w:hAnsi="微软雅黑" w:cs="宋体"/>
                <w:kern w:val="0"/>
                <w:sz w:val="24"/>
                <w:szCs w:val="24"/>
              </w:rPr>
              <w:t>Abema</w:t>
            </w:r>
            <w:proofErr w:type="spellEnd"/>
          </w:p>
        </w:tc>
        <w:tc>
          <w:tcPr>
            <w:tcW w:w="439" w:type="pct"/>
            <w:tcMar>
              <w:top w:w="56" w:type="dxa"/>
              <w:left w:w="56" w:type="dxa"/>
              <w:bottom w:w="56" w:type="dxa"/>
              <w:right w:w="56" w:type="dxa"/>
            </w:tcMar>
            <w:hideMark/>
          </w:tcPr>
          <w:p w14:paraId="44A70225"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第一</w:t>
            </w:r>
          </w:p>
        </w:tc>
        <w:tc>
          <w:tcPr>
            <w:tcW w:w="257" w:type="pct"/>
            <w:tcMar>
              <w:top w:w="56" w:type="dxa"/>
              <w:left w:w="56" w:type="dxa"/>
              <w:bottom w:w="56" w:type="dxa"/>
              <w:right w:w="56" w:type="dxa"/>
            </w:tcMar>
            <w:hideMark/>
          </w:tcPr>
          <w:p w14:paraId="560A10F8"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邮政</w:t>
            </w:r>
          </w:p>
        </w:tc>
        <w:tc>
          <w:tcPr>
            <w:tcW w:w="769" w:type="pct"/>
            <w:tcMar>
              <w:top w:w="56" w:type="dxa"/>
              <w:left w:w="56" w:type="dxa"/>
              <w:bottom w:w="56" w:type="dxa"/>
              <w:right w:w="56" w:type="dxa"/>
            </w:tcMar>
            <w:hideMark/>
          </w:tcPr>
          <w:p w14:paraId="5B39D78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28.18 对 14.76</w:t>
            </w:r>
          </w:p>
        </w:tc>
        <w:tc>
          <w:tcPr>
            <w:tcW w:w="473" w:type="pct"/>
            <w:tcMar>
              <w:top w:w="56" w:type="dxa"/>
              <w:left w:w="56" w:type="dxa"/>
              <w:bottom w:w="56" w:type="dxa"/>
              <w:right w:w="56" w:type="dxa"/>
            </w:tcMar>
            <w:hideMark/>
          </w:tcPr>
          <w:p w14:paraId="550E434A"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w:t>
            </w:r>
          </w:p>
        </w:tc>
      </w:tr>
      <w:tr w:rsidR="00EC5263" w:rsidRPr="00EC5263" w14:paraId="5B1E70D3" w14:textId="77777777" w:rsidTr="00734FB9">
        <w:trPr>
          <w:tblCellSpacing w:w="15" w:type="dxa"/>
        </w:trPr>
        <w:tc>
          <w:tcPr>
            <w:tcW w:w="885" w:type="pct"/>
            <w:tcMar>
              <w:top w:w="56" w:type="dxa"/>
              <w:left w:w="56" w:type="dxa"/>
              <w:bottom w:w="56" w:type="dxa"/>
              <w:right w:w="56" w:type="dxa"/>
            </w:tcMar>
            <w:hideMark/>
          </w:tcPr>
          <w:p w14:paraId="4C2D2100" w14:textId="77777777" w:rsidR="00734FB9" w:rsidRPr="00734FB9" w:rsidRDefault="00734FB9" w:rsidP="00734FB9">
            <w:pPr>
              <w:widowControl/>
              <w:rPr>
                <w:rFonts w:ascii="微软雅黑" w:eastAsia="微软雅黑" w:hAnsi="微软雅黑" w:cs="宋体"/>
                <w:kern w:val="0"/>
                <w:sz w:val="24"/>
                <w:szCs w:val="24"/>
              </w:rPr>
            </w:pPr>
            <w:hyperlink r:id="rId32" w:tgtFrame="_blank" w:history="1">
              <w:r w:rsidRPr="00734FB9">
                <w:rPr>
                  <w:rFonts w:ascii="微软雅黑" w:eastAsia="微软雅黑" w:hAnsi="微软雅黑" w:cs="宋体"/>
                  <w:kern w:val="0"/>
                  <w:sz w:val="24"/>
                  <w:szCs w:val="24"/>
                  <w:u w:val="single"/>
                </w:rPr>
                <w:t>NCT02763566</w:t>
              </w:r>
            </w:hyperlink>
          </w:p>
        </w:tc>
        <w:tc>
          <w:tcPr>
            <w:tcW w:w="878" w:type="pct"/>
            <w:tcMar>
              <w:top w:w="56" w:type="dxa"/>
              <w:left w:w="56" w:type="dxa"/>
              <w:bottom w:w="56" w:type="dxa"/>
              <w:right w:w="56" w:type="dxa"/>
            </w:tcMar>
            <w:hideMark/>
          </w:tcPr>
          <w:p w14:paraId="7A57DF8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君主加</w:t>
            </w:r>
          </w:p>
        </w:tc>
        <w:tc>
          <w:tcPr>
            <w:tcW w:w="205" w:type="pct"/>
            <w:tcMar>
              <w:top w:w="56" w:type="dxa"/>
              <w:left w:w="56" w:type="dxa"/>
              <w:bottom w:w="56" w:type="dxa"/>
              <w:right w:w="56" w:type="dxa"/>
            </w:tcMar>
            <w:hideMark/>
          </w:tcPr>
          <w:p w14:paraId="182738C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959" w:type="pct"/>
            <w:tcMar>
              <w:top w:w="56" w:type="dxa"/>
              <w:left w:w="56" w:type="dxa"/>
              <w:bottom w:w="56" w:type="dxa"/>
              <w:right w:w="56" w:type="dxa"/>
            </w:tcMar>
            <w:hideMark/>
          </w:tcPr>
          <w:p w14:paraId="33B9F226"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 xml:space="preserve">A 组：NSAI ± </w:t>
            </w:r>
            <w:proofErr w:type="spellStart"/>
            <w:r w:rsidRPr="00734FB9">
              <w:rPr>
                <w:rFonts w:ascii="微软雅黑" w:eastAsia="微软雅黑" w:hAnsi="微软雅黑" w:cs="宋体"/>
                <w:kern w:val="0"/>
                <w:sz w:val="24"/>
                <w:szCs w:val="24"/>
              </w:rPr>
              <w:t>Abema</w:t>
            </w:r>
            <w:proofErr w:type="spellEnd"/>
            <w:r w:rsidRPr="00734FB9">
              <w:rPr>
                <w:rFonts w:ascii="微软雅黑" w:eastAsia="微软雅黑" w:hAnsi="微软雅黑" w:cs="宋体"/>
                <w:kern w:val="0"/>
                <w:sz w:val="24"/>
                <w:szCs w:val="24"/>
              </w:rPr>
              <w:t xml:space="preserve">； B 组：Ful ± </w:t>
            </w:r>
            <w:proofErr w:type="spellStart"/>
            <w:r w:rsidRPr="00734FB9">
              <w:rPr>
                <w:rFonts w:ascii="微软雅黑" w:eastAsia="微软雅黑" w:hAnsi="微软雅黑" w:cs="宋体"/>
                <w:kern w:val="0"/>
                <w:sz w:val="24"/>
                <w:szCs w:val="24"/>
              </w:rPr>
              <w:t>Abema</w:t>
            </w:r>
            <w:proofErr w:type="spellEnd"/>
          </w:p>
        </w:tc>
        <w:tc>
          <w:tcPr>
            <w:tcW w:w="439" w:type="pct"/>
            <w:tcMar>
              <w:top w:w="56" w:type="dxa"/>
              <w:left w:w="56" w:type="dxa"/>
              <w:bottom w:w="56" w:type="dxa"/>
              <w:right w:w="56" w:type="dxa"/>
            </w:tcMar>
            <w:hideMark/>
          </w:tcPr>
          <w:p w14:paraId="7F8B7D0F"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≥1（中文）</w:t>
            </w:r>
          </w:p>
        </w:tc>
        <w:tc>
          <w:tcPr>
            <w:tcW w:w="257" w:type="pct"/>
            <w:tcMar>
              <w:top w:w="56" w:type="dxa"/>
              <w:left w:w="56" w:type="dxa"/>
              <w:bottom w:w="56" w:type="dxa"/>
              <w:right w:w="56" w:type="dxa"/>
            </w:tcMar>
            <w:hideMark/>
          </w:tcPr>
          <w:p w14:paraId="25499FD0"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邮政</w:t>
            </w:r>
          </w:p>
        </w:tc>
        <w:tc>
          <w:tcPr>
            <w:tcW w:w="769" w:type="pct"/>
            <w:tcMar>
              <w:top w:w="56" w:type="dxa"/>
              <w:left w:w="56" w:type="dxa"/>
              <w:bottom w:w="56" w:type="dxa"/>
              <w:right w:w="56" w:type="dxa"/>
            </w:tcMar>
            <w:hideMark/>
          </w:tcPr>
          <w:p w14:paraId="1484AFAE"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A：NR 对阵 14.73；B：11.47 对阵 5.59</w:t>
            </w:r>
          </w:p>
        </w:tc>
        <w:tc>
          <w:tcPr>
            <w:tcW w:w="473" w:type="pct"/>
            <w:tcMar>
              <w:top w:w="56" w:type="dxa"/>
              <w:left w:w="56" w:type="dxa"/>
              <w:bottom w:w="56" w:type="dxa"/>
              <w:right w:w="56" w:type="dxa"/>
            </w:tcMar>
            <w:hideMark/>
          </w:tcPr>
          <w:p w14:paraId="415453C5"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w:t>
            </w:r>
          </w:p>
        </w:tc>
      </w:tr>
      <w:tr w:rsidR="00EC5263" w:rsidRPr="00EC5263" w14:paraId="1F4C166F" w14:textId="77777777" w:rsidTr="00734FB9">
        <w:trPr>
          <w:tblCellSpacing w:w="15" w:type="dxa"/>
        </w:trPr>
        <w:tc>
          <w:tcPr>
            <w:tcW w:w="885" w:type="pct"/>
            <w:tcMar>
              <w:top w:w="56" w:type="dxa"/>
              <w:left w:w="56" w:type="dxa"/>
              <w:bottom w:w="56" w:type="dxa"/>
              <w:right w:w="56" w:type="dxa"/>
            </w:tcMar>
            <w:hideMark/>
          </w:tcPr>
          <w:p w14:paraId="39DB3AB3" w14:textId="77777777" w:rsidR="00734FB9" w:rsidRPr="00734FB9" w:rsidRDefault="00734FB9" w:rsidP="00734FB9">
            <w:pPr>
              <w:widowControl/>
              <w:rPr>
                <w:rFonts w:ascii="微软雅黑" w:eastAsia="微软雅黑" w:hAnsi="微软雅黑" w:cs="宋体"/>
                <w:kern w:val="0"/>
                <w:sz w:val="24"/>
                <w:szCs w:val="24"/>
              </w:rPr>
            </w:pPr>
            <w:hyperlink r:id="rId33" w:tgtFrame="_blank" w:history="1">
              <w:r w:rsidRPr="00734FB9">
                <w:rPr>
                  <w:rFonts w:ascii="微软雅黑" w:eastAsia="微软雅黑" w:hAnsi="微软雅黑" w:cs="宋体"/>
                  <w:kern w:val="0"/>
                  <w:sz w:val="24"/>
                  <w:szCs w:val="24"/>
                  <w:u w:val="single"/>
                </w:rPr>
                <w:t>NCT03927456</w:t>
              </w:r>
            </w:hyperlink>
          </w:p>
        </w:tc>
        <w:tc>
          <w:tcPr>
            <w:tcW w:w="878" w:type="pct"/>
            <w:tcMar>
              <w:top w:w="56" w:type="dxa"/>
              <w:left w:w="56" w:type="dxa"/>
              <w:bottom w:w="56" w:type="dxa"/>
              <w:right w:w="56" w:type="dxa"/>
            </w:tcMar>
            <w:hideMark/>
          </w:tcPr>
          <w:p w14:paraId="2A67BC05"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DAWNA-1</w:t>
            </w:r>
          </w:p>
        </w:tc>
        <w:tc>
          <w:tcPr>
            <w:tcW w:w="205" w:type="pct"/>
            <w:tcMar>
              <w:top w:w="56" w:type="dxa"/>
              <w:left w:w="56" w:type="dxa"/>
              <w:bottom w:w="56" w:type="dxa"/>
              <w:right w:w="56" w:type="dxa"/>
            </w:tcMar>
            <w:hideMark/>
          </w:tcPr>
          <w:p w14:paraId="68A4E13C"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959" w:type="pct"/>
            <w:tcMar>
              <w:top w:w="56" w:type="dxa"/>
              <w:left w:w="56" w:type="dxa"/>
              <w:bottom w:w="56" w:type="dxa"/>
              <w:right w:w="56" w:type="dxa"/>
            </w:tcMar>
            <w:hideMark/>
          </w:tcPr>
          <w:p w14:paraId="18619756"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富尔±达尔</w:t>
            </w:r>
          </w:p>
        </w:tc>
        <w:tc>
          <w:tcPr>
            <w:tcW w:w="439" w:type="pct"/>
            <w:tcMar>
              <w:top w:w="56" w:type="dxa"/>
              <w:left w:w="56" w:type="dxa"/>
              <w:bottom w:w="56" w:type="dxa"/>
              <w:right w:w="56" w:type="dxa"/>
            </w:tcMar>
            <w:hideMark/>
          </w:tcPr>
          <w:p w14:paraId="72F77E3A"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第二</w:t>
            </w:r>
          </w:p>
        </w:tc>
        <w:tc>
          <w:tcPr>
            <w:tcW w:w="257" w:type="pct"/>
            <w:tcMar>
              <w:top w:w="56" w:type="dxa"/>
              <w:left w:w="56" w:type="dxa"/>
              <w:bottom w:w="56" w:type="dxa"/>
              <w:right w:w="56" w:type="dxa"/>
            </w:tcMar>
            <w:hideMark/>
          </w:tcPr>
          <w:p w14:paraId="1BB27BEC"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前后</w:t>
            </w:r>
          </w:p>
        </w:tc>
        <w:tc>
          <w:tcPr>
            <w:tcW w:w="769" w:type="pct"/>
            <w:tcMar>
              <w:top w:w="56" w:type="dxa"/>
              <w:left w:w="56" w:type="dxa"/>
              <w:bottom w:w="56" w:type="dxa"/>
              <w:right w:w="56" w:type="dxa"/>
            </w:tcMar>
            <w:hideMark/>
          </w:tcPr>
          <w:p w14:paraId="2948C229"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15.7 对 7.2</w:t>
            </w:r>
          </w:p>
        </w:tc>
        <w:tc>
          <w:tcPr>
            <w:tcW w:w="473" w:type="pct"/>
            <w:tcMar>
              <w:top w:w="56" w:type="dxa"/>
              <w:left w:w="56" w:type="dxa"/>
              <w:bottom w:w="56" w:type="dxa"/>
              <w:right w:w="56" w:type="dxa"/>
            </w:tcMar>
            <w:hideMark/>
          </w:tcPr>
          <w:p w14:paraId="674D65ED"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w:t>
            </w:r>
          </w:p>
        </w:tc>
      </w:tr>
    </w:tbl>
    <w:p w14:paraId="7824D460"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NCT，美国国家</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"http://clinicaltrials.gov/" \t "_blank"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临床试验注册中心 (National ClinicalTrials.gov)</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标识符；LOT，治疗线数；</w:t>
      </w:r>
      <w:proofErr w:type="spellStart"/>
      <w:r w:rsidRPr="00734FB9">
        <w:rPr>
          <w:rFonts w:ascii="微软雅黑" w:eastAsia="微软雅黑" w:hAnsi="微软雅黑" w:cs="宋体"/>
          <w:kern w:val="0"/>
          <w:sz w:val="24"/>
          <w:szCs w:val="24"/>
        </w:rPr>
        <w:t>mPFS</w:t>
      </w:r>
      <w:proofErr w:type="spellEnd"/>
      <w:r w:rsidRPr="00734FB9">
        <w:rPr>
          <w:rFonts w:ascii="微软雅黑" w:eastAsia="微软雅黑" w:hAnsi="微软雅黑" w:cs="宋体"/>
          <w:kern w:val="0"/>
          <w:sz w:val="24"/>
          <w:szCs w:val="24"/>
        </w:rPr>
        <w:t>，中位无进展生存期；</w:t>
      </w:r>
      <w:proofErr w:type="spellStart"/>
      <w:r w:rsidRPr="00734FB9">
        <w:rPr>
          <w:rFonts w:ascii="微软雅黑" w:eastAsia="微软雅黑" w:hAnsi="微软雅黑" w:cs="宋体"/>
          <w:kern w:val="0"/>
          <w:sz w:val="24"/>
          <w:szCs w:val="24"/>
        </w:rPr>
        <w:t>mOS</w:t>
      </w:r>
      <w:proofErr w:type="spellEnd"/>
      <w:r w:rsidRPr="00734FB9">
        <w:rPr>
          <w:rFonts w:ascii="微软雅黑" w:eastAsia="微软雅黑" w:hAnsi="微软雅黑" w:cs="宋体"/>
          <w:kern w:val="0"/>
          <w:sz w:val="24"/>
          <w:szCs w:val="24"/>
        </w:rPr>
        <w:t>，</w:t>
      </w:r>
      <w:proofErr w:type="gramStart"/>
      <w:r w:rsidRPr="00734FB9">
        <w:rPr>
          <w:rFonts w:ascii="微软雅黑" w:eastAsia="微软雅黑" w:hAnsi="微软雅黑" w:cs="宋体"/>
          <w:kern w:val="0"/>
          <w:sz w:val="24"/>
          <w:szCs w:val="24"/>
        </w:rPr>
        <w:t>中位总生存期</w:t>
      </w:r>
      <w:proofErr w:type="gramEnd"/>
      <w:r w:rsidRPr="00734FB9">
        <w:rPr>
          <w:rFonts w:ascii="微软雅黑" w:eastAsia="微软雅黑" w:hAnsi="微软雅黑" w:cs="宋体"/>
          <w:kern w:val="0"/>
          <w:sz w:val="24"/>
          <w:szCs w:val="24"/>
        </w:rPr>
        <w:t>；Pal，帕博西尼；</w:t>
      </w:r>
      <w:proofErr w:type="spellStart"/>
      <w:r w:rsidRPr="00734FB9">
        <w:rPr>
          <w:rFonts w:ascii="微软雅黑" w:eastAsia="微软雅黑" w:hAnsi="微软雅黑" w:cs="宋体"/>
          <w:kern w:val="0"/>
          <w:sz w:val="24"/>
          <w:szCs w:val="24"/>
        </w:rPr>
        <w:t>Ribo</w:t>
      </w:r>
      <w:proofErr w:type="spellEnd"/>
      <w:r w:rsidRPr="00734FB9">
        <w:rPr>
          <w:rFonts w:ascii="微软雅黑" w:eastAsia="微软雅黑" w:hAnsi="微软雅黑" w:cs="宋体"/>
          <w:kern w:val="0"/>
          <w:sz w:val="24"/>
          <w:szCs w:val="24"/>
        </w:rPr>
        <w:t>，瑞博西尼；</w:t>
      </w:r>
      <w:proofErr w:type="spellStart"/>
      <w:r w:rsidRPr="00734FB9">
        <w:rPr>
          <w:rFonts w:ascii="微软雅黑" w:eastAsia="微软雅黑" w:hAnsi="微软雅黑" w:cs="宋体"/>
          <w:kern w:val="0"/>
          <w:sz w:val="24"/>
          <w:szCs w:val="24"/>
        </w:rPr>
        <w:t>Abema</w:t>
      </w:r>
      <w:proofErr w:type="spellEnd"/>
      <w:r w:rsidRPr="00734FB9">
        <w:rPr>
          <w:rFonts w:ascii="微软雅黑" w:eastAsia="微软雅黑" w:hAnsi="微软雅黑" w:cs="宋体"/>
          <w:kern w:val="0"/>
          <w:sz w:val="24"/>
          <w:szCs w:val="24"/>
        </w:rPr>
        <w:t>，阿贝西利；Let，来曲</w:t>
      </w:r>
      <w:proofErr w:type="gramStart"/>
      <w:r w:rsidRPr="00734FB9">
        <w:rPr>
          <w:rFonts w:ascii="微软雅黑" w:eastAsia="微软雅黑" w:hAnsi="微软雅黑" w:cs="宋体"/>
          <w:kern w:val="0"/>
          <w:sz w:val="24"/>
          <w:szCs w:val="24"/>
        </w:rPr>
        <w:t>唑</w:t>
      </w:r>
      <w:proofErr w:type="gramEnd"/>
      <w:r w:rsidRPr="00734FB9">
        <w:rPr>
          <w:rFonts w:ascii="微软雅黑" w:eastAsia="微软雅黑" w:hAnsi="微软雅黑" w:cs="宋体"/>
          <w:kern w:val="0"/>
          <w:sz w:val="24"/>
          <w:szCs w:val="24"/>
        </w:rPr>
        <w:t>；NSAI，非</w:t>
      </w:r>
      <w:proofErr w:type="gramStart"/>
      <w:r w:rsidRPr="00734FB9">
        <w:rPr>
          <w:rFonts w:ascii="微软雅黑" w:eastAsia="微软雅黑" w:hAnsi="微软雅黑" w:cs="宋体"/>
          <w:kern w:val="0"/>
          <w:sz w:val="24"/>
          <w:szCs w:val="24"/>
        </w:rPr>
        <w:t>甾</w:t>
      </w:r>
      <w:proofErr w:type="gramEnd"/>
      <w:r w:rsidRPr="00734FB9">
        <w:rPr>
          <w:rFonts w:ascii="微软雅黑" w:eastAsia="微软雅黑" w:hAnsi="微软雅黑" w:cs="宋体"/>
          <w:kern w:val="0"/>
          <w:sz w:val="24"/>
          <w:szCs w:val="24"/>
        </w:rPr>
        <w:t>体类芳香化酶</w:t>
      </w:r>
      <w:r w:rsidRPr="00734FB9">
        <w:rPr>
          <w:rFonts w:ascii="微软雅黑" w:eastAsia="微软雅黑" w:hAnsi="微软雅黑" w:cs="宋体"/>
          <w:kern w:val="0"/>
          <w:sz w:val="24"/>
          <w:szCs w:val="24"/>
        </w:rPr>
        <w:lastRenderedPageBreak/>
        <w:t>抑制剂；Ful，</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；TAM，他</w:t>
      </w:r>
      <w:proofErr w:type="gramStart"/>
      <w:r w:rsidRPr="00734FB9">
        <w:rPr>
          <w:rFonts w:ascii="微软雅黑" w:eastAsia="微软雅黑" w:hAnsi="微软雅黑" w:cs="宋体"/>
          <w:kern w:val="0"/>
          <w:sz w:val="24"/>
          <w:szCs w:val="24"/>
        </w:rPr>
        <w:t>莫昔芬</w:t>
      </w:r>
      <w:proofErr w:type="gramEnd"/>
      <w:r w:rsidRPr="00734FB9">
        <w:rPr>
          <w:rFonts w:ascii="微软雅黑" w:eastAsia="微软雅黑" w:hAnsi="微软雅黑" w:cs="宋体"/>
          <w:kern w:val="0"/>
          <w:sz w:val="24"/>
          <w:szCs w:val="24"/>
        </w:rPr>
        <w:t>；Dal，</w:t>
      </w:r>
      <w:proofErr w:type="gramStart"/>
      <w:r w:rsidRPr="00734FB9">
        <w:rPr>
          <w:rFonts w:ascii="微软雅黑" w:eastAsia="微软雅黑" w:hAnsi="微软雅黑" w:cs="宋体"/>
          <w:kern w:val="0"/>
          <w:sz w:val="24"/>
          <w:szCs w:val="24"/>
        </w:rPr>
        <w:t>达匹西利</w:t>
      </w:r>
      <w:proofErr w:type="gramEnd"/>
      <w:r w:rsidRPr="00734FB9">
        <w:rPr>
          <w:rFonts w:ascii="微软雅黑" w:eastAsia="微软雅黑" w:hAnsi="微软雅黑" w:cs="宋体"/>
          <w:kern w:val="0"/>
          <w:sz w:val="24"/>
          <w:szCs w:val="24"/>
        </w:rPr>
        <w:t>；Pre，绝经前；Post，绝经后；NR，未达到。</w:t>
      </w:r>
    </w:p>
    <w:p w14:paraId="37F45A91" w14:textId="77777777" w:rsidR="00734FB9" w:rsidRPr="00734FB9" w:rsidRDefault="00734FB9" w:rsidP="00734FB9">
      <w:pPr>
        <w:widowControl/>
        <w:pBdr>
          <w:bottom w:val="single" w:sz="6" w:space="0" w:color="97B1C8"/>
        </w:pBdr>
        <w:spacing w:line="450" w:lineRule="atLeast"/>
        <w:outlineLvl w:val="1"/>
        <w:rPr>
          <w:rFonts w:ascii="微软雅黑" w:eastAsia="微软雅黑" w:hAnsi="微软雅黑" w:cs="宋体"/>
          <w:kern w:val="0"/>
          <w:sz w:val="34"/>
          <w:szCs w:val="34"/>
        </w:rPr>
      </w:pPr>
      <w:r w:rsidRPr="00734FB9">
        <w:rPr>
          <w:rFonts w:ascii="微软雅黑" w:eastAsia="微软雅黑" w:hAnsi="微软雅黑" w:cs="宋体"/>
          <w:kern w:val="0"/>
          <w:sz w:val="34"/>
          <w:szCs w:val="34"/>
        </w:rPr>
        <w:t>4. CDK4/6抑制剂的耐药机制</w:t>
      </w:r>
    </w:p>
    <w:p w14:paraId="34433189"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细胞周期特异性机制：RB蛋白缺失</w:t>
      </w:r>
    </w:p>
    <w:p w14:paraId="10D02BD7"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作为一种肿瘤抑制因子，RB是细胞周期蛋白D-CDK4/6复合物的主要靶点，并调控CDK4/6-RB1通路和细胞周期。RB的缺失是导致CDK4/6抑制剂耐药性的重要原因之一（</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"b9-ijmm-50-4-05184"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9</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）。RB缺失的主要原因是RB1基因突变导致的失活。尽管RB缺失，但细胞周期仍可通过其他细胞周期机制（包括E2F和细胞周期蛋白E-CDK2轴）的激活而继续进行，这表明细胞周期从G1期到S期的进程</w:t>
      </w:r>
      <w:r w:rsidRPr="00734FB9">
        <w:rPr>
          <w:rFonts w:ascii="微软雅黑" w:eastAsia="微软雅黑" w:hAnsi="微软雅黑" w:cs="宋体"/>
          <w:kern w:val="0"/>
          <w:sz w:val="24"/>
          <w:szCs w:val="24"/>
          <w:vertAlign w:val="subscript"/>
        </w:rPr>
        <w:t>已</w:t>
      </w:r>
      <w:r w:rsidRPr="00734FB9">
        <w:rPr>
          <w:rFonts w:ascii="微软雅黑" w:eastAsia="微软雅黑" w:hAnsi="微软雅黑" w:cs="宋体"/>
          <w:kern w:val="0"/>
          <w:sz w:val="24"/>
          <w:szCs w:val="24"/>
        </w:rPr>
        <w:t>不再依赖于CDK4/6（</w:t>
      </w:r>
      <w:hyperlink r:id="rId34" w:anchor="b21-ijmm-50-4-05184" w:history="1">
        <w:r w:rsidRPr="00734FB9">
          <w:rPr>
            <w:rFonts w:ascii="微软雅黑" w:eastAsia="微软雅黑" w:hAnsi="微软雅黑" w:cs="宋体"/>
            <w:kern w:val="0"/>
            <w:sz w:val="24"/>
            <w:szCs w:val="24"/>
            <w:u w:val="single"/>
          </w:rPr>
          <w:t>21</w:t>
        </w:r>
      </w:hyperlink>
      <w:r w:rsidRPr="00734FB9">
        <w:rPr>
          <w:rFonts w:ascii="微软雅黑" w:eastAsia="微软雅黑" w:hAnsi="微软雅黑" w:cs="宋体"/>
          <w:kern w:val="0"/>
          <w:sz w:val="24"/>
          <w:szCs w:val="24"/>
        </w:rPr>
        <w:t>）。这提示细胞周期蛋白E-CDK2轴抑制剂与CDK4/6抑制剂联合应用可能逆转RB缺失患者的CDK4/6抑制剂耐药性（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"f3-ijmm-50-4-05184"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图3</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1D2E8D22" w14:textId="77777777" w:rsidR="00734FB9" w:rsidRPr="00734FB9" w:rsidRDefault="00734FB9" w:rsidP="00734FB9">
      <w:pPr>
        <w:widowControl/>
        <w:spacing w:line="450" w:lineRule="atLeast"/>
        <w:outlineLvl w:val="3"/>
        <w:rPr>
          <w:rFonts w:ascii="微软雅黑" w:eastAsia="微软雅黑" w:hAnsi="微软雅黑" w:cs="宋体"/>
          <w:kern w:val="0"/>
          <w:sz w:val="30"/>
          <w:szCs w:val="30"/>
        </w:rPr>
      </w:pPr>
      <w:r w:rsidRPr="00734FB9">
        <w:rPr>
          <w:rFonts w:ascii="微软雅黑" w:eastAsia="微软雅黑" w:hAnsi="微软雅黑" w:cs="宋体"/>
          <w:kern w:val="0"/>
          <w:sz w:val="30"/>
          <w:szCs w:val="30"/>
        </w:rPr>
        <w:t>图 3。</w:t>
      </w:r>
    </w:p>
    <w:p w14:paraId="1DE90368" w14:textId="1AC49FB1" w:rsidR="00734FB9" w:rsidRPr="00734FB9" w:rsidRDefault="00734FB9" w:rsidP="00734FB9">
      <w:pPr>
        <w:widowControl/>
        <w:spacing w:before="450"/>
        <w:rPr>
          <w:rFonts w:ascii="微软雅黑" w:eastAsia="微软雅黑" w:hAnsi="微软雅黑" w:cs="宋体"/>
          <w:kern w:val="0"/>
          <w:sz w:val="24"/>
          <w:szCs w:val="24"/>
        </w:rPr>
      </w:pPr>
      <w:r w:rsidRPr="00EC5263">
        <w:rPr>
          <w:rFonts w:ascii="微软雅黑" w:eastAsia="微软雅黑" w:hAnsi="微软雅黑" w:cs="宋体"/>
          <w:noProof/>
          <w:kern w:val="0"/>
          <w:sz w:val="24"/>
          <w:szCs w:val="24"/>
        </w:rPr>
        <w:lastRenderedPageBreak/>
        <w:drawing>
          <wp:inline distT="0" distB="0" distL="0" distR="0" wp14:anchorId="4C63981F" wp14:editId="44E831A0">
            <wp:extent cx="5274310" cy="5385435"/>
            <wp:effectExtent l="0" t="0" r="2540" b="5715"/>
            <wp:docPr id="3" name="图片 3" descr="图 3">
              <a:hlinkClick xmlns:a="http://schemas.openxmlformats.org/drawingml/2006/main" r:id="rId3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图 3">
                      <a:hlinkClick r:id="rId35" tgtFrame="&quot;_blank&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74310" cy="5385435"/>
                    </a:xfrm>
                    <a:prstGeom prst="rect">
                      <a:avLst/>
                    </a:prstGeom>
                    <a:noFill/>
                    <a:ln>
                      <a:noFill/>
                    </a:ln>
                  </pic:spPr>
                </pic:pic>
              </a:graphicData>
            </a:graphic>
          </wp:inline>
        </w:drawing>
      </w:r>
    </w:p>
    <w:p w14:paraId="694BFF6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细胞周期特异性的 CDK4/6 抑制剂耐药机制。CDK，细胞周期蛋白依赖性激酶；RB，视网膜母细胞瘤蛋白；CHK1，检查点激酶 1；HDAC，组蛋白去乙酰化酶；</w:t>
      </w:r>
      <w:proofErr w:type="spellStart"/>
      <w:r w:rsidRPr="00734FB9">
        <w:rPr>
          <w:rFonts w:ascii="微软雅黑" w:eastAsia="微软雅黑" w:hAnsi="微软雅黑" w:cs="宋体"/>
          <w:kern w:val="0"/>
          <w:sz w:val="24"/>
          <w:szCs w:val="24"/>
        </w:rPr>
        <w:t>HDACi</w:t>
      </w:r>
      <w:proofErr w:type="spellEnd"/>
      <w:r w:rsidRPr="00734FB9">
        <w:rPr>
          <w:rFonts w:ascii="微软雅黑" w:eastAsia="微软雅黑" w:hAnsi="微软雅黑" w:cs="宋体"/>
          <w:kern w:val="0"/>
          <w:sz w:val="24"/>
          <w:szCs w:val="24"/>
        </w:rPr>
        <w:t>，组蛋白去乙酰化酶抑制剂；INK4，CDK4 抑制剂；WEE1，WEE1 G2 检查点激酶；FZR1，fizzy 和细胞分裂周期 20 相关蛋白 1；VEGF-A，血管内皮生长因子 A；MDM2，小鼠双微体 2 同源物；ER，雌激素受体；CIP/KIP，CDK 相互作用蛋白/激酶抑制蛋白；P，磷酸盐；CDK4/6i，CDK4/6 抑制剂；</w:t>
      </w:r>
      <w:proofErr w:type="spellStart"/>
      <w:r w:rsidRPr="00734FB9">
        <w:rPr>
          <w:rFonts w:ascii="微软雅黑" w:eastAsia="微软雅黑" w:hAnsi="微软雅黑" w:cs="宋体"/>
          <w:kern w:val="0"/>
          <w:sz w:val="24"/>
          <w:szCs w:val="24"/>
        </w:rPr>
        <w:t>miR</w:t>
      </w:r>
      <w:proofErr w:type="spellEnd"/>
      <w:r w:rsidRPr="00734FB9">
        <w:rPr>
          <w:rFonts w:ascii="微软雅黑" w:eastAsia="微软雅黑" w:hAnsi="微软雅黑" w:cs="宋体"/>
          <w:kern w:val="0"/>
          <w:sz w:val="24"/>
          <w:szCs w:val="24"/>
        </w:rPr>
        <w:t>/miRNA，微 RNA；APC/C，后期促进复合物。</w:t>
      </w:r>
    </w:p>
    <w:p w14:paraId="2391FFE4"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E2F扩增</w:t>
      </w:r>
    </w:p>
    <w:p w14:paraId="33128FC4"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lastRenderedPageBreak/>
        <w:t>RB-E2F复合物在调控细胞周期从G1期到S期的过程中发挥着重要作用</w:t>
      </w:r>
      <w:r w:rsidRPr="00734FB9">
        <w:rPr>
          <w:rFonts w:ascii="微软雅黑" w:eastAsia="微软雅黑" w:hAnsi="微软雅黑" w:cs="宋体"/>
          <w:kern w:val="0"/>
          <w:sz w:val="24"/>
          <w:szCs w:val="24"/>
          <w:vertAlign w:val="subscript"/>
        </w:rPr>
        <w:t>。</w:t>
      </w:r>
      <w:r w:rsidRPr="00734FB9">
        <w:rPr>
          <w:rFonts w:ascii="微软雅黑" w:eastAsia="微软雅黑" w:hAnsi="微软雅黑" w:cs="宋体"/>
          <w:kern w:val="0"/>
          <w:sz w:val="24"/>
          <w:szCs w:val="24"/>
        </w:rPr>
        <w:t>如前所述，细胞周期蛋白D-CDK4/6复合物对RB的过度磷酸化会降低RB与E2F的结合。反过来，RB-E2F复合物会分离并释放转录因子E2F，从而促进细胞周期从G1</w:t>
      </w:r>
      <w:r w:rsidRPr="00734FB9">
        <w:rPr>
          <w:rFonts w:ascii="微软雅黑" w:eastAsia="微软雅黑" w:hAnsi="微软雅黑" w:cs="宋体"/>
          <w:kern w:val="0"/>
          <w:sz w:val="24"/>
          <w:szCs w:val="24"/>
          <w:vertAlign w:val="subscript"/>
        </w:rPr>
        <w:t>期</w:t>
      </w:r>
      <w:r w:rsidRPr="00734FB9">
        <w:rPr>
          <w:rFonts w:ascii="微软雅黑" w:eastAsia="微软雅黑" w:hAnsi="微软雅黑" w:cs="宋体"/>
          <w:kern w:val="0"/>
          <w:sz w:val="24"/>
          <w:szCs w:val="24"/>
        </w:rPr>
        <w:t>进入S期，最终导致DNA复制。同时，E2F转录因子激活细胞周期蛋白E的转录，进而激活CDK2和其他蛋白形成细胞周期蛋白E-CDK2复合物。细胞周期蛋白E-CDK2复合物进一步磷酸化RB，形成正反馈环路，最终导致蛋白质和DNA的合成（</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"b22-ijmm-50-4-05184"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22</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）。因此，E2F的扩增和细胞周期蛋白E-CDK2复合物的形成也与CDK4/6抑制剂的耐药性相关（</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"f3-ijmm-50-4-05184"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图3</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6A22260C"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CDK4抑制因子（INK4）家族的过度表达</w:t>
      </w:r>
    </w:p>
    <w:p w14:paraId="3B1A7E04"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INK4家族是一组内在的肿瘤抑制因子，包括p16 </w:t>
      </w:r>
      <w:r w:rsidRPr="00734FB9">
        <w:rPr>
          <w:rFonts w:ascii="微软雅黑" w:eastAsia="微软雅黑" w:hAnsi="微软雅黑" w:cs="宋体"/>
          <w:kern w:val="0"/>
          <w:sz w:val="24"/>
          <w:szCs w:val="24"/>
          <w:vertAlign w:val="superscript"/>
        </w:rPr>
        <w:t>INK4A</w:t>
      </w:r>
      <w:r w:rsidRPr="00734FB9">
        <w:rPr>
          <w:rFonts w:ascii="微软雅黑" w:eastAsia="微软雅黑" w:hAnsi="微软雅黑" w:cs="宋体"/>
          <w:kern w:val="0"/>
          <w:sz w:val="24"/>
          <w:szCs w:val="24"/>
        </w:rPr>
        <w:t>（由CDKN2A编码）、p15 </w:t>
      </w:r>
      <w:r w:rsidRPr="00734FB9">
        <w:rPr>
          <w:rFonts w:ascii="微软雅黑" w:eastAsia="微软雅黑" w:hAnsi="微软雅黑" w:cs="宋体"/>
          <w:kern w:val="0"/>
          <w:sz w:val="24"/>
          <w:szCs w:val="24"/>
          <w:vertAlign w:val="superscript"/>
        </w:rPr>
        <w:t>INK4B</w:t>
      </w:r>
      <w:r w:rsidRPr="00734FB9">
        <w:rPr>
          <w:rFonts w:ascii="微软雅黑" w:eastAsia="微软雅黑" w:hAnsi="微软雅黑" w:cs="宋体"/>
          <w:kern w:val="0"/>
          <w:sz w:val="24"/>
          <w:szCs w:val="24"/>
        </w:rPr>
        <w:t>（由CDKN2B编码）、p18 </w:t>
      </w:r>
      <w:r w:rsidRPr="00734FB9">
        <w:rPr>
          <w:rFonts w:ascii="微软雅黑" w:eastAsia="微软雅黑" w:hAnsi="微软雅黑" w:cs="宋体"/>
          <w:kern w:val="0"/>
          <w:sz w:val="24"/>
          <w:szCs w:val="24"/>
          <w:vertAlign w:val="superscript"/>
        </w:rPr>
        <w:t>INK4C</w:t>
      </w:r>
      <w:r w:rsidRPr="00734FB9">
        <w:rPr>
          <w:rFonts w:ascii="微软雅黑" w:eastAsia="微软雅黑" w:hAnsi="微软雅黑" w:cs="宋体"/>
          <w:kern w:val="0"/>
          <w:sz w:val="24"/>
          <w:szCs w:val="24"/>
        </w:rPr>
        <w:t>（由CDKN2C编码）和p19 </w:t>
      </w:r>
      <w:r w:rsidRPr="00734FB9">
        <w:rPr>
          <w:rFonts w:ascii="微软雅黑" w:eastAsia="微软雅黑" w:hAnsi="微软雅黑" w:cs="宋体"/>
          <w:kern w:val="0"/>
          <w:sz w:val="24"/>
          <w:szCs w:val="24"/>
          <w:vertAlign w:val="superscript"/>
        </w:rPr>
        <w:t>INK4D</w:t>
      </w:r>
      <w:r w:rsidRPr="00734FB9">
        <w:rPr>
          <w:rFonts w:ascii="微软雅黑" w:eastAsia="微软雅黑" w:hAnsi="微软雅黑" w:cs="宋体"/>
          <w:kern w:val="0"/>
          <w:sz w:val="24"/>
          <w:szCs w:val="24"/>
        </w:rPr>
        <w:t>（由CDKN2D编码）。INK4家族成员可通过竞争性结合CDK4/6抑制细胞周期蛋白D-CDK4/6复合物的形成，进而抑制细胞从G1期向S期的转换</w:t>
      </w:r>
      <w:r w:rsidRPr="00734FB9">
        <w:rPr>
          <w:rFonts w:ascii="微软雅黑" w:eastAsia="微软雅黑" w:hAnsi="微软雅黑" w:cs="宋体"/>
          <w:kern w:val="0"/>
          <w:sz w:val="24"/>
          <w:szCs w:val="24"/>
          <w:vertAlign w:val="subscript"/>
        </w:rPr>
        <w:t>（</w:t>
      </w:r>
      <w:r w:rsidRPr="00734FB9">
        <w:rPr>
          <w:rFonts w:ascii="微软雅黑" w:eastAsia="微软雅黑" w:hAnsi="微软雅黑" w:cs="宋体"/>
          <w:kern w:val="0"/>
          <w:sz w:val="24"/>
          <w:szCs w:val="24"/>
        </w:rPr>
        <w:t> 23 </w:t>
      </w:r>
      <w:hyperlink r:id="rId37" w:anchor="b23-ijmm-50-4-05184" w:history="1">
        <w:r w:rsidRPr="00734FB9">
          <w:rPr>
            <w:rFonts w:ascii="微软雅黑" w:eastAsia="微软雅黑" w:hAnsi="微软雅黑" w:cs="宋体"/>
            <w:kern w:val="0"/>
            <w:sz w:val="24"/>
            <w:szCs w:val="24"/>
            <w:u w:val="single"/>
          </w:rPr>
          <w:t>）</w:t>
        </w:r>
      </w:hyperlink>
      <w:r w:rsidRPr="00734FB9">
        <w:rPr>
          <w:rFonts w:ascii="微软雅黑" w:eastAsia="微软雅黑" w:hAnsi="微软雅黑" w:cs="宋体"/>
          <w:kern w:val="0"/>
          <w:sz w:val="24"/>
          <w:szCs w:val="24"/>
        </w:rPr>
        <w:t>。肿瘤细胞中CDKN2的表达通常被沉默，导致CDK4/6持续激活，从而产生对CDK4/6抑制剂的耐药性。然而，当这些抑制剂过表达时，由于细胞周期蛋白D-CDK4/6复合物的抑制，肿瘤细胞周期进程可能部分依赖于CDK4/6信号通路以外的其他信号通路，从而导致对CDK4/6抑制剂的耐药性。 Green</w:t>
      </w:r>
      <w:r w:rsidRPr="00734FB9">
        <w:rPr>
          <w:rFonts w:ascii="微软雅黑" w:eastAsia="微软雅黑" w:hAnsi="微软雅黑" w:cs="宋体"/>
          <w:i/>
          <w:iCs/>
          <w:kern w:val="0"/>
          <w:sz w:val="24"/>
          <w:szCs w:val="24"/>
        </w:rPr>
        <w:t>等人</w:t>
      </w:r>
      <w:r w:rsidRPr="00734FB9">
        <w:rPr>
          <w:rFonts w:ascii="微软雅黑" w:eastAsia="微软雅黑" w:hAnsi="微软雅黑" w:cs="宋体"/>
          <w:kern w:val="0"/>
          <w:sz w:val="24"/>
          <w:szCs w:val="24"/>
        </w:rPr>
        <w:t>( </w:t>
      </w:r>
      <w:hyperlink r:id="rId38" w:anchor="b24-ijmm-50-4-05184" w:history="1">
        <w:r w:rsidRPr="00734FB9">
          <w:rPr>
            <w:rFonts w:ascii="微软雅黑" w:eastAsia="微软雅黑" w:hAnsi="微软雅黑" w:cs="宋体"/>
            <w:kern w:val="0"/>
            <w:sz w:val="24"/>
            <w:szCs w:val="24"/>
            <w:u w:val="single"/>
          </w:rPr>
          <w:t>24</w:t>
        </w:r>
      </w:hyperlink>
      <w:r w:rsidRPr="00734FB9">
        <w:rPr>
          <w:rFonts w:ascii="微软雅黑" w:eastAsia="微软雅黑" w:hAnsi="微软雅黑" w:cs="宋体"/>
          <w:kern w:val="0"/>
          <w:sz w:val="24"/>
          <w:szCs w:val="24"/>
        </w:rPr>
        <w:t> )的研究也报道，p16 蛋白家族可以抑制包括帕博西尼在内的小分子抑制剂与 CDK4 的结合。然而，PALOMA-1 试验并未发现 p16/CCND1 扩增</w:t>
      </w:r>
      <w:proofErr w:type="gramStart"/>
      <w:r w:rsidRPr="00734FB9">
        <w:rPr>
          <w:rFonts w:ascii="微软雅黑" w:eastAsia="微软雅黑" w:hAnsi="微软雅黑" w:cs="宋体"/>
          <w:kern w:val="0"/>
          <w:sz w:val="24"/>
          <w:szCs w:val="24"/>
        </w:rPr>
        <w:t>缺失组</w:t>
      </w:r>
      <w:proofErr w:type="gramEnd"/>
      <w:r w:rsidRPr="00734FB9">
        <w:rPr>
          <w:rFonts w:ascii="微软雅黑" w:eastAsia="微软雅黑" w:hAnsi="微软雅黑" w:cs="宋体"/>
          <w:kern w:val="0"/>
          <w:sz w:val="24"/>
          <w:szCs w:val="24"/>
        </w:rPr>
        <w:t>与未</w:t>
      </w:r>
      <w:proofErr w:type="gramStart"/>
      <w:r w:rsidRPr="00734FB9">
        <w:rPr>
          <w:rFonts w:ascii="微软雅黑" w:eastAsia="微软雅黑" w:hAnsi="微软雅黑" w:cs="宋体"/>
          <w:kern w:val="0"/>
          <w:sz w:val="24"/>
          <w:szCs w:val="24"/>
        </w:rPr>
        <w:t>选择组</w:t>
      </w:r>
      <w:proofErr w:type="gramEnd"/>
      <w:r w:rsidRPr="00734FB9">
        <w:rPr>
          <w:rFonts w:ascii="微软雅黑" w:eastAsia="微软雅黑" w:hAnsi="微软雅黑" w:cs="宋体"/>
          <w:kern w:val="0"/>
          <w:sz w:val="24"/>
          <w:szCs w:val="24"/>
        </w:rPr>
        <w:t>在无进展生存期 (PFS) 方面存在显著差异 ( </w:t>
      </w:r>
      <w:hyperlink r:id="rId39" w:anchor="b25-ijmm-50-4-05184" w:history="1">
        <w:r w:rsidRPr="00734FB9">
          <w:rPr>
            <w:rFonts w:ascii="微软雅黑" w:eastAsia="微软雅黑" w:hAnsi="微软雅黑" w:cs="宋体"/>
            <w:kern w:val="0"/>
            <w:sz w:val="24"/>
            <w:szCs w:val="24"/>
            <w:u w:val="single"/>
          </w:rPr>
          <w:t>25</w:t>
        </w:r>
      </w:hyperlink>
      <w:r w:rsidRPr="00734FB9">
        <w:rPr>
          <w:rFonts w:ascii="微软雅黑" w:eastAsia="微软雅黑" w:hAnsi="微软雅黑" w:cs="宋体"/>
          <w:kern w:val="0"/>
          <w:sz w:val="24"/>
          <w:szCs w:val="24"/>
        </w:rPr>
        <w:t xml:space="preserve"> )。PALOMA-2 和 </w:t>
      </w:r>
      <w:r w:rsidRPr="00734FB9">
        <w:rPr>
          <w:rFonts w:ascii="微软雅黑" w:eastAsia="微软雅黑" w:hAnsi="微软雅黑" w:cs="宋体"/>
          <w:kern w:val="0"/>
          <w:sz w:val="24"/>
          <w:szCs w:val="24"/>
        </w:rPr>
        <w:lastRenderedPageBreak/>
        <w:t>PALOMA-3 试验的生物标志物分析也得到了类似的结果 ( </w:t>
      </w:r>
      <w:hyperlink r:id="rId40" w:anchor="b26-ijmm-50-4-05184" w:history="1">
        <w:r w:rsidRPr="00734FB9">
          <w:rPr>
            <w:rFonts w:ascii="微软雅黑" w:eastAsia="微软雅黑" w:hAnsi="微软雅黑" w:cs="宋体"/>
            <w:kern w:val="0"/>
            <w:sz w:val="24"/>
            <w:szCs w:val="24"/>
            <w:u w:val="single"/>
          </w:rPr>
          <w:t>26</w:t>
        </w:r>
      </w:hyperlink>
      <w:r w:rsidRPr="00734FB9">
        <w:rPr>
          <w:rFonts w:ascii="微软雅黑" w:eastAsia="微软雅黑" w:hAnsi="微软雅黑" w:cs="宋体"/>
          <w:kern w:val="0"/>
          <w:sz w:val="24"/>
          <w:szCs w:val="24"/>
        </w:rPr>
        <w:t> , </w:t>
      </w:r>
      <w:hyperlink r:id="rId41" w:anchor="b27-ijmm-50-4-05184" w:history="1">
        <w:r w:rsidRPr="00734FB9">
          <w:rPr>
            <w:rFonts w:ascii="微软雅黑" w:eastAsia="微软雅黑" w:hAnsi="微软雅黑" w:cs="宋体"/>
            <w:kern w:val="0"/>
            <w:sz w:val="24"/>
            <w:szCs w:val="24"/>
            <w:u w:val="single"/>
          </w:rPr>
          <w:t>27 )。因此，p16/ </w:t>
        </w:r>
      </w:hyperlink>
      <w:r w:rsidRPr="00734FB9">
        <w:rPr>
          <w:rFonts w:ascii="微软雅黑" w:eastAsia="微软雅黑" w:hAnsi="微软雅黑" w:cs="宋体"/>
          <w:kern w:val="0"/>
          <w:sz w:val="24"/>
          <w:szCs w:val="24"/>
          <w:vertAlign w:val="superscript"/>
        </w:rPr>
        <w:t>INK4</w:t>
      </w:r>
      <w:r w:rsidRPr="00734FB9">
        <w:rPr>
          <w:rFonts w:ascii="微软雅黑" w:eastAsia="微软雅黑" w:hAnsi="微软雅黑" w:cs="宋体"/>
          <w:kern w:val="0"/>
          <w:sz w:val="24"/>
          <w:szCs w:val="24"/>
        </w:rPr>
        <w:t>扩增作为生物标志物的应用仍存在争议（</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"f3-ijmm-50-4-05184"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 3</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02612943"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CDK扩增</w:t>
      </w:r>
    </w:p>
    <w:p w14:paraId="64789F97"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如前所述，CDK4/6在细胞周期从G1期到S期的进程中起着至关重要的作用。基因扩增、突变和表观遗传改变等多种机制可以上调CDK4/6的表达，从而激活细胞周期蛋白D-CDK4/6-RB通路，导致CDK4/6抑制剂对细胞周期进程的阻断作用减弱（28-30 </w:t>
      </w:r>
      <w:hyperlink r:id="rId42" w:anchor="b28-ijmm-50-4-05184" w:history="1">
        <w:r w:rsidRPr="00734FB9">
          <w:rPr>
            <w:rFonts w:ascii="微软雅黑" w:eastAsia="微软雅黑" w:hAnsi="微软雅黑" w:cs="宋体"/>
            <w:kern w:val="0"/>
            <w:sz w:val="24"/>
            <w:szCs w:val="24"/>
            <w:u w:val="single"/>
          </w:rPr>
          <w:t>）</w:t>
        </w:r>
      </w:hyperlink>
      <w:r w:rsidRPr="00734FB9">
        <w:rPr>
          <w:rFonts w:ascii="微软雅黑" w:eastAsia="微软雅黑" w:hAnsi="微软雅黑" w:cs="宋体"/>
          <w:kern w:val="0"/>
          <w:sz w:val="24"/>
          <w:szCs w:val="24"/>
        </w:rPr>
        <w:t>。除了激酶依赖性功能外，CDK6还具有一些非激酶依赖性功能。在STAT3和细胞周期蛋白D存在的情况下，CDK6可以上调p16的转录（31 </w:t>
      </w:r>
      <w:hyperlink r:id="rId43" w:anchor="b30-ijmm-50-4-05184" w:history="1">
        <w:r w:rsidRPr="00734FB9">
          <w:rPr>
            <w:rFonts w:ascii="微软雅黑" w:eastAsia="微软雅黑" w:hAnsi="微软雅黑" w:cs="宋体"/>
            <w:kern w:val="0"/>
            <w:sz w:val="24"/>
            <w:szCs w:val="24"/>
            <w:u w:val="single"/>
          </w:rPr>
          <w:t>） 。此外，CDK6和c-Jun协同上调VEGF-A</w:t>
        </w:r>
      </w:hyperlink>
      <w:hyperlink r:id="rId44" w:anchor="b31-ijmm-50-4-05184" w:history="1">
        <w:r w:rsidRPr="00734FB9">
          <w:rPr>
            <w:rFonts w:ascii="微软雅黑" w:eastAsia="微软雅黑" w:hAnsi="微软雅黑" w:cs="宋体"/>
            <w:kern w:val="0"/>
            <w:sz w:val="24"/>
            <w:szCs w:val="24"/>
            <w:u w:val="single"/>
          </w:rPr>
          <w:t>的</w:t>
        </w:r>
      </w:hyperlink>
      <w:r w:rsidRPr="00734FB9">
        <w:rPr>
          <w:rFonts w:ascii="微软雅黑" w:eastAsia="微软雅黑" w:hAnsi="微软雅黑" w:cs="宋体"/>
          <w:kern w:val="0"/>
          <w:sz w:val="24"/>
          <w:szCs w:val="24"/>
        </w:rPr>
        <w:t>表达，诱导肿瘤血管生成，并通常促进癌症进展和耐药性（</w:t>
      </w:r>
      <w:hyperlink r:id="rId45" w:anchor="b32-ijmm-50-4-05184" w:history="1">
        <w:r w:rsidRPr="00734FB9">
          <w:rPr>
            <w:rFonts w:ascii="微软雅黑" w:eastAsia="微软雅黑" w:hAnsi="微软雅黑" w:cs="宋体"/>
            <w:kern w:val="0"/>
            <w:sz w:val="24"/>
            <w:szCs w:val="24"/>
            <w:u w:val="single"/>
          </w:rPr>
          <w:t>32</w:t>
        </w:r>
      </w:hyperlink>
      <w:r w:rsidRPr="00734FB9">
        <w:rPr>
          <w:rFonts w:ascii="微软雅黑" w:eastAsia="微软雅黑" w:hAnsi="微软雅黑" w:cs="宋体"/>
          <w:kern w:val="0"/>
          <w:sz w:val="24"/>
          <w:szCs w:val="24"/>
        </w:rPr>
        <w:t> , </w:t>
      </w:r>
      <w:hyperlink r:id="rId46" w:anchor="b33-ijmm-50-4-05184" w:history="1">
        <w:r w:rsidRPr="00734FB9">
          <w:rPr>
            <w:rFonts w:ascii="微软雅黑" w:eastAsia="微软雅黑" w:hAnsi="微软雅黑" w:cs="宋体"/>
            <w:kern w:val="0"/>
            <w:sz w:val="24"/>
            <w:szCs w:val="24"/>
            <w:u w:val="single"/>
          </w:rPr>
          <w:t>33</w:t>
        </w:r>
      </w:hyperlink>
      <w:r w:rsidRPr="00734FB9">
        <w:rPr>
          <w:rFonts w:ascii="微软雅黑" w:eastAsia="微软雅黑" w:hAnsi="微软雅黑" w:cs="宋体"/>
          <w:kern w:val="0"/>
          <w:sz w:val="24"/>
          <w:szCs w:val="24"/>
        </w:rPr>
        <w:t>）。先前的研究发现，癌基因 c-</w:t>
      </w:r>
      <w:proofErr w:type="spellStart"/>
      <w:r w:rsidRPr="00734FB9">
        <w:rPr>
          <w:rFonts w:ascii="微软雅黑" w:eastAsia="微软雅黑" w:hAnsi="微软雅黑" w:cs="宋体"/>
          <w:kern w:val="0"/>
          <w:sz w:val="24"/>
          <w:szCs w:val="24"/>
        </w:rPr>
        <w:t>Myc</w:t>
      </w:r>
      <w:proofErr w:type="spellEnd"/>
      <w:r w:rsidRPr="00734FB9">
        <w:rPr>
          <w:rFonts w:ascii="微软雅黑" w:eastAsia="微软雅黑" w:hAnsi="微软雅黑" w:cs="宋体"/>
          <w:kern w:val="0"/>
          <w:sz w:val="24"/>
          <w:szCs w:val="24"/>
        </w:rPr>
        <w:t xml:space="preserve"> 可以通过下调 miR-29b-3p 来降低 microRNA (miRNA/</w:t>
      </w:r>
      <w:proofErr w:type="spellStart"/>
      <w:r w:rsidRPr="00734FB9">
        <w:rPr>
          <w:rFonts w:ascii="微软雅黑" w:eastAsia="微软雅黑" w:hAnsi="微软雅黑" w:cs="宋体"/>
          <w:kern w:val="0"/>
          <w:sz w:val="24"/>
          <w:szCs w:val="24"/>
        </w:rPr>
        <w:t>miR</w:t>
      </w:r>
      <w:proofErr w:type="spellEnd"/>
      <w:r w:rsidRPr="00734FB9">
        <w:rPr>
          <w:rFonts w:ascii="微软雅黑" w:eastAsia="微软雅黑" w:hAnsi="微软雅黑" w:cs="宋体"/>
          <w:kern w:val="0"/>
          <w:sz w:val="24"/>
          <w:szCs w:val="24"/>
        </w:rPr>
        <w:t xml:space="preserve">)-29b-3p 对 CDK6 的抑制作用，而激活的 CDK6 进一步诱导乳腺癌对 </w:t>
      </w:r>
      <w:proofErr w:type="spellStart"/>
      <w:r w:rsidRPr="00734FB9">
        <w:rPr>
          <w:rFonts w:ascii="微软雅黑" w:eastAsia="微软雅黑" w:hAnsi="微软雅黑" w:cs="宋体"/>
          <w:kern w:val="0"/>
          <w:sz w:val="24"/>
          <w:szCs w:val="24"/>
        </w:rPr>
        <w:t>palbociclib</w:t>
      </w:r>
      <w:proofErr w:type="spellEnd"/>
      <w:r w:rsidRPr="00734FB9">
        <w:rPr>
          <w:rFonts w:ascii="微软雅黑" w:eastAsia="微软雅黑" w:hAnsi="微软雅黑" w:cs="宋体"/>
          <w:kern w:val="0"/>
          <w:sz w:val="24"/>
          <w:szCs w:val="24"/>
        </w:rPr>
        <w:t xml:space="preserve"> 产生耐药性 ( </w:t>
      </w:r>
      <w:hyperlink r:id="rId47" w:anchor="b34-ijmm-50-4-05184" w:history="1">
        <w:r w:rsidRPr="00734FB9">
          <w:rPr>
            <w:rFonts w:ascii="微软雅黑" w:eastAsia="微软雅黑" w:hAnsi="微软雅黑" w:cs="宋体"/>
            <w:kern w:val="0"/>
            <w:sz w:val="24"/>
            <w:szCs w:val="24"/>
            <w:u w:val="single"/>
          </w:rPr>
          <w:t>34</w:t>
        </w:r>
      </w:hyperlink>
      <w:r w:rsidRPr="00734FB9">
        <w:rPr>
          <w:rFonts w:ascii="微软雅黑" w:eastAsia="微软雅黑" w:hAnsi="微软雅黑" w:cs="宋体"/>
          <w:kern w:val="0"/>
          <w:sz w:val="24"/>
          <w:szCs w:val="24"/>
        </w:rPr>
        <w:t> )。</w:t>
      </w:r>
    </w:p>
    <w:p w14:paraId="028F632A"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细胞周期蛋白E-CDK2通路在细胞周期从G1期向S期的进程中也发挥着重要作用。先前的研究强调，在CDK4/6抑制剂耐药细胞失去对细胞周期蛋白D-CDK4/6信号通路的依赖性后，抑制包括细胞周期蛋白E-CDK2通路在内的多种替代信号通路可以显著抑制细胞生长。CDK2抑制剂能有效降低过表达细胞周期蛋白E1的细胞的生长（</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"b35-ijmm-50-4-05184"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35</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51DBFDAD"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此外，CDK7 是一种细胞周期调节因子。CDK7 作为 CDK 激活激酶 (CAK) 发挥作用，通过维持 CDK1/2/4/6 的活性参与 G1 期和 G2 期细胞周期 ( </w:t>
      </w:r>
      <w:r w:rsidRPr="00734FB9">
        <w:rPr>
          <w:rFonts w:ascii="微软雅黑" w:eastAsia="微软雅黑" w:hAnsi="微软雅黑" w:cs="宋体"/>
          <w:kern w:val="0"/>
          <w:sz w:val="24"/>
          <w:szCs w:val="24"/>
          <w:vertAlign w:val="subscript"/>
        </w:rPr>
        <w:t>36</w:t>
      </w:r>
      <w:r w:rsidRPr="00734FB9">
        <w:rPr>
          <w:rFonts w:ascii="微软雅黑" w:eastAsia="微软雅黑" w:hAnsi="微软雅黑" w:cs="宋体"/>
          <w:kern w:val="0"/>
          <w:sz w:val="24"/>
          <w:szCs w:val="24"/>
        </w:rPr>
        <w:t> ) </w:t>
      </w:r>
      <w:r w:rsidRPr="00734FB9">
        <w:rPr>
          <w:rFonts w:ascii="微软雅黑" w:eastAsia="微软雅黑" w:hAnsi="微软雅黑" w:cs="宋体"/>
          <w:kern w:val="0"/>
          <w:sz w:val="24"/>
          <w:szCs w:val="24"/>
          <w:vertAlign w:val="subscript"/>
        </w:rPr>
        <w:t>。</w:t>
      </w:r>
      <w:r w:rsidRPr="00734FB9">
        <w:rPr>
          <w:rFonts w:ascii="微软雅黑" w:eastAsia="微软雅黑" w:hAnsi="微软雅黑" w:cs="宋体"/>
          <w:kern w:val="0"/>
          <w:sz w:val="24"/>
          <w:szCs w:val="24"/>
        </w:rPr>
        <w:lastRenderedPageBreak/>
        <w:fldChar w:fldCharType="begin"/>
      </w:r>
      <w:r w:rsidRPr="00734FB9">
        <w:rPr>
          <w:rFonts w:ascii="微软雅黑" w:eastAsia="微软雅黑" w:hAnsi="微软雅黑" w:cs="宋体"/>
          <w:kern w:val="0"/>
          <w:sz w:val="24"/>
          <w:szCs w:val="24"/>
        </w:rPr>
        <w:instrText xml:space="preserve"> HYPERLINK "https://pmc.ncbi.nlm.nih.gov/articles/PMC9448295/" \l "b36-ijmm-50-4-05184"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已有</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报道指出，CDK7 表达的增加会导致对 CDK4/6 抑制剂的耐药性（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"f3-ijmm-50-4-05184"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 3</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 ( </w:t>
      </w:r>
      <w:hyperlink r:id="rId48" w:anchor="b37-ijmm-50-4-05184" w:history="1">
        <w:r w:rsidRPr="00734FB9">
          <w:rPr>
            <w:rFonts w:ascii="微软雅黑" w:eastAsia="微软雅黑" w:hAnsi="微软雅黑" w:cs="宋体"/>
            <w:kern w:val="0"/>
            <w:sz w:val="24"/>
            <w:szCs w:val="24"/>
            <w:u w:val="single"/>
          </w:rPr>
          <w:t>37 )。在 2021 年 SABCS 会议上，一项研究报告了首个口服选择性 CDK7 抑制剂 samuraciclib (CT7001) 联合</w:t>
        </w:r>
        <w:proofErr w:type="gramStart"/>
        <w:r w:rsidRPr="00734FB9">
          <w:rPr>
            <w:rFonts w:ascii="微软雅黑" w:eastAsia="微软雅黑" w:hAnsi="微软雅黑" w:cs="宋体"/>
            <w:kern w:val="0"/>
            <w:sz w:val="24"/>
            <w:szCs w:val="24"/>
            <w:u w:val="single"/>
          </w:rPr>
          <w:t>氟维司群治疗</w:t>
        </w:r>
        <w:proofErr w:type="gramEnd"/>
        <w:r w:rsidRPr="00734FB9">
          <w:rPr>
            <w:rFonts w:ascii="微软雅黑" w:eastAsia="微软雅黑" w:hAnsi="微软雅黑" w:cs="宋体"/>
            <w:kern w:val="0"/>
            <w:sz w:val="24"/>
            <w:szCs w:val="24"/>
            <w:u w:val="single"/>
          </w:rPr>
          <w:t xml:space="preserve"> HR </w:t>
        </w:r>
      </w:hyperlink>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/HER2-晚期</w:t>
      </w:r>
      <w:r w:rsidRPr="00734FB9">
        <w:rPr>
          <w:rFonts w:ascii="微软雅黑" w:eastAsia="微软雅黑" w:hAnsi="微软雅黑" w:cs="宋体"/>
          <w:kern w:val="0"/>
          <w:sz w:val="24"/>
          <w:szCs w:val="24"/>
          <w:vertAlign w:val="superscript"/>
        </w:rPr>
        <w:t>乳腺癌</w:t>
      </w:r>
      <w:r w:rsidRPr="00734FB9">
        <w:rPr>
          <w:rFonts w:ascii="微软雅黑" w:eastAsia="微软雅黑" w:hAnsi="微软雅黑" w:cs="宋体"/>
          <w:kern w:val="0"/>
          <w:sz w:val="24"/>
          <w:szCs w:val="24"/>
        </w:rPr>
        <w:t>患者的疗效和安全性已得到证实( </w:t>
      </w:r>
      <w:hyperlink r:id="rId49" w:anchor="b38-ijmm-50-4-05184" w:history="1">
        <w:r w:rsidRPr="00734FB9">
          <w:rPr>
            <w:rFonts w:ascii="微软雅黑" w:eastAsia="微软雅黑" w:hAnsi="微软雅黑" w:cs="宋体"/>
            <w:kern w:val="0"/>
            <w:sz w:val="24"/>
            <w:szCs w:val="24"/>
            <w:u w:val="single"/>
          </w:rPr>
          <w:t>38</w:t>
        </w:r>
      </w:hyperlink>
      <w:r w:rsidRPr="00734FB9">
        <w:rPr>
          <w:rFonts w:ascii="微软雅黑" w:eastAsia="微软雅黑" w:hAnsi="微软雅黑" w:cs="宋体"/>
          <w:kern w:val="0"/>
          <w:sz w:val="24"/>
          <w:szCs w:val="24"/>
        </w:rPr>
        <w:t> )。</w:t>
      </w:r>
    </w:p>
    <w:p w14:paraId="7F9FB142"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CDK相互作用蛋白/激酶抑制蛋白（CIP/KIP）家族表达缺失</w:t>
      </w:r>
    </w:p>
    <w:p w14:paraId="2C6038E6"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CIP/KIP家族包括p21 </w:t>
      </w:r>
      <w:r w:rsidRPr="00734FB9">
        <w:rPr>
          <w:rFonts w:ascii="微软雅黑" w:eastAsia="微软雅黑" w:hAnsi="微软雅黑" w:cs="宋体"/>
          <w:kern w:val="0"/>
          <w:sz w:val="24"/>
          <w:szCs w:val="24"/>
          <w:vertAlign w:val="superscript"/>
        </w:rPr>
        <w:t>CIP1</w:t>
      </w:r>
      <w:r w:rsidRPr="00734FB9">
        <w:rPr>
          <w:rFonts w:ascii="微软雅黑" w:eastAsia="微软雅黑" w:hAnsi="微软雅黑" w:cs="宋体"/>
          <w:kern w:val="0"/>
          <w:sz w:val="24"/>
          <w:szCs w:val="24"/>
        </w:rPr>
        <w:t>（由CDKN1A编码）、p27 </w:t>
      </w:r>
      <w:r w:rsidRPr="00734FB9">
        <w:rPr>
          <w:rFonts w:ascii="微软雅黑" w:eastAsia="微软雅黑" w:hAnsi="微软雅黑" w:cs="宋体"/>
          <w:kern w:val="0"/>
          <w:sz w:val="24"/>
          <w:szCs w:val="24"/>
          <w:vertAlign w:val="superscript"/>
        </w:rPr>
        <w:t>KIP1</w:t>
      </w:r>
      <w:r w:rsidRPr="00734FB9">
        <w:rPr>
          <w:rFonts w:ascii="微软雅黑" w:eastAsia="微软雅黑" w:hAnsi="微软雅黑" w:cs="宋体"/>
          <w:kern w:val="0"/>
          <w:sz w:val="24"/>
          <w:szCs w:val="24"/>
        </w:rPr>
        <w:t>（由CDKN1B编码）和p57 </w:t>
      </w:r>
      <w:r w:rsidRPr="00734FB9">
        <w:rPr>
          <w:rFonts w:ascii="微软雅黑" w:eastAsia="微软雅黑" w:hAnsi="微软雅黑" w:cs="宋体"/>
          <w:kern w:val="0"/>
          <w:sz w:val="24"/>
          <w:szCs w:val="24"/>
          <w:vertAlign w:val="superscript"/>
        </w:rPr>
        <w:t>KIP2</w:t>
      </w:r>
      <w:r w:rsidRPr="00734FB9">
        <w:rPr>
          <w:rFonts w:ascii="微软雅黑" w:eastAsia="微软雅黑" w:hAnsi="微软雅黑" w:cs="宋体"/>
          <w:kern w:val="0"/>
          <w:sz w:val="24"/>
          <w:szCs w:val="24"/>
        </w:rPr>
        <w:t>（由CDKN1C编码）。该蛋白家族既包含CDK抑制剂，也包含稳定的细胞周期蛋白-CDK复合物。一项研究表明，p21和p27参与细胞G1 </w:t>
      </w:r>
      <w:r w:rsidRPr="00734FB9">
        <w:rPr>
          <w:rFonts w:ascii="微软雅黑" w:eastAsia="微软雅黑" w:hAnsi="微软雅黑" w:cs="宋体"/>
          <w:kern w:val="0"/>
          <w:sz w:val="24"/>
          <w:szCs w:val="24"/>
          <w:vertAlign w:val="subscript"/>
        </w:rPr>
        <w:t>/</w:t>
      </w:r>
      <w:r w:rsidRPr="00734FB9">
        <w:rPr>
          <w:rFonts w:ascii="微软雅黑" w:eastAsia="微软雅黑" w:hAnsi="微软雅黑" w:cs="宋体"/>
          <w:kern w:val="0"/>
          <w:sz w:val="24"/>
          <w:szCs w:val="24"/>
        </w:rPr>
        <w:t> S期调控（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"b39-ijmm-50-4-05184"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39</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）。因此，CIP/KIP家族缺失导致的细胞周期蛋白-CDK-Rb信号通路激活与CDK4/6抑制剂耐药性相关（</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"b40-ijmm-50-4-05184"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40</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02739637"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此外，一项研究发现组蛋白去乙酰化酶（HDAC）对内源性CDK抑制剂p21 CIP1具有抑制作用，而HDAC抑制剂可以上调p21 </w:t>
      </w:r>
      <w:r w:rsidRPr="00734FB9">
        <w:rPr>
          <w:rFonts w:ascii="微软雅黑" w:eastAsia="微软雅黑" w:hAnsi="微软雅黑" w:cs="宋体"/>
          <w:kern w:val="0"/>
          <w:sz w:val="24"/>
          <w:szCs w:val="24"/>
          <w:vertAlign w:val="superscript"/>
        </w:rPr>
        <w:t>CIP1</w:t>
      </w:r>
      <w:r w:rsidRPr="00734FB9">
        <w:rPr>
          <w:rFonts w:ascii="微软雅黑" w:eastAsia="微软雅黑" w:hAnsi="微软雅黑" w:cs="宋体"/>
          <w:kern w:val="0"/>
          <w:sz w:val="24"/>
          <w:szCs w:val="24"/>
        </w:rPr>
        <w:t>的表达。无论</w:t>
      </w:r>
      <w:r w:rsidRPr="00734FB9">
        <w:rPr>
          <w:rFonts w:ascii="微软雅黑" w:eastAsia="微软雅黑" w:hAnsi="微软雅黑" w:cs="宋体"/>
          <w:i/>
          <w:iCs/>
          <w:kern w:val="0"/>
          <w:sz w:val="24"/>
          <w:szCs w:val="24"/>
        </w:rPr>
        <w:t>在体外</w:t>
      </w:r>
      <w:r w:rsidRPr="00734FB9">
        <w:rPr>
          <w:rFonts w:ascii="微软雅黑" w:eastAsia="微软雅黑" w:hAnsi="微软雅黑" w:cs="宋体"/>
          <w:kern w:val="0"/>
          <w:sz w:val="24"/>
          <w:szCs w:val="24"/>
        </w:rPr>
        <w:t>还是</w:t>
      </w:r>
      <w:r w:rsidRPr="00734FB9">
        <w:rPr>
          <w:rFonts w:ascii="微软雅黑" w:eastAsia="微软雅黑" w:hAnsi="微软雅黑" w:cs="宋体"/>
          <w:i/>
          <w:iCs/>
          <w:kern w:val="0"/>
          <w:sz w:val="24"/>
          <w:szCs w:val="24"/>
        </w:rPr>
        <w:t>体内</w:t>
      </w:r>
      <w:r w:rsidRPr="00734FB9">
        <w:rPr>
          <w:rFonts w:ascii="微软雅黑" w:eastAsia="微软雅黑" w:hAnsi="微软雅黑" w:cs="宋体"/>
          <w:kern w:val="0"/>
          <w:sz w:val="24"/>
          <w:szCs w:val="24"/>
        </w:rPr>
        <w:t>，HDAC抑制剂均可增加雌激素受体（ER）和芳香化酶的表达，并恢复乳腺癌细胞对激素阻断的敏感性（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"b41-ijmm-50-4-05184"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41</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）。在依西美坦治疗中加入恩</w:t>
      </w:r>
      <w:proofErr w:type="gramStart"/>
      <w:r w:rsidRPr="00734FB9">
        <w:rPr>
          <w:rFonts w:ascii="微软雅黑" w:eastAsia="微软雅黑" w:hAnsi="微软雅黑" w:cs="宋体"/>
          <w:kern w:val="0"/>
          <w:sz w:val="24"/>
          <w:szCs w:val="24"/>
        </w:rPr>
        <w:t>替诺他或妥昔诺他</w:t>
      </w:r>
      <w:proofErr w:type="gramEnd"/>
      <w:r w:rsidRPr="00734FB9">
        <w:rPr>
          <w:rFonts w:ascii="微软雅黑" w:eastAsia="微软雅黑" w:hAnsi="微软雅黑" w:cs="宋体"/>
          <w:kern w:val="0"/>
          <w:sz w:val="24"/>
          <w:szCs w:val="24"/>
        </w:rPr>
        <w:t>可以改善中位无进展生存期（</w:t>
      </w:r>
      <w:proofErr w:type="spellStart"/>
      <w:r w:rsidRPr="00734FB9">
        <w:rPr>
          <w:rFonts w:ascii="微软雅黑" w:eastAsia="微软雅黑" w:hAnsi="微软雅黑" w:cs="宋体"/>
          <w:kern w:val="0"/>
          <w:sz w:val="24"/>
          <w:szCs w:val="24"/>
        </w:rPr>
        <w:t>mPFS</w:t>
      </w:r>
      <w:proofErr w:type="spellEnd"/>
      <w:r w:rsidRPr="00734FB9">
        <w:rPr>
          <w:rFonts w:ascii="微软雅黑" w:eastAsia="微软雅黑" w:hAnsi="微软雅黑" w:cs="宋体"/>
          <w:kern w:val="0"/>
          <w:sz w:val="24"/>
          <w:szCs w:val="24"/>
        </w:rPr>
        <w:t>）（恩</w:t>
      </w:r>
      <w:proofErr w:type="gramStart"/>
      <w:r w:rsidRPr="00734FB9">
        <w:rPr>
          <w:rFonts w:ascii="微软雅黑" w:eastAsia="微软雅黑" w:hAnsi="微软雅黑" w:cs="宋体"/>
          <w:kern w:val="0"/>
          <w:sz w:val="24"/>
          <w:szCs w:val="24"/>
        </w:rPr>
        <w:t>替诺他</w:t>
      </w:r>
      <w:proofErr w:type="gramEnd"/>
      <w:r w:rsidRPr="00734FB9">
        <w:rPr>
          <w:rFonts w:ascii="微软雅黑" w:eastAsia="微软雅黑" w:hAnsi="微软雅黑" w:cs="宋体"/>
          <w:kern w:val="0"/>
          <w:sz w:val="24"/>
          <w:szCs w:val="24"/>
        </w:rPr>
        <w:t>：4.3个月 vs. 2.3个月；P=0.055；</w:t>
      </w:r>
      <w:proofErr w:type="gramStart"/>
      <w:r w:rsidRPr="00734FB9">
        <w:rPr>
          <w:rFonts w:ascii="微软雅黑" w:eastAsia="微软雅黑" w:hAnsi="微软雅黑" w:cs="宋体"/>
          <w:kern w:val="0"/>
          <w:sz w:val="24"/>
          <w:szCs w:val="24"/>
        </w:rPr>
        <w:t>妥昔诺他</w:t>
      </w:r>
      <w:proofErr w:type="gramEnd"/>
      <w:r w:rsidRPr="00734FB9">
        <w:rPr>
          <w:rFonts w:ascii="微软雅黑" w:eastAsia="微软雅黑" w:hAnsi="微软雅黑" w:cs="宋体"/>
          <w:kern w:val="0"/>
          <w:sz w:val="24"/>
          <w:szCs w:val="24"/>
        </w:rPr>
        <w:t>：7.4个月 vs. 3.8个月；P=0.033），并且在非</w:t>
      </w:r>
      <w:proofErr w:type="gramStart"/>
      <w:r w:rsidRPr="00734FB9">
        <w:rPr>
          <w:rFonts w:ascii="微软雅黑" w:eastAsia="微软雅黑" w:hAnsi="微软雅黑" w:cs="宋体"/>
          <w:kern w:val="0"/>
          <w:sz w:val="24"/>
          <w:szCs w:val="24"/>
        </w:rPr>
        <w:t>甾</w:t>
      </w:r>
      <w:proofErr w:type="gramEnd"/>
      <w:r w:rsidRPr="00734FB9">
        <w:rPr>
          <w:rFonts w:ascii="微软雅黑" w:eastAsia="微软雅黑" w:hAnsi="微软雅黑" w:cs="宋体"/>
          <w:kern w:val="0"/>
          <w:sz w:val="24"/>
          <w:szCs w:val="24"/>
        </w:rPr>
        <w:t>体类芳香化酶抑制剂（NSAI）耐药的患者中观察到了显著改善（</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"b42-ijmm-50-4-05184"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42</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 , </w:t>
      </w:r>
      <w:hyperlink r:id="rId50" w:anchor="b43-ijmm-50-4-05184" w:history="1">
        <w:r w:rsidRPr="00734FB9">
          <w:rPr>
            <w:rFonts w:ascii="微软雅黑" w:eastAsia="微软雅黑" w:hAnsi="微软雅黑" w:cs="宋体"/>
            <w:kern w:val="0"/>
            <w:sz w:val="24"/>
            <w:szCs w:val="24"/>
            <w:u w:val="single"/>
          </w:rPr>
          <w:t>43</w:t>
        </w:r>
      </w:hyperlink>
      <w:r w:rsidRPr="00734FB9">
        <w:rPr>
          <w:rFonts w:ascii="微软雅黑" w:eastAsia="微软雅黑" w:hAnsi="微软雅黑" w:cs="宋体"/>
          <w:kern w:val="0"/>
          <w:sz w:val="24"/>
          <w:szCs w:val="24"/>
        </w:rPr>
        <w:t>）。这支持了 HDAC 抑制可能通过 CIP/KIP 家族增强 CDK4/6 抑制剂活性的假设，表明 HDAC 抑制剂和 CDK4/6 抑制剂的联合使用可能对 CDK4/6 抑制剂耐药的患者有益（</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"f3-ijmm-50-4-05184"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 3</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27567A79"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lastRenderedPageBreak/>
        <w:t>WEE1 G2 检查点激酶 (WEE1) 的过表达</w:t>
      </w:r>
    </w:p>
    <w:p w14:paraId="3BA53A2B"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WEE1属于丝氨酸/苏氨酸蛋白激酶家族，在确保DNA精确复制、维持染色体完整性、阻断异常细胞DNA复制以及细胞周期G2/M期转换方面发挥关键作用（</w:t>
      </w:r>
      <w:r w:rsidRPr="00734FB9">
        <w:rPr>
          <w:rFonts w:ascii="微软雅黑" w:eastAsia="微软雅黑" w:hAnsi="微软雅黑" w:cs="宋体"/>
          <w:kern w:val="0"/>
          <w:sz w:val="24"/>
          <w:szCs w:val="24"/>
          <w:vertAlign w:val="subscript"/>
        </w:rPr>
        <w:t>44 </w:t>
      </w:r>
      <w:hyperlink r:id="rId51" w:anchor="b44-ijmm-50-4-05184" w:history="1">
        <w:r w:rsidRPr="00734FB9">
          <w:rPr>
            <w:rFonts w:ascii="微软雅黑" w:eastAsia="微软雅黑" w:hAnsi="微软雅黑" w:cs="宋体"/>
            <w:kern w:val="0"/>
            <w:sz w:val="24"/>
            <w:szCs w:val="24"/>
            <w:u w:val="single"/>
          </w:rPr>
          <w:t>）</w:t>
        </w:r>
      </w:hyperlink>
      <w:r w:rsidRPr="00734FB9">
        <w:rPr>
          <w:rFonts w:ascii="微软雅黑" w:eastAsia="微软雅黑" w:hAnsi="微软雅黑" w:cs="宋体"/>
          <w:kern w:val="0"/>
          <w:sz w:val="24"/>
          <w:szCs w:val="24"/>
        </w:rPr>
        <w:t>。WEE1和CDK1协同抑制DNA损伤细胞进入有丝分裂，而WEE1抑制则通过迫使细胞经历连续的复制周期来促进有丝分裂并加剧基因组不稳定性，最终导致细胞因有丝分裂灾难而凋亡。研究发现，WEE1抑制剂与化疗联合使用可协同增强对肿瘤细胞的DNA损伤并阻断细胞周期转换（</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"b44-ijmm-50-4-05184"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44</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）。同时，一项研究表明，WEE1的过表达可诱导肿瘤对CDK4/6抑制剂产生耐药性。因此，抑制WEE1可以提高CDK4/6抑制剂耐药细胞对CDK4/6抑制剂的敏感性（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"f3-ijmm-50-4-05184"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图3</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hyperlink r:id="rId52" w:anchor="b45-ijmm-50-4-05184" w:history="1">
        <w:r w:rsidRPr="00734FB9">
          <w:rPr>
            <w:rFonts w:ascii="微软雅黑" w:eastAsia="微软雅黑" w:hAnsi="微软雅黑" w:cs="宋体"/>
            <w:kern w:val="0"/>
            <w:sz w:val="24"/>
            <w:szCs w:val="24"/>
            <w:u w:val="single"/>
          </w:rPr>
          <w:t>45</w:t>
        </w:r>
      </w:hyperlink>
      <w:r w:rsidRPr="00734FB9">
        <w:rPr>
          <w:rFonts w:ascii="微软雅黑" w:eastAsia="微软雅黑" w:hAnsi="微软雅黑" w:cs="宋体"/>
          <w:kern w:val="0"/>
          <w:sz w:val="24"/>
          <w:szCs w:val="24"/>
        </w:rPr>
        <w:t>）。</w:t>
      </w:r>
    </w:p>
    <w:p w14:paraId="4CB555AB"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缺失 fizzy 和细胞分裂周期 20 相关 1 (FZR1)</w:t>
      </w:r>
    </w:p>
    <w:p w14:paraId="63A456FD"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FZR1通过激活泛素连接酶APC/C形成后期促进复合物（APC/C）-FZR1复合物。APC/C-FZR1复合物在细胞周期的G1期与RB相互作用（</w:t>
      </w:r>
      <w:r w:rsidRPr="00734FB9">
        <w:rPr>
          <w:rFonts w:ascii="微软雅黑" w:eastAsia="微软雅黑" w:hAnsi="微软雅黑" w:cs="宋体"/>
          <w:kern w:val="0"/>
          <w:sz w:val="24"/>
          <w:szCs w:val="24"/>
          <w:vertAlign w:val="subscript"/>
        </w:rPr>
        <w:t>46 </w:t>
      </w:r>
      <w:hyperlink r:id="rId53" w:anchor="b46-ijmm-50-4-05184" w:history="1">
        <w:r w:rsidRPr="00734FB9">
          <w:rPr>
            <w:rFonts w:ascii="微软雅黑" w:eastAsia="微软雅黑" w:hAnsi="微软雅黑" w:cs="宋体"/>
            <w:kern w:val="0"/>
            <w:sz w:val="24"/>
            <w:szCs w:val="24"/>
            <w:u w:val="single"/>
          </w:rPr>
          <w:t>）</w:t>
        </w:r>
      </w:hyperlink>
      <w:r w:rsidRPr="00734FB9">
        <w:rPr>
          <w:rFonts w:ascii="微软雅黑" w:eastAsia="微软雅黑" w:hAnsi="微软雅黑" w:cs="宋体"/>
          <w:kern w:val="0"/>
          <w:sz w:val="24"/>
          <w:szCs w:val="24"/>
        </w:rPr>
        <w:t>。此外，APC/C-FZR1复合物通过降解S期激酶相关蛋白2（SPK2）进一步上调天然CDK抑制剂p27，导致CDK2、CDK4和CDK6表达降低（</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"b47-ijmm-50-4-05184"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47</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）。因此，FZR1的缺失会导致对CDK4/6抑制剂的耐药性，其机制尚需进一步研究（</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"f3-ijmm-50-4-05184"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图3</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32AA07E5"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小鼠双微体2同源物（MDM2）过表达</w:t>
      </w:r>
    </w:p>
    <w:p w14:paraId="3FFDA9D1"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MDM2是一种负调控p53活性的蛋白质。MDM2抑制剂可通过破坏MDM2-p53复合物来激活p53（</w:t>
      </w:r>
      <w:hyperlink r:id="rId54" w:anchor="b48-ijmm-50-4-05184" w:history="1">
        <w:r w:rsidRPr="00734FB9">
          <w:rPr>
            <w:rFonts w:ascii="微软雅黑" w:eastAsia="微软雅黑" w:hAnsi="微软雅黑" w:cs="宋体"/>
            <w:kern w:val="0"/>
            <w:sz w:val="24"/>
            <w:szCs w:val="24"/>
            <w:u w:val="single"/>
          </w:rPr>
          <w:t>48</w:t>
        </w:r>
      </w:hyperlink>
      <w:r w:rsidRPr="00734FB9">
        <w:rPr>
          <w:rFonts w:ascii="微软雅黑" w:eastAsia="微软雅黑" w:hAnsi="微软雅黑" w:cs="宋体"/>
          <w:kern w:val="0"/>
          <w:sz w:val="24"/>
          <w:szCs w:val="24"/>
        </w:rPr>
        <w:t>）。p53可激活天然CDK4抑制剂p21CIP1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导致细胞周期阻滞（</w:t>
      </w:r>
      <w:hyperlink r:id="rId55" w:anchor="b49-ijmm-50-4-05184" w:history="1">
        <w:r w:rsidRPr="00734FB9">
          <w:rPr>
            <w:rFonts w:ascii="微软雅黑" w:eastAsia="微软雅黑" w:hAnsi="微软雅黑" w:cs="宋体"/>
            <w:kern w:val="0"/>
            <w:sz w:val="24"/>
            <w:szCs w:val="24"/>
            <w:u w:val="single"/>
          </w:rPr>
          <w:t>49</w:t>
        </w:r>
      </w:hyperlink>
      <w:r w:rsidRPr="00734FB9">
        <w:rPr>
          <w:rFonts w:ascii="微软雅黑" w:eastAsia="微软雅黑" w:hAnsi="微软雅黑" w:cs="宋体"/>
          <w:kern w:val="0"/>
          <w:sz w:val="24"/>
          <w:szCs w:val="24"/>
        </w:rPr>
        <w:t>）。NVP-CGM097是首批新一代MDM2抑制剂之一，目前</w:t>
      </w:r>
      <w:r w:rsidRPr="00734FB9">
        <w:rPr>
          <w:rFonts w:ascii="微软雅黑" w:eastAsia="微软雅黑" w:hAnsi="微软雅黑" w:cs="宋体"/>
          <w:kern w:val="0"/>
          <w:sz w:val="24"/>
          <w:szCs w:val="24"/>
        </w:rPr>
        <w:lastRenderedPageBreak/>
        <w:t>已进入I期临床试验（</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"https://clinicaltrials.gov/ct2/show/NCT01760525" \t "_blank"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NCT01760525</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hyperlink r:id="rId56" w:anchor="b9-ijmm-50-4-05184" w:history="1">
        <w:r w:rsidRPr="00734FB9">
          <w:rPr>
            <w:rFonts w:ascii="微软雅黑" w:eastAsia="微软雅黑" w:hAnsi="微软雅黑" w:cs="宋体"/>
            <w:kern w:val="0"/>
            <w:sz w:val="24"/>
            <w:szCs w:val="24"/>
            <w:u w:val="single"/>
          </w:rPr>
          <w:t>9</w:t>
        </w:r>
      </w:hyperlink>
      <w:r w:rsidRPr="00734FB9">
        <w:rPr>
          <w:rFonts w:ascii="微软雅黑" w:eastAsia="微软雅黑" w:hAnsi="微软雅黑" w:cs="宋体"/>
          <w:kern w:val="0"/>
          <w:sz w:val="24"/>
          <w:szCs w:val="24"/>
        </w:rPr>
        <w:t>）。尽管MDM2抑制剂的作用机制仍需进一步研究和探索，但MDM2抑制可能成为治疗CDK4/6抑制剂耐药性的新靶点（</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"f3-ijmm-50-4-05184"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图3</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016897AA"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miRNA</w:t>
      </w:r>
    </w:p>
    <w:p w14:paraId="248EF4FB"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大量临床前研究发现，miRNA在多种肿瘤的进展中发挥作用，包括胶质母细胞瘤、卵巢癌和结肠癌。miR-302通过抑制细胞周期蛋白D-CDK4/6和细胞周期蛋白E-CDK2通路诱导细胞周期G1/S期阻滞（</w:t>
      </w:r>
      <w:r w:rsidRPr="00734FB9">
        <w:rPr>
          <w:rFonts w:ascii="微软雅黑" w:eastAsia="微软雅黑" w:hAnsi="微软雅黑" w:cs="宋体"/>
          <w:kern w:val="0"/>
          <w:sz w:val="24"/>
          <w:szCs w:val="24"/>
          <w:vertAlign w:val="subscript"/>
        </w:rPr>
        <w:t>50 </w:t>
      </w:r>
      <w:hyperlink r:id="rId57" w:anchor="b50-ijmm-50-4-05184" w:history="1">
        <w:r w:rsidRPr="00734FB9">
          <w:rPr>
            <w:rFonts w:ascii="微软雅黑" w:eastAsia="微软雅黑" w:hAnsi="微软雅黑" w:cs="宋体"/>
            <w:kern w:val="0"/>
            <w:sz w:val="24"/>
            <w:szCs w:val="24"/>
            <w:u w:val="single"/>
          </w:rPr>
          <w:t>）</w:t>
        </w:r>
      </w:hyperlink>
      <w:r w:rsidRPr="00734FB9">
        <w:rPr>
          <w:rFonts w:ascii="微软雅黑" w:eastAsia="微软雅黑" w:hAnsi="微软雅黑" w:cs="宋体"/>
          <w:kern w:val="0"/>
          <w:sz w:val="24"/>
          <w:szCs w:val="24"/>
        </w:rPr>
        <w:t> 。miR-138通过直接靶向细胞周期基因（如CDK6、E2F2和E2F3 ）诱导细胞周期G1 </w:t>
      </w:r>
      <w:r w:rsidRPr="00734FB9">
        <w:rPr>
          <w:rFonts w:ascii="微软雅黑" w:eastAsia="微软雅黑" w:hAnsi="微软雅黑" w:cs="宋体"/>
          <w:kern w:val="0"/>
          <w:sz w:val="24"/>
          <w:szCs w:val="24"/>
          <w:vertAlign w:val="subscript"/>
        </w:rPr>
        <w:t>/ S期阻滞（ </w:t>
      </w:r>
      <w:hyperlink r:id="rId58" w:anchor="b51-ijmm-50-4-05184" w:history="1">
        <w:r w:rsidRPr="00734FB9">
          <w:rPr>
            <w:rFonts w:ascii="微软雅黑" w:eastAsia="微软雅黑" w:hAnsi="微软雅黑" w:cs="宋体"/>
            <w:kern w:val="0"/>
            <w:sz w:val="24"/>
            <w:szCs w:val="24"/>
            <w:u w:val="single"/>
          </w:rPr>
          <w:t>51</w:t>
        </w:r>
      </w:hyperlink>
      <w:r w:rsidRPr="00734FB9">
        <w:rPr>
          <w:rFonts w:ascii="微软雅黑" w:eastAsia="微软雅黑" w:hAnsi="微软雅黑" w:cs="宋体"/>
          <w:kern w:val="0"/>
          <w:sz w:val="24"/>
          <w:szCs w:val="24"/>
        </w:rPr>
        <w:t>）。miR-506直接靶向CDK4和CDK6，并进一步抑制CDK4/6-叉头框蛋白M1信号通路，从而抑制细胞增殖（</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"b52-ijmm-50-4-05184"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52</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）。包含 miR-6883-5p、miR-149、miR-6785-5p 和 miR-4728-5p 的 miRNA 家族通过直接靶向 CDK4/6 mRNA 的非翻译区抑制细胞增殖 ( </w:t>
      </w:r>
      <w:hyperlink r:id="rId59" w:anchor="b53-ijmm-50-4-05184" w:history="1">
        <w:r w:rsidRPr="00734FB9">
          <w:rPr>
            <w:rFonts w:ascii="微软雅黑" w:eastAsia="微软雅黑" w:hAnsi="微软雅黑" w:cs="宋体"/>
            <w:kern w:val="0"/>
            <w:sz w:val="24"/>
            <w:szCs w:val="24"/>
            <w:u w:val="single"/>
          </w:rPr>
          <w:t>53 )。miR-432-5p 通过抑制 TGF-β 通路诱导 ER </w:t>
        </w:r>
      </w:hyperlink>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乳腺癌细胞中 CDK6 的过表达，从而进一步拮抗 CDK4/6 抑制剂的作用 ( </w:t>
      </w:r>
      <w:hyperlink r:id="rId60" w:anchor="b54-ijmm-50-4-05184" w:history="1">
        <w:r w:rsidRPr="00734FB9">
          <w:rPr>
            <w:rFonts w:ascii="微软雅黑" w:eastAsia="微软雅黑" w:hAnsi="微软雅黑" w:cs="宋体"/>
            <w:kern w:val="0"/>
            <w:sz w:val="24"/>
            <w:szCs w:val="24"/>
            <w:u w:val="single"/>
          </w:rPr>
          <w:t>54</w:t>
        </w:r>
      </w:hyperlink>
      <w:r w:rsidRPr="00734FB9">
        <w:rPr>
          <w:rFonts w:ascii="微软雅黑" w:eastAsia="微软雅黑" w:hAnsi="微软雅黑" w:cs="宋体"/>
          <w:kern w:val="0"/>
          <w:sz w:val="24"/>
          <w:szCs w:val="24"/>
        </w:rPr>
        <w:t> )。因此，靶向调控相关 miRNA 为 CDK4/6 抑制剂耐药的乳腺癌患者提供了一种新的治疗方向 (</w:t>
      </w:r>
      <w:hyperlink r:id="rId61" w:anchor="f3-ijmm-50-4-05184" w:history="1">
        <w:r w:rsidRPr="00734FB9">
          <w:rPr>
            <w:rFonts w:ascii="微软雅黑" w:eastAsia="微软雅黑" w:hAnsi="微软雅黑" w:cs="宋体"/>
            <w:kern w:val="0"/>
            <w:sz w:val="24"/>
            <w:szCs w:val="24"/>
            <w:u w:val="single"/>
          </w:rPr>
          <w:t>图 3</w:t>
        </w:r>
      </w:hyperlink>
      <w:r w:rsidRPr="00734FB9">
        <w:rPr>
          <w:rFonts w:ascii="微软雅黑" w:eastAsia="微软雅黑" w:hAnsi="微软雅黑" w:cs="宋体"/>
          <w:kern w:val="0"/>
          <w:sz w:val="24"/>
          <w:szCs w:val="24"/>
        </w:rPr>
        <w:t> )。</w:t>
      </w:r>
    </w:p>
    <w:p w14:paraId="1B58F8B6"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细胞周期非特异性机制</w:t>
      </w:r>
    </w:p>
    <w:p w14:paraId="3F4A0D96" w14:textId="77777777" w:rsidR="00734FB9" w:rsidRPr="00734FB9" w:rsidRDefault="00734FB9" w:rsidP="00734FB9">
      <w:pPr>
        <w:widowControl/>
        <w:spacing w:line="450" w:lineRule="atLeast"/>
        <w:outlineLvl w:val="3"/>
        <w:rPr>
          <w:rFonts w:ascii="微软雅黑" w:eastAsia="微软雅黑" w:hAnsi="微软雅黑" w:cs="宋体"/>
          <w:kern w:val="0"/>
          <w:sz w:val="30"/>
          <w:szCs w:val="30"/>
        </w:rPr>
      </w:pPr>
      <w:r w:rsidRPr="00734FB9">
        <w:rPr>
          <w:rFonts w:ascii="微软雅黑" w:eastAsia="微软雅黑" w:hAnsi="微软雅黑" w:cs="宋体"/>
          <w:kern w:val="0"/>
          <w:sz w:val="30"/>
          <w:szCs w:val="30"/>
        </w:rPr>
        <w:t>成纤维细胞生长因子受体1 (FGFR1) 信号通路</w:t>
      </w:r>
    </w:p>
    <w:p w14:paraId="16F7FCD0"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FGFR1信号通路与多种关键生物学过程相关，包括细胞增殖、分化和存活（</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"b55-ijmm-50-4-05184"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55</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）。FGFR1在癌症进展中发挥重要作用。在内分泌耐药的乳腺癌细胞中，FGFR1的扩增激活了PI3K/AKT和RAS/MEK/ERK信号通路，这与CDK4/6抑制剂耐药性相关（</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"b56-ijmm-50-4-05184"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56</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）。在MONALEESA-2试验中，FGFR酪氨酸激酶抑制剂</w:t>
      </w:r>
      <w:proofErr w:type="spellStart"/>
      <w:r w:rsidRPr="00734FB9">
        <w:rPr>
          <w:rFonts w:ascii="微软雅黑" w:eastAsia="微软雅黑" w:hAnsi="微软雅黑" w:cs="宋体"/>
          <w:kern w:val="0"/>
          <w:sz w:val="24"/>
          <w:szCs w:val="24"/>
        </w:rPr>
        <w:t>lucitanib</w:t>
      </w:r>
      <w:proofErr w:type="spellEnd"/>
      <w:r w:rsidRPr="00734FB9">
        <w:rPr>
          <w:rFonts w:ascii="微软雅黑" w:eastAsia="微软雅黑" w:hAnsi="微软雅黑" w:cs="宋体"/>
          <w:kern w:val="0"/>
          <w:sz w:val="24"/>
          <w:szCs w:val="24"/>
        </w:rPr>
        <w:lastRenderedPageBreak/>
        <w:t>联合治疗消除了对特异性CDK4/6抑制剂</w:t>
      </w:r>
      <w:proofErr w:type="spellStart"/>
      <w:r w:rsidRPr="00734FB9">
        <w:rPr>
          <w:rFonts w:ascii="微软雅黑" w:eastAsia="微软雅黑" w:hAnsi="微软雅黑" w:cs="宋体"/>
          <w:kern w:val="0"/>
          <w:sz w:val="24"/>
          <w:szCs w:val="24"/>
        </w:rPr>
        <w:t>ribociclib</w:t>
      </w:r>
      <w:proofErr w:type="spellEnd"/>
      <w:r w:rsidRPr="00734FB9">
        <w:rPr>
          <w:rFonts w:ascii="微软雅黑" w:eastAsia="微软雅黑" w:hAnsi="微软雅黑" w:cs="宋体"/>
          <w:kern w:val="0"/>
          <w:sz w:val="24"/>
          <w:szCs w:val="24"/>
        </w:rPr>
        <w:t>的耐药性（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"b57-ijmm-50-4-05184"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57</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）。因此，抑制FGFR1通路可能是克服CDK4/6抑制剂耐药性的可行方案（</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"f4-ijmm-50-4-05184"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图4</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42AA741B" w14:textId="77777777" w:rsidR="00734FB9" w:rsidRPr="00734FB9" w:rsidRDefault="00734FB9" w:rsidP="00734FB9">
      <w:pPr>
        <w:widowControl/>
        <w:spacing w:line="450" w:lineRule="atLeast"/>
        <w:outlineLvl w:val="4"/>
        <w:rPr>
          <w:rFonts w:ascii="微软雅黑" w:eastAsia="微软雅黑" w:hAnsi="微软雅黑" w:cs="宋体"/>
          <w:kern w:val="0"/>
          <w:sz w:val="30"/>
          <w:szCs w:val="30"/>
        </w:rPr>
      </w:pPr>
      <w:r w:rsidRPr="00734FB9">
        <w:rPr>
          <w:rFonts w:ascii="微软雅黑" w:eastAsia="微软雅黑" w:hAnsi="微软雅黑" w:cs="宋体"/>
          <w:kern w:val="0"/>
          <w:sz w:val="30"/>
          <w:szCs w:val="30"/>
        </w:rPr>
        <w:t>图 4。</w:t>
      </w:r>
    </w:p>
    <w:p w14:paraId="203500A9" w14:textId="7631504C" w:rsidR="00734FB9" w:rsidRPr="00734FB9" w:rsidRDefault="00734FB9" w:rsidP="00734FB9">
      <w:pPr>
        <w:widowControl/>
        <w:spacing w:before="450"/>
        <w:rPr>
          <w:rFonts w:ascii="微软雅黑" w:eastAsia="微软雅黑" w:hAnsi="微软雅黑" w:cs="宋体"/>
          <w:kern w:val="0"/>
          <w:sz w:val="24"/>
          <w:szCs w:val="24"/>
        </w:rPr>
      </w:pPr>
      <w:r w:rsidRPr="00EC5263">
        <w:rPr>
          <w:rFonts w:ascii="微软雅黑" w:eastAsia="微软雅黑" w:hAnsi="微软雅黑" w:cs="宋体"/>
          <w:noProof/>
          <w:kern w:val="0"/>
          <w:sz w:val="24"/>
          <w:szCs w:val="24"/>
        </w:rPr>
        <w:drawing>
          <wp:inline distT="0" distB="0" distL="0" distR="0" wp14:anchorId="23CFB30F" wp14:editId="74C64AD2">
            <wp:extent cx="5274310" cy="5835650"/>
            <wp:effectExtent l="0" t="0" r="2540" b="0"/>
            <wp:docPr id="2" name="图片 2" descr="图 4">
              <a:hlinkClick xmlns:a="http://schemas.openxmlformats.org/drawingml/2006/main" r:id="rId6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图 4">
                      <a:hlinkClick r:id="rId62" tgtFrame="&quot;_blank&quot;"/>
                    </pic:cNvPr>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274310" cy="5835650"/>
                    </a:xfrm>
                    <a:prstGeom prst="rect">
                      <a:avLst/>
                    </a:prstGeom>
                    <a:noFill/>
                    <a:ln>
                      <a:noFill/>
                    </a:ln>
                  </pic:spPr>
                </pic:pic>
              </a:graphicData>
            </a:graphic>
          </wp:inline>
        </w:drawing>
      </w:r>
    </w:p>
    <w:p w14:paraId="07710B55"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CDK4/6抑制剂耐药的细胞周期非特异性机制。FGF2，成纤维细胞生长因子2；FGFR1，成纤维细胞生长因子受体1；ER，雌激素受体；AR，雄激素受体；PDK1，3-磷酸肌醇依赖性蛋白激酶-1；DHT，5-α-二氢睾酮；AP-1，激活蛋白1；EMT，</w:t>
      </w:r>
      <w:r w:rsidRPr="00734FB9">
        <w:rPr>
          <w:rFonts w:ascii="微软雅黑" w:eastAsia="微软雅黑" w:hAnsi="微软雅黑" w:cs="宋体"/>
          <w:kern w:val="0"/>
          <w:sz w:val="24"/>
          <w:szCs w:val="24"/>
        </w:rPr>
        <w:lastRenderedPageBreak/>
        <w:t>上皮-间质转化；RB，视网膜母细胞瘤蛋白；P，磷酸盐；FAT1，FAT非典型钙</w:t>
      </w:r>
      <w:proofErr w:type="gramStart"/>
      <w:r w:rsidRPr="00734FB9">
        <w:rPr>
          <w:rFonts w:ascii="微软雅黑" w:eastAsia="微软雅黑" w:hAnsi="微软雅黑" w:cs="宋体"/>
          <w:kern w:val="0"/>
          <w:sz w:val="24"/>
          <w:szCs w:val="24"/>
        </w:rPr>
        <w:t>黏</w:t>
      </w:r>
      <w:proofErr w:type="gramEnd"/>
      <w:r w:rsidRPr="00734FB9">
        <w:rPr>
          <w:rFonts w:ascii="微软雅黑" w:eastAsia="微软雅黑" w:hAnsi="微软雅黑" w:cs="宋体"/>
          <w:kern w:val="0"/>
          <w:sz w:val="24"/>
          <w:szCs w:val="24"/>
        </w:rPr>
        <w:t>蛋白1；YAP，Yes相关蛋白；PIP，催乳素诱导蛋白；</w:t>
      </w:r>
      <w:proofErr w:type="spellStart"/>
      <w:r w:rsidRPr="00734FB9">
        <w:rPr>
          <w:rFonts w:ascii="微软雅黑" w:eastAsia="微软雅黑" w:hAnsi="微软雅黑" w:cs="宋体"/>
          <w:kern w:val="0"/>
          <w:sz w:val="24"/>
          <w:szCs w:val="24"/>
        </w:rPr>
        <w:t>Smad</w:t>
      </w:r>
      <w:proofErr w:type="spellEnd"/>
      <w:r w:rsidRPr="00734FB9">
        <w:rPr>
          <w:rFonts w:ascii="微软雅黑" w:eastAsia="微软雅黑" w:hAnsi="微软雅黑" w:cs="宋体"/>
          <w:kern w:val="0"/>
          <w:sz w:val="24"/>
          <w:szCs w:val="24"/>
        </w:rPr>
        <w:t>，果蝇抗DEP蛋白。</w:t>
      </w:r>
    </w:p>
    <w:p w14:paraId="16CC8383"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PI3K/AKT/mTOR信号通路</w:t>
      </w:r>
    </w:p>
    <w:p w14:paraId="3EDE04F1"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据报道，PI3K/AKT/mTOR信号通路与CDK4/6抑制剂的耐药性相关。一项研究表明，直接抑制PI3K/AKT/mTOR通路可以降低细胞周期蛋白D的表达并导致细胞周期阻滞，这可能是PI3K/AKT/mTOR通路抑制剂的潜在机制（</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"b58-ijmm-50-4-05184"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58</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66706EE9"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此外，作为AKT/mTOR信号通路的负调控因子，PTEN缺失可通过激活AKT导致肿瘤细胞对CDK4/6抑制剂产生耐药性（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"b59-ijmm-50-4-05184"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59</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）。研究还发现，PTEN缺失会诱导核内CDK抑制蛋白p27（由CDKN1B编码）的下调，这也会导致对CDK4/6抑制剂的耐药性（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"f4-ijmm-50-4-05184"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图4</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hyperlink r:id="rId64" w:anchor="b60-ijmm-50-4-05184" w:history="1">
        <w:r w:rsidRPr="00734FB9">
          <w:rPr>
            <w:rFonts w:ascii="微软雅黑" w:eastAsia="微软雅黑" w:hAnsi="微软雅黑" w:cs="宋体"/>
            <w:kern w:val="0"/>
            <w:sz w:val="24"/>
            <w:szCs w:val="24"/>
            <w:u w:val="single"/>
          </w:rPr>
          <w:t>60</w:t>
        </w:r>
      </w:hyperlink>
      <w:r w:rsidRPr="00734FB9">
        <w:rPr>
          <w:rFonts w:ascii="微软雅黑" w:eastAsia="微软雅黑" w:hAnsi="微软雅黑" w:cs="宋体"/>
          <w:kern w:val="0"/>
          <w:sz w:val="24"/>
          <w:szCs w:val="24"/>
        </w:rPr>
        <w:t>）。</w:t>
      </w:r>
    </w:p>
    <w:p w14:paraId="025BC6ED"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丝裂原活化蛋白激酶（MAPK）信号通路</w:t>
      </w:r>
    </w:p>
    <w:p w14:paraId="15EB2341"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MAPK信号通路是FGFR1下游的信号通路之一。根据其关键激酶的组成，MAPK通路也称为RAS/RAF/MEK/ERK通路。因此，MEK/ERK是治疗CDK4/6抑制剂耐药患者的关键靶点。一项研究发现，MEK1/2抑制剂</w:t>
      </w:r>
      <w:proofErr w:type="spellStart"/>
      <w:r w:rsidRPr="00734FB9">
        <w:rPr>
          <w:rFonts w:ascii="微软雅黑" w:eastAsia="微软雅黑" w:hAnsi="微软雅黑" w:cs="宋体"/>
          <w:kern w:val="0"/>
          <w:sz w:val="24"/>
          <w:szCs w:val="24"/>
        </w:rPr>
        <w:t>selumetinib</w:t>
      </w:r>
      <w:proofErr w:type="spellEnd"/>
      <w:r w:rsidRPr="00734FB9">
        <w:rPr>
          <w:rFonts w:ascii="微软雅黑" w:eastAsia="微软雅黑" w:hAnsi="微软雅黑" w:cs="宋体"/>
          <w:kern w:val="0"/>
          <w:sz w:val="24"/>
          <w:szCs w:val="24"/>
        </w:rPr>
        <w:t>联合</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和帕博西尼可有效抑制CDK4/6抑制剂耐药乳腺癌细胞的增殖（</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"f4-ijmm-50-4-05184"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图4</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 </w:t>
      </w:r>
      <w:hyperlink r:id="rId65" w:anchor="b57-ijmm-50-4-05184" w:history="1">
        <w:r w:rsidRPr="00734FB9">
          <w:rPr>
            <w:rFonts w:ascii="微软雅黑" w:eastAsia="微软雅黑" w:hAnsi="微软雅黑" w:cs="宋体"/>
            <w:kern w:val="0"/>
            <w:sz w:val="24"/>
            <w:szCs w:val="24"/>
            <w:u w:val="single"/>
          </w:rPr>
          <w:t>57</w:t>
        </w:r>
      </w:hyperlink>
      <w:r w:rsidRPr="00734FB9">
        <w:rPr>
          <w:rFonts w:ascii="微软雅黑" w:eastAsia="微软雅黑" w:hAnsi="微软雅黑" w:cs="宋体"/>
          <w:kern w:val="0"/>
          <w:sz w:val="24"/>
          <w:szCs w:val="24"/>
        </w:rPr>
        <w:t> )。</w:t>
      </w:r>
    </w:p>
    <w:p w14:paraId="78B42E15"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雌激素受体/孕激素受体（PR）表达丧失和激活蛋白1（AP-1）转录活性增强</w:t>
      </w:r>
    </w:p>
    <w:p w14:paraId="3358D8AF"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lastRenderedPageBreak/>
        <w:t>乳腺癌细胞周期蛋白D-CDK4/6复合物的活性依赖于雌激素和孕激素诱导的ER/PR激活（</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"b61-ijmm-50-4-05184"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61</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）。一项研究表明，CDK4/6抑制剂的耐药性与ER/PR水平的变化相关（</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"b30-ijmm-50-4-05184"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30</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）。因此，对于因ER/PR表达缺失而导致CDK4/6抑制剂耐药的患者，针对HR</w:t>
      </w:r>
      <w:r w:rsidRPr="00734FB9">
        <w:rPr>
          <w:rFonts w:ascii="微软雅黑" w:eastAsia="微软雅黑" w:hAnsi="微软雅黑" w:cs="宋体"/>
          <w:kern w:val="0"/>
          <w:sz w:val="24"/>
          <w:szCs w:val="24"/>
          <w:vertAlign w:val="superscript"/>
        </w:rPr>
        <w:t>阴性</w:t>
      </w:r>
      <w:r w:rsidRPr="00734FB9">
        <w:rPr>
          <w:rFonts w:ascii="微软雅黑" w:eastAsia="微软雅黑" w:hAnsi="微软雅黑" w:cs="宋体"/>
          <w:kern w:val="0"/>
          <w:sz w:val="24"/>
          <w:szCs w:val="24"/>
        </w:rPr>
        <w:t>乳腺癌亚型的治疗可能是一个不错的选择。</w:t>
      </w:r>
    </w:p>
    <w:p w14:paraId="727D918E"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作为调控细胞周期蛋白D1的转录因子，AP-1家族由Jun、</w:t>
      </w:r>
      <w:proofErr w:type="spellStart"/>
      <w:r w:rsidRPr="00734FB9">
        <w:rPr>
          <w:rFonts w:ascii="微软雅黑" w:eastAsia="微软雅黑" w:hAnsi="微软雅黑" w:cs="宋体"/>
          <w:kern w:val="0"/>
          <w:sz w:val="24"/>
          <w:szCs w:val="24"/>
        </w:rPr>
        <w:t>Fos</w:t>
      </w:r>
      <w:proofErr w:type="spellEnd"/>
      <w:r w:rsidRPr="00734FB9">
        <w:rPr>
          <w:rFonts w:ascii="微软雅黑" w:eastAsia="微软雅黑" w:hAnsi="微软雅黑" w:cs="宋体"/>
          <w:kern w:val="0"/>
          <w:sz w:val="24"/>
          <w:szCs w:val="24"/>
        </w:rPr>
        <w:t>、激活转录因子和转录因子MAF亚家族的同源二聚体和</w:t>
      </w:r>
      <w:proofErr w:type="gramStart"/>
      <w:r w:rsidRPr="00734FB9">
        <w:rPr>
          <w:rFonts w:ascii="微软雅黑" w:eastAsia="微软雅黑" w:hAnsi="微软雅黑" w:cs="宋体"/>
          <w:kern w:val="0"/>
          <w:sz w:val="24"/>
          <w:szCs w:val="24"/>
        </w:rPr>
        <w:t>异源</w:t>
      </w:r>
      <w:proofErr w:type="gramEnd"/>
      <w:r w:rsidRPr="00734FB9">
        <w:rPr>
          <w:rFonts w:ascii="微软雅黑" w:eastAsia="微软雅黑" w:hAnsi="微软雅黑" w:cs="宋体"/>
          <w:kern w:val="0"/>
          <w:sz w:val="24"/>
          <w:szCs w:val="24"/>
        </w:rPr>
        <w:t>二聚体组成（</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"b62-ijmm-50-4-05184"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62</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）。一项研究发现，20-40%的乳腺癌患者存在高水平的c-Jun激活，这会抑制雌激素受体（ER）的活性并激活细胞周期蛋白D1的转录，从而诱导CDK4/6抑制剂耐药性（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"b63-ijmm-50-4-05184"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63</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）。目前，多种AP-1抑制剂正在积极研发中，一种选择性c-</w:t>
      </w:r>
      <w:proofErr w:type="spellStart"/>
      <w:r w:rsidRPr="00734FB9">
        <w:rPr>
          <w:rFonts w:ascii="微软雅黑" w:eastAsia="微软雅黑" w:hAnsi="微软雅黑" w:cs="宋体"/>
          <w:kern w:val="0"/>
          <w:sz w:val="24"/>
          <w:szCs w:val="24"/>
        </w:rPr>
        <w:t>Fos</w:t>
      </w:r>
      <w:proofErr w:type="spellEnd"/>
      <w:r w:rsidRPr="00734FB9">
        <w:rPr>
          <w:rFonts w:ascii="微软雅黑" w:eastAsia="微软雅黑" w:hAnsi="微软雅黑" w:cs="宋体"/>
          <w:kern w:val="0"/>
          <w:sz w:val="24"/>
          <w:szCs w:val="24"/>
        </w:rPr>
        <w:t>/AP-1抑制剂（T-5224）已进入二期临床试验（</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"b64-ijmm-50-4-05184"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64</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）。AP-1抑制剂对CDK4/6抑制剂耐药乳腺癌患者的疗效仍需进一步研究，但其结果值得期待（</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"f4-ijmm-50-4-05184"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图4</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5645E893"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雄激素受体（AR）过度表达</w:t>
      </w:r>
    </w:p>
    <w:p w14:paraId="52F83022"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据报道，CDK4/6抑制剂的获得性耐药与AR的激活有关，AR在超过70%的乳腺癌病例中表达（</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"b65-ijmm-50-4-05184"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65</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）。一项研究发现，在帕博西尼耐药的乳腺癌细胞系MCF-7pR中存在ER信号丢失和AR信号激活。不可芳构化的雄激素5α-二氢睾酮激活的AR通过激活细胞周期蛋白D1、细胞周期蛋白E1和CDK2促进G1 </w:t>
      </w:r>
      <w:r w:rsidRPr="00734FB9">
        <w:rPr>
          <w:rFonts w:ascii="微软雅黑" w:eastAsia="微软雅黑" w:hAnsi="微软雅黑" w:cs="宋体"/>
          <w:kern w:val="0"/>
          <w:sz w:val="24"/>
          <w:szCs w:val="24"/>
          <w:vertAlign w:val="subscript"/>
        </w:rPr>
        <w:t>/</w:t>
      </w:r>
      <w:r w:rsidRPr="00734FB9">
        <w:rPr>
          <w:rFonts w:ascii="微软雅黑" w:eastAsia="微软雅黑" w:hAnsi="微软雅黑" w:cs="宋体"/>
          <w:kern w:val="0"/>
          <w:sz w:val="24"/>
          <w:szCs w:val="24"/>
        </w:rPr>
        <w:t> S期转换，从而诱导对CDK4/6抑制剂的耐药性。作为一种新型选择性AR抑制剂，恩扎</w:t>
      </w:r>
      <w:proofErr w:type="gramStart"/>
      <w:r w:rsidRPr="00734FB9">
        <w:rPr>
          <w:rFonts w:ascii="微软雅黑" w:eastAsia="微软雅黑" w:hAnsi="微软雅黑" w:cs="宋体"/>
          <w:kern w:val="0"/>
          <w:sz w:val="24"/>
          <w:szCs w:val="24"/>
        </w:rPr>
        <w:t>卢</w:t>
      </w:r>
      <w:proofErr w:type="gramEnd"/>
      <w:r w:rsidRPr="00734FB9">
        <w:rPr>
          <w:rFonts w:ascii="微软雅黑" w:eastAsia="微软雅黑" w:hAnsi="微软雅黑" w:cs="宋体"/>
          <w:kern w:val="0"/>
          <w:sz w:val="24"/>
          <w:szCs w:val="24"/>
        </w:rPr>
        <w:t>胺与帕博西尼的联合治疗可以使乳腺癌细胞重新对帕博西尼敏感，并逆转对该药物的耐药性（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"b66-ijmm-50-4-05184"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66</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）。因此，AR抑制剂可能是对CDK4/6抑制剂耐药的乳腺癌患者的治疗选择之一（</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"f4-ijmm-50-4-05184"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图4</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165B754D"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lastRenderedPageBreak/>
        <w:t>Hippo通路</w:t>
      </w:r>
    </w:p>
    <w:p w14:paraId="4DAFC27E"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肿瘤抑制因子FAT非典型钙</w:t>
      </w:r>
      <w:proofErr w:type="gramStart"/>
      <w:r w:rsidRPr="00734FB9">
        <w:rPr>
          <w:rFonts w:ascii="微软雅黑" w:eastAsia="微软雅黑" w:hAnsi="微软雅黑" w:cs="宋体"/>
          <w:kern w:val="0"/>
          <w:sz w:val="24"/>
          <w:szCs w:val="24"/>
        </w:rPr>
        <w:t>黏</w:t>
      </w:r>
      <w:proofErr w:type="gramEnd"/>
      <w:r w:rsidRPr="00734FB9">
        <w:rPr>
          <w:rFonts w:ascii="微软雅黑" w:eastAsia="微软雅黑" w:hAnsi="微软雅黑" w:cs="宋体"/>
          <w:kern w:val="0"/>
          <w:sz w:val="24"/>
          <w:szCs w:val="24"/>
        </w:rPr>
        <w:t>蛋白1 (FAT1) 属于钙</w:t>
      </w:r>
      <w:proofErr w:type="gramStart"/>
      <w:r w:rsidRPr="00734FB9">
        <w:rPr>
          <w:rFonts w:ascii="微软雅黑" w:eastAsia="微软雅黑" w:hAnsi="微软雅黑" w:cs="宋体"/>
          <w:kern w:val="0"/>
          <w:sz w:val="24"/>
          <w:szCs w:val="24"/>
        </w:rPr>
        <w:t>黏蛋白超</w:t>
      </w:r>
      <w:proofErr w:type="gramEnd"/>
      <w:r w:rsidRPr="00734FB9">
        <w:rPr>
          <w:rFonts w:ascii="微软雅黑" w:eastAsia="微软雅黑" w:hAnsi="微软雅黑" w:cs="宋体"/>
          <w:kern w:val="0"/>
          <w:sz w:val="24"/>
          <w:szCs w:val="24"/>
        </w:rPr>
        <w:t>家族，并与Hippo和β-catenin信号通路相互作用( </w:t>
      </w:r>
      <w:hyperlink r:id="rId66" w:anchor="b25-ijmm-50-4-05184" w:history="1">
        <w:r w:rsidRPr="00734FB9">
          <w:rPr>
            <w:rFonts w:ascii="微软雅黑" w:eastAsia="微软雅黑" w:hAnsi="微软雅黑" w:cs="宋体"/>
            <w:kern w:val="0"/>
            <w:sz w:val="24"/>
            <w:szCs w:val="24"/>
            <w:u w:val="single"/>
          </w:rPr>
          <w:t>25</w:t>
        </w:r>
      </w:hyperlink>
      <w:r w:rsidRPr="00734FB9">
        <w:rPr>
          <w:rFonts w:ascii="微软雅黑" w:eastAsia="微软雅黑" w:hAnsi="微软雅黑" w:cs="宋体"/>
          <w:kern w:val="0"/>
          <w:sz w:val="24"/>
          <w:szCs w:val="24"/>
        </w:rPr>
        <w:t> )。在对348例接受CDK4/6抑制剂治疗的ER</w:t>
      </w:r>
      <w:r w:rsidRPr="00734FB9">
        <w:rPr>
          <w:rFonts w:ascii="微软雅黑" w:eastAsia="微软雅黑" w:hAnsi="微软雅黑" w:cs="宋体"/>
          <w:kern w:val="0"/>
          <w:sz w:val="24"/>
          <w:szCs w:val="24"/>
          <w:vertAlign w:val="superscript"/>
        </w:rPr>
        <w:t>阳性</w:t>
      </w:r>
      <w:r w:rsidRPr="00734FB9">
        <w:rPr>
          <w:rFonts w:ascii="微软雅黑" w:eastAsia="微软雅黑" w:hAnsi="微软雅黑" w:cs="宋体"/>
          <w:kern w:val="0"/>
          <w:sz w:val="24"/>
          <w:szCs w:val="24"/>
        </w:rPr>
        <w:t>乳腺癌患者进行基因组分析时，在CDK4/6抑制剂耐药患者中检测到了FAT1的功能缺失突变。FAT1的缺失导致Hippo通路受到抑制，并诱导Yes相关蛋白/</w:t>
      </w:r>
      <w:proofErr w:type="spellStart"/>
      <w:r w:rsidRPr="00734FB9">
        <w:rPr>
          <w:rFonts w:ascii="微软雅黑" w:eastAsia="微软雅黑" w:hAnsi="微软雅黑" w:cs="宋体"/>
          <w:kern w:val="0"/>
          <w:sz w:val="24"/>
          <w:szCs w:val="24"/>
        </w:rPr>
        <w:t>tafazzin</w:t>
      </w:r>
      <w:proofErr w:type="spellEnd"/>
      <w:r w:rsidRPr="00734FB9">
        <w:rPr>
          <w:rFonts w:ascii="微软雅黑" w:eastAsia="微软雅黑" w:hAnsi="微软雅黑" w:cs="宋体"/>
          <w:kern w:val="0"/>
          <w:sz w:val="24"/>
          <w:szCs w:val="24"/>
        </w:rPr>
        <w:t>的核定位，进而促进CDK6的表达。同时，海马通路组分神经纤维蛋白2的失活也增加了CDK6的表达。这两种机制协同降低了对CDK4/6抑制剂的敏感性（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"f4-ijmm-50-4-05184"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图4</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 </w:t>
      </w:r>
      <w:hyperlink r:id="rId67" w:anchor="b67-ijmm-50-4-05184" w:history="1">
        <w:r w:rsidRPr="00734FB9">
          <w:rPr>
            <w:rFonts w:ascii="微软雅黑" w:eastAsia="微软雅黑" w:hAnsi="微软雅黑" w:cs="宋体"/>
            <w:kern w:val="0"/>
            <w:sz w:val="24"/>
            <w:szCs w:val="24"/>
            <w:u w:val="single"/>
          </w:rPr>
          <w:t>67</w:t>
        </w:r>
      </w:hyperlink>
      <w:r w:rsidRPr="00734FB9">
        <w:rPr>
          <w:rFonts w:ascii="微软雅黑" w:eastAsia="微软雅黑" w:hAnsi="微软雅黑" w:cs="宋体"/>
          <w:kern w:val="0"/>
          <w:sz w:val="24"/>
          <w:szCs w:val="24"/>
        </w:rPr>
        <w:t> )。</w:t>
      </w:r>
    </w:p>
    <w:p w14:paraId="6AC54C77"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上皮-间质转化（EMT）通路和Smad3抑制</w:t>
      </w:r>
    </w:p>
    <w:p w14:paraId="2E135244"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EMT是指细胞从上皮细胞向间充质细胞的转化。该过程在胚胎发育和组织重建中发挥重要作用，但EMT也赋予癌细胞侵袭和转移的能力。CDK4/6抑制剂可通过激活TGF-β-</w:t>
      </w:r>
      <w:proofErr w:type="spellStart"/>
      <w:r w:rsidRPr="00734FB9">
        <w:rPr>
          <w:rFonts w:ascii="微软雅黑" w:eastAsia="微软雅黑" w:hAnsi="微软雅黑" w:cs="宋体"/>
          <w:kern w:val="0"/>
          <w:sz w:val="24"/>
          <w:szCs w:val="24"/>
        </w:rPr>
        <w:t>Smad</w:t>
      </w:r>
      <w:proofErr w:type="spellEnd"/>
      <w:r w:rsidRPr="00734FB9">
        <w:rPr>
          <w:rFonts w:ascii="微软雅黑" w:eastAsia="微软雅黑" w:hAnsi="微软雅黑" w:cs="宋体"/>
          <w:kern w:val="0"/>
          <w:sz w:val="24"/>
          <w:szCs w:val="24"/>
        </w:rPr>
        <w:t>和PI3K/AKT/mTOR信号通路诱导EMT（68-70 </w:t>
      </w:r>
      <w:hyperlink r:id="rId68" w:anchor="b68-ijmm-50-4-05184" w:history="1">
        <w:r w:rsidRPr="00734FB9">
          <w:rPr>
            <w:rFonts w:ascii="微软雅黑" w:eastAsia="微软雅黑" w:hAnsi="微软雅黑" w:cs="宋体"/>
            <w:kern w:val="0"/>
            <w:sz w:val="24"/>
            <w:szCs w:val="24"/>
            <w:u w:val="single"/>
          </w:rPr>
          <w:t>）</w:t>
        </w:r>
      </w:hyperlink>
      <w:r w:rsidRPr="00734FB9">
        <w:rPr>
          <w:rFonts w:ascii="微软雅黑" w:eastAsia="微软雅黑" w:hAnsi="微软雅黑" w:cs="宋体"/>
          <w:kern w:val="0"/>
          <w:sz w:val="24"/>
          <w:szCs w:val="24"/>
        </w:rPr>
        <w:t>。磷酸化的TGF-β激活Smad2和Smad3，然后与Smad4形成复合物，通过激活EMT转录因子而导致EMT（</w:t>
      </w:r>
      <w:hyperlink r:id="rId69" w:anchor="b70-ijmm-50-4-05184" w:history="1">
        <w:r w:rsidRPr="00734FB9">
          <w:rPr>
            <w:rFonts w:ascii="微软雅黑" w:eastAsia="微软雅黑" w:hAnsi="微软雅黑" w:cs="宋体"/>
            <w:kern w:val="0"/>
            <w:sz w:val="24"/>
            <w:szCs w:val="24"/>
            <w:u w:val="single"/>
          </w:rPr>
          <w:t>70</w:t>
        </w:r>
      </w:hyperlink>
      <w:r w:rsidRPr="00734FB9">
        <w:rPr>
          <w:rFonts w:ascii="微软雅黑" w:eastAsia="微软雅黑" w:hAnsi="微软雅黑" w:cs="宋体"/>
          <w:kern w:val="0"/>
          <w:sz w:val="24"/>
          <w:szCs w:val="24"/>
        </w:rPr>
        <w:t>）。然而，研究发现Smad3抑制剂也能诱导对CDK4/6抑制剂的耐药性（</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"b70-ijmm-50-4-05184"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71</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）。Smad3抑制剂可通过解除其对Rb-E2F复合物中E2F的阻滞作用，从而诱导细胞周期阻滞的恢复（</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"b72-ijmm-50-4-05184"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72 </w:t>
      </w:r>
      <w:r w:rsidRPr="00734FB9">
        <w:rPr>
          <w:rFonts w:ascii="微软雅黑" w:eastAsia="微软雅黑" w:hAnsi="微软雅黑" w:cs="宋体"/>
          <w:kern w:val="0"/>
          <w:sz w:val="24"/>
          <w:szCs w:val="24"/>
        </w:rPr>
        <w:fldChar w:fldCharType="end"/>
      </w:r>
      <w:hyperlink r:id="rId70" w:anchor="b71-ijmm-50-4-05184" w:history="1">
        <w:r w:rsidRPr="00734FB9">
          <w:rPr>
            <w:rFonts w:ascii="微软雅黑" w:eastAsia="微软雅黑" w:hAnsi="微软雅黑" w:cs="宋体"/>
            <w:kern w:val="0"/>
            <w:sz w:val="24"/>
            <w:szCs w:val="24"/>
            <w:u w:val="single"/>
          </w:rPr>
          <w:t>）</w:t>
        </w:r>
      </w:hyperlink>
      <w:r w:rsidRPr="00734FB9">
        <w:rPr>
          <w:rFonts w:ascii="微软雅黑" w:eastAsia="微软雅黑" w:hAnsi="微软雅黑" w:cs="宋体"/>
          <w:kern w:val="0"/>
          <w:sz w:val="24"/>
          <w:szCs w:val="24"/>
        </w:rPr>
        <w:t>。此外，Smad3的抑制与细胞周期蛋白E-CDK2轴的激活有关（</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"b73-ijmm-50-4-05184"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73</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）。如前所述，miR-432-5p通过抑制TGF-β通路拮抗CDK4/6抑制剂的作用。因此，TGF-β通路与CDK4/6抑制剂之间的关系非常复杂，需要进一步研究（</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"f4-ijmm-50-4-05184"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图4</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3647B6DF" w14:textId="77777777" w:rsidR="00734FB9" w:rsidRPr="00734FB9" w:rsidRDefault="00734FB9" w:rsidP="00734FB9">
      <w:pPr>
        <w:widowControl/>
        <w:pBdr>
          <w:bottom w:val="single" w:sz="6" w:space="0" w:color="97B1C8"/>
        </w:pBdr>
        <w:spacing w:line="450" w:lineRule="atLeast"/>
        <w:outlineLvl w:val="1"/>
        <w:rPr>
          <w:rFonts w:ascii="微软雅黑" w:eastAsia="微软雅黑" w:hAnsi="微软雅黑" w:cs="宋体"/>
          <w:kern w:val="0"/>
          <w:sz w:val="34"/>
          <w:szCs w:val="34"/>
        </w:rPr>
      </w:pPr>
      <w:r w:rsidRPr="00734FB9">
        <w:rPr>
          <w:rFonts w:ascii="微软雅黑" w:eastAsia="微软雅黑" w:hAnsi="微软雅黑" w:cs="宋体"/>
          <w:kern w:val="0"/>
          <w:sz w:val="34"/>
          <w:szCs w:val="34"/>
        </w:rPr>
        <w:t>5. CDK4/6抑制剂耐药后的治疗策略</w:t>
      </w:r>
    </w:p>
    <w:p w14:paraId="783F5D61"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lastRenderedPageBreak/>
        <w:t>对于无内脏危象的HR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ABC患者，内分泌治疗药物联合CDK4/6抑制剂已成为国际推荐的治疗方案，2020年CSCO指南的I级推荐治疗方案也认同这一点（ </w:t>
      </w:r>
      <w:hyperlink r:id="rId71" w:anchor="b74-ijmm-50-4-05184" w:history="1">
        <w:r w:rsidRPr="00734FB9">
          <w:rPr>
            <w:rFonts w:ascii="微软雅黑" w:eastAsia="微软雅黑" w:hAnsi="微软雅黑" w:cs="宋体"/>
            <w:kern w:val="0"/>
            <w:sz w:val="24"/>
            <w:szCs w:val="24"/>
            <w:u w:val="single"/>
          </w:rPr>
          <w:t>74</w:t>
        </w:r>
      </w:hyperlink>
      <w:r w:rsidRPr="00734FB9">
        <w:rPr>
          <w:rFonts w:ascii="微软雅黑" w:eastAsia="微软雅黑" w:hAnsi="微软雅黑" w:cs="宋体"/>
          <w:kern w:val="0"/>
          <w:sz w:val="24"/>
          <w:szCs w:val="24"/>
        </w:rPr>
        <w:t>）。然而，CDK4/6抑制剂可以显著延缓但不能阻止内分泌治疗耐药性的出现。目前，对于内分泌治疗药物联合CDK4/6抑制剂治疗后病情进展的患者，尚无统一的推荐治疗方案。一般来说，各种治疗方案可分为三类：换用其他内分泌治疗药物联合CDK4/6抑制剂、联合靶</w:t>
      </w:r>
      <w:proofErr w:type="gramStart"/>
      <w:r w:rsidRPr="00734FB9">
        <w:rPr>
          <w:rFonts w:ascii="微软雅黑" w:eastAsia="微软雅黑" w:hAnsi="微软雅黑" w:cs="宋体"/>
          <w:kern w:val="0"/>
          <w:sz w:val="24"/>
          <w:szCs w:val="24"/>
        </w:rPr>
        <w:t>向治疗</w:t>
      </w:r>
      <w:proofErr w:type="gramEnd"/>
      <w:r w:rsidRPr="00734FB9">
        <w:rPr>
          <w:rFonts w:ascii="微软雅黑" w:eastAsia="微软雅黑" w:hAnsi="微软雅黑" w:cs="宋体"/>
          <w:kern w:val="0"/>
          <w:sz w:val="24"/>
          <w:szCs w:val="24"/>
        </w:rPr>
        <w:t>以及换用化疗（</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"f5-ijmm-50-4-05184"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图5</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31EE404F" w14:textId="77777777" w:rsidR="00734FB9" w:rsidRPr="00734FB9" w:rsidRDefault="00734FB9" w:rsidP="00734FB9">
      <w:pPr>
        <w:widowControl/>
        <w:spacing w:line="450" w:lineRule="atLeast"/>
        <w:outlineLvl w:val="2"/>
        <w:rPr>
          <w:rFonts w:ascii="微软雅黑" w:eastAsia="微软雅黑" w:hAnsi="微软雅黑" w:cs="宋体"/>
          <w:kern w:val="0"/>
          <w:sz w:val="30"/>
          <w:szCs w:val="30"/>
        </w:rPr>
      </w:pPr>
      <w:r w:rsidRPr="00734FB9">
        <w:rPr>
          <w:rFonts w:ascii="微软雅黑" w:eastAsia="微软雅黑" w:hAnsi="微软雅黑" w:cs="宋体"/>
          <w:kern w:val="0"/>
          <w:sz w:val="30"/>
          <w:szCs w:val="30"/>
        </w:rPr>
        <w:t>图 5。</w:t>
      </w:r>
    </w:p>
    <w:p w14:paraId="1C25EA19" w14:textId="3A8F3014" w:rsidR="00734FB9" w:rsidRPr="00734FB9" w:rsidRDefault="00734FB9" w:rsidP="00734FB9">
      <w:pPr>
        <w:widowControl/>
        <w:spacing w:before="450"/>
        <w:rPr>
          <w:rFonts w:ascii="微软雅黑" w:eastAsia="微软雅黑" w:hAnsi="微软雅黑" w:cs="宋体"/>
          <w:kern w:val="0"/>
          <w:sz w:val="24"/>
          <w:szCs w:val="24"/>
        </w:rPr>
      </w:pPr>
      <w:r w:rsidRPr="00EC5263">
        <w:rPr>
          <w:rFonts w:ascii="微软雅黑" w:eastAsia="微软雅黑" w:hAnsi="微软雅黑" w:cs="宋体"/>
          <w:noProof/>
          <w:kern w:val="0"/>
          <w:sz w:val="24"/>
          <w:szCs w:val="24"/>
        </w:rPr>
        <w:drawing>
          <wp:inline distT="0" distB="0" distL="0" distR="0" wp14:anchorId="7214F919" wp14:editId="78784F82">
            <wp:extent cx="5274310" cy="1614170"/>
            <wp:effectExtent l="0" t="0" r="2540" b="5080"/>
            <wp:docPr id="1" name="图片 1" descr="图 5">
              <a:hlinkClick xmlns:a="http://schemas.openxmlformats.org/drawingml/2006/main" r:id="rId7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 5">
                      <a:hlinkClick r:id="rId72" tgtFrame="&quot;_blank&quot;"/>
                    </pic:cNvPr>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274310" cy="1614170"/>
                    </a:xfrm>
                    <a:prstGeom prst="rect">
                      <a:avLst/>
                    </a:prstGeom>
                    <a:noFill/>
                    <a:ln>
                      <a:noFill/>
                    </a:ln>
                  </pic:spPr>
                </pic:pic>
              </a:graphicData>
            </a:graphic>
          </wp:inline>
        </w:drawing>
      </w:r>
    </w:p>
    <w:p w14:paraId="0F82B8A2"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CDK4/6抑制剂耐药后的治疗策略。CDK，细胞周期蛋白依赖性激酶。</w:t>
      </w:r>
    </w:p>
    <w:p w14:paraId="24F1CCEF"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改用其他内分泌药物联合 CDK4/6 抑制剂</w:t>
      </w:r>
    </w:p>
    <w:p w14:paraId="6B4FBB7F" w14:textId="77777777" w:rsidR="00734FB9" w:rsidRPr="00734FB9" w:rsidRDefault="00734FB9" w:rsidP="00734FB9">
      <w:pPr>
        <w:widowControl/>
        <w:spacing w:before="450"/>
        <w:rPr>
          <w:rFonts w:ascii="微软雅黑" w:eastAsia="微软雅黑" w:hAnsi="微软雅黑" w:cs="宋体"/>
          <w:kern w:val="0"/>
          <w:sz w:val="24"/>
          <w:szCs w:val="24"/>
        </w:rPr>
      </w:pPr>
      <w:proofErr w:type="spellStart"/>
      <w:r w:rsidRPr="00734FB9">
        <w:rPr>
          <w:rFonts w:ascii="微软雅黑" w:eastAsia="微软雅黑" w:hAnsi="微软雅黑" w:cs="宋体"/>
          <w:kern w:val="0"/>
          <w:sz w:val="24"/>
          <w:szCs w:val="24"/>
        </w:rPr>
        <w:t>MonarchE</w:t>
      </w:r>
      <w:proofErr w:type="spellEnd"/>
      <w:r w:rsidRPr="00734FB9">
        <w:rPr>
          <w:rFonts w:ascii="微软雅黑" w:eastAsia="微软雅黑" w:hAnsi="微软雅黑" w:cs="宋体"/>
          <w:kern w:val="0"/>
          <w:sz w:val="24"/>
          <w:szCs w:val="24"/>
        </w:rPr>
        <w:t xml:space="preserve"> 和 </w:t>
      </w:r>
      <w:proofErr w:type="spellStart"/>
      <w:r w:rsidRPr="00734FB9">
        <w:rPr>
          <w:rFonts w:ascii="微软雅黑" w:eastAsia="微软雅黑" w:hAnsi="微软雅黑" w:cs="宋体"/>
          <w:kern w:val="0"/>
          <w:sz w:val="24"/>
          <w:szCs w:val="24"/>
        </w:rPr>
        <w:t>nextMONARCH</w:t>
      </w:r>
      <w:proofErr w:type="spellEnd"/>
      <w:r w:rsidRPr="00734FB9">
        <w:rPr>
          <w:rFonts w:ascii="微软雅黑" w:eastAsia="微软雅黑" w:hAnsi="微软雅黑" w:cs="宋体"/>
          <w:kern w:val="0"/>
          <w:sz w:val="24"/>
          <w:szCs w:val="24"/>
        </w:rPr>
        <w:t xml:space="preserve"> 研究证实了阿贝西利联合内分泌治疗的疗效 ( </w:t>
      </w:r>
      <w:hyperlink r:id="rId74" w:anchor="b75-ijmm-50-4-05184" w:history="1">
        <w:r w:rsidRPr="00734FB9">
          <w:rPr>
            <w:rFonts w:ascii="微软雅黑" w:eastAsia="微软雅黑" w:hAnsi="微软雅黑" w:cs="宋体"/>
            <w:kern w:val="0"/>
            <w:sz w:val="24"/>
            <w:szCs w:val="24"/>
            <w:u w:val="single"/>
          </w:rPr>
          <w:t>75</w:t>
        </w:r>
      </w:hyperlink>
      <w:r w:rsidRPr="00734FB9">
        <w:rPr>
          <w:rFonts w:ascii="微软雅黑" w:eastAsia="微软雅黑" w:hAnsi="微软雅黑" w:cs="宋体"/>
          <w:kern w:val="0"/>
          <w:sz w:val="24"/>
          <w:szCs w:val="24"/>
        </w:rPr>
        <w:t> , </w:t>
      </w:r>
      <w:hyperlink r:id="rId75" w:anchor="b76-ijmm-50-4-05184" w:history="1">
        <w:r w:rsidRPr="00734FB9">
          <w:rPr>
            <w:rFonts w:ascii="微软雅黑" w:eastAsia="微软雅黑" w:hAnsi="微软雅黑" w:cs="宋体"/>
            <w:kern w:val="0"/>
            <w:sz w:val="24"/>
            <w:szCs w:val="24"/>
            <w:u w:val="single"/>
          </w:rPr>
          <w:t>76</w:t>
        </w:r>
      </w:hyperlink>
      <w:r w:rsidRPr="00734FB9">
        <w:rPr>
          <w:rFonts w:ascii="微软雅黑" w:eastAsia="微软雅黑" w:hAnsi="微软雅黑" w:cs="宋体"/>
          <w:kern w:val="0"/>
          <w:sz w:val="24"/>
          <w:szCs w:val="24"/>
        </w:rPr>
        <w:t> )。哈佛医学院的另一项研究表明，对于既往接受过 CDK4/6 抑制剂帕博西尼或瑞博西尼治疗的患者，在疾病进展后改用阿贝西利单药治疗或联合内分泌治疗，可使中位无进展生存期 (</w:t>
      </w:r>
      <w:proofErr w:type="spellStart"/>
      <w:r w:rsidRPr="00734FB9">
        <w:rPr>
          <w:rFonts w:ascii="微软雅黑" w:eastAsia="微软雅黑" w:hAnsi="微软雅黑" w:cs="宋体"/>
          <w:kern w:val="0"/>
          <w:sz w:val="24"/>
          <w:szCs w:val="24"/>
        </w:rPr>
        <w:t>mPFS</w:t>
      </w:r>
      <w:proofErr w:type="spellEnd"/>
      <w:r w:rsidRPr="00734FB9">
        <w:rPr>
          <w:rFonts w:ascii="微软雅黑" w:eastAsia="微软雅黑" w:hAnsi="微软雅黑" w:cs="宋体"/>
          <w:kern w:val="0"/>
          <w:sz w:val="24"/>
          <w:szCs w:val="24"/>
        </w:rPr>
        <w:t xml:space="preserve">) 延长至 5.4 </w:t>
      </w:r>
      <w:proofErr w:type="gramStart"/>
      <w:r w:rsidRPr="00734FB9">
        <w:rPr>
          <w:rFonts w:ascii="微软雅黑" w:eastAsia="微软雅黑" w:hAnsi="微软雅黑" w:cs="宋体"/>
          <w:kern w:val="0"/>
          <w:sz w:val="24"/>
          <w:szCs w:val="24"/>
        </w:rPr>
        <w:t>个</w:t>
      </w:r>
      <w:proofErr w:type="gramEnd"/>
      <w:r w:rsidRPr="00734FB9">
        <w:rPr>
          <w:rFonts w:ascii="微软雅黑" w:eastAsia="微软雅黑" w:hAnsi="微软雅黑" w:cs="宋体"/>
          <w:kern w:val="0"/>
          <w:sz w:val="24"/>
          <w:szCs w:val="24"/>
        </w:rPr>
        <w:t>月 ( </w:t>
      </w:r>
      <w:hyperlink r:id="rId76" w:anchor="b77-ijmm-50-4-05184" w:history="1">
        <w:r w:rsidRPr="00734FB9">
          <w:rPr>
            <w:rFonts w:ascii="微软雅黑" w:eastAsia="微软雅黑" w:hAnsi="微软雅黑" w:cs="宋体"/>
            <w:kern w:val="0"/>
            <w:sz w:val="24"/>
            <w:szCs w:val="24"/>
            <w:u w:val="single"/>
          </w:rPr>
          <w:t>77</w:t>
        </w:r>
      </w:hyperlink>
      <w:r w:rsidRPr="00734FB9">
        <w:rPr>
          <w:rFonts w:ascii="微软雅黑" w:eastAsia="微软雅黑" w:hAnsi="微软雅黑" w:cs="宋体"/>
          <w:kern w:val="0"/>
          <w:sz w:val="24"/>
          <w:szCs w:val="24"/>
        </w:rPr>
        <w:t> )。正如 2022 年 ASCO 会议上报告的那样，一项 II 期临床研究（MAINTAIN 研究）比较了 CDK4/6 抑制剂治疗进展后接受内分泌治疗（± 瑞博西尼）的疗效 ( </w:t>
      </w:r>
      <w:hyperlink r:id="rId77" w:anchor="b78-ijmm-50-4-05184" w:history="1">
        <w:r w:rsidRPr="00734FB9">
          <w:rPr>
            <w:rFonts w:ascii="微软雅黑" w:eastAsia="微软雅黑" w:hAnsi="微软雅黑" w:cs="宋体"/>
            <w:kern w:val="0"/>
            <w:sz w:val="24"/>
            <w:szCs w:val="24"/>
            <w:u w:val="single"/>
          </w:rPr>
          <w:t>78</w:t>
        </w:r>
      </w:hyperlink>
      <w:r w:rsidRPr="00734FB9">
        <w:rPr>
          <w:rFonts w:ascii="微软雅黑" w:eastAsia="微软雅黑" w:hAnsi="微软雅黑" w:cs="宋体"/>
          <w:kern w:val="0"/>
          <w:sz w:val="24"/>
          <w:szCs w:val="24"/>
        </w:rPr>
        <w:t xml:space="preserve"> )。与单药治疗组相比，联合治疗组的 PFS 延长了 2.5 </w:t>
      </w:r>
      <w:proofErr w:type="gramStart"/>
      <w:r w:rsidRPr="00734FB9">
        <w:rPr>
          <w:rFonts w:ascii="微软雅黑" w:eastAsia="微软雅黑" w:hAnsi="微软雅黑" w:cs="宋体"/>
          <w:kern w:val="0"/>
          <w:sz w:val="24"/>
          <w:szCs w:val="24"/>
        </w:rPr>
        <w:t>个</w:t>
      </w:r>
      <w:proofErr w:type="gramEnd"/>
      <w:r w:rsidRPr="00734FB9">
        <w:rPr>
          <w:rFonts w:ascii="微软雅黑" w:eastAsia="微软雅黑" w:hAnsi="微软雅黑" w:cs="宋体"/>
          <w:kern w:val="0"/>
          <w:sz w:val="24"/>
          <w:szCs w:val="24"/>
        </w:rPr>
        <w:t xml:space="preserve">月（5.29 </w:t>
      </w:r>
      <w:proofErr w:type="gramStart"/>
      <w:r w:rsidRPr="00734FB9">
        <w:rPr>
          <w:rFonts w:ascii="微软雅黑" w:eastAsia="微软雅黑" w:hAnsi="微软雅黑" w:cs="宋体"/>
          <w:kern w:val="0"/>
          <w:sz w:val="24"/>
          <w:szCs w:val="24"/>
        </w:rPr>
        <w:t>个</w:t>
      </w:r>
      <w:proofErr w:type="gramEnd"/>
      <w:r w:rsidRPr="00734FB9">
        <w:rPr>
          <w:rFonts w:ascii="微软雅黑" w:eastAsia="微软雅黑" w:hAnsi="微软雅黑" w:cs="宋体"/>
          <w:kern w:val="0"/>
          <w:sz w:val="24"/>
          <w:szCs w:val="24"/>
        </w:rPr>
        <w:t xml:space="preserve">月 vs. 2.76 </w:t>
      </w:r>
      <w:proofErr w:type="gramStart"/>
      <w:r w:rsidRPr="00734FB9">
        <w:rPr>
          <w:rFonts w:ascii="微软雅黑" w:eastAsia="微软雅黑" w:hAnsi="微软雅黑" w:cs="宋体"/>
          <w:kern w:val="0"/>
          <w:sz w:val="24"/>
          <w:szCs w:val="24"/>
        </w:rPr>
        <w:t>个</w:t>
      </w:r>
      <w:proofErr w:type="gramEnd"/>
      <w:r w:rsidRPr="00734FB9">
        <w:rPr>
          <w:rFonts w:ascii="微软雅黑" w:eastAsia="微软雅黑" w:hAnsi="微软雅黑" w:cs="宋体"/>
          <w:kern w:val="0"/>
          <w:sz w:val="24"/>
          <w:szCs w:val="24"/>
        </w:rPr>
        <w:t>月；</w:t>
      </w:r>
      <w:r w:rsidRPr="00734FB9">
        <w:rPr>
          <w:rFonts w:ascii="微软雅黑" w:eastAsia="微软雅黑" w:hAnsi="微软雅黑" w:cs="宋体"/>
          <w:kern w:val="0"/>
          <w:sz w:val="24"/>
          <w:szCs w:val="24"/>
        </w:rPr>
        <w:lastRenderedPageBreak/>
        <w:t>P=0.006）（</w:t>
      </w:r>
      <w:hyperlink r:id="rId78" w:anchor="tII-ijmm-50-4-05184" w:history="1">
        <w:r w:rsidRPr="00734FB9">
          <w:rPr>
            <w:rFonts w:ascii="微软雅黑" w:eastAsia="微软雅黑" w:hAnsi="微软雅黑" w:cs="宋体"/>
            <w:kern w:val="0"/>
            <w:sz w:val="24"/>
            <w:szCs w:val="24"/>
            <w:u w:val="single"/>
          </w:rPr>
          <w:t>表 II</w:t>
        </w:r>
      </w:hyperlink>
      <w:r w:rsidRPr="00734FB9">
        <w:rPr>
          <w:rFonts w:ascii="微软雅黑" w:eastAsia="微软雅黑" w:hAnsi="微软雅黑" w:cs="宋体"/>
          <w:kern w:val="0"/>
          <w:sz w:val="24"/>
          <w:szCs w:val="24"/>
        </w:rPr>
        <w:t>）。一项正在进行的II期临床研究（PACE研究）比较了</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±帕博西尼与芳香化酶抑制剂（AI）联合CDK4/6抑制剂治疗进展后的疗效（</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"b79-ijmm-50-4-05184"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79</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）。在2021年SABCS会议上公布的EMERALD III期研究结果显示，对于既往接受过内分泌治疗联合CDK4/6抑制剂治疗后进展的ER </w:t>
      </w:r>
      <w:r w:rsidRPr="00734FB9">
        <w:rPr>
          <w:rFonts w:ascii="微软雅黑" w:eastAsia="微软雅黑" w:hAnsi="微软雅黑" w:cs="宋体"/>
          <w:kern w:val="0"/>
          <w:sz w:val="24"/>
          <w:szCs w:val="24"/>
          <w:vertAlign w:val="superscript"/>
        </w:rPr>
        <w:t>+ /</w:t>
      </w:r>
      <w:r w:rsidRPr="00734FB9">
        <w:rPr>
          <w:rFonts w:ascii="微软雅黑" w:eastAsia="微软雅黑" w:hAnsi="微软雅黑" w:cs="宋体"/>
          <w:kern w:val="0"/>
          <w:sz w:val="24"/>
          <w:szCs w:val="24"/>
        </w:rPr>
        <w:t> HER2-转移性乳腺癌患者，口服选择性雌激素受体拮抗剂</w:t>
      </w:r>
      <w:proofErr w:type="spellStart"/>
      <w:r w:rsidRPr="00734FB9">
        <w:rPr>
          <w:rFonts w:ascii="微软雅黑" w:eastAsia="微软雅黑" w:hAnsi="微软雅黑" w:cs="宋体"/>
          <w:kern w:val="0"/>
          <w:sz w:val="24"/>
          <w:szCs w:val="24"/>
        </w:rPr>
        <w:t>elacestrant</w:t>
      </w:r>
      <w:proofErr w:type="spellEnd"/>
      <w:r w:rsidRPr="00734FB9">
        <w:rPr>
          <w:rFonts w:ascii="微软雅黑" w:eastAsia="微软雅黑" w:hAnsi="微软雅黑" w:cs="宋体"/>
          <w:kern w:val="0"/>
          <w:sz w:val="24"/>
          <w:szCs w:val="24"/>
        </w:rPr>
        <w:t>的疗效优于AI（ </w:t>
      </w:r>
      <w:hyperlink r:id="rId79" w:anchor="b80-ijmm-50-4-05184" w:history="1">
        <w:r w:rsidRPr="00734FB9">
          <w:rPr>
            <w:rFonts w:ascii="微软雅黑" w:eastAsia="微软雅黑" w:hAnsi="微软雅黑" w:cs="宋体"/>
            <w:kern w:val="0"/>
            <w:sz w:val="24"/>
            <w:szCs w:val="24"/>
            <w:u w:val="single"/>
          </w:rPr>
          <w:t>80</w:t>
        </w:r>
      </w:hyperlink>
      <w:r w:rsidRPr="00734FB9">
        <w:rPr>
          <w:rFonts w:ascii="微软雅黑" w:eastAsia="微软雅黑" w:hAnsi="微软雅黑" w:cs="宋体"/>
          <w:kern w:val="0"/>
          <w:sz w:val="24"/>
          <w:szCs w:val="24"/>
        </w:rPr>
        <w:t> , </w:t>
      </w:r>
      <w:hyperlink r:id="rId80" w:anchor="b81-ijmm-50-4-05184" w:history="1">
        <w:r w:rsidRPr="00734FB9">
          <w:rPr>
            <w:rFonts w:ascii="微软雅黑" w:eastAsia="微软雅黑" w:hAnsi="微软雅黑" w:cs="宋体"/>
            <w:kern w:val="0"/>
            <w:sz w:val="24"/>
            <w:szCs w:val="24"/>
            <w:u w:val="single"/>
          </w:rPr>
          <w:t>81</w:t>
        </w:r>
      </w:hyperlink>
      <w:r w:rsidRPr="00734FB9">
        <w:rPr>
          <w:rFonts w:ascii="微软雅黑" w:eastAsia="微软雅黑" w:hAnsi="微软雅黑" w:cs="宋体"/>
          <w:kern w:val="0"/>
          <w:sz w:val="24"/>
          <w:szCs w:val="24"/>
        </w:rPr>
        <w:t>）。因此，在出现耐药性后，改用其他内分泌药物联合CDK4/6抑制剂是可行的治疗选择之一。</w:t>
      </w:r>
    </w:p>
    <w:p w14:paraId="6CD8ECB2" w14:textId="77777777" w:rsidR="00734FB9" w:rsidRPr="00734FB9" w:rsidRDefault="00734FB9" w:rsidP="00734FB9">
      <w:pPr>
        <w:widowControl/>
        <w:spacing w:line="450" w:lineRule="atLeast"/>
        <w:outlineLvl w:val="3"/>
        <w:rPr>
          <w:rFonts w:ascii="微软雅黑" w:eastAsia="微软雅黑" w:hAnsi="微软雅黑" w:cs="宋体"/>
          <w:kern w:val="0"/>
          <w:sz w:val="30"/>
          <w:szCs w:val="30"/>
        </w:rPr>
      </w:pPr>
      <w:r w:rsidRPr="00734FB9">
        <w:rPr>
          <w:rFonts w:ascii="微软雅黑" w:eastAsia="微软雅黑" w:hAnsi="微软雅黑" w:cs="宋体"/>
          <w:kern w:val="0"/>
          <w:sz w:val="30"/>
          <w:szCs w:val="30"/>
        </w:rPr>
        <w:t>表二。</w:t>
      </w:r>
    </w:p>
    <w:p w14:paraId="58FD68B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针对激素受体+ /人表皮生长因子受体2-晚期乳腺癌/转移性乳腺癌患者，针对CDK4/6抑制剂耐药后治疗的关键临床试验。</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97"/>
        <w:gridCol w:w="1220"/>
        <w:gridCol w:w="402"/>
        <w:gridCol w:w="1910"/>
        <w:gridCol w:w="402"/>
        <w:gridCol w:w="583"/>
        <w:gridCol w:w="1019"/>
        <w:gridCol w:w="963"/>
      </w:tblGrid>
      <w:tr w:rsidR="00EC5263" w:rsidRPr="00EC5263" w14:paraId="5FF9360A" w14:textId="77777777" w:rsidTr="00734FB9">
        <w:trPr>
          <w:tblHeader/>
          <w:tblCellSpacing w:w="15" w:type="dxa"/>
        </w:trPr>
        <w:tc>
          <w:tcPr>
            <w:tcW w:w="961" w:type="pct"/>
            <w:tcMar>
              <w:top w:w="56" w:type="dxa"/>
              <w:left w:w="56" w:type="dxa"/>
              <w:bottom w:w="56" w:type="dxa"/>
              <w:right w:w="56" w:type="dxa"/>
            </w:tcMar>
            <w:hideMark/>
          </w:tcPr>
          <w:p w14:paraId="0CA71EA8"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国家癌症研究所</w:t>
            </w:r>
          </w:p>
        </w:tc>
        <w:tc>
          <w:tcPr>
            <w:tcW w:w="670" w:type="pct"/>
            <w:tcMar>
              <w:top w:w="56" w:type="dxa"/>
              <w:left w:w="56" w:type="dxa"/>
              <w:bottom w:w="56" w:type="dxa"/>
              <w:right w:w="56" w:type="dxa"/>
            </w:tcMar>
            <w:hideMark/>
          </w:tcPr>
          <w:p w14:paraId="024FD546"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研究名称</w:t>
            </w:r>
          </w:p>
        </w:tc>
        <w:tc>
          <w:tcPr>
            <w:tcW w:w="243" w:type="pct"/>
            <w:tcMar>
              <w:top w:w="56" w:type="dxa"/>
              <w:left w:w="56" w:type="dxa"/>
              <w:bottom w:w="56" w:type="dxa"/>
              <w:right w:w="56" w:type="dxa"/>
            </w:tcMar>
            <w:hideMark/>
          </w:tcPr>
          <w:p w14:paraId="4BB5816C"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阶段</w:t>
            </w:r>
          </w:p>
        </w:tc>
        <w:tc>
          <w:tcPr>
            <w:tcW w:w="1168" w:type="pct"/>
            <w:tcMar>
              <w:top w:w="56" w:type="dxa"/>
              <w:left w:w="56" w:type="dxa"/>
              <w:bottom w:w="56" w:type="dxa"/>
              <w:right w:w="56" w:type="dxa"/>
            </w:tcMar>
            <w:hideMark/>
          </w:tcPr>
          <w:p w14:paraId="0D32DF69"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干涉</w:t>
            </w:r>
          </w:p>
        </w:tc>
        <w:tc>
          <w:tcPr>
            <w:tcW w:w="243" w:type="pct"/>
            <w:tcMar>
              <w:top w:w="56" w:type="dxa"/>
              <w:left w:w="56" w:type="dxa"/>
              <w:bottom w:w="56" w:type="dxa"/>
              <w:right w:w="56" w:type="dxa"/>
            </w:tcMar>
            <w:hideMark/>
          </w:tcPr>
          <w:p w14:paraId="73B17B16"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很多</w:t>
            </w:r>
          </w:p>
        </w:tc>
        <w:tc>
          <w:tcPr>
            <w:tcW w:w="366" w:type="pct"/>
            <w:tcMar>
              <w:top w:w="56" w:type="dxa"/>
              <w:left w:w="56" w:type="dxa"/>
              <w:bottom w:w="56" w:type="dxa"/>
              <w:right w:w="56" w:type="dxa"/>
            </w:tcMar>
            <w:hideMark/>
          </w:tcPr>
          <w:p w14:paraId="7ACBE0D1"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更年期状态</w:t>
            </w:r>
          </w:p>
        </w:tc>
        <w:tc>
          <w:tcPr>
            <w:tcW w:w="622" w:type="pct"/>
            <w:tcMar>
              <w:top w:w="56" w:type="dxa"/>
              <w:left w:w="56" w:type="dxa"/>
              <w:bottom w:w="56" w:type="dxa"/>
              <w:right w:w="56" w:type="dxa"/>
            </w:tcMar>
            <w:hideMark/>
          </w:tcPr>
          <w:p w14:paraId="7A7CAC6E" w14:textId="77777777" w:rsidR="00734FB9" w:rsidRPr="00734FB9" w:rsidRDefault="00734FB9" w:rsidP="00734FB9">
            <w:pPr>
              <w:widowControl/>
              <w:rPr>
                <w:rFonts w:ascii="微软雅黑" w:eastAsia="微软雅黑" w:hAnsi="微软雅黑" w:cs="宋体"/>
                <w:b/>
                <w:bCs/>
                <w:kern w:val="0"/>
                <w:sz w:val="24"/>
                <w:szCs w:val="24"/>
              </w:rPr>
            </w:pPr>
            <w:proofErr w:type="spellStart"/>
            <w:r w:rsidRPr="00734FB9">
              <w:rPr>
                <w:rFonts w:ascii="微软雅黑" w:eastAsia="微软雅黑" w:hAnsi="微软雅黑" w:cs="宋体"/>
                <w:b/>
                <w:bCs/>
                <w:kern w:val="0"/>
                <w:sz w:val="24"/>
                <w:szCs w:val="24"/>
              </w:rPr>
              <w:t>mPFS</w:t>
            </w:r>
            <w:proofErr w:type="spellEnd"/>
            <w:r w:rsidRPr="00734FB9">
              <w:rPr>
                <w:rFonts w:ascii="微软雅黑" w:eastAsia="微软雅黑" w:hAnsi="微软雅黑" w:cs="宋体"/>
                <w:b/>
                <w:bCs/>
                <w:kern w:val="0"/>
                <w:sz w:val="24"/>
                <w:szCs w:val="24"/>
              </w:rPr>
              <w:t xml:space="preserve"> 时间，月</w:t>
            </w:r>
          </w:p>
        </w:tc>
        <w:tc>
          <w:tcPr>
            <w:tcW w:w="579" w:type="pct"/>
            <w:tcMar>
              <w:top w:w="56" w:type="dxa"/>
              <w:left w:w="56" w:type="dxa"/>
              <w:bottom w:w="56" w:type="dxa"/>
              <w:right w:w="56" w:type="dxa"/>
            </w:tcMar>
            <w:hideMark/>
          </w:tcPr>
          <w:p w14:paraId="1BEFF791" w14:textId="77777777" w:rsidR="00734FB9" w:rsidRPr="00734FB9" w:rsidRDefault="00734FB9" w:rsidP="00734FB9">
            <w:pPr>
              <w:widowControl/>
              <w:rPr>
                <w:rFonts w:ascii="微软雅黑" w:eastAsia="微软雅黑" w:hAnsi="微软雅黑" w:cs="宋体"/>
                <w:b/>
                <w:bCs/>
                <w:kern w:val="0"/>
                <w:sz w:val="24"/>
                <w:szCs w:val="24"/>
              </w:rPr>
            </w:pPr>
            <w:r w:rsidRPr="00734FB9">
              <w:rPr>
                <w:rFonts w:ascii="微软雅黑" w:eastAsia="微软雅黑" w:hAnsi="微软雅黑" w:cs="宋体"/>
                <w:b/>
                <w:bCs/>
                <w:kern w:val="0"/>
                <w:sz w:val="24"/>
                <w:szCs w:val="24"/>
              </w:rPr>
              <w:t>操作系统时间，月</w:t>
            </w:r>
          </w:p>
        </w:tc>
      </w:tr>
      <w:tr w:rsidR="00EC5263" w:rsidRPr="00EC5263" w14:paraId="5EE5B6A4" w14:textId="77777777" w:rsidTr="00734FB9">
        <w:trPr>
          <w:tblCellSpacing w:w="15" w:type="dxa"/>
        </w:trPr>
        <w:tc>
          <w:tcPr>
            <w:tcW w:w="961" w:type="pct"/>
            <w:tcMar>
              <w:top w:w="56" w:type="dxa"/>
              <w:left w:w="56" w:type="dxa"/>
              <w:bottom w:w="56" w:type="dxa"/>
              <w:right w:w="56" w:type="dxa"/>
            </w:tcMar>
            <w:hideMark/>
          </w:tcPr>
          <w:p w14:paraId="769AF898" w14:textId="77777777" w:rsidR="00734FB9" w:rsidRPr="00734FB9" w:rsidRDefault="00734FB9" w:rsidP="00734FB9">
            <w:pPr>
              <w:widowControl/>
              <w:rPr>
                <w:rFonts w:ascii="微软雅黑" w:eastAsia="微软雅黑" w:hAnsi="微软雅黑" w:cs="宋体"/>
                <w:kern w:val="0"/>
                <w:sz w:val="24"/>
                <w:szCs w:val="24"/>
              </w:rPr>
            </w:pPr>
            <w:hyperlink r:id="rId81" w:tgtFrame="_blank" w:history="1">
              <w:r w:rsidRPr="00734FB9">
                <w:rPr>
                  <w:rFonts w:ascii="微软雅黑" w:eastAsia="微软雅黑" w:hAnsi="微软雅黑" w:cs="宋体"/>
                  <w:kern w:val="0"/>
                  <w:sz w:val="24"/>
                  <w:szCs w:val="24"/>
                  <w:u w:val="single"/>
                </w:rPr>
                <w:t>NCT02632045</w:t>
              </w:r>
            </w:hyperlink>
          </w:p>
        </w:tc>
        <w:tc>
          <w:tcPr>
            <w:tcW w:w="670" w:type="pct"/>
            <w:tcMar>
              <w:top w:w="56" w:type="dxa"/>
              <w:left w:w="56" w:type="dxa"/>
              <w:bottom w:w="56" w:type="dxa"/>
              <w:right w:w="56" w:type="dxa"/>
            </w:tcMar>
            <w:hideMark/>
          </w:tcPr>
          <w:p w14:paraId="323FCCB1"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维持</w:t>
            </w:r>
          </w:p>
        </w:tc>
        <w:tc>
          <w:tcPr>
            <w:tcW w:w="243" w:type="pct"/>
            <w:tcMar>
              <w:top w:w="56" w:type="dxa"/>
              <w:left w:w="56" w:type="dxa"/>
              <w:bottom w:w="56" w:type="dxa"/>
              <w:right w:w="56" w:type="dxa"/>
            </w:tcMar>
            <w:hideMark/>
          </w:tcPr>
          <w:p w14:paraId="549C6450"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二</w:t>
            </w:r>
          </w:p>
        </w:tc>
        <w:tc>
          <w:tcPr>
            <w:tcW w:w="1168" w:type="pct"/>
            <w:tcMar>
              <w:top w:w="56" w:type="dxa"/>
              <w:left w:w="56" w:type="dxa"/>
              <w:bottom w:w="56" w:type="dxa"/>
              <w:right w:w="56" w:type="dxa"/>
            </w:tcMar>
            <w:hideMark/>
          </w:tcPr>
          <w:p w14:paraId="0EC12BE1"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满±核糖</w:t>
            </w:r>
          </w:p>
        </w:tc>
        <w:tc>
          <w:tcPr>
            <w:tcW w:w="243" w:type="pct"/>
            <w:tcMar>
              <w:top w:w="56" w:type="dxa"/>
              <w:left w:w="56" w:type="dxa"/>
              <w:bottom w:w="56" w:type="dxa"/>
              <w:right w:w="56" w:type="dxa"/>
            </w:tcMar>
            <w:hideMark/>
          </w:tcPr>
          <w:p w14:paraId="23BD0FE9"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第二</w:t>
            </w:r>
          </w:p>
        </w:tc>
        <w:tc>
          <w:tcPr>
            <w:tcW w:w="366" w:type="pct"/>
            <w:tcMar>
              <w:top w:w="56" w:type="dxa"/>
              <w:left w:w="56" w:type="dxa"/>
              <w:bottom w:w="56" w:type="dxa"/>
              <w:right w:w="56" w:type="dxa"/>
            </w:tcMar>
            <w:hideMark/>
          </w:tcPr>
          <w:p w14:paraId="271827D3"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前后</w:t>
            </w:r>
          </w:p>
        </w:tc>
        <w:tc>
          <w:tcPr>
            <w:tcW w:w="622" w:type="pct"/>
            <w:tcMar>
              <w:top w:w="56" w:type="dxa"/>
              <w:left w:w="56" w:type="dxa"/>
              <w:bottom w:w="56" w:type="dxa"/>
              <w:right w:w="56" w:type="dxa"/>
            </w:tcMar>
            <w:hideMark/>
          </w:tcPr>
          <w:p w14:paraId="64BC9CBF"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5.29 对 2.76</w:t>
            </w:r>
          </w:p>
        </w:tc>
        <w:tc>
          <w:tcPr>
            <w:tcW w:w="579" w:type="pct"/>
            <w:tcMar>
              <w:top w:w="56" w:type="dxa"/>
              <w:left w:w="56" w:type="dxa"/>
              <w:bottom w:w="56" w:type="dxa"/>
              <w:right w:w="56" w:type="dxa"/>
            </w:tcMar>
            <w:hideMark/>
          </w:tcPr>
          <w:p w14:paraId="32D63616"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w:t>
            </w:r>
          </w:p>
        </w:tc>
      </w:tr>
      <w:tr w:rsidR="00EC5263" w:rsidRPr="00EC5263" w14:paraId="005FD816" w14:textId="77777777" w:rsidTr="00734FB9">
        <w:trPr>
          <w:tblCellSpacing w:w="15" w:type="dxa"/>
        </w:trPr>
        <w:tc>
          <w:tcPr>
            <w:tcW w:w="961" w:type="pct"/>
            <w:tcMar>
              <w:top w:w="56" w:type="dxa"/>
              <w:left w:w="56" w:type="dxa"/>
              <w:bottom w:w="56" w:type="dxa"/>
              <w:right w:w="56" w:type="dxa"/>
            </w:tcMar>
            <w:hideMark/>
          </w:tcPr>
          <w:p w14:paraId="2D9CAAD0" w14:textId="77777777" w:rsidR="00734FB9" w:rsidRPr="00734FB9" w:rsidRDefault="00734FB9" w:rsidP="00734FB9">
            <w:pPr>
              <w:widowControl/>
              <w:rPr>
                <w:rFonts w:ascii="微软雅黑" w:eastAsia="微软雅黑" w:hAnsi="微软雅黑" w:cs="宋体"/>
                <w:kern w:val="0"/>
                <w:sz w:val="24"/>
                <w:szCs w:val="24"/>
              </w:rPr>
            </w:pPr>
            <w:hyperlink r:id="rId82" w:tgtFrame="_blank" w:history="1">
              <w:r w:rsidRPr="00734FB9">
                <w:rPr>
                  <w:rFonts w:ascii="微软雅黑" w:eastAsia="微软雅黑" w:hAnsi="微软雅黑" w:cs="宋体"/>
                  <w:kern w:val="0"/>
                  <w:sz w:val="24"/>
                  <w:szCs w:val="24"/>
                  <w:u w:val="single"/>
                </w:rPr>
                <w:t>NCT02437318</w:t>
              </w:r>
            </w:hyperlink>
          </w:p>
        </w:tc>
        <w:tc>
          <w:tcPr>
            <w:tcW w:w="670" w:type="pct"/>
            <w:tcMar>
              <w:top w:w="56" w:type="dxa"/>
              <w:left w:w="56" w:type="dxa"/>
              <w:bottom w:w="56" w:type="dxa"/>
              <w:right w:w="56" w:type="dxa"/>
            </w:tcMar>
            <w:hideMark/>
          </w:tcPr>
          <w:p w14:paraId="6E51C35A"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太阳能-1</w:t>
            </w:r>
          </w:p>
        </w:tc>
        <w:tc>
          <w:tcPr>
            <w:tcW w:w="243" w:type="pct"/>
            <w:tcMar>
              <w:top w:w="56" w:type="dxa"/>
              <w:left w:w="56" w:type="dxa"/>
              <w:bottom w:w="56" w:type="dxa"/>
              <w:right w:w="56" w:type="dxa"/>
            </w:tcMar>
            <w:hideMark/>
          </w:tcPr>
          <w:p w14:paraId="51C05313"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1168" w:type="pct"/>
            <w:tcMar>
              <w:top w:w="56" w:type="dxa"/>
              <w:left w:w="56" w:type="dxa"/>
              <w:bottom w:w="56" w:type="dxa"/>
              <w:right w:w="56" w:type="dxa"/>
            </w:tcMar>
            <w:hideMark/>
          </w:tcPr>
          <w:p w14:paraId="5A3FD1A6"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富尔±阿尔卑斯山</w:t>
            </w:r>
          </w:p>
        </w:tc>
        <w:tc>
          <w:tcPr>
            <w:tcW w:w="243" w:type="pct"/>
            <w:tcMar>
              <w:top w:w="56" w:type="dxa"/>
              <w:left w:w="56" w:type="dxa"/>
              <w:bottom w:w="56" w:type="dxa"/>
              <w:right w:w="56" w:type="dxa"/>
            </w:tcMar>
            <w:hideMark/>
          </w:tcPr>
          <w:p w14:paraId="5D5AADA9"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第二</w:t>
            </w:r>
          </w:p>
        </w:tc>
        <w:tc>
          <w:tcPr>
            <w:tcW w:w="366" w:type="pct"/>
            <w:tcMar>
              <w:top w:w="56" w:type="dxa"/>
              <w:left w:w="56" w:type="dxa"/>
              <w:bottom w:w="56" w:type="dxa"/>
              <w:right w:w="56" w:type="dxa"/>
            </w:tcMar>
            <w:hideMark/>
          </w:tcPr>
          <w:p w14:paraId="7AC51CDC"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邮政</w:t>
            </w:r>
          </w:p>
        </w:tc>
        <w:tc>
          <w:tcPr>
            <w:tcW w:w="622" w:type="pct"/>
            <w:tcMar>
              <w:top w:w="56" w:type="dxa"/>
              <w:left w:w="56" w:type="dxa"/>
              <w:bottom w:w="56" w:type="dxa"/>
              <w:right w:w="56" w:type="dxa"/>
            </w:tcMar>
            <w:hideMark/>
          </w:tcPr>
          <w:p w14:paraId="76F11669"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11 比 5.7</w:t>
            </w:r>
          </w:p>
        </w:tc>
        <w:tc>
          <w:tcPr>
            <w:tcW w:w="579" w:type="pct"/>
            <w:tcMar>
              <w:top w:w="56" w:type="dxa"/>
              <w:left w:w="56" w:type="dxa"/>
              <w:bottom w:w="56" w:type="dxa"/>
              <w:right w:w="56" w:type="dxa"/>
            </w:tcMar>
            <w:hideMark/>
          </w:tcPr>
          <w:p w14:paraId="19F5A8F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39.3 对 31.4</w:t>
            </w:r>
          </w:p>
        </w:tc>
      </w:tr>
      <w:tr w:rsidR="00EC5263" w:rsidRPr="00EC5263" w14:paraId="5F848145" w14:textId="77777777" w:rsidTr="00734FB9">
        <w:trPr>
          <w:tblCellSpacing w:w="15" w:type="dxa"/>
        </w:trPr>
        <w:tc>
          <w:tcPr>
            <w:tcW w:w="961" w:type="pct"/>
            <w:tcMar>
              <w:top w:w="56" w:type="dxa"/>
              <w:left w:w="56" w:type="dxa"/>
              <w:bottom w:w="56" w:type="dxa"/>
              <w:right w:w="56" w:type="dxa"/>
            </w:tcMar>
            <w:hideMark/>
          </w:tcPr>
          <w:p w14:paraId="77F17AFD" w14:textId="77777777" w:rsidR="00734FB9" w:rsidRPr="00734FB9" w:rsidRDefault="00734FB9" w:rsidP="00734FB9">
            <w:pPr>
              <w:widowControl/>
              <w:rPr>
                <w:rFonts w:ascii="微软雅黑" w:eastAsia="微软雅黑" w:hAnsi="微软雅黑" w:cs="宋体"/>
                <w:kern w:val="0"/>
                <w:sz w:val="24"/>
                <w:szCs w:val="24"/>
              </w:rPr>
            </w:pPr>
            <w:hyperlink r:id="rId83" w:tgtFrame="_blank" w:history="1">
              <w:r w:rsidRPr="00734FB9">
                <w:rPr>
                  <w:rFonts w:ascii="微软雅黑" w:eastAsia="微软雅黑" w:hAnsi="微软雅黑" w:cs="宋体"/>
                  <w:kern w:val="0"/>
                  <w:sz w:val="24"/>
                  <w:szCs w:val="24"/>
                  <w:u w:val="single"/>
                </w:rPr>
                <w:t>NCT03056755</w:t>
              </w:r>
            </w:hyperlink>
          </w:p>
        </w:tc>
        <w:tc>
          <w:tcPr>
            <w:tcW w:w="670" w:type="pct"/>
            <w:tcMar>
              <w:top w:w="56" w:type="dxa"/>
              <w:left w:w="56" w:type="dxa"/>
              <w:bottom w:w="56" w:type="dxa"/>
              <w:right w:w="56" w:type="dxa"/>
            </w:tcMar>
            <w:hideMark/>
          </w:tcPr>
          <w:p w14:paraId="06082231" w14:textId="77777777" w:rsidR="00734FB9" w:rsidRPr="00734FB9" w:rsidRDefault="00734FB9" w:rsidP="00734FB9">
            <w:pPr>
              <w:widowControl/>
              <w:rPr>
                <w:rFonts w:ascii="微软雅黑" w:eastAsia="微软雅黑" w:hAnsi="微软雅黑" w:cs="宋体"/>
                <w:kern w:val="0"/>
                <w:sz w:val="24"/>
                <w:szCs w:val="24"/>
              </w:rPr>
            </w:pPr>
            <w:proofErr w:type="spellStart"/>
            <w:r w:rsidRPr="00734FB9">
              <w:rPr>
                <w:rFonts w:ascii="微软雅黑" w:eastAsia="微软雅黑" w:hAnsi="微软雅黑" w:cs="宋体"/>
                <w:kern w:val="0"/>
                <w:sz w:val="24"/>
                <w:szCs w:val="24"/>
              </w:rPr>
              <w:t>BYLieve</w:t>
            </w:r>
            <w:proofErr w:type="spellEnd"/>
          </w:p>
        </w:tc>
        <w:tc>
          <w:tcPr>
            <w:tcW w:w="243" w:type="pct"/>
            <w:tcMar>
              <w:top w:w="56" w:type="dxa"/>
              <w:left w:w="56" w:type="dxa"/>
              <w:bottom w:w="56" w:type="dxa"/>
              <w:right w:w="56" w:type="dxa"/>
            </w:tcMar>
            <w:hideMark/>
          </w:tcPr>
          <w:p w14:paraId="0114716B"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二</w:t>
            </w:r>
          </w:p>
        </w:tc>
        <w:tc>
          <w:tcPr>
            <w:tcW w:w="1168" w:type="pct"/>
            <w:tcMar>
              <w:top w:w="56" w:type="dxa"/>
              <w:left w:w="56" w:type="dxa"/>
              <w:bottom w:w="56" w:type="dxa"/>
              <w:right w:w="56" w:type="dxa"/>
            </w:tcMar>
            <w:hideMark/>
          </w:tcPr>
          <w:p w14:paraId="084FD185"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A组：富尔±阿尔卑斯山；B组：</w:t>
            </w:r>
            <w:proofErr w:type="gramStart"/>
            <w:r w:rsidRPr="00734FB9">
              <w:rPr>
                <w:rFonts w:ascii="微软雅黑" w:eastAsia="微软雅黑" w:hAnsi="微软雅黑" w:cs="宋体"/>
                <w:kern w:val="0"/>
                <w:sz w:val="24"/>
                <w:szCs w:val="24"/>
              </w:rPr>
              <w:t>莱</w:t>
            </w:r>
            <w:proofErr w:type="gramEnd"/>
            <w:r w:rsidRPr="00734FB9">
              <w:rPr>
                <w:rFonts w:ascii="微软雅黑" w:eastAsia="微软雅黑" w:hAnsi="微软雅黑" w:cs="宋体"/>
                <w:kern w:val="0"/>
                <w:sz w:val="24"/>
                <w:szCs w:val="24"/>
              </w:rPr>
              <w:t>特±阿尔卑斯山</w:t>
            </w:r>
          </w:p>
        </w:tc>
        <w:tc>
          <w:tcPr>
            <w:tcW w:w="243" w:type="pct"/>
            <w:tcMar>
              <w:top w:w="56" w:type="dxa"/>
              <w:left w:w="56" w:type="dxa"/>
              <w:bottom w:w="56" w:type="dxa"/>
              <w:right w:w="56" w:type="dxa"/>
            </w:tcMar>
            <w:hideMark/>
          </w:tcPr>
          <w:p w14:paraId="79257EE8"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第二</w:t>
            </w:r>
          </w:p>
        </w:tc>
        <w:tc>
          <w:tcPr>
            <w:tcW w:w="366" w:type="pct"/>
            <w:tcMar>
              <w:top w:w="56" w:type="dxa"/>
              <w:left w:w="56" w:type="dxa"/>
              <w:bottom w:w="56" w:type="dxa"/>
              <w:right w:w="56" w:type="dxa"/>
            </w:tcMar>
            <w:hideMark/>
          </w:tcPr>
          <w:p w14:paraId="2E827A5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前后</w:t>
            </w:r>
          </w:p>
        </w:tc>
        <w:tc>
          <w:tcPr>
            <w:tcW w:w="622" w:type="pct"/>
            <w:tcMar>
              <w:top w:w="56" w:type="dxa"/>
              <w:left w:w="56" w:type="dxa"/>
              <w:bottom w:w="56" w:type="dxa"/>
              <w:right w:w="56" w:type="dxa"/>
            </w:tcMar>
            <w:hideMark/>
          </w:tcPr>
          <w:p w14:paraId="5E9C14A0"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A：7.3；B：5.7</w:t>
            </w:r>
          </w:p>
        </w:tc>
        <w:tc>
          <w:tcPr>
            <w:tcW w:w="579" w:type="pct"/>
            <w:tcMar>
              <w:top w:w="56" w:type="dxa"/>
              <w:left w:w="56" w:type="dxa"/>
              <w:bottom w:w="56" w:type="dxa"/>
              <w:right w:w="56" w:type="dxa"/>
            </w:tcMar>
            <w:hideMark/>
          </w:tcPr>
          <w:p w14:paraId="24D020BC"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w:t>
            </w:r>
          </w:p>
        </w:tc>
      </w:tr>
      <w:tr w:rsidR="00EC5263" w:rsidRPr="00EC5263" w14:paraId="765744EC" w14:textId="77777777" w:rsidTr="00734FB9">
        <w:trPr>
          <w:tblCellSpacing w:w="15" w:type="dxa"/>
        </w:trPr>
        <w:tc>
          <w:tcPr>
            <w:tcW w:w="961" w:type="pct"/>
            <w:tcMar>
              <w:top w:w="56" w:type="dxa"/>
              <w:left w:w="56" w:type="dxa"/>
              <w:bottom w:w="56" w:type="dxa"/>
              <w:right w:w="56" w:type="dxa"/>
            </w:tcMar>
            <w:hideMark/>
          </w:tcPr>
          <w:p w14:paraId="79601E03" w14:textId="77777777" w:rsidR="00734FB9" w:rsidRPr="00734FB9" w:rsidRDefault="00734FB9" w:rsidP="00734FB9">
            <w:pPr>
              <w:widowControl/>
              <w:rPr>
                <w:rFonts w:ascii="微软雅黑" w:eastAsia="微软雅黑" w:hAnsi="微软雅黑" w:cs="宋体"/>
                <w:kern w:val="0"/>
                <w:sz w:val="24"/>
                <w:szCs w:val="24"/>
              </w:rPr>
            </w:pPr>
            <w:hyperlink r:id="rId84" w:tgtFrame="_blank" w:history="1">
              <w:r w:rsidRPr="00734FB9">
                <w:rPr>
                  <w:rFonts w:ascii="微软雅黑" w:eastAsia="微软雅黑" w:hAnsi="微软雅黑" w:cs="宋体"/>
                  <w:kern w:val="0"/>
                  <w:sz w:val="24"/>
                  <w:szCs w:val="24"/>
                  <w:u w:val="single"/>
                </w:rPr>
                <w:t>NCT00863655</w:t>
              </w:r>
            </w:hyperlink>
          </w:p>
        </w:tc>
        <w:tc>
          <w:tcPr>
            <w:tcW w:w="670" w:type="pct"/>
            <w:tcMar>
              <w:top w:w="56" w:type="dxa"/>
              <w:left w:w="56" w:type="dxa"/>
              <w:bottom w:w="56" w:type="dxa"/>
              <w:right w:w="56" w:type="dxa"/>
            </w:tcMar>
            <w:hideMark/>
          </w:tcPr>
          <w:p w14:paraId="776C5325"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BOLERO-2</w:t>
            </w:r>
          </w:p>
        </w:tc>
        <w:tc>
          <w:tcPr>
            <w:tcW w:w="243" w:type="pct"/>
            <w:tcMar>
              <w:top w:w="56" w:type="dxa"/>
              <w:left w:w="56" w:type="dxa"/>
              <w:bottom w:w="56" w:type="dxa"/>
              <w:right w:w="56" w:type="dxa"/>
            </w:tcMar>
            <w:hideMark/>
          </w:tcPr>
          <w:p w14:paraId="11BEAE9A"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1168" w:type="pct"/>
            <w:tcMar>
              <w:top w:w="56" w:type="dxa"/>
              <w:left w:w="56" w:type="dxa"/>
              <w:bottom w:w="56" w:type="dxa"/>
              <w:right w:w="56" w:type="dxa"/>
            </w:tcMar>
            <w:hideMark/>
          </w:tcPr>
          <w:p w14:paraId="5B3CFCAC"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Exe ± Eve</w:t>
            </w:r>
          </w:p>
        </w:tc>
        <w:tc>
          <w:tcPr>
            <w:tcW w:w="243" w:type="pct"/>
            <w:tcMar>
              <w:top w:w="56" w:type="dxa"/>
              <w:left w:w="56" w:type="dxa"/>
              <w:bottom w:w="56" w:type="dxa"/>
              <w:right w:w="56" w:type="dxa"/>
            </w:tcMar>
            <w:hideMark/>
          </w:tcPr>
          <w:p w14:paraId="4DB62B33"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第二</w:t>
            </w:r>
          </w:p>
        </w:tc>
        <w:tc>
          <w:tcPr>
            <w:tcW w:w="366" w:type="pct"/>
            <w:tcMar>
              <w:top w:w="56" w:type="dxa"/>
              <w:left w:w="56" w:type="dxa"/>
              <w:bottom w:w="56" w:type="dxa"/>
              <w:right w:w="56" w:type="dxa"/>
            </w:tcMar>
            <w:hideMark/>
          </w:tcPr>
          <w:p w14:paraId="60A41FC3"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邮政</w:t>
            </w:r>
          </w:p>
        </w:tc>
        <w:tc>
          <w:tcPr>
            <w:tcW w:w="622" w:type="pct"/>
            <w:tcMar>
              <w:top w:w="56" w:type="dxa"/>
              <w:left w:w="56" w:type="dxa"/>
              <w:bottom w:w="56" w:type="dxa"/>
              <w:right w:w="56" w:type="dxa"/>
            </w:tcMar>
            <w:hideMark/>
          </w:tcPr>
          <w:p w14:paraId="13636CAF"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6.93 对 2.83</w:t>
            </w:r>
          </w:p>
        </w:tc>
        <w:tc>
          <w:tcPr>
            <w:tcW w:w="579" w:type="pct"/>
            <w:tcMar>
              <w:top w:w="56" w:type="dxa"/>
              <w:left w:w="56" w:type="dxa"/>
              <w:bottom w:w="56" w:type="dxa"/>
              <w:right w:w="56" w:type="dxa"/>
            </w:tcMar>
            <w:hideMark/>
          </w:tcPr>
          <w:p w14:paraId="684D3E2D"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31.0 对 26.6</w:t>
            </w:r>
          </w:p>
        </w:tc>
      </w:tr>
      <w:tr w:rsidR="00EC5263" w:rsidRPr="00EC5263" w14:paraId="7FD457C0" w14:textId="77777777" w:rsidTr="00734FB9">
        <w:trPr>
          <w:tblCellSpacing w:w="15" w:type="dxa"/>
        </w:trPr>
        <w:tc>
          <w:tcPr>
            <w:tcW w:w="961" w:type="pct"/>
            <w:tcMar>
              <w:top w:w="56" w:type="dxa"/>
              <w:left w:w="56" w:type="dxa"/>
              <w:bottom w:w="56" w:type="dxa"/>
              <w:right w:w="56" w:type="dxa"/>
            </w:tcMar>
            <w:hideMark/>
          </w:tcPr>
          <w:p w14:paraId="0CFC0640" w14:textId="77777777" w:rsidR="00734FB9" w:rsidRPr="00734FB9" w:rsidRDefault="00734FB9" w:rsidP="00734FB9">
            <w:pPr>
              <w:widowControl/>
              <w:rPr>
                <w:rFonts w:ascii="微软雅黑" w:eastAsia="微软雅黑" w:hAnsi="微软雅黑" w:cs="宋体"/>
                <w:kern w:val="0"/>
                <w:sz w:val="24"/>
                <w:szCs w:val="24"/>
              </w:rPr>
            </w:pPr>
            <w:hyperlink r:id="rId85" w:tgtFrame="_blank" w:history="1">
              <w:r w:rsidRPr="00734FB9">
                <w:rPr>
                  <w:rFonts w:ascii="微软雅黑" w:eastAsia="微软雅黑" w:hAnsi="微软雅黑" w:cs="宋体"/>
                  <w:kern w:val="0"/>
                  <w:sz w:val="24"/>
                  <w:szCs w:val="24"/>
                  <w:u w:val="single"/>
                </w:rPr>
                <w:t>NCT02482753</w:t>
              </w:r>
            </w:hyperlink>
          </w:p>
        </w:tc>
        <w:tc>
          <w:tcPr>
            <w:tcW w:w="670" w:type="pct"/>
            <w:tcMar>
              <w:top w:w="56" w:type="dxa"/>
              <w:left w:w="56" w:type="dxa"/>
              <w:bottom w:w="56" w:type="dxa"/>
              <w:right w:w="56" w:type="dxa"/>
            </w:tcMar>
            <w:hideMark/>
          </w:tcPr>
          <w:p w14:paraId="3B888A1C"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高手</w:t>
            </w:r>
          </w:p>
        </w:tc>
        <w:tc>
          <w:tcPr>
            <w:tcW w:w="243" w:type="pct"/>
            <w:tcMar>
              <w:top w:w="56" w:type="dxa"/>
              <w:left w:w="56" w:type="dxa"/>
              <w:bottom w:w="56" w:type="dxa"/>
              <w:right w:w="56" w:type="dxa"/>
            </w:tcMar>
            <w:hideMark/>
          </w:tcPr>
          <w:p w14:paraId="00272B3E"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三</w:t>
            </w:r>
          </w:p>
        </w:tc>
        <w:tc>
          <w:tcPr>
            <w:tcW w:w="1168" w:type="pct"/>
            <w:tcMar>
              <w:top w:w="56" w:type="dxa"/>
              <w:left w:w="56" w:type="dxa"/>
              <w:bottom w:w="56" w:type="dxa"/>
              <w:right w:w="56" w:type="dxa"/>
            </w:tcMar>
            <w:hideMark/>
          </w:tcPr>
          <w:p w14:paraId="79B29F8B"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Exe ± Chi</w:t>
            </w:r>
          </w:p>
        </w:tc>
        <w:tc>
          <w:tcPr>
            <w:tcW w:w="243" w:type="pct"/>
            <w:tcMar>
              <w:top w:w="56" w:type="dxa"/>
              <w:left w:w="56" w:type="dxa"/>
              <w:bottom w:w="56" w:type="dxa"/>
              <w:right w:w="56" w:type="dxa"/>
            </w:tcMar>
            <w:hideMark/>
          </w:tcPr>
          <w:p w14:paraId="549F9646"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第二</w:t>
            </w:r>
          </w:p>
        </w:tc>
        <w:tc>
          <w:tcPr>
            <w:tcW w:w="366" w:type="pct"/>
            <w:tcMar>
              <w:top w:w="56" w:type="dxa"/>
              <w:left w:w="56" w:type="dxa"/>
              <w:bottom w:w="56" w:type="dxa"/>
              <w:right w:w="56" w:type="dxa"/>
            </w:tcMar>
            <w:hideMark/>
          </w:tcPr>
          <w:p w14:paraId="0954F08C"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邮政</w:t>
            </w:r>
          </w:p>
        </w:tc>
        <w:tc>
          <w:tcPr>
            <w:tcW w:w="622" w:type="pct"/>
            <w:tcMar>
              <w:top w:w="56" w:type="dxa"/>
              <w:left w:w="56" w:type="dxa"/>
              <w:bottom w:w="56" w:type="dxa"/>
              <w:right w:w="56" w:type="dxa"/>
            </w:tcMar>
            <w:hideMark/>
          </w:tcPr>
          <w:p w14:paraId="1A9CDAAB"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7.4 对比 3.8</w:t>
            </w:r>
          </w:p>
        </w:tc>
        <w:tc>
          <w:tcPr>
            <w:tcW w:w="579" w:type="pct"/>
            <w:tcMar>
              <w:top w:w="56" w:type="dxa"/>
              <w:left w:w="56" w:type="dxa"/>
              <w:bottom w:w="56" w:type="dxa"/>
              <w:right w:w="56" w:type="dxa"/>
            </w:tcMar>
            <w:hideMark/>
          </w:tcPr>
          <w:p w14:paraId="0E7D8141"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w:t>
            </w:r>
          </w:p>
        </w:tc>
      </w:tr>
      <w:tr w:rsidR="00EC5263" w:rsidRPr="00EC5263" w14:paraId="0F34D429" w14:textId="77777777" w:rsidTr="00734FB9">
        <w:trPr>
          <w:tblCellSpacing w:w="15" w:type="dxa"/>
        </w:trPr>
        <w:tc>
          <w:tcPr>
            <w:tcW w:w="961" w:type="pct"/>
            <w:tcMar>
              <w:top w:w="56" w:type="dxa"/>
              <w:left w:w="56" w:type="dxa"/>
              <w:bottom w:w="56" w:type="dxa"/>
              <w:right w:w="56" w:type="dxa"/>
            </w:tcMar>
            <w:hideMark/>
          </w:tcPr>
          <w:p w14:paraId="10376959" w14:textId="77777777" w:rsidR="00734FB9" w:rsidRPr="00734FB9" w:rsidRDefault="00734FB9" w:rsidP="00734FB9">
            <w:pPr>
              <w:widowControl/>
              <w:rPr>
                <w:rFonts w:ascii="微软雅黑" w:eastAsia="微软雅黑" w:hAnsi="微软雅黑" w:cs="宋体"/>
                <w:kern w:val="0"/>
                <w:sz w:val="24"/>
                <w:szCs w:val="24"/>
              </w:rPr>
            </w:pPr>
            <w:hyperlink r:id="rId86" w:tgtFrame="_blank" w:history="1">
              <w:r w:rsidRPr="00734FB9">
                <w:rPr>
                  <w:rFonts w:ascii="微软雅黑" w:eastAsia="微软雅黑" w:hAnsi="微软雅黑" w:cs="宋体"/>
                  <w:kern w:val="0"/>
                  <w:sz w:val="24"/>
                  <w:szCs w:val="24"/>
                  <w:u w:val="single"/>
                </w:rPr>
                <w:t>NCT03584009</w:t>
              </w:r>
            </w:hyperlink>
          </w:p>
        </w:tc>
        <w:tc>
          <w:tcPr>
            <w:tcW w:w="670" w:type="pct"/>
            <w:tcMar>
              <w:top w:w="56" w:type="dxa"/>
              <w:left w:w="56" w:type="dxa"/>
              <w:bottom w:w="56" w:type="dxa"/>
              <w:right w:w="56" w:type="dxa"/>
            </w:tcMar>
            <w:hideMark/>
          </w:tcPr>
          <w:p w14:paraId="38D133E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维罗妮卡</w:t>
            </w:r>
          </w:p>
        </w:tc>
        <w:tc>
          <w:tcPr>
            <w:tcW w:w="243" w:type="pct"/>
            <w:tcMar>
              <w:top w:w="56" w:type="dxa"/>
              <w:left w:w="56" w:type="dxa"/>
              <w:bottom w:w="56" w:type="dxa"/>
              <w:right w:w="56" w:type="dxa"/>
            </w:tcMar>
            <w:hideMark/>
          </w:tcPr>
          <w:p w14:paraId="4CC10414"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二</w:t>
            </w:r>
          </w:p>
        </w:tc>
        <w:tc>
          <w:tcPr>
            <w:tcW w:w="1168" w:type="pct"/>
            <w:tcMar>
              <w:top w:w="56" w:type="dxa"/>
              <w:left w:w="56" w:type="dxa"/>
              <w:bottom w:w="56" w:type="dxa"/>
              <w:right w:w="56" w:type="dxa"/>
            </w:tcMar>
            <w:hideMark/>
          </w:tcPr>
          <w:p w14:paraId="23C640F8"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满±文</w:t>
            </w:r>
          </w:p>
        </w:tc>
        <w:tc>
          <w:tcPr>
            <w:tcW w:w="243" w:type="pct"/>
            <w:tcMar>
              <w:top w:w="56" w:type="dxa"/>
              <w:left w:w="56" w:type="dxa"/>
              <w:bottom w:w="56" w:type="dxa"/>
              <w:right w:w="56" w:type="dxa"/>
            </w:tcMar>
            <w:hideMark/>
          </w:tcPr>
          <w:p w14:paraId="07B72B6F"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第二</w:t>
            </w:r>
          </w:p>
        </w:tc>
        <w:tc>
          <w:tcPr>
            <w:tcW w:w="366" w:type="pct"/>
            <w:tcMar>
              <w:top w:w="56" w:type="dxa"/>
              <w:left w:w="56" w:type="dxa"/>
              <w:bottom w:w="56" w:type="dxa"/>
              <w:right w:w="56" w:type="dxa"/>
            </w:tcMar>
            <w:hideMark/>
          </w:tcPr>
          <w:p w14:paraId="190A03CA"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前后</w:t>
            </w:r>
          </w:p>
        </w:tc>
        <w:tc>
          <w:tcPr>
            <w:tcW w:w="622" w:type="pct"/>
            <w:tcMar>
              <w:top w:w="56" w:type="dxa"/>
              <w:left w:w="56" w:type="dxa"/>
              <w:bottom w:w="56" w:type="dxa"/>
              <w:right w:w="56" w:type="dxa"/>
            </w:tcMar>
            <w:hideMark/>
          </w:tcPr>
          <w:p w14:paraId="30401448"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2.69 对 1.94</w:t>
            </w:r>
          </w:p>
        </w:tc>
        <w:tc>
          <w:tcPr>
            <w:tcW w:w="579" w:type="pct"/>
            <w:tcMar>
              <w:top w:w="56" w:type="dxa"/>
              <w:left w:w="56" w:type="dxa"/>
              <w:bottom w:w="56" w:type="dxa"/>
              <w:right w:w="56" w:type="dxa"/>
            </w:tcMar>
            <w:hideMark/>
          </w:tcPr>
          <w:p w14:paraId="2556D4F7"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w:t>
            </w:r>
          </w:p>
        </w:tc>
      </w:tr>
    </w:tbl>
    <w:p w14:paraId="5B946814" w14:textId="77777777" w:rsidR="00734FB9" w:rsidRPr="00734FB9" w:rsidRDefault="00734FB9" w:rsidP="00734FB9">
      <w:pPr>
        <w:widowControl/>
        <w:rPr>
          <w:rFonts w:ascii="微软雅黑" w:eastAsia="微软雅黑" w:hAnsi="微软雅黑" w:cs="宋体"/>
          <w:kern w:val="0"/>
          <w:sz w:val="24"/>
          <w:szCs w:val="24"/>
        </w:rPr>
      </w:pPr>
      <w:r w:rsidRPr="00734FB9">
        <w:rPr>
          <w:rFonts w:ascii="微软雅黑" w:eastAsia="微软雅黑" w:hAnsi="微软雅黑" w:cs="宋体"/>
          <w:kern w:val="0"/>
          <w:sz w:val="24"/>
          <w:szCs w:val="24"/>
        </w:rPr>
        <w:t>NCT，美国国家</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"http://clinicaltrials.gov/" \t "_blank"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临床试验</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注册中心标识符；LOT，治疗线数；</w:t>
      </w:r>
      <w:proofErr w:type="spellStart"/>
      <w:r w:rsidRPr="00734FB9">
        <w:rPr>
          <w:rFonts w:ascii="微软雅黑" w:eastAsia="微软雅黑" w:hAnsi="微软雅黑" w:cs="宋体"/>
          <w:kern w:val="0"/>
          <w:sz w:val="24"/>
          <w:szCs w:val="24"/>
        </w:rPr>
        <w:t>mPFS</w:t>
      </w:r>
      <w:proofErr w:type="spellEnd"/>
      <w:r w:rsidRPr="00734FB9">
        <w:rPr>
          <w:rFonts w:ascii="微软雅黑" w:eastAsia="微软雅黑" w:hAnsi="微软雅黑" w:cs="宋体"/>
          <w:kern w:val="0"/>
          <w:sz w:val="24"/>
          <w:szCs w:val="24"/>
        </w:rPr>
        <w:t>，中位无进展生存期；</w:t>
      </w:r>
      <w:proofErr w:type="spellStart"/>
      <w:r w:rsidRPr="00734FB9">
        <w:rPr>
          <w:rFonts w:ascii="微软雅黑" w:eastAsia="微软雅黑" w:hAnsi="微软雅黑" w:cs="宋体"/>
          <w:kern w:val="0"/>
          <w:sz w:val="24"/>
          <w:szCs w:val="24"/>
        </w:rPr>
        <w:t>mOS</w:t>
      </w:r>
      <w:proofErr w:type="spellEnd"/>
      <w:r w:rsidRPr="00734FB9">
        <w:rPr>
          <w:rFonts w:ascii="微软雅黑" w:eastAsia="微软雅黑" w:hAnsi="微软雅黑" w:cs="宋体"/>
          <w:kern w:val="0"/>
          <w:sz w:val="24"/>
          <w:szCs w:val="24"/>
        </w:rPr>
        <w:t>，</w:t>
      </w:r>
      <w:proofErr w:type="gramStart"/>
      <w:r w:rsidRPr="00734FB9">
        <w:rPr>
          <w:rFonts w:ascii="微软雅黑" w:eastAsia="微软雅黑" w:hAnsi="微软雅黑" w:cs="宋体"/>
          <w:kern w:val="0"/>
          <w:sz w:val="24"/>
          <w:szCs w:val="24"/>
        </w:rPr>
        <w:t>中位总生存期</w:t>
      </w:r>
      <w:proofErr w:type="gramEnd"/>
      <w:r w:rsidRPr="00734FB9">
        <w:rPr>
          <w:rFonts w:ascii="微软雅黑" w:eastAsia="微软雅黑" w:hAnsi="微软雅黑" w:cs="宋体"/>
          <w:kern w:val="0"/>
          <w:sz w:val="24"/>
          <w:szCs w:val="24"/>
        </w:rPr>
        <w:t>；Ful，</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w:t>
      </w:r>
      <w:proofErr w:type="spellStart"/>
      <w:r w:rsidRPr="00734FB9">
        <w:rPr>
          <w:rFonts w:ascii="微软雅黑" w:eastAsia="微软雅黑" w:hAnsi="微软雅黑" w:cs="宋体"/>
          <w:kern w:val="0"/>
          <w:sz w:val="24"/>
          <w:szCs w:val="24"/>
        </w:rPr>
        <w:t>Ribo</w:t>
      </w:r>
      <w:proofErr w:type="spellEnd"/>
      <w:r w:rsidRPr="00734FB9">
        <w:rPr>
          <w:rFonts w:ascii="微软雅黑" w:eastAsia="微软雅黑" w:hAnsi="微软雅黑" w:cs="宋体"/>
          <w:kern w:val="0"/>
          <w:sz w:val="24"/>
          <w:szCs w:val="24"/>
        </w:rPr>
        <w:t>，瑞博西尼；Alp，阿培利西布；Exe，依西美坦；Eve，依维莫司；Chi，西达米德；Ven，维奈托克；Pre，绝经前；Post，绝经后。</w:t>
      </w:r>
    </w:p>
    <w:p w14:paraId="67699F4E"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联合靶向治疗</w:t>
      </w:r>
    </w:p>
    <w:p w14:paraId="5A115D95" w14:textId="77777777" w:rsidR="00734FB9" w:rsidRPr="00734FB9" w:rsidRDefault="00734FB9" w:rsidP="00734FB9">
      <w:pPr>
        <w:widowControl/>
        <w:spacing w:line="450" w:lineRule="atLeast"/>
        <w:outlineLvl w:val="3"/>
        <w:rPr>
          <w:rFonts w:ascii="微软雅黑" w:eastAsia="微软雅黑" w:hAnsi="微软雅黑" w:cs="宋体"/>
          <w:kern w:val="0"/>
          <w:sz w:val="30"/>
          <w:szCs w:val="30"/>
        </w:rPr>
      </w:pPr>
      <w:r w:rsidRPr="00734FB9">
        <w:rPr>
          <w:rFonts w:ascii="微软雅黑" w:eastAsia="微软雅黑" w:hAnsi="微软雅黑" w:cs="宋体"/>
          <w:kern w:val="0"/>
          <w:sz w:val="30"/>
          <w:szCs w:val="30"/>
        </w:rPr>
        <w:lastRenderedPageBreak/>
        <w:t>与磷脂酰肌醇-4,5-二磷酸3-激酶催化亚基α (PI3K) 抑制剂联合使用</w:t>
      </w:r>
    </w:p>
    <w:p w14:paraId="67400CB2"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PIK3CA是乳腺癌中最常见的突变基因之一。约40%的HR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和HER2-晚期</w:t>
      </w:r>
      <w:r w:rsidRPr="00734FB9">
        <w:rPr>
          <w:rFonts w:ascii="微软雅黑" w:eastAsia="微软雅黑" w:hAnsi="微软雅黑" w:cs="宋体"/>
          <w:kern w:val="0"/>
          <w:sz w:val="24"/>
          <w:szCs w:val="24"/>
          <w:vertAlign w:val="superscript"/>
        </w:rPr>
        <w:t>乳腺癌</w:t>
      </w:r>
      <w:r w:rsidRPr="00734FB9">
        <w:rPr>
          <w:rFonts w:ascii="微软雅黑" w:eastAsia="微软雅黑" w:hAnsi="微软雅黑" w:cs="宋体"/>
          <w:kern w:val="0"/>
          <w:sz w:val="24"/>
          <w:szCs w:val="24"/>
        </w:rPr>
        <w:t>患者存在PIK3CA突变。PIK3CA突变可通过激活PI3K通路促进内分泌耐药，这与预后不良相关（</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"b82-ijmm-50-4-05184"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82</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w:t>
      </w:r>
    </w:p>
    <w:p w14:paraId="1F33F443" w14:textId="6962D406"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作为一种α选择性PI3K抑制剂，</w:t>
      </w:r>
      <w:proofErr w:type="spellStart"/>
      <w:r w:rsidRPr="00734FB9">
        <w:rPr>
          <w:rFonts w:ascii="微软雅黑" w:eastAsia="微软雅黑" w:hAnsi="微软雅黑" w:cs="宋体"/>
          <w:kern w:val="0"/>
          <w:sz w:val="24"/>
          <w:szCs w:val="24"/>
        </w:rPr>
        <w:t>alpelisib</w:t>
      </w:r>
      <w:proofErr w:type="spellEnd"/>
      <w:r w:rsidRPr="00734FB9">
        <w:rPr>
          <w:rFonts w:ascii="微软雅黑" w:eastAsia="微软雅黑" w:hAnsi="微软雅黑" w:cs="宋体"/>
          <w:kern w:val="0"/>
          <w:sz w:val="24"/>
          <w:szCs w:val="24"/>
        </w:rPr>
        <w:t>在SOLAR-1研究中首次证实了其疗效（</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"b74-ijmm-50-4-05184"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74</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）。在SOLAR-1研究中，研究人员比较了</w:t>
      </w:r>
      <w:proofErr w:type="spellStart"/>
      <w:r w:rsidRPr="00734FB9">
        <w:rPr>
          <w:rFonts w:ascii="微软雅黑" w:eastAsia="微软雅黑" w:hAnsi="微软雅黑" w:cs="宋体"/>
          <w:kern w:val="0"/>
          <w:sz w:val="24"/>
          <w:szCs w:val="24"/>
        </w:rPr>
        <w:t>alpelisib</w:t>
      </w:r>
      <w:proofErr w:type="spellEnd"/>
      <w:r w:rsidRPr="00734FB9">
        <w:rPr>
          <w:rFonts w:ascii="微软雅黑" w:eastAsia="微软雅黑" w:hAnsi="微软雅黑" w:cs="宋体"/>
          <w:kern w:val="0"/>
          <w:sz w:val="24"/>
          <w:szCs w:val="24"/>
        </w:rPr>
        <w:t>联合</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与安慰剂联合</w:t>
      </w:r>
      <w:proofErr w:type="gramStart"/>
      <w:r w:rsidRPr="00734FB9">
        <w:rPr>
          <w:rFonts w:ascii="微软雅黑" w:eastAsia="微软雅黑" w:hAnsi="微软雅黑" w:cs="宋体"/>
          <w:kern w:val="0"/>
          <w:sz w:val="24"/>
          <w:szCs w:val="24"/>
        </w:rPr>
        <w:t>氟维司群治疗</w:t>
      </w:r>
      <w:proofErr w:type="gramEnd"/>
      <w:r w:rsidRPr="00734FB9">
        <w:rPr>
          <w:rFonts w:ascii="微软雅黑" w:eastAsia="微软雅黑" w:hAnsi="微软雅黑" w:cs="宋体"/>
          <w:kern w:val="0"/>
          <w:sz w:val="24"/>
          <w:szCs w:val="24"/>
        </w:rPr>
        <w:t>在接受AI治疗期间或之后出现疾病进展的HR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/HER2-晚期乳腺癌</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ABC）伴PIK3CA突变患者中的疗效。结果显示，</w:t>
      </w:r>
      <w:proofErr w:type="spellStart"/>
      <w:r w:rsidRPr="00734FB9">
        <w:rPr>
          <w:rFonts w:ascii="微软雅黑" w:eastAsia="微软雅黑" w:hAnsi="微软雅黑" w:cs="宋体"/>
          <w:kern w:val="0"/>
          <w:sz w:val="24"/>
          <w:szCs w:val="24"/>
        </w:rPr>
        <w:t>alpelisib</w:t>
      </w:r>
      <w:proofErr w:type="spellEnd"/>
      <w:r w:rsidRPr="00734FB9">
        <w:rPr>
          <w:rFonts w:ascii="微软雅黑" w:eastAsia="微软雅黑" w:hAnsi="微软雅黑" w:cs="宋体"/>
          <w:kern w:val="0"/>
          <w:sz w:val="24"/>
          <w:szCs w:val="24"/>
        </w:rPr>
        <w:t>联合</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组的无进展生存期（PFS）延长了5.3个月（11个月 vs. 5.7个月；P=0.00065）（</w:t>
      </w:r>
      <w:hyperlink r:id="rId87" w:anchor="tII-ijmm-50-4-05184" w:history="1">
        <w:r w:rsidRPr="00734FB9">
          <w:rPr>
            <w:rFonts w:ascii="微软雅黑" w:eastAsia="微软雅黑" w:hAnsi="微软雅黑" w:cs="宋体"/>
            <w:kern w:val="0"/>
            <w:sz w:val="24"/>
            <w:szCs w:val="24"/>
            <w:u w:val="single"/>
          </w:rPr>
          <w:t>表II</w:t>
        </w:r>
      </w:hyperlink>
      <w:r w:rsidRPr="00734FB9">
        <w:rPr>
          <w:rFonts w:ascii="微软雅黑" w:eastAsia="微软雅黑" w:hAnsi="微软雅黑" w:cs="宋体"/>
          <w:kern w:val="0"/>
          <w:sz w:val="24"/>
          <w:szCs w:val="24"/>
        </w:rPr>
        <w:t>）。2020年欧洲肿瘤内科学会（ESMO）年会公布了该研究的最终结果。与安慰剂+</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组相比，阿培利西布+</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组的</w:t>
      </w:r>
      <w:proofErr w:type="gramStart"/>
      <w:r w:rsidRPr="00734FB9">
        <w:rPr>
          <w:rFonts w:ascii="微软雅黑" w:eastAsia="微软雅黑" w:hAnsi="微软雅黑" w:cs="宋体"/>
          <w:kern w:val="0"/>
          <w:sz w:val="24"/>
          <w:szCs w:val="24"/>
        </w:rPr>
        <w:t>中位总生存期</w:t>
      </w:r>
      <w:proofErr w:type="gramEnd"/>
      <w:r w:rsidRPr="00734FB9">
        <w:rPr>
          <w:rFonts w:ascii="微软雅黑" w:eastAsia="微软雅黑" w:hAnsi="微软雅黑" w:cs="宋体"/>
          <w:kern w:val="0"/>
          <w:sz w:val="24"/>
          <w:szCs w:val="24"/>
        </w:rPr>
        <w:t>（</w:t>
      </w:r>
      <w:proofErr w:type="spellStart"/>
      <w:r w:rsidRPr="00734FB9">
        <w:rPr>
          <w:rFonts w:ascii="微软雅黑" w:eastAsia="微软雅黑" w:hAnsi="微软雅黑" w:cs="宋体"/>
          <w:kern w:val="0"/>
          <w:sz w:val="24"/>
          <w:szCs w:val="24"/>
        </w:rPr>
        <w:t>mOS</w:t>
      </w:r>
      <w:proofErr w:type="spellEnd"/>
      <w:r w:rsidRPr="00734FB9">
        <w:rPr>
          <w:rFonts w:ascii="微软雅黑" w:eastAsia="微软雅黑" w:hAnsi="微软雅黑" w:cs="宋体"/>
          <w:kern w:val="0"/>
          <w:sz w:val="24"/>
          <w:szCs w:val="24"/>
        </w:rPr>
        <w:t>）延长了7.9个月（39.3个月 vs. 31.4个月）</w:t>
      </w:r>
      <w:r w:rsidRPr="00EC5263">
        <w:rPr>
          <w:rFonts w:ascii="微软雅黑" w:eastAsia="微软雅黑" w:hAnsi="微软雅黑" w:cs="宋体"/>
          <w:kern w:val="0"/>
          <w:sz w:val="24"/>
          <w:szCs w:val="24"/>
        </w:rPr>
        <w:t xml:space="preserve"> </w:t>
      </w:r>
      <w:r w:rsidRPr="00734FB9">
        <w:rPr>
          <w:rFonts w:ascii="微软雅黑" w:eastAsia="微软雅黑" w:hAnsi="微软雅黑" w:cs="宋体"/>
          <w:kern w:val="0"/>
          <w:sz w:val="24"/>
          <w:szCs w:val="24"/>
        </w:rPr>
        <w:t>( </w:t>
      </w:r>
      <w:hyperlink r:id="rId88" w:anchor="b83-ijmm-50-4-05184" w:history="1">
        <w:r w:rsidRPr="00734FB9">
          <w:rPr>
            <w:rFonts w:ascii="微软雅黑" w:eastAsia="微软雅黑" w:hAnsi="微软雅黑" w:cs="宋体"/>
            <w:kern w:val="0"/>
            <w:sz w:val="24"/>
            <w:szCs w:val="24"/>
            <w:u w:val="single"/>
          </w:rPr>
          <w:t>83</w:t>
        </w:r>
      </w:hyperlink>
      <w:r w:rsidRPr="00734FB9">
        <w:rPr>
          <w:rFonts w:ascii="微软雅黑" w:eastAsia="微软雅黑" w:hAnsi="微软雅黑" w:cs="宋体"/>
          <w:kern w:val="0"/>
          <w:sz w:val="24"/>
          <w:szCs w:val="24"/>
        </w:rPr>
        <w:t> )。基于这些研究结果，阿培利西布已获得FDA批准上市。然而，SOLAR-1研究中接受CDK4/6抑制剂治疗的患者不足10%。在2020年ASCO年会上报告的</w:t>
      </w:r>
      <w:proofErr w:type="spellStart"/>
      <w:r w:rsidRPr="00734FB9">
        <w:rPr>
          <w:rFonts w:ascii="微软雅黑" w:eastAsia="微软雅黑" w:hAnsi="微软雅黑" w:cs="宋体"/>
          <w:kern w:val="0"/>
          <w:sz w:val="24"/>
          <w:szCs w:val="24"/>
        </w:rPr>
        <w:t>BYLieve</w:t>
      </w:r>
      <w:proofErr w:type="spellEnd"/>
      <w:r w:rsidRPr="00734FB9">
        <w:rPr>
          <w:rFonts w:ascii="微软雅黑" w:eastAsia="微软雅黑" w:hAnsi="微软雅黑" w:cs="宋体"/>
          <w:kern w:val="0"/>
          <w:sz w:val="24"/>
          <w:szCs w:val="24"/>
        </w:rPr>
        <w:t>研究探讨了阿培利西布在CDK4/6抑制剂治疗后疾病进展的患者中是否发挥相同的作用( </w:t>
      </w:r>
      <w:hyperlink r:id="rId89" w:anchor="b84-ijmm-50-4-05184" w:history="1">
        <w:r w:rsidRPr="00734FB9">
          <w:rPr>
            <w:rFonts w:ascii="微软雅黑" w:eastAsia="微软雅黑" w:hAnsi="微软雅黑" w:cs="宋体"/>
            <w:kern w:val="0"/>
            <w:sz w:val="24"/>
            <w:szCs w:val="24"/>
            <w:u w:val="single"/>
          </w:rPr>
          <w:t>84</w:t>
        </w:r>
      </w:hyperlink>
      <w:r w:rsidRPr="00734FB9">
        <w:rPr>
          <w:rFonts w:ascii="微软雅黑" w:eastAsia="微软雅黑" w:hAnsi="微软雅黑" w:cs="宋体"/>
          <w:kern w:val="0"/>
          <w:sz w:val="24"/>
          <w:szCs w:val="24"/>
        </w:rPr>
        <w:t> )。在接受芳香化酶抑制</w:t>
      </w:r>
      <w:proofErr w:type="gramStart"/>
      <w:r w:rsidRPr="00734FB9">
        <w:rPr>
          <w:rFonts w:ascii="微软雅黑" w:eastAsia="微软雅黑" w:hAnsi="微软雅黑" w:cs="宋体"/>
          <w:kern w:val="0"/>
          <w:sz w:val="24"/>
          <w:szCs w:val="24"/>
        </w:rPr>
        <w:t>剂联合</w:t>
      </w:r>
      <w:proofErr w:type="gramEnd"/>
      <w:r w:rsidRPr="00734FB9">
        <w:rPr>
          <w:rFonts w:ascii="微软雅黑" w:eastAsia="微软雅黑" w:hAnsi="微软雅黑" w:cs="宋体"/>
          <w:kern w:val="0"/>
          <w:sz w:val="24"/>
          <w:szCs w:val="24"/>
        </w:rPr>
        <w:t xml:space="preserve"> CDK4/6 抑制剂一线治疗后疾病进展的 PIK3CA 突变患者被纳入 A 组，并接受阿培利西布联合</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作为二线治疗。在 2020 年 ASCO 会议上，中位无进展生存期 (</w:t>
      </w:r>
      <w:proofErr w:type="spellStart"/>
      <w:r w:rsidRPr="00734FB9">
        <w:rPr>
          <w:rFonts w:ascii="微软雅黑" w:eastAsia="微软雅黑" w:hAnsi="微软雅黑" w:cs="宋体"/>
          <w:kern w:val="0"/>
          <w:sz w:val="24"/>
          <w:szCs w:val="24"/>
        </w:rPr>
        <w:t>mPFS</w:t>
      </w:r>
      <w:proofErr w:type="spellEnd"/>
      <w:r w:rsidRPr="00734FB9">
        <w:rPr>
          <w:rFonts w:ascii="微软雅黑" w:eastAsia="微软雅黑" w:hAnsi="微软雅黑" w:cs="宋体"/>
          <w:kern w:val="0"/>
          <w:sz w:val="24"/>
          <w:szCs w:val="24"/>
        </w:rPr>
        <w:t xml:space="preserve">) 为 7.3 </w:t>
      </w:r>
      <w:proofErr w:type="gramStart"/>
      <w:r w:rsidRPr="00734FB9">
        <w:rPr>
          <w:rFonts w:ascii="微软雅黑" w:eastAsia="微软雅黑" w:hAnsi="微软雅黑" w:cs="宋体"/>
          <w:kern w:val="0"/>
          <w:sz w:val="24"/>
          <w:szCs w:val="24"/>
        </w:rPr>
        <w:t>个</w:t>
      </w:r>
      <w:proofErr w:type="gramEnd"/>
      <w:r w:rsidRPr="00734FB9">
        <w:rPr>
          <w:rFonts w:ascii="微软雅黑" w:eastAsia="微软雅黑" w:hAnsi="微软雅黑" w:cs="宋体"/>
          <w:kern w:val="0"/>
          <w:sz w:val="24"/>
          <w:szCs w:val="24"/>
        </w:rPr>
        <w:t xml:space="preserve">月，6 </w:t>
      </w:r>
      <w:proofErr w:type="gramStart"/>
      <w:r w:rsidRPr="00734FB9">
        <w:rPr>
          <w:rFonts w:ascii="微软雅黑" w:eastAsia="微软雅黑" w:hAnsi="微软雅黑" w:cs="宋体"/>
          <w:kern w:val="0"/>
          <w:sz w:val="24"/>
          <w:szCs w:val="24"/>
        </w:rPr>
        <w:t>个</w:t>
      </w:r>
      <w:proofErr w:type="gramEnd"/>
      <w:r w:rsidRPr="00734FB9">
        <w:rPr>
          <w:rFonts w:ascii="微软雅黑" w:eastAsia="微软雅黑" w:hAnsi="微软雅黑" w:cs="宋体"/>
          <w:kern w:val="0"/>
          <w:sz w:val="24"/>
          <w:szCs w:val="24"/>
        </w:rPr>
        <w:t>月无进展生存率为 50.4% ( </w:t>
      </w:r>
      <w:hyperlink r:id="rId90" w:anchor="b85-ijmm-50-4-05184" w:history="1">
        <w:r w:rsidRPr="00734FB9">
          <w:rPr>
            <w:rFonts w:ascii="微软雅黑" w:eastAsia="微软雅黑" w:hAnsi="微软雅黑" w:cs="宋体"/>
            <w:kern w:val="0"/>
            <w:sz w:val="24"/>
            <w:szCs w:val="24"/>
            <w:u w:val="single"/>
          </w:rPr>
          <w:t>85</w:t>
        </w:r>
      </w:hyperlink>
      <w:r w:rsidRPr="00734FB9">
        <w:rPr>
          <w:rFonts w:ascii="微软雅黑" w:eastAsia="微软雅黑" w:hAnsi="微软雅黑" w:cs="宋体"/>
          <w:kern w:val="0"/>
          <w:sz w:val="24"/>
          <w:szCs w:val="24"/>
        </w:rPr>
        <w:t xml:space="preserve"> )。SOLAR-1 研究中该时间为 11.0 </w:t>
      </w:r>
      <w:proofErr w:type="gramStart"/>
      <w:r w:rsidRPr="00734FB9">
        <w:rPr>
          <w:rFonts w:ascii="微软雅黑" w:eastAsia="微软雅黑" w:hAnsi="微软雅黑" w:cs="宋体"/>
          <w:kern w:val="0"/>
          <w:sz w:val="24"/>
          <w:szCs w:val="24"/>
        </w:rPr>
        <w:t>个</w:t>
      </w:r>
      <w:proofErr w:type="gramEnd"/>
      <w:r w:rsidRPr="00734FB9">
        <w:rPr>
          <w:rFonts w:ascii="微软雅黑" w:eastAsia="微软雅黑" w:hAnsi="微软雅黑" w:cs="宋体"/>
          <w:kern w:val="0"/>
          <w:sz w:val="24"/>
          <w:szCs w:val="24"/>
        </w:rPr>
        <w:t>月，提示一线 CDK4/6 抑制剂治疗可能不会影响后续 PI3K 抑制剂（阿培利西布）</w:t>
      </w:r>
      <w:r w:rsidRPr="00734FB9">
        <w:rPr>
          <w:rFonts w:ascii="微软雅黑" w:eastAsia="微软雅黑" w:hAnsi="微软雅黑" w:cs="宋体"/>
          <w:kern w:val="0"/>
          <w:sz w:val="24"/>
          <w:szCs w:val="24"/>
        </w:rPr>
        <w:lastRenderedPageBreak/>
        <w:t>治疗的疗效 ( </w:t>
      </w:r>
      <w:hyperlink r:id="rId91" w:anchor="b86-ijmm-50-4-05184" w:history="1">
        <w:r w:rsidRPr="00734FB9">
          <w:rPr>
            <w:rFonts w:ascii="微软雅黑" w:eastAsia="微软雅黑" w:hAnsi="微软雅黑" w:cs="宋体"/>
            <w:kern w:val="0"/>
            <w:sz w:val="24"/>
            <w:szCs w:val="24"/>
            <w:u w:val="single"/>
          </w:rPr>
          <w:t>86</w:t>
        </w:r>
      </w:hyperlink>
      <w:r w:rsidRPr="00734FB9">
        <w:rPr>
          <w:rFonts w:ascii="微软雅黑" w:eastAsia="微软雅黑" w:hAnsi="微软雅黑" w:cs="宋体"/>
          <w:kern w:val="0"/>
          <w:sz w:val="24"/>
          <w:szCs w:val="24"/>
        </w:rPr>
        <w:t xml:space="preserve"> )。此外，在 </w:t>
      </w:r>
      <w:proofErr w:type="spellStart"/>
      <w:r w:rsidRPr="00734FB9">
        <w:rPr>
          <w:rFonts w:ascii="微软雅黑" w:eastAsia="微软雅黑" w:hAnsi="微软雅黑" w:cs="宋体"/>
          <w:kern w:val="0"/>
          <w:sz w:val="24"/>
          <w:szCs w:val="24"/>
        </w:rPr>
        <w:t>BYLieve</w:t>
      </w:r>
      <w:proofErr w:type="spellEnd"/>
      <w:r w:rsidRPr="00734FB9">
        <w:rPr>
          <w:rFonts w:ascii="微软雅黑" w:eastAsia="微软雅黑" w:hAnsi="微软雅黑" w:cs="宋体"/>
          <w:kern w:val="0"/>
          <w:sz w:val="24"/>
          <w:szCs w:val="24"/>
        </w:rPr>
        <w:t xml:space="preserve"> 研究中，接受</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联合 CDK4/6 抑制剂一线治疗后疾病进展的 PIK3CA 突变患者被纳入 B 组，并接受阿培利西布联合来曲</w:t>
      </w:r>
      <w:proofErr w:type="gramStart"/>
      <w:r w:rsidRPr="00734FB9">
        <w:rPr>
          <w:rFonts w:ascii="微软雅黑" w:eastAsia="微软雅黑" w:hAnsi="微软雅黑" w:cs="宋体"/>
          <w:kern w:val="0"/>
          <w:sz w:val="24"/>
          <w:szCs w:val="24"/>
        </w:rPr>
        <w:t>唑</w:t>
      </w:r>
      <w:proofErr w:type="gramEnd"/>
      <w:r w:rsidRPr="00734FB9">
        <w:rPr>
          <w:rFonts w:ascii="微软雅黑" w:eastAsia="微软雅黑" w:hAnsi="微软雅黑" w:cs="宋体"/>
          <w:kern w:val="0"/>
          <w:sz w:val="24"/>
          <w:szCs w:val="24"/>
        </w:rPr>
        <w:t>作为二线治疗。在2020年SABCS会议上，中位无进展生存期（</w:t>
      </w:r>
      <w:proofErr w:type="spellStart"/>
      <w:r w:rsidRPr="00734FB9">
        <w:rPr>
          <w:rFonts w:ascii="微软雅黑" w:eastAsia="微软雅黑" w:hAnsi="微软雅黑" w:cs="宋体"/>
          <w:kern w:val="0"/>
          <w:sz w:val="24"/>
          <w:szCs w:val="24"/>
        </w:rPr>
        <w:t>mPFS</w:t>
      </w:r>
      <w:proofErr w:type="spellEnd"/>
      <w:r w:rsidRPr="00734FB9">
        <w:rPr>
          <w:rFonts w:ascii="微软雅黑" w:eastAsia="微软雅黑" w:hAnsi="微软雅黑" w:cs="宋体"/>
          <w:kern w:val="0"/>
          <w:sz w:val="24"/>
          <w:szCs w:val="24"/>
        </w:rPr>
        <w:t>）报告为5.7个月，6个月无进展生存率（PFS）为46.1%（</w:t>
      </w:r>
      <w:hyperlink r:id="rId92" w:anchor="tII-ijmm-50-4-05184" w:history="1">
        <w:r w:rsidRPr="00734FB9">
          <w:rPr>
            <w:rFonts w:ascii="微软雅黑" w:eastAsia="微软雅黑" w:hAnsi="微软雅黑" w:cs="宋体"/>
            <w:kern w:val="0"/>
            <w:sz w:val="24"/>
            <w:szCs w:val="24"/>
            <w:u w:val="single"/>
          </w:rPr>
          <w:t>表II</w:t>
        </w:r>
      </w:hyperlink>
      <w:r w:rsidRPr="00734FB9">
        <w:rPr>
          <w:rFonts w:ascii="微软雅黑" w:eastAsia="微软雅黑" w:hAnsi="微软雅黑" w:cs="宋体"/>
          <w:kern w:val="0"/>
          <w:sz w:val="24"/>
          <w:szCs w:val="24"/>
        </w:rPr>
        <w:t>）( </w:t>
      </w:r>
      <w:hyperlink r:id="rId93" w:anchor="b87-ijmm-50-4-05184" w:history="1">
        <w:r w:rsidRPr="00734FB9">
          <w:rPr>
            <w:rFonts w:ascii="微软雅黑" w:eastAsia="微软雅黑" w:hAnsi="微软雅黑" w:cs="宋体"/>
            <w:kern w:val="0"/>
            <w:sz w:val="24"/>
            <w:szCs w:val="24"/>
            <w:u w:val="single"/>
          </w:rPr>
          <w:t>87</w:t>
        </w:r>
      </w:hyperlink>
      <w:r w:rsidRPr="00734FB9">
        <w:rPr>
          <w:rFonts w:ascii="微软雅黑" w:eastAsia="微软雅黑" w:hAnsi="微软雅黑" w:cs="宋体"/>
          <w:kern w:val="0"/>
          <w:sz w:val="24"/>
          <w:szCs w:val="24"/>
        </w:rPr>
        <w:t> )。因此，对于一线内分泌治疗联合CDK4/6抑制剂治疗后病情进展的PIK3CA突变患者，内分泌治疗联合PI3K抑制剂治疗可能是一种选择。</w:t>
      </w:r>
    </w:p>
    <w:p w14:paraId="272E81E3"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与 mTOR 抑制剂联合使用</w:t>
      </w:r>
    </w:p>
    <w:p w14:paraId="3E39A93F"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mTOR通路是PI3K下游的重要信号通路，因此mTOR抑制剂与PI3K抑制剂一样备受关注。依维莫司是mTOR抑制剂的代表药物，其疗效已在BOLERO-2研究中得到证实。在BOLERO-2研究中，对于非</w:t>
      </w:r>
      <w:proofErr w:type="gramStart"/>
      <w:r w:rsidRPr="00734FB9">
        <w:rPr>
          <w:rFonts w:ascii="微软雅黑" w:eastAsia="微软雅黑" w:hAnsi="微软雅黑" w:cs="宋体"/>
          <w:kern w:val="0"/>
          <w:sz w:val="24"/>
          <w:szCs w:val="24"/>
        </w:rPr>
        <w:t>甾</w:t>
      </w:r>
      <w:proofErr w:type="gramEnd"/>
      <w:r w:rsidRPr="00734FB9">
        <w:rPr>
          <w:rFonts w:ascii="微软雅黑" w:eastAsia="微软雅黑" w:hAnsi="微软雅黑" w:cs="宋体"/>
          <w:kern w:val="0"/>
          <w:sz w:val="24"/>
          <w:szCs w:val="24"/>
        </w:rPr>
        <w:t>体类芳香化酶抑制剂（NSAI）治疗后疾病进展的患者，依维莫司联合依西美坦（SAI）组的中位无进展生存期（</w:t>
      </w:r>
      <w:proofErr w:type="spellStart"/>
      <w:r w:rsidRPr="00734FB9">
        <w:rPr>
          <w:rFonts w:ascii="微软雅黑" w:eastAsia="微软雅黑" w:hAnsi="微软雅黑" w:cs="宋体"/>
          <w:kern w:val="0"/>
          <w:sz w:val="24"/>
          <w:szCs w:val="24"/>
        </w:rPr>
        <w:t>mPFS</w:t>
      </w:r>
      <w:proofErr w:type="spellEnd"/>
      <w:r w:rsidRPr="00734FB9">
        <w:rPr>
          <w:rFonts w:ascii="微软雅黑" w:eastAsia="微软雅黑" w:hAnsi="微软雅黑" w:cs="宋体"/>
          <w:kern w:val="0"/>
          <w:sz w:val="24"/>
          <w:szCs w:val="24"/>
        </w:rPr>
        <w:t>）</w:t>
      </w:r>
      <w:proofErr w:type="gramStart"/>
      <w:r w:rsidRPr="00734FB9">
        <w:rPr>
          <w:rFonts w:ascii="微软雅黑" w:eastAsia="微软雅黑" w:hAnsi="微软雅黑" w:cs="宋体"/>
          <w:kern w:val="0"/>
          <w:sz w:val="24"/>
          <w:szCs w:val="24"/>
        </w:rPr>
        <w:t>和中位总生存期</w:t>
      </w:r>
      <w:proofErr w:type="gramEnd"/>
      <w:r w:rsidRPr="00734FB9">
        <w:rPr>
          <w:rFonts w:ascii="微软雅黑" w:eastAsia="微软雅黑" w:hAnsi="微软雅黑" w:cs="宋体"/>
          <w:kern w:val="0"/>
          <w:sz w:val="24"/>
          <w:szCs w:val="24"/>
        </w:rPr>
        <w:t>（</w:t>
      </w:r>
      <w:proofErr w:type="spellStart"/>
      <w:r w:rsidRPr="00734FB9">
        <w:rPr>
          <w:rFonts w:ascii="微软雅黑" w:eastAsia="微软雅黑" w:hAnsi="微软雅黑" w:cs="宋体"/>
          <w:kern w:val="0"/>
          <w:sz w:val="24"/>
          <w:szCs w:val="24"/>
        </w:rPr>
        <w:t>mOS</w:t>
      </w:r>
      <w:proofErr w:type="spellEnd"/>
      <w:r w:rsidRPr="00734FB9">
        <w:rPr>
          <w:rFonts w:ascii="微软雅黑" w:eastAsia="微软雅黑" w:hAnsi="微软雅黑" w:cs="宋体"/>
          <w:kern w:val="0"/>
          <w:sz w:val="24"/>
          <w:szCs w:val="24"/>
        </w:rPr>
        <w:t>）均显著长于安慰剂联合依西美坦组（</w:t>
      </w:r>
      <w:proofErr w:type="spellStart"/>
      <w:r w:rsidRPr="00734FB9">
        <w:rPr>
          <w:rFonts w:ascii="微软雅黑" w:eastAsia="微软雅黑" w:hAnsi="微软雅黑" w:cs="宋体"/>
          <w:kern w:val="0"/>
          <w:sz w:val="24"/>
          <w:szCs w:val="24"/>
        </w:rPr>
        <w:t>mPFS</w:t>
      </w:r>
      <w:proofErr w:type="spellEnd"/>
      <w:r w:rsidRPr="00734FB9">
        <w:rPr>
          <w:rFonts w:ascii="微软雅黑" w:eastAsia="微软雅黑" w:hAnsi="微软雅黑" w:cs="宋体"/>
          <w:kern w:val="0"/>
          <w:sz w:val="24"/>
          <w:szCs w:val="24"/>
        </w:rPr>
        <w:t>：6.93个月 vs. 2.83个月；HR，0.43；P&lt;0.0001；</w:t>
      </w:r>
      <w:proofErr w:type="spellStart"/>
      <w:r w:rsidRPr="00734FB9">
        <w:rPr>
          <w:rFonts w:ascii="微软雅黑" w:eastAsia="微软雅黑" w:hAnsi="微软雅黑" w:cs="宋体"/>
          <w:kern w:val="0"/>
          <w:sz w:val="24"/>
          <w:szCs w:val="24"/>
        </w:rPr>
        <w:t>mOS</w:t>
      </w:r>
      <w:proofErr w:type="spellEnd"/>
      <w:r w:rsidRPr="00734FB9">
        <w:rPr>
          <w:rFonts w:ascii="微软雅黑" w:eastAsia="微软雅黑" w:hAnsi="微软雅黑" w:cs="宋体"/>
          <w:kern w:val="0"/>
          <w:sz w:val="24"/>
          <w:szCs w:val="24"/>
        </w:rPr>
        <w:t>：31.0个月 vs. 26.6个月；HR，0.89；P=0.14）（</w:t>
      </w:r>
      <w:hyperlink r:id="rId94" w:anchor="tII-ijmm-50-4-05184" w:history="1">
        <w:r w:rsidRPr="00734FB9">
          <w:rPr>
            <w:rFonts w:ascii="微软雅黑" w:eastAsia="微软雅黑" w:hAnsi="微软雅黑" w:cs="宋体"/>
            <w:kern w:val="0"/>
            <w:sz w:val="24"/>
            <w:szCs w:val="24"/>
            <w:u w:val="single"/>
          </w:rPr>
          <w:t>表II</w:t>
        </w:r>
      </w:hyperlink>
      <w:r w:rsidRPr="00734FB9">
        <w:rPr>
          <w:rFonts w:ascii="微软雅黑" w:eastAsia="微软雅黑" w:hAnsi="微软雅黑" w:cs="宋体"/>
          <w:kern w:val="0"/>
          <w:sz w:val="24"/>
          <w:szCs w:val="24"/>
        </w:rPr>
        <w:t>）。该研究还显示，对于CDK4/6抑制剂治疗后疾病进展的患者，依维莫司也具有良好的疗效（</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"b88-ijmm-50-4-05184"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88</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）。在2019年ASCO年会上公布的TRINITI临床研究纳入了CDK4/6抑制剂治疗后疾病进展的患者（</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"b89-ijmm-50-4-05184"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89</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）。接受依西美坦、依维莫司和瑞博西尼联合治疗后，24周时的临床获益率达到41%，超过了预设的主要终点阈值（&gt;10%）。总体人群的中位无进展生存期（</w:t>
      </w:r>
      <w:proofErr w:type="spellStart"/>
      <w:r w:rsidRPr="00734FB9">
        <w:rPr>
          <w:rFonts w:ascii="微软雅黑" w:eastAsia="微软雅黑" w:hAnsi="微软雅黑" w:cs="宋体"/>
          <w:kern w:val="0"/>
          <w:sz w:val="24"/>
          <w:szCs w:val="24"/>
        </w:rPr>
        <w:t>mPFS</w:t>
      </w:r>
      <w:proofErr w:type="spellEnd"/>
      <w:r w:rsidRPr="00734FB9">
        <w:rPr>
          <w:rFonts w:ascii="微软雅黑" w:eastAsia="微软雅黑" w:hAnsi="微软雅黑" w:cs="宋体"/>
          <w:kern w:val="0"/>
          <w:sz w:val="24"/>
          <w:szCs w:val="24"/>
        </w:rPr>
        <w:t>）达到5.7个月（</w:t>
      </w:r>
      <w:r w:rsidRPr="00734FB9">
        <w:rPr>
          <w:rFonts w:ascii="微软雅黑" w:eastAsia="微软雅黑" w:hAnsi="微软雅黑" w:cs="宋体"/>
          <w:kern w:val="0"/>
          <w:sz w:val="24"/>
          <w:szCs w:val="24"/>
        </w:rPr>
        <w:fldChar w:fldCharType="begin"/>
      </w:r>
      <w:r w:rsidRPr="00734FB9">
        <w:rPr>
          <w:rFonts w:ascii="微软雅黑" w:eastAsia="微软雅黑" w:hAnsi="微软雅黑" w:cs="宋体"/>
          <w:kern w:val="0"/>
          <w:sz w:val="24"/>
          <w:szCs w:val="24"/>
        </w:rPr>
        <w:instrText xml:space="preserve"> HYPERLINK "https://pmc.ncbi.nlm.nih.gov/articles/PMC9448295/" \l "b90-ijmm-50-4-05184" </w:instrText>
      </w:r>
      <w:r w:rsidRPr="00734FB9">
        <w:rPr>
          <w:rFonts w:ascii="微软雅黑" w:eastAsia="微软雅黑" w:hAnsi="微软雅黑" w:cs="宋体"/>
          <w:kern w:val="0"/>
          <w:sz w:val="24"/>
          <w:szCs w:val="24"/>
        </w:rPr>
        <w:fldChar w:fldCharType="separate"/>
      </w:r>
      <w:r w:rsidRPr="00734FB9">
        <w:rPr>
          <w:rFonts w:ascii="微软雅黑" w:eastAsia="微软雅黑" w:hAnsi="微软雅黑" w:cs="宋体"/>
          <w:kern w:val="0"/>
          <w:sz w:val="24"/>
          <w:szCs w:val="24"/>
          <w:u w:val="single"/>
        </w:rPr>
        <w:t>90</w:t>
      </w:r>
      <w:r w:rsidRPr="00734FB9">
        <w:rPr>
          <w:rFonts w:ascii="微软雅黑" w:eastAsia="微软雅黑" w:hAnsi="微软雅黑" w:cs="宋体"/>
          <w:kern w:val="0"/>
          <w:sz w:val="24"/>
          <w:szCs w:val="24"/>
        </w:rPr>
        <w:fldChar w:fldCharType="end"/>
      </w:r>
      <w:r w:rsidRPr="00734FB9">
        <w:rPr>
          <w:rFonts w:ascii="微软雅黑" w:eastAsia="微软雅黑" w:hAnsi="微软雅黑" w:cs="宋体"/>
          <w:kern w:val="0"/>
          <w:sz w:val="24"/>
          <w:szCs w:val="24"/>
        </w:rPr>
        <w:t>）。因此，对于CDK4/6抑制剂耐药的患者，mTOR抑制剂似乎是一个不错的选择。</w:t>
      </w:r>
    </w:p>
    <w:p w14:paraId="451EB02D"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与其</w:t>
      </w:r>
      <w:proofErr w:type="gramStart"/>
      <w:r w:rsidRPr="00734FB9">
        <w:rPr>
          <w:rFonts w:ascii="微软雅黑" w:eastAsia="微软雅黑" w:hAnsi="微软雅黑" w:cs="宋体"/>
          <w:kern w:val="0"/>
          <w:sz w:val="32"/>
          <w:szCs w:val="32"/>
        </w:rPr>
        <w:t>他靶向药物</w:t>
      </w:r>
      <w:proofErr w:type="gramEnd"/>
      <w:r w:rsidRPr="00734FB9">
        <w:rPr>
          <w:rFonts w:ascii="微软雅黑" w:eastAsia="微软雅黑" w:hAnsi="微软雅黑" w:cs="宋体"/>
          <w:kern w:val="0"/>
          <w:sz w:val="32"/>
          <w:szCs w:val="32"/>
        </w:rPr>
        <w:t>联合使用</w:t>
      </w:r>
    </w:p>
    <w:p w14:paraId="45598377"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lastRenderedPageBreak/>
        <w:t>CDK4/6抑制剂耐药是一个复杂的机制，涉及多种不同的途径，包括CDK2和CDK7的激活以及FGFR1突变等。因此，目前正在开展一系列相关的临床研究，以探索添加这些新型靶</w:t>
      </w:r>
      <w:proofErr w:type="gramStart"/>
      <w:r w:rsidRPr="00734FB9">
        <w:rPr>
          <w:rFonts w:ascii="微软雅黑" w:eastAsia="微软雅黑" w:hAnsi="微软雅黑" w:cs="宋体"/>
          <w:kern w:val="0"/>
          <w:sz w:val="24"/>
          <w:szCs w:val="24"/>
        </w:rPr>
        <w:t>向药物</w:t>
      </w:r>
      <w:proofErr w:type="gramEnd"/>
      <w:r w:rsidRPr="00734FB9">
        <w:rPr>
          <w:rFonts w:ascii="微软雅黑" w:eastAsia="微软雅黑" w:hAnsi="微软雅黑" w:cs="宋体"/>
          <w:kern w:val="0"/>
          <w:sz w:val="24"/>
          <w:szCs w:val="24"/>
        </w:rPr>
        <w:t>是否能够克服CDK4/6抑制剂的耐药性。</w:t>
      </w:r>
    </w:p>
    <w:p w14:paraId="16155342"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AKT作为连接PI3K和mTOR信号通路的桥梁。TAKTIC研究评估了AKT-1抑制剂</w:t>
      </w:r>
      <w:proofErr w:type="spellStart"/>
      <w:r w:rsidRPr="00734FB9">
        <w:rPr>
          <w:rFonts w:ascii="微软雅黑" w:eastAsia="微软雅黑" w:hAnsi="微软雅黑" w:cs="宋体"/>
          <w:kern w:val="0"/>
          <w:sz w:val="24"/>
          <w:szCs w:val="24"/>
        </w:rPr>
        <w:t>ipatasertib</w:t>
      </w:r>
      <w:proofErr w:type="spellEnd"/>
      <w:r w:rsidRPr="00734FB9">
        <w:rPr>
          <w:rFonts w:ascii="微软雅黑" w:eastAsia="微软雅黑" w:hAnsi="微软雅黑" w:cs="宋体"/>
          <w:kern w:val="0"/>
          <w:sz w:val="24"/>
          <w:szCs w:val="24"/>
        </w:rPr>
        <w:t>联合内分泌治疗±CDK4/6抑制剂</w:t>
      </w:r>
      <w:proofErr w:type="spellStart"/>
      <w:r w:rsidRPr="00734FB9">
        <w:rPr>
          <w:rFonts w:ascii="微软雅黑" w:eastAsia="微软雅黑" w:hAnsi="微软雅黑" w:cs="宋体"/>
          <w:kern w:val="0"/>
          <w:sz w:val="24"/>
          <w:szCs w:val="24"/>
        </w:rPr>
        <w:t>palbociclib</w:t>
      </w:r>
      <w:proofErr w:type="spellEnd"/>
      <w:r w:rsidRPr="00734FB9">
        <w:rPr>
          <w:rFonts w:ascii="微软雅黑" w:eastAsia="微软雅黑" w:hAnsi="微软雅黑" w:cs="宋体"/>
          <w:kern w:val="0"/>
          <w:sz w:val="24"/>
          <w:szCs w:val="24"/>
        </w:rPr>
        <w:t>治疗HR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/HER2-晚期乳腺癌患者的疗效</w:t>
      </w:r>
      <w:r w:rsidRPr="00734FB9">
        <w:rPr>
          <w:rFonts w:ascii="微软雅黑" w:eastAsia="微软雅黑" w:hAnsi="微软雅黑" w:cs="宋体"/>
          <w:kern w:val="0"/>
          <w:sz w:val="24"/>
          <w:szCs w:val="24"/>
          <w:vertAlign w:val="superscript"/>
        </w:rPr>
        <w:t>。C</w:t>
      </w:r>
      <w:r w:rsidRPr="00734FB9">
        <w:rPr>
          <w:rFonts w:ascii="微软雅黑" w:eastAsia="微软雅黑" w:hAnsi="微软雅黑" w:cs="宋体"/>
          <w:kern w:val="0"/>
          <w:sz w:val="24"/>
          <w:szCs w:val="24"/>
        </w:rPr>
        <w:t>组（</w:t>
      </w:r>
      <w:proofErr w:type="spellStart"/>
      <w:r w:rsidRPr="00734FB9">
        <w:rPr>
          <w:rFonts w:ascii="微软雅黑" w:eastAsia="微软雅黑" w:hAnsi="微软雅黑" w:cs="宋体"/>
          <w:kern w:val="0"/>
          <w:sz w:val="24"/>
          <w:szCs w:val="24"/>
        </w:rPr>
        <w:t>ipatasertib+fulvestrant+palbociclib</w:t>
      </w:r>
      <w:proofErr w:type="spellEnd"/>
      <w:r w:rsidRPr="00734FB9">
        <w:rPr>
          <w:rFonts w:ascii="微软雅黑" w:eastAsia="微软雅黑" w:hAnsi="微软雅黑" w:cs="宋体"/>
          <w:kern w:val="0"/>
          <w:sz w:val="24"/>
          <w:szCs w:val="24"/>
        </w:rPr>
        <w:t>）的中期分析结果已在2020年ASCO年会上公布( </w:t>
      </w:r>
      <w:hyperlink r:id="rId95" w:anchor="b91-ijmm-50-4-05184" w:history="1">
        <w:r w:rsidRPr="00734FB9">
          <w:rPr>
            <w:rFonts w:ascii="微软雅黑" w:eastAsia="微软雅黑" w:hAnsi="微软雅黑" w:cs="宋体"/>
            <w:kern w:val="0"/>
            <w:sz w:val="24"/>
            <w:szCs w:val="24"/>
            <w:u w:val="single"/>
          </w:rPr>
          <w:t>91</w:t>
        </w:r>
      </w:hyperlink>
      <w:r w:rsidRPr="00734FB9">
        <w:rPr>
          <w:rFonts w:ascii="微软雅黑" w:eastAsia="微软雅黑" w:hAnsi="微软雅黑" w:cs="宋体"/>
          <w:kern w:val="0"/>
          <w:sz w:val="24"/>
          <w:szCs w:val="24"/>
        </w:rPr>
        <w:t> )。结果显示，对于既往CDK4/6抑制剂治疗失败的患者，AKT抑制剂+CDK4/6抑制剂+内分泌治疗在部分患者（8/12）中取得了良好的临床疗效，且耐受性良好。TAKTIC研究的后续结果尚待观察。因此，AKT抑制剂可能成为CDK4/6抑制剂耐药后的一种治疗选择。</w:t>
      </w:r>
    </w:p>
    <w:p w14:paraId="4B27DB73"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HDAC抑制剂是另一类备受关注的靶向药物。ACE研究显示，西达米德联合依西美坦组的中位无进展生存期（</w:t>
      </w:r>
      <w:proofErr w:type="spellStart"/>
      <w:r w:rsidRPr="00734FB9">
        <w:rPr>
          <w:rFonts w:ascii="微软雅黑" w:eastAsia="微软雅黑" w:hAnsi="微软雅黑" w:cs="宋体"/>
          <w:kern w:val="0"/>
          <w:sz w:val="24"/>
          <w:szCs w:val="24"/>
        </w:rPr>
        <w:t>mPFS</w:t>
      </w:r>
      <w:proofErr w:type="spellEnd"/>
      <w:r w:rsidRPr="00734FB9">
        <w:rPr>
          <w:rFonts w:ascii="微软雅黑" w:eastAsia="微软雅黑" w:hAnsi="微软雅黑" w:cs="宋体"/>
          <w:kern w:val="0"/>
          <w:sz w:val="24"/>
          <w:szCs w:val="24"/>
        </w:rPr>
        <w:t>）长于安慰剂联合依西美坦组（7.4个月 vs. 3.8个月；P=0.033）（</w:t>
      </w:r>
      <w:hyperlink r:id="rId96" w:anchor="tII-ijmm-50-4-05184" w:history="1">
        <w:r w:rsidRPr="00734FB9">
          <w:rPr>
            <w:rFonts w:ascii="微软雅黑" w:eastAsia="微软雅黑" w:hAnsi="微软雅黑" w:cs="宋体"/>
            <w:kern w:val="0"/>
            <w:sz w:val="24"/>
            <w:szCs w:val="24"/>
            <w:u w:val="single"/>
          </w:rPr>
          <w:t>表II</w:t>
        </w:r>
      </w:hyperlink>
      <w:r w:rsidRPr="00734FB9">
        <w:rPr>
          <w:rFonts w:ascii="微软雅黑" w:eastAsia="微软雅黑" w:hAnsi="微软雅黑" w:cs="宋体"/>
          <w:kern w:val="0"/>
          <w:sz w:val="24"/>
          <w:szCs w:val="24"/>
        </w:rPr>
        <w:t>）( </w:t>
      </w:r>
      <w:hyperlink r:id="rId97" w:anchor="b43-ijmm-50-4-05184" w:history="1">
        <w:r w:rsidRPr="00734FB9">
          <w:rPr>
            <w:rFonts w:ascii="微软雅黑" w:eastAsia="微软雅黑" w:hAnsi="微软雅黑" w:cs="宋体"/>
            <w:kern w:val="0"/>
            <w:sz w:val="24"/>
            <w:szCs w:val="24"/>
            <w:u w:val="single"/>
          </w:rPr>
          <w:t>43 )。在2021年SABCS会议上，另一种HDAC抑制剂</w:t>
        </w:r>
        <w:proofErr w:type="gramStart"/>
        <w:r w:rsidRPr="00734FB9">
          <w:rPr>
            <w:rFonts w:ascii="微软雅黑" w:eastAsia="微软雅黑" w:hAnsi="微软雅黑" w:cs="宋体"/>
            <w:kern w:val="0"/>
            <w:sz w:val="24"/>
            <w:szCs w:val="24"/>
            <w:u w:val="single"/>
          </w:rPr>
          <w:t>恩替诺特</w:t>
        </w:r>
        <w:proofErr w:type="gramEnd"/>
        <w:r w:rsidRPr="00734FB9">
          <w:rPr>
            <w:rFonts w:ascii="微软雅黑" w:eastAsia="微软雅黑" w:hAnsi="微软雅黑" w:cs="宋体"/>
            <w:kern w:val="0"/>
            <w:sz w:val="24"/>
            <w:szCs w:val="24"/>
            <w:u w:val="single"/>
          </w:rPr>
          <w:t>（entinostat）被证实可改善HR </w:t>
        </w:r>
      </w:hyperlink>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w:t>
      </w:r>
      <w:r w:rsidRPr="00734FB9">
        <w:rPr>
          <w:rFonts w:ascii="微软雅黑" w:eastAsia="微软雅黑" w:hAnsi="微软雅黑" w:cs="宋体"/>
          <w:kern w:val="0"/>
          <w:sz w:val="24"/>
          <w:szCs w:val="24"/>
          <w:vertAlign w:val="superscript"/>
        </w:rPr>
        <w:t>且</w:t>
      </w:r>
      <w:r w:rsidRPr="00734FB9">
        <w:rPr>
          <w:rFonts w:ascii="微软雅黑" w:eastAsia="微软雅黑" w:hAnsi="微软雅黑" w:cs="宋体"/>
          <w:kern w:val="0"/>
          <w:sz w:val="24"/>
          <w:szCs w:val="24"/>
        </w:rPr>
        <w:t>对AI耐药的ABC患者的PFS 。因此，HDAC抑制剂也为CDK4/6抑制剂耐药的患者提供了新的治疗选择。</w:t>
      </w:r>
    </w:p>
    <w:p w14:paraId="531AA7C3"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B细胞淋巴瘤-2 (BCL2) 是一种雌激素反应基因和抗凋亡蛋白，在约80%的HR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乳腺癌患者中过表达( </w:t>
      </w:r>
      <w:hyperlink r:id="rId98" w:anchor="b92-ijmm-50-4-05184" w:history="1">
        <w:r w:rsidRPr="00734FB9">
          <w:rPr>
            <w:rFonts w:ascii="微软雅黑" w:eastAsia="微软雅黑" w:hAnsi="微软雅黑" w:cs="宋体"/>
            <w:kern w:val="0"/>
            <w:sz w:val="24"/>
            <w:szCs w:val="24"/>
            <w:u w:val="single"/>
          </w:rPr>
          <w:t>92</w:t>
        </w:r>
      </w:hyperlink>
      <w:r w:rsidRPr="00734FB9">
        <w:rPr>
          <w:rFonts w:ascii="微软雅黑" w:eastAsia="微软雅黑" w:hAnsi="微软雅黑" w:cs="宋体"/>
          <w:kern w:val="0"/>
          <w:sz w:val="24"/>
          <w:szCs w:val="24"/>
        </w:rPr>
        <w:t> )。一项I期临床试验显示，维奈克拉联合他</w:t>
      </w:r>
      <w:proofErr w:type="gramStart"/>
      <w:r w:rsidRPr="00734FB9">
        <w:rPr>
          <w:rFonts w:ascii="微软雅黑" w:eastAsia="微软雅黑" w:hAnsi="微软雅黑" w:cs="宋体"/>
          <w:kern w:val="0"/>
          <w:sz w:val="24"/>
          <w:szCs w:val="24"/>
        </w:rPr>
        <w:t>莫昔芬</w:t>
      </w:r>
      <w:proofErr w:type="gramEnd"/>
      <w:r w:rsidRPr="00734FB9">
        <w:rPr>
          <w:rFonts w:ascii="微软雅黑" w:eastAsia="微软雅黑" w:hAnsi="微软雅黑" w:cs="宋体"/>
          <w:kern w:val="0"/>
          <w:sz w:val="24"/>
          <w:szCs w:val="24"/>
        </w:rPr>
        <w:t>治疗ER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/HER2-且BCL2过表达的晚期乳腺癌(ABC)患者，具有良好的耐受性和</w:t>
      </w:r>
      <w:r w:rsidRPr="00734FB9">
        <w:rPr>
          <w:rFonts w:ascii="微软雅黑" w:eastAsia="微软雅黑" w:hAnsi="微软雅黑" w:cs="宋体"/>
          <w:kern w:val="0"/>
          <w:sz w:val="24"/>
          <w:szCs w:val="24"/>
        </w:rPr>
        <w:lastRenderedPageBreak/>
        <w:t>显著的疗效(</w:t>
      </w:r>
      <w:r w:rsidRPr="00734FB9">
        <w:rPr>
          <w:rFonts w:ascii="微软雅黑" w:eastAsia="微软雅黑" w:hAnsi="微软雅黑" w:cs="宋体"/>
          <w:kern w:val="0"/>
          <w:sz w:val="24"/>
          <w:szCs w:val="24"/>
          <w:vertAlign w:val="superscript"/>
        </w:rPr>
        <w:t> </w:t>
      </w:r>
      <w:hyperlink r:id="rId99" w:anchor="b93-ijmm-50-4-05184" w:history="1">
        <w:r w:rsidRPr="00734FB9">
          <w:rPr>
            <w:rFonts w:ascii="微软雅黑" w:eastAsia="微软雅黑" w:hAnsi="微软雅黑" w:cs="宋体"/>
            <w:kern w:val="0"/>
            <w:sz w:val="24"/>
            <w:szCs w:val="24"/>
            <w:u w:val="single"/>
          </w:rPr>
          <w:t>93</w:t>
        </w:r>
      </w:hyperlink>
      <w:r w:rsidRPr="00734FB9">
        <w:rPr>
          <w:rFonts w:ascii="微软雅黑" w:eastAsia="微软雅黑" w:hAnsi="微软雅黑" w:cs="宋体"/>
          <w:kern w:val="0"/>
          <w:sz w:val="24"/>
          <w:szCs w:val="24"/>
        </w:rPr>
        <w:t> )。此外，一项正在进行的I期临床试验PALVEN ( </w:t>
      </w:r>
      <w:hyperlink r:id="rId100" w:tgtFrame="_blank" w:history="1">
        <w:r w:rsidRPr="00734FB9">
          <w:rPr>
            <w:rFonts w:ascii="微软雅黑" w:eastAsia="微软雅黑" w:hAnsi="微软雅黑" w:cs="宋体"/>
            <w:kern w:val="0"/>
            <w:sz w:val="24"/>
            <w:szCs w:val="24"/>
            <w:u w:val="single"/>
          </w:rPr>
          <w:t>NCT03900884 )正在评估芳香化酶抑制剂(AI)+CDK4/6抑制剂+维奈克拉三联疗法作为ER </w:t>
        </w:r>
      </w:hyperlink>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w:t>
      </w:r>
      <w:r w:rsidRPr="00734FB9">
        <w:rPr>
          <w:rFonts w:ascii="微软雅黑" w:eastAsia="微软雅黑" w:hAnsi="微软雅黑" w:cs="宋体"/>
          <w:kern w:val="0"/>
          <w:sz w:val="24"/>
          <w:szCs w:val="24"/>
          <w:vertAlign w:val="superscript"/>
        </w:rPr>
        <w:t>且</w:t>
      </w:r>
      <w:r w:rsidRPr="00734FB9">
        <w:rPr>
          <w:rFonts w:ascii="微软雅黑" w:eastAsia="微软雅黑" w:hAnsi="微软雅黑" w:cs="宋体"/>
          <w:kern w:val="0"/>
          <w:sz w:val="24"/>
          <w:szCs w:val="24"/>
        </w:rPr>
        <w:t>BCL2过表达的晚期乳腺癌一线治疗方案的安全性和有效性。另一项正在进行的II期临床试验Veronica ( </w:t>
      </w:r>
      <w:hyperlink r:id="rId101" w:tgtFrame="_blank" w:history="1">
        <w:r w:rsidRPr="00734FB9">
          <w:rPr>
            <w:rFonts w:ascii="微软雅黑" w:eastAsia="微软雅黑" w:hAnsi="微软雅黑" w:cs="宋体"/>
            <w:kern w:val="0"/>
            <w:sz w:val="24"/>
            <w:szCs w:val="24"/>
            <w:u w:val="single"/>
          </w:rPr>
          <w:t>NCT03584009</w:t>
        </w:r>
      </w:hyperlink>
      <w:r w:rsidRPr="00734FB9">
        <w:rPr>
          <w:rFonts w:ascii="微软雅黑" w:eastAsia="微软雅黑" w:hAnsi="微软雅黑" w:cs="宋体"/>
          <w:kern w:val="0"/>
          <w:sz w:val="24"/>
          <w:szCs w:val="24"/>
        </w:rPr>
        <w:t> )正在评估维奈克拉联合</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与单用</w:t>
      </w:r>
      <w:proofErr w:type="gramStart"/>
      <w:r w:rsidRPr="00734FB9">
        <w:rPr>
          <w:rFonts w:ascii="微软雅黑" w:eastAsia="微软雅黑" w:hAnsi="微软雅黑" w:cs="宋体"/>
          <w:kern w:val="0"/>
          <w:sz w:val="24"/>
          <w:szCs w:val="24"/>
        </w:rPr>
        <w:t>氟维司群治疗</w:t>
      </w:r>
      <w:proofErr w:type="gramEnd"/>
      <w:r w:rsidRPr="00734FB9">
        <w:rPr>
          <w:rFonts w:ascii="微软雅黑" w:eastAsia="微软雅黑" w:hAnsi="微软雅黑" w:cs="宋体"/>
          <w:kern w:val="0"/>
          <w:sz w:val="24"/>
          <w:szCs w:val="24"/>
        </w:rPr>
        <w:t>CDK4/6抑制剂治疗后疾病进展患者的疗效。在2021年ASCO年会上公布的Veronica试验初步结果显示，联合治疗组和单药治疗组的无进展生存期（PFS）无显著差异（2.69个月 vs. 1.94个月；P=0.7853）（</w:t>
      </w:r>
      <w:hyperlink r:id="rId102" w:anchor="tII-ijmm-50-4-05184" w:history="1">
        <w:r w:rsidRPr="00734FB9">
          <w:rPr>
            <w:rFonts w:ascii="微软雅黑" w:eastAsia="微软雅黑" w:hAnsi="微软雅黑" w:cs="宋体"/>
            <w:kern w:val="0"/>
            <w:sz w:val="24"/>
            <w:szCs w:val="24"/>
            <w:u w:val="single"/>
          </w:rPr>
          <w:t>表II</w:t>
        </w:r>
      </w:hyperlink>
      <w:r w:rsidRPr="00734FB9">
        <w:rPr>
          <w:rFonts w:ascii="微软雅黑" w:eastAsia="微软雅黑" w:hAnsi="微软雅黑" w:cs="宋体"/>
          <w:kern w:val="0"/>
          <w:sz w:val="24"/>
          <w:szCs w:val="24"/>
        </w:rPr>
        <w:t>）（</w:t>
      </w:r>
      <w:hyperlink r:id="rId103" w:anchor="b94-ijmm-50-4-05184" w:history="1">
        <w:r w:rsidRPr="00734FB9">
          <w:rPr>
            <w:rFonts w:ascii="微软雅黑" w:eastAsia="微软雅黑" w:hAnsi="微软雅黑" w:cs="宋体"/>
            <w:kern w:val="0"/>
            <w:sz w:val="24"/>
            <w:szCs w:val="24"/>
            <w:u w:val="single"/>
          </w:rPr>
          <w:t>94</w:t>
        </w:r>
      </w:hyperlink>
      <w:r w:rsidRPr="00734FB9">
        <w:rPr>
          <w:rFonts w:ascii="微软雅黑" w:eastAsia="微软雅黑" w:hAnsi="微软雅黑" w:cs="宋体"/>
          <w:kern w:val="0"/>
          <w:sz w:val="24"/>
          <w:szCs w:val="24"/>
        </w:rPr>
        <w:t> , </w:t>
      </w:r>
      <w:hyperlink r:id="rId104" w:anchor="b95-ijmm-50-4-05184" w:history="1">
        <w:r w:rsidRPr="00734FB9">
          <w:rPr>
            <w:rFonts w:ascii="微软雅黑" w:eastAsia="微软雅黑" w:hAnsi="微软雅黑" w:cs="宋体"/>
            <w:kern w:val="0"/>
            <w:sz w:val="24"/>
            <w:szCs w:val="24"/>
            <w:u w:val="single"/>
          </w:rPr>
          <w:t>95</w:t>
        </w:r>
      </w:hyperlink>
      <w:r w:rsidRPr="00734FB9">
        <w:rPr>
          <w:rFonts w:ascii="微软雅黑" w:eastAsia="微软雅黑" w:hAnsi="微软雅黑" w:cs="宋体"/>
          <w:kern w:val="0"/>
          <w:sz w:val="24"/>
          <w:szCs w:val="24"/>
        </w:rPr>
        <w:t>）。然而，在后续临床研究结果的支持下，BCL2抑制剂仍有望成为CDK4/6抑制剂耐药后的二线治疗选择。</w:t>
      </w:r>
    </w:p>
    <w:p w14:paraId="40A2CDA4"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CDK4/6抑制剂能够有效抑制肿瘤微环境中调节性T细胞的增殖，并增强效应T细胞的功能，这为CDK4/6抑制剂与免疫检查点抑制剂联合用药提供了理论基础（</w:t>
      </w:r>
      <w:hyperlink r:id="rId105" w:anchor="b96-ijmm-50-4-05184" w:history="1">
        <w:r w:rsidRPr="00734FB9">
          <w:rPr>
            <w:rFonts w:ascii="微软雅黑" w:eastAsia="微软雅黑" w:hAnsi="微软雅黑" w:cs="宋体"/>
            <w:kern w:val="0"/>
            <w:sz w:val="24"/>
            <w:szCs w:val="24"/>
            <w:u w:val="single"/>
          </w:rPr>
          <w:t>96</w:t>
        </w:r>
      </w:hyperlink>
      <w:r w:rsidRPr="00734FB9">
        <w:rPr>
          <w:rFonts w:ascii="微软雅黑" w:eastAsia="微软雅黑" w:hAnsi="微软雅黑" w:cs="宋体"/>
          <w:kern w:val="0"/>
          <w:sz w:val="24"/>
          <w:szCs w:val="24"/>
        </w:rPr>
        <w:t>）。一项正在进行的IB期临床试验JPCE（</w:t>
      </w:r>
      <w:hyperlink r:id="rId106" w:tgtFrame="_blank" w:history="1">
        <w:r w:rsidRPr="00734FB9">
          <w:rPr>
            <w:rFonts w:ascii="微软雅黑" w:eastAsia="微软雅黑" w:hAnsi="微软雅黑" w:cs="宋体"/>
            <w:kern w:val="0"/>
            <w:sz w:val="24"/>
            <w:szCs w:val="24"/>
            <w:u w:val="single"/>
          </w:rPr>
          <w:t>NCT02779751</w:t>
        </w:r>
      </w:hyperlink>
      <w:r w:rsidRPr="00734FB9">
        <w:rPr>
          <w:rFonts w:ascii="微软雅黑" w:eastAsia="微软雅黑" w:hAnsi="微软雅黑" w:cs="宋体"/>
          <w:kern w:val="0"/>
          <w:sz w:val="24"/>
          <w:szCs w:val="24"/>
        </w:rPr>
        <w:t>）正在评估阿贝西利联</w:t>
      </w:r>
      <w:proofErr w:type="gramStart"/>
      <w:r w:rsidRPr="00734FB9">
        <w:rPr>
          <w:rFonts w:ascii="微软雅黑" w:eastAsia="微软雅黑" w:hAnsi="微软雅黑" w:cs="宋体"/>
          <w:kern w:val="0"/>
          <w:sz w:val="24"/>
          <w:szCs w:val="24"/>
        </w:rPr>
        <w:t>合帕</w:t>
      </w:r>
      <w:proofErr w:type="gramEnd"/>
      <w:r w:rsidRPr="00734FB9">
        <w:rPr>
          <w:rFonts w:ascii="微软雅黑" w:eastAsia="微软雅黑" w:hAnsi="微软雅黑" w:cs="宋体"/>
          <w:kern w:val="0"/>
          <w:sz w:val="24"/>
          <w:szCs w:val="24"/>
        </w:rPr>
        <w:t>博</w:t>
      </w:r>
      <w:proofErr w:type="gramStart"/>
      <w:r w:rsidRPr="00734FB9">
        <w:rPr>
          <w:rFonts w:ascii="微软雅黑" w:eastAsia="微软雅黑" w:hAnsi="微软雅黑" w:cs="宋体"/>
          <w:kern w:val="0"/>
          <w:sz w:val="24"/>
          <w:szCs w:val="24"/>
        </w:rPr>
        <w:t>利珠单</w:t>
      </w:r>
      <w:proofErr w:type="gramEnd"/>
      <w:r w:rsidRPr="00734FB9">
        <w:rPr>
          <w:rFonts w:ascii="微软雅黑" w:eastAsia="微软雅黑" w:hAnsi="微软雅黑" w:cs="宋体"/>
          <w:kern w:val="0"/>
          <w:sz w:val="24"/>
          <w:szCs w:val="24"/>
        </w:rPr>
        <w:t>抗（PD-1抑制剂）治疗HR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w:t>
      </w:r>
      <w:r w:rsidRPr="00734FB9">
        <w:rPr>
          <w:rFonts w:ascii="微软雅黑" w:eastAsia="微软雅黑" w:hAnsi="微软雅黑" w:cs="宋体"/>
          <w:kern w:val="0"/>
          <w:sz w:val="24"/>
          <w:szCs w:val="24"/>
          <w:vertAlign w:val="superscript"/>
        </w:rPr>
        <w:t>转移性</w:t>
      </w:r>
      <w:r w:rsidRPr="00734FB9">
        <w:rPr>
          <w:rFonts w:ascii="微软雅黑" w:eastAsia="微软雅黑" w:hAnsi="微软雅黑" w:cs="宋体"/>
          <w:kern w:val="0"/>
          <w:sz w:val="24"/>
          <w:szCs w:val="24"/>
        </w:rPr>
        <w:t>乳腺癌的疗效和安全性。另一项正在进行的II期临床试验PACE（</w:t>
      </w:r>
      <w:hyperlink r:id="rId107" w:tgtFrame="_blank" w:history="1">
        <w:r w:rsidRPr="00734FB9">
          <w:rPr>
            <w:rFonts w:ascii="微软雅黑" w:eastAsia="微软雅黑" w:hAnsi="微软雅黑" w:cs="宋体"/>
            <w:kern w:val="0"/>
            <w:sz w:val="24"/>
            <w:szCs w:val="24"/>
            <w:u w:val="single"/>
          </w:rPr>
          <w:t>NCT03147287 ）正在评估</w:t>
        </w:r>
        <w:proofErr w:type="gramStart"/>
        <w:r w:rsidRPr="00734FB9">
          <w:rPr>
            <w:rFonts w:ascii="微软雅黑" w:eastAsia="微软雅黑" w:hAnsi="微软雅黑" w:cs="宋体"/>
            <w:kern w:val="0"/>
            <w:sz w:val="24"/>
            <w:szCs w:val="24"/>
            <w:u w:val="single"/>
          </w:rPr>
          <w:t>氟维司群</w:t>
        </w:r>
        <w:proofErr w:type="gramEnd"/>
        <w:r w:rsidRPr="00734FB9">
          <w:rPr>
            <w:rFonts w:ascii="微软雅黑" w:eastAsia="微软雅黑" w:hAnsi="微软雅黑" w:cs="宋体"/>
            <w:kern w:val="0"/>
            <w:sz w:val="24"/>
            <w:szCs w:val="24"/>
            <w:u w:val="single"/>
          </w:rPr>
          <w:t>、帕博西尼联合阿</w:t>
        </w:r>
        <w:proofErr w:type="gramStart"/>
        <w:r w:rsidRPr="00734FB9">
          <w:rPr>
            <w:rFonts w:ascii="微软雅黑" w:eastAsia="微软雅黑" w:hAnsi="微软雅黑" w:cs="宋体"/>
            <w:kern w:val="0"/>
            <w:sz w:val="24"/>
            <w:szCs w:val="24"/>
            <w:u w:val="single"/>
          </w:rPr>
          <w:t>维鲁单</w:t>
        </w:r>
        <w:proofErr w:type="gramEnd"/>
        <w:r w:rsidRPr="00734FB9">
          <w:rPr>
            <w:rFonts w:ascii="微软雅黑" w:eastAsia="微软雅黑" w:hAnsi="微软雅黑" w:cs="宋体"/>
            <w:kern w:val="0"/>
            <w:sz w:val="24"/>
            <w:szCs w:val="24"/>
            <w:u w:val="single"/>
          </w:rPr>
          <w:t>抗（PD-L1抑制剂）治疗对帕博西尼耐药的ER </w:t>
        </w:r>
      </w:hyperlink>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/HER2-乳腺癌患者的疗效。</w:t>
      </w:r>
    </w:p>
    <w:p w14:paraId="40B7D256" w14:textId="77777777" w:rsidR="00734FB9" w:rsidRPr="00734FB9" w:rsidRDefault="00734FB9" w:rsidP="00734FB9">
      <w:pPr>
        <w:widowControl/>
        <w:spacing w:line="450" w:lineRule="atLeast"/>
        <w:outlineLvl w:val="2"/>
        <w:rPr>
          <w:rFonts w:ascii="微软雅黑" w:eastAsia="微软雅黑" w:hAnsi="微软雅黑" w:cs="宋体"/>
          <w:kern w:val="0"/>
          <w:sz w:val="32"/>
          <w:szCs w:val="32"/>
        </w:rPr>
      </w:pPr>
      <w:r w:rsidRPr="00734FB9">
        <w:rPr>
          <w:rFonts w:ascii="微软雅黑" w:eastAsia="微软雅黑" w:hAnsi="微软雅黑" w:cs="宋体"/>
          <w:kern w:val="0"/>
          <w:sz w:val="32"/>
          <w:szCs w:val="32"/>
        </w:rPr>
        <w:t>转为化疗</w:t>
      </w:r>
    </w:p>
    <w:p w14:paraId="670D0B33"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vertAlign w:val="superscript"/>
        </w:rPr>
        <w:t>对于HR +</w:t>
      </w:r>
      <w:r w:rsidRPr="00734FB9">
        <w:rPr>
          <w:rFonts w:ascii="微软雅黑" w:eastAsia="微软雅黑" w:hAnsi="微软雅黑" w:cs="宋体"/>
          <w:kern w:val="0"/>
          <w:sz w:val="24"/>
          <w:szCs w:val="24"/>
        </w:rPr>
        <w:t> /HER2-晚期乳腺癌</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ABC）患者，如果对内分泌治疗联合CDK4/6抑制剂治疗耐药，化疗也是一种不错的选择（</w:t>
      </w:r>
      <w:hyperlink r:id="rId108" w:anchor="b97-ijmm-50-4-05184" w:history="1">
        <w:r w:rsidRPr="00734FB9">
          <w:rPr>
            <w:rFonts w:ascii="微软雅黑" w:eastAsia="微软雅黑" w:hAnsi="微软雅黑" w:cs="宋体"/>
            <w:kern w:val="0"/>
            <w:sz w:val="24"/>
            <w:szCs w:val="24"/>
            <w:u w:val="single"/>
          </w:rPr>
          <w:t>97</w:t>
        </w:r>
      </w:hyperlink>
      <w:r w:rsidRPr="00734FB9">
        <w:rPr>
          <w:rFonts w:ascii="微软雅黑" w:eastAsia="微软雅黑" w:hAnsi="微软雅黑" w:cs="宋体"/>
          <w:kern w:val="0"/>
          <w:sz w:val="24"/>
          <w:szCs w:val="24"/>
        </w:rPr>
        <w:t>）。在临床实践中，化疗通常作为后续治疗方案。在PALOMA-3临床研究中，接受</w:t>
      </w:r>
      <w:proofErr w:type="gramStart"/>
      <w:r w:rsidRPr="00734FB9">
        <w:rPr>
          <w:rFonts w:ascii="微软雅黑" w:eastAsia="微软雅黑" w:hAnsi="微软雅黑" w:cs="宋体"/>
          <w:kern w:val="0"/>
          <w:sz w:val="24"/>
          <w:szCs w:val="24"/>
        </w:rPr>
        <w:t>氟维司群</w:t>
      </w:r>
      <w:proofErr w:type="gramEnd"/>
      <w:r w:rsidRPr="00734FB9">
        <w:rPr>
          <w:rFonts w:ascii="微软雅黑" w:eastAsia="微软雅黑" w:hAnsi="微软雅黑" w:cs="宋体"/>
          <w:kern w:val="0"/>
          <w:sz w:val="24"/>
          <w:szCs w:val="24"/>
        </w:rPr>
        <w:t>联</w:t>
      </w:r>
      <w:proofErr w:type="gramStart"/>
      <w:r w:rsidRPr="00734FB9">
        <w:rPr>
          <w:rFonts w:ascii="微软雅黑" w:eastAsia="微软雅黑" w:hAnsi="微软雅黑" w:cs="宋体"/>
          <w:kern w:val="0"/>
          <w:sz w:val="24"/>
          <w:szCs w:val="24"/>
        </w:rPr>
        <w:t>合帕</w:t>
      </w:r>
      <w:proofErr w:type="gramEnd"/>
      <w:r w:rsidRPr="00734FB9">
        <w:rPr>
          <w:rFonts w:ascii="微软雅黑" w:eastAsia="微软雅黑" w:hAnsi="微软雅黑" w:cs="宋体"/>
          <w:kern w:val="0"/>
          <w:sz w:val="24"/>
          <w:szCs w:val="24"/>
        </w:rPr>
        <w:t>博西</w:t>
      </w:r>
      <w:proofErr w:type="gramStart"/>
      <w:r w:rsidRPr="00734FB9">
        <w:rPr>
          <w:rFonts w:ascii="微软雅黑" w:eastAsia="微软雅黑" w:hAnsi="微软雅黑" w:cs="宋体"/>
          <w:kern w:val="0"/>
          <w:sz w:val="24"/>
          <w:szCs w:val="24"/>
        </w:rPr>
        <w:t>尼治疗</w:t>
      </w:r>
      <w:proofErr w:type="gramEnd"/>
      <w:r w:rsidRPr="00734FB9">
        <w:rPr>
          <w:rFonts w:ascii="微软雅黑" w:eastAsia="微软雅黑" w:hAnsi="微软雅黑" w:cs="宋体"/>
          <w:kern w:val="0"/>
          <w:sz w:val="24"/>
          <w:szCs w:val="24"/>
        </w:rPr>
        <w:t>的患者中，大多数出现疾病进展，大多数研究者建议这些患者在退出研究组后接受化</w:t>
      </w:r>
      <w:r w:rsidRPr="00734FB9">
        <w:rPr>
          <w:rFonts w:ascii="微软雅黑" w:eastAsia="微软雅黑" w:hAnsi="微软雅黑" w:cs="宋体"/>
          <w:kern w:val="0"/>
          <w:sz w:val="24"/>
          <w:szCs w:val="24"/>
        </w:rPr>
        <w:lastRenderedPageBreak/>
        <w:t>疗（</w:t>
      </w:r>
      <w:hyperlink r:id="rId109" w:anchor="b98-ijmm-50-4-05184" w:history="1">
        <w:r w:rsidRPr="00734FB9">
          <w:rPr>
            <w:rFonts w:ascii="微软雅黑" w:eastAsia="微软雅黑" w:hAnsi="微软雅黑" w:cs="宋体"/>
            <w:kern w:val="0"/>
            <w:sz w:val="24"/>
            <w:szCs w:val="24"/>
            <w:u w:val="single"/>
          </w:rPr>
          <w:t>98</w:t>
        </w:r>
      </w:hyperlink>
      <w:r w:rsidRPr="00734FB9">
        <w:rPr>
          <w:rFonts w:ascii="微软雅黑" w:eastAsia="微软雅黑" w:hAnsi="微软雅黑" w:cs="宋体"/>
          <w:kern w:val="0"/>
          <w:sz w:val="24"/>
          <w:szCs w:val="24"/>
        </w:rPr>
        <w:t>）。一项来自美国的真实世界研究显示，在525例接受CDK4/6抑制剂治疗后疾病进展的患者中，超过三分之一的患者接受了后续化疗，使用的化疗药物为</w:t>
      </w:r>
      <w:proofErr w:type="gramStart"/>
      <w:r w:rsidRPr="00734FB9">
        <w:rPr>
          <w:rFonts w:ascii="微软雅黑" w:eastAsia="微软雅黑" w:hAnsi="微软雅黑" w:cs="宋体"/>
          <w:kern w:val="0"/>
          <w:sz w:val="24"/>
          <w:szCs w:val="24"/>
        </w:rPr>
        <w:t>卡培他滨</w:t>
      </w:r>
      <w:proofErr w:type="gramEnd"/>
      <w:r w:rsidRPr="00734FB9">
        <w:rPr>
          <w:rFonts w:ascii="微软雅黑" w:eastAsia="微软雅黑" w:hAnsi="微软雅黑" w:cs="宋体"/>
          <w:kern w:val="0"/>
          <w:sz w:val="24"/>
          <w:szCs w:val="24"/>
        </w:rPr>
        <w:t>和紫杉烷类药物（</w:t>
      </w:r>
      <w:hyperlink r:id="rId110" w:anchor="b99-ijmm-50-4-05184" w:history="1">
        <w:r w:rsidRPr="00734FB9">
          <w:rPr>
            <w:rFonts w:ascii="微软雅黑" w:eastAsia="微软雅黑" w:hAnsi="微软雅黑" w:cs="宋体"/>
            <w:kern w:val="0"/>
            <w:sz w:val="24"/>
            <w:szCs w:val="24"/>
            <w:u w:val="single"/>
          </w:rPr>
          <w:t>99</w:t>
        </w:r>
      </w:hyperlink>
      <w:r w:rsidRPr="00734FB9">
        <w:rPr>
          <w:rFonts w:ascii="微软雅黑" w:eastAsia="微软雅黑" w:hAnsi="微软雅黑" w:cs="宋体"/>
          <w:kern w:val="0"/>
          <w:sz w:val="24"/>
          <w:szCs w:val="24"/>
        </w:rPr>
        <w:t>）。目前有三项正在进行的临床试验（</w:t>
      </w:r>
      <w:hyperlink r:id="rId111" w:tgtFrame="_blank" w:history="1">
        <w:r w:rsidRPr="00734FB9">
          <w:rPr>
            <w:rFonts w:ascii="微软雅黑" w:eastAsia="微软雅黑" w:hAnsi="微软雅黑" w:cs="宋体"/>
            <w:kern w:val="0"/>
            <w:sz w:val="24"/>
            <w:szCs w:val="24"/>
            <w:u w:val="single"/>
          </w:rPr>
          <w:t>NCT04251169</w:t>
        </w:r>
      </w:hyperlink>
      <w:r w:rsidRPr="00734FB9">
        <w:rPr>
          <w:rFonts w:ascii="微软雅黑" w:eastAsia="微软雅黑" w:hAnsi="微软雅黑" w:cs="宋体"/>
          <w:kern w:val="0"/>
          <w:sz w:val="24"/>
          <w:szCs w:val="24"/>
        </w:rPr>
        <w:t>、</w:t>
      </w:r>
      <w:hyperlink r:id="rId112" w:tgtFrame="_blank" w:history="1">
        <w:r w:rsidRPr="00734FB9">
          <w:rPr>
            <w:rFonts w:ascii="微软雅黑" w:eastAsia="微软雅黑" w:hAnsi="微软雅黑" w:cs="宋体"/>
            <w:kern w:val="0"/>
            <w:sz w:val="24"/>
            <w:szCs w:val="24"/>
            <w:u w:val="single"/>
          </w:rPr>
          <w:t>NCT03901339</w:t>
        </w:r>
      </w:hyperlink>
      <w:r w:rsidRPr="00734FB9">
        <w:rPr>
          <w:rFonts w:ascii="微软雅黑" w:eastAsia="微软雅黑" w:hAnsi="微软雅黑" w:cs="宋体"/>
          <w:kern w:val="0"/>
          <w:sz w:val="24"/>
          <w:szCs w:val="24"/>
        </w:rPr>
        <w:t>和</w:t>
      </w:r>
      <w:hyperlink r:id="rId113" w:tgtFrame="_blank" w:history="1">
        <w:r w:rsidRPr="00734FB9">
          <w:rPr>
            <w:rFonts w:ascii="微软雅黑" w:eastAsia="微软雅黑" w:hAnsi="微软雅黑" w:cs="宋体"/>
            <w:kern w:val="0"/>
            <w:sz w:val="24"/>
            <w:szCs w:val="24"/>
            <w:u w:val="single"/>
          </w:rPr>
          <w:t>NCT04134884 ）正在评估CDK4/6抑制剂耐药的ER </w:t>
        </w:r>
      </w:hyperlink>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w:t>
      </w:r>
      <w:r w:rsidRPr="00734FB9">
        <w:rPr>
          <w:rFonts w:ascii="微软雅黑" w:eastAsia="微软雅黑" w:hAnsi="微软雅黑" w:cs="宋体"/>
          <w:kern w:val="0"/>
          <w:sz w:val="24"/>
          <w:szCs w:val="24"/>
          <w:vertAlign w:val="superscript"/>
        </w:rPr>
        <w:t>乳腺癌</w:t>
      </w:r>
      <w:r w:rsidRPr="00734FB9">
        <w:rPr>
          <w:rFonts w:ascii="微软雅黑" w:eastAsia="微软雅黑" w:hAnsi="微软雅黑" w:cs="宋体"/>
          <w:kern w:val="0"/>
          <w:sz w:val="24"/>
          <w:szCs w:val="24"/>
        </w:rPr>
        <w:t>患者接受化疗的疗效。此外，在2021年ASCO会议上，有报道称，微管蛋白聚合抑制剂艾立布林可作为CDK4/6抑制剂治疗后HR </w:t>
      </w:r>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/HER2-转移性乳腺癌患者的单药治疗方案（</w:t>
      </w:r>
      <w:r w:rsidRPr="00734FB9">
        <w:rPr>
          <w:rFonts w:ascii="微软雅黑" w:eastAsia="微软雅黑" w:hAnsi="微软雅黑" w:cs="宋体"/>
          <w:kern w:val="0"/>
          <w:sz w:val="24"/>
          <w:szCs w:val="24"/>
          <w:vertAlign w:val="superscript"/>
        </w:rPr>
        <w:t> </w:t>
      </w:r>
      <w:hyperlink r:id="rId114" w:anchor="b100-ijmm-50-4-05184" w:history="1">
        <w:r w:rsidRPr="00734FB9">
          <w:rPr>
            <w:rFonts w:ascii="微软雅黑" w:eastAsia="微软雅黑" w:hAnsi="微软雅黑" w:cs="宋体"/>
            <w:kern w:val="0"/>
            <w:sz w:val="24"/>
            <w:szCs w:val="24"/>
            <w:u w:val="single"/>
          </w:rPr>
          <w:t>100 ）。因此，对于HR+ </w:t>
        </w:r>
      </w:hyperlink>
      <w:r w:rsidRPr="00734FB9">
        <w:rPr>
          <w:rFonts w:ascii="微软雅黑" w:eastAsia="微软雅黑" w:hAnsi="微软雅黑" w:cs="宋体"/>
          <w:kern w:val="0"/>
          <w:sz w:val="24"/>
          <w:szCs w:val="24"/>
          <w:vertAlign w:val="superscript"/>
        </w:rPr>
        <w:t>/</w:t>
      </w:r>
      <w:r w:rsidRPr="00734FB9">
        <w:rPr>
          <w:rFonts w:ascii="微软雅黑" w:eastAsia="微软雅黑" w:hAnsi="微软雅黑" w:cs="宋体"/>
          <w:kern w:val="0"/>
          <w:sz w:val="24"/>
          <w:szCs w:val="24"/>
        </w:rPr>
        <w:t> HER2-晚期乳腺癌患者，在内分泌治疗联合CDK4/6抑制剂治疗耐药后，化疗仍然是常用的治疗选择。</w:t>
      </w:r>
    </w:p>
    <w:p w14:paraId="7A739B2F" w14:textId="77777777" w:rsidR="00734FB9" w:rsidRPr="00734FB9" w:rsidRDefault="00734FB9" w:rsidP="00734FB9">
      <w:pPr>
        <w:widowControl/>
        <w:pBdr>
          <w:bottom w:val="single" w:sz="6" w:space="0" w:color="97B1C8"/>
        </w:pBdr>
        <w:spacing w:line="450" w:lineRule="atLeast"/>
        <w:outlineLvl w:val="1"/>
        <w:rPr>
          <w:rFonts w:ascii="微软雅黑" w:eastAsia="微软雅黑" w:hAnsi="微软雅黑" w:cs="宋体"/>
          <w:kern w:val="0"/>
          <w:sz w:val="34"/>
          <w:szCs w:val="34"/>
        </w:rPr>
      </w:pPr>
      <w:r w:rsidRPr="00734FB9">
        <w:rPr>
          <w:rFonts w:ascii="微软雅黑" w:eastAsia="微软雅黑" w:hAnsi="微软雅黑" w:cs="宋体"/>
          <w:kern w:val="0"/>
          <w:sz w:val="34"/>
          <w:szCs w:val="34"/>
        </w:rPr>
        <w:t>6. 结论</w:t>
      </w:r>
    </w:p>
    <w:p w14:paraId="40155D59"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vertAlign w:val="superscript"/>
        </w:rPr>
        <w:t>优化HR +</w:t>
      </w:r>
      <w:r w:rsidRPr="00734FB9">
        <w:rPr>
          <w:rFonts w:ascii="微软雅黑" w:eastAsia="微软雅黑" w:hAnsi="微软雅黑" w:cs="宋体"/>
          <w:kern w:val="0"/>
          <w:sz w:val="24"/>
          <w:szCs w:val="24"/>
        </w:rPr>
        <w:t> /HER2- </w:t>
      </w:r>
      <w:r w:rsidRPr="00734FB9">
        <w:rPr>
          <w:rFonts w:ascii="微软雅黑" w:eastAsia="微软雅黑" w:hAnsi="微软雅黑" w:cs="宋体"/>
          <w:kern w:val="0"/>
          <w:sz w:val="24"/>
          <w:szCs w:val="24"/>
          <w:vertAlign w:val="superscript"/>
        </w:rPr>
        <w:t>ABC</w:t>
      </w:r>
      <w:r w:rsidRPr="00734FB9">
        <w:rPr>
          <w:rFonts w:ascii="微软雅黑" w:eastAsia="微软雅黑" w:hAnsi="微软雅黑" w:cs="宋体"/>
          <w:kern w:val="0"/>
          <w:sz w:val="24"/>
          <w:szCs w:val="24"/>
        </w:rPr>
        <w:t>患者（其中ABC比例最高）的治疗方案对于改善ABC的预后具有重要意义。耐药性是一个不可避免的问题。事实上，CDK4/6抑制剂的耐药分子机制非常复杂，因此阐明其耐药机制对于选择后续治疗方案至关重要。根据不同的耐药机制，耐药后可选择的靶</w:t>
      </w:r>
      <w:proofErr w:type="gramStart"/>
      <w:r w:rsidRPr="00734FB9">
        <w:rPr>
          <w:rFonts w:ascii="微软雅黑" w:eastAsia="微软雅黑" w:hAnsi="微软雅黑" w:cs="宋体"/>
          <w:kern w:val="0"/>
          <w:sz w:val="24"/>
          <w:szCs w:val="24"/>
        </w:rPr>
        <w:t>向药物</w:t>
      </w:r>
      <w:proofErr w:type="gramEnd"/>
      <w:r w:rsidRPr="00734FB9">
        <w:rPr>
          <w:rFonts w:ascii="微软雅黑" w:eastAsia="微软雅黑" w:hAnsi="微软雅黑" w:cs="宋体"/>
          <w:kern w:val="0"/>
          <w:sz w:val="24"/>
          <w:szCs w:val="24"/>
        </w:rPr>
        <w:t>也应有所不同。首先，细胞周期蛋白D-CDK4/6-RB调控</w:t>
      </w:r>
      <w:proofErr w:type="gramStart"/>
      <w:r w:rsidRPr="00734FB9">
        <w:rPr>
          <w:rFonts w:ascii="微软雅黑" w:eastAsia="微软雅黑" w:hAnsi="微软雅黑" w:cs="宋体"/>
          <w:kern w:val="0"/>
          <w:sz w:val="24"/>
          <w:szCs w:val="24"/>
        </w:rPr>
        <w:t>轴关键</w:t>
      </w:r>
      <w:proofErr w:type="gramEnd"/>
      <w:r w:rsidRPr="00734FB9">
        <w:rPr>
          <w:rFonts w:ascii="微软雅黑" w:eastAsia="微软雅黑" w:hAnsi="微软雅黑" w:cs="宋体"/>
          <w:kern w:val="0"/>
          <w:sz w:val="24"/>
          <w:szCs w:val="24"/>
        </w:rPr>
        <w:t>分子的异常本身即可导致耐药。其次，细胞周期通路上游调控因子的异常也是耐药的常见原因。第三，除了细胞周期蛋白D-CDK4/6之外，细胞周期蛋白E-CDK2也通过Rb的磷酸</w:t>
      </w:r>
      <w:proofErr w:type="gramStart"/>
      <w:r w:rsidRPr="00734FB9">
        <w:rPr>
          <w:rFonts w:ascii="微软雅黑" w:eastAsia="微软雅黑" w:hAnsi="微软雅黑" w:cs="宋体"/>
          <w:kern w:val="0"/>
          <w:sz w:val="24"/>
          <w:szCs w:val="24"/>
        </w:rPr>
        <w:t>化参与</w:t>
      </w:r>
      <w:proofErr w:type="gramEnd"/>
      <w:r w:rsidRPr="00734FB9">
        <w:rPr>
          <w:rFonts w:ascii="微软雅黑" w:eastAsia="微软雅黑" w:hAnsi="微软雅黑" w:cs="宋体"/>
          <w:kern w:val="0"/>
          <w:sz w:val="24"/>
          <w:szCs w:val="24"/>
        </w:rPr>
        <w:t>促进细胞G1 </w:t>
      </w:r>
      <w:r w:rsidRPr="00734FB9">
        <w:rPr>
          <w:rFonts w:ascii="微软雅黑" w:eastAsia="微软雅黑" w:hAnsi="微软雅黑" w:cs="宋体"/>
          <w:kern w:val="0"/>
          <w:sz w:val="24"/>
          <w:szCs w:val="24"/>
          <w:vertAlign w:val="subscript"/>
        </w:rPr>
        <w:t>/</w:t>
      </w:r>
      <w:r w:rsidRPr="00734FB9">
        <w:rPr>
          <w:rFonts w:ascii="微软雅黑" w:eastAsia="微软雅黑" w:hAnsi="微软雅黑" w:cs="宋体"/>
          <w:kern w:val="0"/>
          <w:sz w:val="24"/>
          <w:szCs w:val="24"/>
        </w:rPr>
        <w:t> S期转换。最后，肿瘤细胞也可能通过其他非特异性细胞生长信号通路激活细胞周期，从而触发耐药性。双靶点甚至多靶点组合可以同时抑制细胞周期通路和异常激活的生长旁路，从而延缓 CDK4/6 抑制剂耐药性的产生。</w:t>
      </w:r>
    </w:p>
    <w:p w14:paraId="0EAB022A"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lastRenderedPageBreak/>
        <w:t>目前，CDK4/6抑制剂耐药后的治疗选择仍然有限且充满争议，国际上尚无明确系统的治疗策略。CDK4/6抑制剂耐药后的治疗选择基本可分为三类：一是改用其他内分泌药物联合CDK4/6抑制剂；二是联合靶向治疗；三是改用细胞毒性药物进行化疗。然而，CDK4/6抑制剂耐药后的治疗方案选择主要取决于既往治疗中使用的内分泌治疗联合CDK4/6抑制剂的方案数、药物组合、治疗持续时间、当前转移部位、转移负荷大小、循环肿瘤DNA中是否存在靶向突变以及患者的经济状况。综合考虑这些因素后，应为患者制定个体化的治疗方案。</w:t>
      </w:r>
    </w:p>
    <w:p w14:paraId="517ECF23" w14:textId="77777777" w:rsidR="00734FB9" w:rsidRPr="00734FB9" w:rsidRDefault="00734FB9" w:rsidP="00734FB9">
      <w:pPr>
        <w:widowControl/>
        <w:spacing w:before="450"/>
        <w:rPr>
          <w:rFonts w:ascii="微软雅黑" w:eastAsia="微软雅黑" w:hAnsi="微软雅黑" w:cs="宋体"/>
          <w:kern w:val="0"/>
          <w:sz w:val="24"/>
          <w:szCs w:val="24"/>
        </w:rPr>
      </w:pPr>
      <w:r w:rsidRPr="00734FB9">
        <w:rPr>
          <w:rFonts w:ascii="微软雅黑" w:eastAsia="微软雅黑" w:hAnsi="微软雅黑" w:cs="宋体"/>
          <w:kern w:val="0"/>
          <w:sz w:val="24"/>
          <w:szCs w:val="24"/>
        </w:rPr>
        <w:t>CDK4/6抑制剂耐药后的治疗方案仍然是科学家们研究的重点。目前，对于使用CDK4/6抑制剂的患者而言，延缓耐药性的出现更为重要。例如，应尽可能将CDK4/6抑制剂作为二线治疗方案，从而避免早期获得性耐药的发生。联合靶</w:t>
      </w:r>
      <w:proofErr w:type="gramStart"/>
      <w:r w:rsidRPr="00734FB9">
        <w:rPr>
          <w:rFonts w:ascii="微软雅黑" w:eastAsia="微软雅黑" w:hAnsi="微软雅黑" w:cs="宋体"/>
          <w:kern w:val="0"/>
          <w:sz w:val="24"/>
          <w:szCs w:val="24"/>
        </w:rPr>
        <w:t>向治疗</w:t>
      </w:r>
      <w:proofErr w:type="gramEnd"/>
      <w:r w:rsidRPr="00734FB9">
        <w:rPr>
          <w:rFonts w:ascii="微软雅黑" w:eastAsia="微软雅黑" w:hAnsi="微软雅黑" w:cs="宋体"/>
          <w:kern w:val="0"/>
          <w:sz w:val="24"/>
          <w:szCs w:val="24"/>
        </w:rPr>
        <w:t>也是临床上常用的联合治疗方案，有助于延缓耐药性的出现。然而，这还取决于疾病的进展情况。如果疾病进展迅速，可能需要加快CDK4/6抑制剂的使用以控制病情。因此，为了更准确地确定CDK4/6抑制剂的耐药机制，并寻找克服CDK4/6抑制剂耐药性的新靶点，还需要开展进一步的探索性研究和临床验证。</w:t>
      </w:r>
    </w:p>
    <w:p w14:paraId="582CF90F" w14:textId="77777777" w:rsidR="005A63FA" w:rsidRPr="00EC5263" w:rsidRDefault="005A63FA" w:rsidP="00734FB9">
      <w:pPr>
        <w:rPr>
          <w:rFonts w:ascii="微软雅黑" w:eastAsia="微软雅黑" w:hAnsi="微软雅黑"/>
        </w:rPr>
      </w:pPr>
    </w:p>
    <w:sectPr w:rsidR="005A63FA" w:rsidRPr="00EC5263">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92F70"/>
    <w:multiLevelType w:val="multilevel"/>
    <w:tmpl w:val="1EE6D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3FA"/>
    <w:rsid w:val="005A63FA"/>
    <w:rsid w:val="00734FB9"/>
    <w:rsid w:val="00EC52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64228"/>
  <w15:chartTrackingRefBased/>
  <w15:docId w15:val="{A4862E80-C2D3-4AD0-A963-46BFA2668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734FB9"/>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734FB9"/>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734FB9"/>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734FB9"/>
    <w:pPr>
      <w:widowControl/>
      <w:spacing w:before="100" w:beforeAutospacing="1" w:after="100" w:afterAutospacing="1"/>
      <w:jc w:val="left"/>
      <w:outlineLvl w:val="3"/>
    </w:pPr>
    <w:rPr>
      <w:rFonts w:ascii="宋体" w:eastAsia="宋体" w:hAnsi="宋体" w:cs="宋体"/>
      <w:b/>
      <w:bCs/>
      <w:kern w:val="0"/>
      <w:sz w:val="24"/>
      <w:szCs w:val="24"/>
    </w:rPr>
  </w:style>
  <w:style w:type="paragraph" w:styleId="5">
    <w:name w:val="heading 5"/>
    <w:basedOn w:val="a"/>
    <w:link w:val="50"/>
    <w:uiPriority w:val="9"/>
    <w:qFormat/>
    <w:rsid w:val="00734FB9"/>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34FB9"/>
    <w:rPr>
      <w:rFonts w:ascii="宋体" w:eastAsia="宋体" w:hAnsi="宋体" w:cs="宋体"/>
      <w:b/>
      <w:bCs/>
      <w:kern w:val="36"/>
      <w:sz w:val="48"/>
      <w:szCs w:val="48"/>
    </w:rPr>
  </w:style>
  <w:style w:type="character" w:customStyle="1" w:styleId="20">
    <w:name w:val="标题 2 字符"/>
    <w:basedOn w:val="a0"/>
    <w:link w:val="2"/>
    <w:uiPriority w:val="9"/>
    <w:rsid w:val="00734FB9"/>
    <w:rPr>
      <w:rFonts w:ascii="宋体" w:eastAsia="宋体" w:hAnsi="宋体" w:cs="宋体"/>
      <w:b/>
      <w:bCs/>
      <w:kern w:val="0"/>
      <w:sz w:val="36"/>
      <w:szCs w:val="36"/>
    </w:rPr>
  </w:style>
  <w:style w:type="character" w:customStyle="1" w:styleId="30">
    <w:name w:val="标题 3 字符"/>
    <w:basedOn w:val="a0"/>
    <w:link w:val="3"/>
    <w:uiPriority w:val="9"/>
    <w:rsid w:val="00734FB9"/>
    <w:rPr>
      <w:rFonts w:ascii="宋体" w:eastAsia="宋体" w:hAnsi="宋体" w:cs="宋体"/>
      <w:b/>
      <w:bCs/>
      <w:kern w:val="0"/>
      <w:sz w:val="27"/>
      <w:szCs w:val="27"/>
    </w:rPr>
  </w:style>
  <w:style w:type="character" w:customStyle="1" w:styleId="40">
    <w:name w:val="标题 4 字符"/>
    <w:basedOn w:val="a0"/>
    <w:link w:val="4"/>
    <w:uiPriority w:val="9"/>
    <w:rsid w:val="00734FB9"/>
    <w:rPr>
      <w:rFonts w:ascii="宋体" w:eastAsia="宋体" w:hAnsi="宋体" w:cs="宋体"/>
      <w:b/>
      <w:bCs/>
      <w:kern w:val="0"/>
      <w:sz w:val="24"/>
      <w:szCs w:val="24"/>
    </w:rPr>
  </w:style>
  <w:style w:type="character" w:customStyle="1" w:styleId="50">
    <w:name w:val="标题 5 字符"/>
    <w:basedOn w:val="a0"/>
    <w:link w:val="5"/>
    <w:uiPriority w:val="9"/>
    <w:rsid w:val="00734FB9"/>
    <w:rPr>
      <w:rFonts w:ascii="宋体" w:eastAsia="宋体" w:hAnsi="宋体" w:cs="宋体"/>
      <w:b/>
      <w:bCs/>
      <w:kern w:val="0"/>
      <w:sz w:val="20"/>
      <w:szCs w:val="20"/>
    </w:rPr>
  </w:style>
  <w:style w:type="paragraph" w:customStyle="1" w:styleId="msonormal0">
    <w:name w:val="msonormal"/>
    <w:basedOn w:val="a"/>
    <w:rsid w:val="00734FB9"/>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734FB9"/>
    <w:rPr>
      <w:color w:val="0000FF"/>
      <w:u w:val="single"/>
    </w:rPr>
  </w:style>
  <w:style w:type="character" w:styleId="a4">
    <w:name w:val="FollowedHyperlink"/>
    <w:basedOn w:val="a0"/>
    <w:uiPriority w:val="99"/>
    <w:semiHidden/>
    <w:unhideWhenUsed/>
    <w:rsid w:val="00734FB9"/>
    <w:rPr>
      <w:color w:val="800080"/>
      <w:u w:val="single"/>
    </w:rPr>
  </w:style>
  <w:style w:type="character" w:customStyle="1" w:styleId="name">
    <w:name w:val="name"/>
    <w:basedOn w:val="a0"/>
    <w:rsid w:val="00734FB9"/>
  </w:style>
  <w:style w:type="paragraph" w:styleId="a5">
    <w:name w:val="Normal (Web)"/>
    <w:basedOn w:val="a"/>
    <w:uiPriority w:val="99"/>
    <w:semiHidden/>
    <w:unhideWhenUsed/>
    <w:rsid w:val="00734FB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34FB9"/>
    <w:rPr>
      <w:b/>
      <w:bCs/>
    </w:rPr>
  </w:style>
  <w:style w:type="paragraph" w:customStyle="1" w:styleId="img-box">
    <w:name w:val="img-box"/>
    <w:basedOn w:val="a"/>
    <w:rsid w:val="00734FB9"/>
    <w:pPr>
      <w:widowControl/>
      <w:spacing w:before="100" w:beforeAutospacing="1" w:after="100" w:afterAutospacing="1"/>
      <w:jc w:val="left"/>
    </w:pPr>
    <w:rPr>
      <w:rFonts w:ascii="宋体" w:eastAsia="宋体" w:hAnsi="宋体" w:cs="宋体"/>
      <w:kern w:val="0"/>
      <w:sz w:val="24"/>
      <w:szCs w:val="24"/>
    </w:rPr>
  </w:style>
  <w:style w:type="character" w:styleId="a7">
    <w:name w:val="Emphasis"/>
    <w:basedOn w:val="a0"/>
    <w:uiPriority w:val="20"/>
    <w:qFormat/>
    <w:rsid w:val="00734FB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1023673">
      <w:bodyDiv w:val="1"/>
      <w:marLeft w:val="0"/>
      <w:marRight w:val="0"/>
      <w:marTop w:val="0"/>
      <w:marBottom w:val="0"/>
      <w:divBdr>
        <w:top w:val="none" w:sz="0" w:space="0" w:color="auto"/>
        <w:left w:val="none" w:sz="0" w:space="0" w:color="auto"/>
        <w:bottom w:val="none" w:sz="0" w:space="0" w:color="auto"/>
        <w:right w:val="none" w:sz="0" w:space="0" w:color="auto"/>
      </w:divBdr>
      <w:divsChild>
        <w:div w:id="1739325882">
          <w:marLeft w:val="0"/>
          <w:marRight w:val="0"/>
          <w:marTop w:val="0"/>
          <w:marBottom w:val="0"/>
          <w:divBdr>
            <w:top w:val="none" w:sz="0" w:space="0" w:color="auto"/>
            <w:left w:val="none" w:sz="0" w:space="0" w:color="auto"/>
            <w:bottom w:val="none" w:sz="0" w:space="0" w:color="auto"/>
            <w:right w:val="none" w:sz="0" w:space="0" w:color="auto"/>
          </w:divBdr>
          <w:divsChild>
            <w:div w:id="1677268337">
              <w:marLeft w:val="0"/>
              <w:marRight w:val="0"/>
              <w:marTop w:val="225"/>
              <w:marBottom w:val="0"/>
              <w:divBdr>
                <w:top w:val="none" w:sz="0" w:space="0" w:color="auto"/>
                <w:left w:val="none" w:sz="0" w:space="0" w:color="auto"/>
                <w:bottom w:val="none" w:sz="0" w:space="0" w:color="auto"/>
                <w:right w:val="none" w:sz="0" w:space="0" w:color="auto"/>
              </w:divBdr>
            </w:div>
            <w:div w:id="51661925">
              <w:marLeft w:val="0"/>
              <w:marRight w:val="0"/>
              <w:marTop w:val="0"/>
              <w:marBottom w:val="0"/>
              <w:divBdr>
                <w:top w:val="none" w:sz="0" w:space="0" w:color="auto"/>
                <w:left w:val="none" w:sz="0" w:space="0" w:color="auto"/>
                <w:bottom w:val="none" w:sz="0" w:space="0" w:color="auto"/>
                <w:right w:val="none" w:sz="0" w:space="0" w:color="auto"/>
              </w:divBdr>
            </w:div>
          </w:divsChild>
        </w:div>
        <w:div w:id="849219625">
          <w:marLeft w:val="0"/>
          <w:marRight w:val="0"/>
          <w:marTop w:val="450"/>
          <w:marBottom w:val="0"/>
          <w:divBdr>
            <w:top w:val="none" w:sz="0" w:space="0" w:color="auto"/>
            <w:left w:val="none" w:sz="0" w:space="0" w:color="auto"/>
            <w:bottom w:val="none" w:sz="0" w:space="0" w:color="auto"/>
            <w:right w:val="none" w:sz="0" w:space="0" w:color="auto"/>
          </w:divBdr>
        </w:div>
        <w:div w:id="1854954347">
          <w:marLeft w:val="0"/>
          <w:marRight w:val="0"/>
          <w:marTop w:val="450"/>
          <w:marBottom w:val="0"/>
          <w:divBdr>
            <w:top w:val="none" w:sz="0" w:space="0" w:color="auto"/>
            <w:left w:val="none" w:sz="0" w:space="0" w:color="auto"/>
            <w:bottom w:val="none" w:sz="0" w:space="0" w:color="auto"/>
            <w:right w:val="none" w:sz="0" w:space="0" w:color="auto"/>
          </w:divBdr>
        </w:div>
        <w:div w:id="1119370781">
          <w:marLeft w:val="0"/>
          <w:marRight w:val="0"/>
          <w:marTop w:val="450"/>
          <w:marBottom w:val="0"/>
          <w:divBdr>
            <w:top w:val="none" w:sz="0" w:space="0" w:color="auto"/>
            <w:left w:val="none" w:sz="0" w:space="0" w:color="auto"/>
            <w:bottom w:val="none" w:sz="0" w:space="0" w:color="auto"/>
            <w:right w:val="none" w:sz="0" w:space="0" w:color="auto"/>
          </w:divBdr>
        </w:div>
        <w:div w:id="572398359">
          <w:marLeft w:val="0"/>
          <w:marRight w:val="0"/>
          <w:marTop w:val="450"/>
          <w:marBottom w:val="0"/>
          <w:divBdr>
            <w:top w:val="none" w:sz="0" w:space="0" w:color="auto"/>
            <w:left w:val="none" w:sz="0" w:space="0" w:color="auto"/>
            <w:bottom w:val="none" w:sz="0" w:space="0" w:color="auto"/>
            <w:right w:val="none" w:sz="0" w:space="0" w:color="auto"/>
          </w:divBdr>
        </w:div>
        <w:div w:id="1272083539">
          <w:marLeft w:val="0"/>
          <w:marRight w:val="0"/>
          <w:marTop w:val="450"/>
          <w:marBottom w:val="0"/>
          <w:divBdr>
            <w:top w:val="none" w:sz="0" w:space="0" w:color="auto"/>
            <w:left w:val="none" w:sz="0" w:space="0" w:color="auto"/>
            <w:bottom w:val="none" w:sz="0" w:space="0" w:color="auto"/>
            <w:right w:val="none" w:sz="0" w:space="0" w:color="auto"/>
          </w:divBdr>
        </w:div>
        <w:div w:id="722870237">
          <w:marLeft w:val="0"/>
          <w:marRight w:val="0"/>
          <w:marTop w:val="450"/>
          <w:marBottom w:val="0"/>
          <w:divBdr>
            <w:top w:val="none" w:sz="0" w:space="0" w:color="auto"/>
            <w:left w:val="none" w:sz="0" w:space="0" w:color="auto"/>
            <w:bottom w:val="none" w:sz="0" w:space="0" w:color="auto"/>
            <w:right w:val="none" w:sz="0" w:space="0" w:color="auto"/>
          </w:divBdr>
          <w:divsChild>
            <w:div w:id="975331509">
              <w:marLeft w:val="0"/>
              <w:marRight w:val="0"/>
              <w:marTop w:val="0"/>
              <w:marBottom w:val="0"/>
              <w:divBdr>
                <w:top w:val="none" w:sz="0" w:space="0" w:color="auto"/>
                <w:left w:val="none" w:sz="0" w:space="0" w:color="auto"/>
                <w:bottom w:val="none" w:sz="0" w:space="0" w:color="auto"/>
                <w:right w:val="none" w:sz="0" w:space="0" w:color="auto"/>
              </w:divBdr>
            </w:div>
          </w:divsChild>
        </w:div>
        <w:div w:id="1846363157">
          <w:marLeft w:val="0"/>
          <w:marRight w:val="0"/>
          <w:marTop w:val="450"/>
          <w:marBottom w:val="0"/>
          <w:divBdr>
            <w:top w:val="none" w:sz="0" w:space="0" w:color="auto"/>
            <w:left w:val="none" w:sz="0" w:space="0" w:color="auto"/>
            <w:bottom w:val="none" w:sz="0" w:space="0" w:color="auto"/>
            <w:right w:val="none" w:sz="0" w:space="0" w:color="auto"/>
          </w:divBdr>
        </w:div>
        <w:div w:id="1673991859">
          <w:marLeft w:val="0"/>
          <w:marRight w:val="0"/>
          <w:marTop w:val="450"/>
          <w:marBottom w:val="0"/>
          <w:divBdr>
            <w:top w:val="none" w:sz="0" w:space="0" w:color="auto"/>
            <w:left w:val="none" w:sz="0" w:space="0" w:color="auto"/>
            <w:bottom w:val="none" w:sz="0" w:space="0" w:color="auto"/>
            <w:right w:val="none" w:sz="0" w:space="0" w:color="auto"/>
          </w:divBdr>
        </w:div>
        <w:div w:id="1317107290">
          <w:marLeft w:val="0"/>
          <w:marRight w:val="0"/>
          <w:marTop w:val="450"/>
          <w:marBottom w:val="0"/>
          <w:divBdr>
            <w:top w:val="none" w:sz="0" w:space="0" w:color="auto"/>
            <w:left w:val="none" w:sz="0" w:space="0" w:color="auto"/>
            <w:bottom w:val="none" w:sz="0" w:space="0" w:color="auto"/>
            <w:right w:val="none" w:sz="0" w:space="0" w:color="auto"/>
          </w:divBdr>
        </w:div>
        <w:div w:id="2100329205">
          <w:marLeft w:val="0"/>
          <w:marRight w:val="0"/>
          <w:marTop w:val="450"/>
          <w:marBottom w:val="0"/>
          <w:divBdr>
            <w:top w:val="none" w:sz="0" w:space="0" w:color="auto"/>
            <w:left w:val="none" w:sz="0" w:space="0" w:color="auto"/>
            <w:bottom w:val="none" w:sz="0" w:space="0" w:color="auto"/>
            <w:right w:val="none" w:sz="0" w:space="0" w:color="auto"/>
          </w:divBdr>
        </w:div>
        <w:div w:id="1789427702">
          <w:marLeft w:val="0"/>
          <w:marRight w:val="0"/>
          <w:marTop w:val="450"/>
          <w:marBottom w:val="0"/>
          <w:divBdr>
            <w:top w:val="none" w:sz="0" w:space="0" w:color="auto"/>
            <w:left w:val="none" w:sz="0" w:space="0" w:color="auto"/>
            <w:bottom w:val="none" w:sz="0" w:space="0" w:color="auto"/>
            <w:right w:val="none" w:sz="0" w:space="0" w:color="auto"/>
          </w:divBdr>
        </w:div>
        <w:div w:id="874583642">
          <w:marLeft w:val="0"/>
          <w:marRight w:val="0"/>
          <w:marTop w:val="450"/>
          <w:marBottom w:val="0"/>
          <w:divBdr>
            <w:top w:val="none" w:sz="0" w:space="0" w:color="auto"/>
            <w:left w:val="none" w:sz="0" w:space="0" w:color="auto"/>
            <w:bottom w:val="none" w:sz="0" w:space="0" w:color="auto"/>
            <w:right w:val="none" w:sz="0" w:space="0" w:color="auto"/>
          </w:divBdr>
        </w:div>
        <w:div w:id="12389315">
          <w:marLeft w:val="0"/>
          <w:marRight w:val="0"/>
          <w:marTop w:val="450"/>
          <w:marBottom w:val="0"/>
          <w:divBdr>
            <w:top w:val="none" w:sz="0" w:space="0" w:color="auto"/>
            <w:left w:val="none" w:sz="0" w:space="0" w:color="auto"/>
            <w:bottom w:val="none" w:sz="0" w:space="0" w:color="auto"/>
            <w:right w:val="none" w:sz="0" w:space="0" w:color="auto"/>
          </w:divBdr>
          <w:divsChild>
            <w:div w:id="6757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linicaltrials.gov/ct2/show/NCT01958021" TargetMode="External"/><Relationship Id="rId21" Type="http://schemas.openxmlformats.org/officeDocument/2006/relationships/hyperlink" Target="https://pmc.ncbi.nlm.nih.gov/articles/PMC9448295/" TargetMode="External"/><Relationship Id="rId42" Type="http://schemas.openxmlformats.org/officeDocument/2006/relationships/hyperlink" Target="https://pmc.ncbi.nlm.nih.gov/articles/PMC9448295/" TargetMode="External"/><Relationship Id="rId47" Type="http://schemas.openxmlformats.org/officeDocument/2006/relationships/hyperlink" Target="https://pmc.ncbi.nlm.nih.gov/articles/PMC9448295/" TargetMode="External"/><Relationship Id="rId63" Type="http://schemas.openxmlformats.org/officeDocument/2006/relationships/image" Target="media/image4.jpeg"/><Relationship Id="rId68" Type="http://schemas.openxmlformats.org/officeDocument/2006/relationships/hyperlink" Target="https://pmc.ncbi.nlm.nih.gov/articles/PMC9448295/" TargetMode="External"/><Relationship Id="rId84" Type="http://schemas.openxmlformats.org/officeDocument/2006/relationships/hyperlink" Target="https://clinicaltrials.gov/ct2/show/NCT00863655" TargetMode="External"/><Relationship Id="rId89" Type="http://schemas.openxmlformats.org/officeDocument/2006/relationships/hyperlink" Target="https://pmc.ncbi.nlm.nih.gov/articles/PMC9448295/" TargetMode="External"/><Relationship Id="rId112" Type="http://schemas.openxmlformats.org/officeDocument/2006/relationships/hyperlink" Target="https://clinicaltrials.gov/ct2/show/NCT03901339" TargetMode="External"/><Relationship Id="rId16" Type="http://schemas.openxmlformats.org/officeDocument/2006/relationships/hyperlink" Target="https://pmc.ncbi.nlm.nih.gov/articles/PMC9448295/" TargetMode="External"/><Relationship Id="rId107" Type="http://schemas.openxmlformats.org/officeDocument/2006/relationships/hyperlink" Target="https://clinicaltrials.gov/ct2/show/NCT03147287" TargetMode="External"/><Relationship Id="rId11" Type="http://schemas.openxmlformats.org/officeDocument/2006/relationships/hyperlink" Target="https://www.ncbi.nlm.nih.gov/core/lw/2.0/html/tileshop_pmc/tileshop_pmc_inline.html?title=Click%20on%20image%20to%20zoom&amp;p=PMC3&amp;id=9448295_IJMM-50-4-05184-g00.jpg" TargetMode="External"/><Relationship Id="rId32" Type="http://schemas.openxmlformats.org/officeDocument/2006/relationships/hyperlink" Target="https://clinicaltrials.gov/ct2/show/NCT02763566" TargetMode="External"/><Relationship Id="rId37" Type="http://schemas.openxmlformats.org/officeDocument/2006/relationships/hyperlink" Target="https://pmc.ncbi.nlm.nih.gov/articles/PMC9448295/" TargetMode="External"/><Relationship Id="rId53" Type="http://schemas.openxmlformats.org/officeDocument/2006/relationships/hyperlink" Target="https://pmc.ncbi.nlm.nih.gov/articles/PMC9448295/" TargetMode="External"/><Relationship Id="rId58" Type="http://schemas.openxmlformats.org/officeDocument/2006/relationships/hyperlink" Target="https://pmc.ncbi.nlm.nih.gov/articles/PMC9448295/" TargetMode="External"/><Relationship Id="rId74" Type="http://schemas.openxmlformats.org/officeDocument/2006/relationships/hyperlink" Target="https://pmc.ncbi.nlm.nih.gov/articles/PMC9448295/" TargetMode="External"/><Relationship Id="rId79" Type="http://schemas.openxmlformats.org/officeDocument/2006/relationships/hyperlink" Target="https://pmc.ncbi.nlm.nih.gov/articles/PMC9448295/" TargetMode="External"/><Relationship Id="rId102" Type="http://schemas.openxmlformats.org/officeDocument/2006/relationships/hyperlink" Target="https://pmc.ncbi.nlm.nih.gov/articles/PMC9448295/" TargetMode="External"/><Relationship Id="rId5" Type="http://schemas.openxmlformats.org/officeDocument/2006/relationships/hyperlink" Target="https://pmc.ncbi.nlm.nih.gov/articles/PMC9448295/" TargetMode="External"/><Relationship Id="rId90" Type="http://schemas.openxmlformats.org/officeDocument/2006/relationships/hyperlink" Target="https://pmc.ncbi.nlm.nih.gov/articles/PMC9448295/" TargetMode="External"/><Relationship Id="rId95" Type="http://schemas.openxmlformats.org/officeDocument/2006/relationships/hyperlink" Target="https://pmc.ncbi.nlm.nih.gov/articles/PMC9448295/" TargetMode="External"/><Relationship Id="rId22" Type="http://schemas.openxmlformats.org/officeDocument/2006/relationships/hyperlink" Target="https://clinicaltrials.gov/ct2/show/NCT00721409" TargetMode="External"/><Relationship Id="rId27" Type="http://schemas.openxmlformats.org/officeDocument/2006/relationships/hyperlink" Target="https://clinicaltrials.gov/ct2/show/NCT02422615" TargetMode="External"/><Relationship Id="rId43" Type="http://schemas.openxmlformats.org/officeDocument/2006/relationships/hyperlink" Target="https://pmc.ncbi.nlm.nih.gov/articles/PMC9448295/" TargetMode="External"/><Relationship Id="rId48" Type="http://schemas.openxmlformats.org/officeDocument/2006/relationships/hyperlink" Target="https://pmc.ncbi.nlm.nih.gov/articles/PMC9448295/" TargetMode="External"/><Relationship Id="rId64" Type="http://schemas.openxmlformats.org/officeDocument/2006/relationships/hyperlink" Target="https://pmc.ncbi.nlm.nih.gov/articles/PMC9448295/" TargetMode="External"/><Relationship Id="rId69" Type="http://schemas.openxmlformats.org/officeDocument/2006/relationships/hyperlink" Target="https://pmc.ncbi.nlm.nih.gov/articles/PMC9448295/" TargetMode="External"/><Relationship Id="rId113" Type="http://schemas.openxmlformats.org/officeDocument/2006/relationships/hyperlink" Target="https://clinicaltrials.gov/ct2/show/NCT04134884" TargetMode="External"/><Relationship Id="rId80" Type="http://schemas.openxmlformats.org/officeDocument/2006/relationships/hyperlink" Target="https://pmc.ncbi.nlm.nih.gov/articles/PMC9448295/" TargetMode="External"/><Relationship Id="rId85" Type="http://schemas.openxmlformats.org/officeDocument/2006/relationships/hyperlink" Target="https://clinicaltrials.gov/ct2/show/NCT02482753" TargetMode="External"/><Relationship Id="rId12" Type="http://schemas.openxmlformats.org/officeDocument/2006/relationships/image" Target="media/image1.jpeg"/><Relationship Id="rId17" Type="http://schemas.openxmlformats.org/officeDocument/2006/relationships/hyperlink" Target="https://pmc.ncbi.nlm.nih.gov/articles/PMC9448295/" TargetMode="External"/><Relationship Id="rId33" Type="http://schemas.openxmlformats.org/officeDocument/2006/relationships/hyperlink" Target="https://clinicaltrials.gov/ct2/show/NCT03927456" TargetMode="External"/><Relationship Id="rId38" Type="http://schemas.openxmlformats.org/officeDocument/2006/relationships/hyperlink" Target="https://pmc.ncbi.nlm.nih.gov/articles/PMC9448295/" TargetMode="External"/><Relationship Id="rId59" Type="http://schemas.openxmlformats.org/officeDocument/2006/relationships/hyperlink" Target="https://pmc.ncbi.nlm.nih.gov/articles/PMC9448295/" TargetMode="External"/><Relationship Id="rId103" Type="http://schemas.openxmlformats.org/officeDocument/2006/relationships/hyperlink" Target="https://pmc.ncbi.nlm.nih.gov/articles/PMC9448295/" TargetMode="External"/><Relationship Id="rId108" Type="http://schemas.openxmlformats.org/officeDocument/2006/relationships/hyperlink" Target="https://pmc.ncbi.nlm.nih.gov/articles/PMC9448295/" TargetMode="External"/><Relationship Id="rId54" Type="http://schemas.openxmlformats.org/officeDocument/2006/relationships/hyperlink" Target="https://pmc.ncbi.nlm.nih.gov/articles/PMC9448295/" TargetMode="External"/><Relationship Id="rId70" Type="http://schemas.openxmlformats.org/officeDocument/2006/relationships/hyperlink" Target="https://pmc.ncbi.nlm.nih.gov/articles/PMC9448295/" TargetMode="External"/><Relationship Id="rId75" Type="http://schemas.openxmlformats.org/officeDocument/2006/relationships/hyperlink" Target="https://pmc.ncbi.nlm.nih.gov/articles/PMC9448295/" TargetMode="External"/><Relationship Id="rId91" Type="http://schemas.openxmlformats.org/officeDocument/2006/relationships/hyperlink" Target="https://pmc.ncbi.nlm.nih.gov/articles/PMC9448295/" TargetMode="External"/><Relationship Id="rId96" Type="http://schemas.openxmlformats.org/officeDocument/2006/relationships/hyperlink" Target="https://pmc.ncbi.nlm.nih.gov/articles/PMC9448295/" TargetMode="External"/><Relationship Id="rId1" Type="http://schemas.openxmlformats.org/officeDocument/2006/relationships/numbering" Target="numbering.xml"/><Relationship Id="rId6" Type="http://schemas.openxmlformats.org/officeDocument/2006/relationships/hyperlink" Target="https://pmc.ncbi.nlm.nih.gov/articles/PMC9448295/" TargetMode="External"/><Relationship Id="rId15" Type="http://schemas.openxmlformats.org/officeDocument/2006/relationships/image" Target="media/image2.jpeg"/><Relationship Id="rId23" Type="http://schemas.openxmlformats.org/officeDocument/2006/relationships/hyperlink" Target="https://clinicaltrials.gov/ct2/show/NCT01740427" TargetMode="External"/><Relationship Id="rId28" Type="http://schemas.openxmlformats.org/officeDocument/2006/relationships/hyperlink" Target="https://clinicaltrials.gov/ct2/show/NCT02278120" TargetMode="External"/><Relationship Id="rId36" Type="http://schemas.openxmlformats.org/officeDocument/2006/relationships/image" Target="media/image3.jpeg"/><Relationship Id="rId49" Type="http://schemas.openxmlformats.org/officeDocument/2006/relationships/hyperlink" Target="https://pmc.ncbi.nlm.nih.gov/articles/PMC9448295/" TargetMode="External"/><Relationship Id="rId57" Type="http://schemas.openxmlformats.org/officeDocument/2006/relationships/hyperlink" Target="https://pmc.ncbi.nlm.nih.gov/articles/PMC9448295/" TargetMode="External"/><Relationship Id="rId106" Type="http://schemas.openxmlformats.org/officeDocument/2006/relationships/hyperlink" Target="https://clinicaltrials.gov/ct2/show/NCT02779751" TargetMode="External"/><Relationship Id="rId114" Type="http://schemas.openxmlformats.org/officeDocument/2006/relationships/hyperlink" Target="https://pmc.ncbi.nlm.nih.gov/articles/PMC9448295/" TargetMode="External"/><Relationship Id="rId10" Type="http://schemas.openxmlformats.org/officeDocument/2006/relationships/hyperlink" Target="https://pmc.ncbi.nlm.nih.gov/articles/PMC9448295/" TargetMode="External"/><Relationship Id="rId31" Type="http://schemas.openxmlformats.org/officeDocument/2006/relationships/hyperlink" Target="https://clinicaltrials.gov/ct2/show/NCT02246621" TargetMode="External"/><Relationship Id="rId44" Type="http://schemas.openxmlformats.org/officeDocument/2006/relationships/hyperlink" Target="https://pmc.ncbi.nlm.nih.gov/articles/PMC9448295/" TargetMode="External"/><Relationship Id="rId52" Type="http://schemas.openxmlformats.org/officeDocument/2006/relationships/hyperlink" Target="https://pmc.ncbi.nlm.nih.gov/articles/PMC9448295/" TargetMode="External"/><Relationship Id="rId60" Type="http://schemas.openxmlformats.org/officeDocument/2006/relationships/hyperlink" Target="https://pmc.ncbi.nlm.nih.gov/articles/PMC9448295/" TargetMode="External"/><Relationship Id="rId65" Type="http://schemas.openxmlformats.org/officeDocument/2006/relationships/hyperlink" Target="https://pmc.ncbi.nlm.nih.gov/articles/PMC9448295/" TargetMode="External"/><Relationship Id="rId73" Type="http://schemas.openxmlformats.org/officeDocument/2006/relationships/image" Target="media/image5.jpeg"/><Relationship Id="rId78" Type="http://schemas.openxmlformats.org/officeDocument/2006/relationships/hyperlink" Target="https://pmc.ncbi.nlm.nih.gov/articles/PMC9448295/" TargetMode="External"/><Relationship Id="rId81" Type="http://schemas.openxmlformats.org/officeDocument/2006/relationships/hyperlink" Target="https://clinicaltrials.gov/ct2/show/NCT02632045" TargetMode="External"/><Relationship Id="rId86" Type="http://schemas.openxmlformats.org/officeDocument/2006/relationships/hyperlink" Target="https://clinicaltrials.gov/ct2/show/NCT03584009" TargetMode="External"/><Relationship Id="rId94" Type="http://schemas.openxmlformats.org/officeDocument/2006/relationships/hyperlink" Target="https://pmc.ncbi.nlm.nih.gov/articles/PMC9448295/" TargetMode="External"/><Relationship Id="rId99" Type="http://schemas.openxmlformats.org/officeDocument/2006/relationships/hyperlink" Target="https://pmc.ncbi.nlm.nih.gov/articles/PMC9448295/" TargetMode="External"/><Relationship Id="rId101" Type="http://schemas.openxmlformats.org/officeDocument/2006/relationships/hyperlink" Target="https://clinicaltrials.gov/ct2/show/NCT03584009" TargetMode="External"/><Relationship Id="rId4" Type="http://schemas.openxmlformats.org/officeDocument/2006/relationships/webSettings" Target="webSettings.xml"/><Relationship Id="rId9" Type="http://schemas.openxmlformats.org/officeDocument/2006/relationships/hyperlink" Target="https://pmc.ncbi.nlm.nih.gov/articles/PMC9448295/" TargetMode="External"/><Relationship Id="rId13" Type="http://schemas.openxmlformats.org/officeDocument/2006/relationships/hyperlink" Target="https://pmc.ncbi.nlm.nih.gov/articles/PMC9448295/" TargetMode="External"/><Relationship Id="rId18" Type="http://schemas.openxmlformats.org/officeDocument/2006/relationships/hyperlink" Target="https://pmc.ncbi.nlm.nih.gov/articles/PMC9448295/" TargetMode="External"/><Relationship Id="rId39" Type="http://schemas.openxmlformats.org/officeDocument/2006/relationships/hyperlink" Target="https://pmc.ncbi.nlm.nih.gov/articles/PMC9448295/" TargetMode="External"/><Relationship Id="rId109" Type="http://schemas.openxmlformats.org/officeDocument/2006/relationships/hyperlink" Target="https://pmc.ncbi.nlm.nih.gov/articles/PMC9448295/" TargetMode="External"/><Relationship Id="rId34" Type="http://schemas.openxmlformats.org/officeDocument/2006/relationships/hyperlink" Target="https://pmc.ncbi.nlm.nih.gov/articles/PMC9448295/" TargetMode="External"/><Relationship Id="rId50" Type="http://schemas.openxmlformats.org/officeDocument/2006/relationships/hyperlink" Target="https://pmc.ncbi.nlm.nih.gov/articles/PMC9448295/" TargetMode="External"/><Relationship Id="rId55" Type="http://schemas.openxmlformats.org/officeDocument/2006/relationships/hyperlink" Target="https://pmc.ncbi.nlm.nih.gov/articles/PMC9448295/" TargetMode="External"/><Relationship Id="rId76" Type="http://schemas.openxmlformats.org/officeDocument/2006/relationships/hyperlink" Target="https://pmc.ncbi.nlm.nih.gov/articles/PMC9448295/" TargetMode="External"/><Relationship Id="rId97" Type="http://schemas.openxmlformats.org/officeDocument/2006/relationships/hyperlink" Target="https://pmc.ncbi.nlm.nih.gov/articles/PMC9448295/" TargetMode="External"/><Relationship Id="rId104" Type="http://schemas.openxmlformats.org/officeDocument/2006/relationships/hyperlink" Target="https://pmc.ncbi.nlm.nih.gov/articles/PMC9448295/" TargetMode="External"/><Relationship Id="rId7" Type="http://schemas.openxmlformats.org/officeDocument/2006/relationships/hyperlink" Target="https://pmc.ncbi.nlm.nih.gov/articles/PMC9448295/" TargetMode="External"/><Relationship Id="rId71" Type="http://schemas.openxmlformats.org/officeDocument/2006/relationships/hyperlink" Target="https://pmc.ncbi.nlm.nih.gov/articles/PMC9448295/" TargetMode="External"/><Relationship Id="rId92" Type="http://schemas.openxmlformats.org/officeDocument/2006/relationships/hyperlink" Target="https://pmc.ncbi.nlm.nih.gov/articles/PMC9448295/" TargetMode="External"/><Relationship Id="rId2" Type="http://schemas.openxmlformats.org/officeDocument/2006/relationships/styles" Target="styles.xml"/><Relationship Id="rId29" Type="http://schemas.openxmlformats.org/officeDocument/2006/relationships/hyperlink" Target="https://clinicaltrials.gov/ct2/show/NCT02102490" TargetMode="External"/><Relationship Id="rId24" Type="http://schemas.openxmlformats.org/officeDocument/2006/relationships/hyperlink" Target="https://clinicaltrials.gov/ct2/show/NCT01942135" TargetMode="External"/><Relationship Id="rId40" Type="http://schemas.openxmlformats.org/officeDocument/2006/relationships/hyperlink" Target="https://pmc.ncbi.nlm.nih.gov/articles/PMC9448295/" TargetMode="External"/><Relationship Id="rId45" Type="http://schemas.openxmlformats.org/officeDocument/2006/relationships/hyperlink" Target="https://pmc.ncbi.nlm.nih.gov/articles/PMC9448295/" TargetMode="External"/><Relationship Id="rId66" Type="http://schemas.openxmlformats.org/officeDocument/2006/relationships/hyperlink" Target="https://pmc.ncbi.nlm.nih.gov/articles/PMC9448295/" TargetMode="External"/><Relationship Id="rId87" Type="http://schemas.openxmlformats.org/officeDocument/2006/relationships/hyperlink" Target="https://pmc.ncbi.nlm.nih.gov/articles/PMC9448295/" TargetMode="External"/><Relationship Id="rId110" Type="http://schemas.openxmlformats.org/officeDocument/2006/relationships/hyperlink" Target="https://pmc.ncbi.nlm.nih.gov/articles/PMC9448295/" TargetMode="External"/><Relationship Id="rId115" Type="http://schemas.openxmlformats.org/officeDocument/2006/relationships/fontTable" Target="fontTable.xml"/><Relationship Id="rId61" Type="http://schemas.openxmlformats.org/officeDocument/2006/relationships/hyperlink" Target="https://pmc.ncbi.nlm.nih.gov/articles/PMC9448295/" TargetMode="External"/><Relationship Id="rId82" Type="http://schemas.openxmlformats.org/officeDocument/2006/relationships/hyperlink" Target="https://clinicaltrials.gov/ct2/show/NCT02437318" TargetMode="External"/><Relationship Id="rId19" Type="http://schemas.openxmlformats.org/officeDocument/2006/relationships/hyperlink" Target="https://pmc.ncbi.nlm.nih.gov/articles/PMC9448295/" TargetMode="External"/><Relationship Id="rId14" Type="http://schemas.openxmlformats.org/officeDocument/2006/relationships/hyperlink" Target="https://pmc.ncbi.nlm.nih.gov/articles/PMC9448295/" TargetMode="External"/><Relationship Id="rId30" Type="http://schemas.openxmlformats.org/officeDocument/2006/relationships/hyperlink" Target="https://clinicaltrials.gov/ct2/show/NCT02107703" TargetMode="External"/><Relationship Id="rId35" Type="http://schemas.openxmlformats.org/officeDocument/2006/relationships/hyperlink" Target="https://www.ncbi.nlm.nih.gov/core/lw/2.0/html/tileshop_pmc/tileshop_pmc_inline.html?title=Click%20on%20image%20to%20zoom&amp;p=PMC3&amp;id=9448295_IJMM-50-4-05184-g02.jpg" TargetMode="External"/><Relationship Id="rId56" Type="http://schemas.openxmlformats.org/officeDocument/2006/relationships/hyperlink" Target="https://pmc.ncbi.nlm.nih.gov/articles/PMC9448295/" TargetMode="External"/><Relationship Id="rId77" Type="http://schemas.openxmlformats.org/officeDocument/2006/relationships/hyperlink" Target="https://pmc.ncbi.nlm.nih.gov/articles/PMC9448295/" TargetMode="External"/><Relationship Id="rId100" Type="http://schemas.openxmlformats.org/officeDocument/2006/relationships/hyperlink" Target="https://clinicaltrials.gov/ct2/show/NCT03900884" TargetMode="External"/><Relationship Id="rId105" Type="http://schemas.openxmlformats.org/officeDocument/2006/relationships/hyperlink" Target="https://pmc.ncbi.nlm.nih.gov/articles/PMC9448295/" TargetMode="External"/><Relationship Id="rId8" Type="http://schemas.openxmlformats.org/officeDocument/2006/relationships/hyperlink" Target="https://pmc.ncbi.nlm.nih.gov/articles/PMC9448295/" TargetMode="External"/><Relationship Id="rId51" Type="http://schemas.openxmlformats.org/officeDocument/2006/relationships/hyperlink" Target="https://pmc.ncbi.nlm.nih.gov/articles/PMC9448295/" TargetMode="External"/><Relationship Id="rId72" Type="http://schemas.openxmlformats.org/officeDocument/2006/relationships/hyperlink" Target="https://www.ncbi.nlm.nih.gov/core/lw/2.0/html/tileshop_pmc/tileshop_pmc_inline.html?title=Click%20on%20image%20to%20zoom&amp;p=PMC3&amp;id=9448295_IJMM-50-4-05184-g04.jpg" TargetMode="External"/><Relationship Id="rId93" Type="http://schemas.openxmlformats.org/officeDocument/2006/relationships/hyperlink" Target="https://pmc.ncbi.nlm.nih.gov/articles/PMC9448295/" TargetMode="External"/><Relationship Id="rId98" Type="http://schemas.openxmlformats.org/officeDocument/2006/relationships/hyperlink" Target="https://pmc.ncbi.nlm.nih.gov/articles/PMC9448295/" TargetMode="External"/><Relationship Id="rId3" Type="http://schemas.openxmlformats.org/officeDocument/2006/relationships/settings" Target="settings.xml"/><Relationship Id="rId25" Type="http://schemas.openxmlformats.org/officeDocument/2006/relationships/hyperlink" Target="https://clinicaltrials.gov/ct2/show/NCT02297438" TargetMode="External"/><Relationship Id="rId46" Type="http://schemas.openxmlformats.org/officeDocument/2006/relationships/hyperlink" Target="https://pmc.ncbi.nlm.nih.gov/articles/PMC9448295/" TargetMode="External"/><Relationship Id="rId67" Type="http://schemas.openxmlformats.org/officeDocument/2006/relationships/hyperlink" Target="https://pmc.ncbi.nlm.nih.gov/articles/PMC9448295/" TargetMode="External"/><Relationship Id="rId116" Type="http://schemas.openxmlformats.org/officeDocument/2006/relationships/theme" Target="theme/theme1.xml"/><Relationship Id="rId20" Type="http://schemas.openxmlformats.org/officeDocument/2006/relationships/hyperlink" Target="https://clinicaltrials.gov/ct2/show/NCT03481998" TargetMode="External"/><Relationship Id="rId41" Type="http://schemas.openxmlformats.org/officeDocument/2006/relationships/hyperlink" Target="https://pmc.ncbi.nlm.nih.gov/articles/PMC9448295/" TargetMode="External"/><Relationship Id="rId62" Type="http://schemas.openxmlformats.org/officeDocument/2006/relationships/hyperlink" Target="https://www.ncbi.nlm.nih.gov/core/lw/2.0/html/tileshop_pmc/tileshop_pmc_inline.html?title=Click%20on%20image%20to%20zoom&amp;p=PMC3&amp;id=9448295_IJMM-50-4-05184-g03.jpg" TargetMode="External"/><Relationship Id="rId83" Type="http://schemas.openxmlformats.org/officeDocument/2006/relationships/hyperlink" Target="https://clinicaltrials.gov/ct2/show/NCT03056755" TargetMode="External"/><Relationship Id="rId88" Type="http://schemas.openxmlformats.org/officeDocument/2006/relationships/hyperlink" Target="https://pmc.ncbi.nlm.nih.gov/articles/PMC9448295/" TargetMode="External"/><Relationship Id="rId111" Type="http://schemas.openxmlformats.org/officeDocument/2006/relationships/hyperlink" Target="https://clinicaltrials.gov/ct2/show/NCT0425116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27</Pages>
  <Words>4290</Words>
  <Characters>24454</Characters>
  <Application>Microsoft Office Word</Application>
  <DocSecurity>0</DocSecurity>
  <Lines>203</Lines>
  <Paragraphs>57</Paragraphs>
  <ScaleCrop>false</ScaleCrop>
  <Company/>
  <LinksUpToDate>false</LinksUpToDate>
  <CharactersWithSpaces>28687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3</cp:revision>
  <dcterms:created xsi:type="dcterms:W3CDTF">2025-12-19T09:31:00Z</dcterms:created>
  <dcterms:modified xsi:type="dcterms:W3CDTF">2025-12-19T09:37:00Z</dcterms:modified>
</cp:coreProperties>
</file>