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20478">
      <w:pPr>
        <w:rPr>
          <w:rFonts w:hint="eastAsia"/>
        </w:rPr>
      </w:pPr>
      <w:r>
        <w:rPr>
          <w:rFonts w:hint="eastAsia"/>
        </w:rPr>
        <w:t>斯泰度塔单抗注射液：破伤风预防的新曙光</w:t>
      </w:r>
    </w:p>
    <w:p w14:paraId="6B15F61E">
      <w:pPr>
        <w:rPr>
          <w:rFonts w:hint="eastAsia"/>
        </w:rPr>
      </w:pPr>
    </w:p>
    <w:p w14:paraId="1D8509CE">
      <w:pPr>
        <w:rPr>
          <w:rFonts w:hint="eastAsia"/>
        </w:rPr>
      </w:pPr>
      <w:r>
        <w:rPr>
          <w:rFonts w:hint="eastAsia"/>
        </w:rPr>
        <w:t>在医学的漫漫征途中，对抗疾病的每一次突破都如破晓之光，照亮人类健康前行的道路。斯泰度塔单抗注射液的出现，便是破伤风预防领域中这样一道璀璨的曙光，为成人破伤风紧急预防带来了全新的解决方案。</w:t>
      </w:r>
    </w:p>
    <w:p w14:paraId="664A6867">
      <w:pPr>
        <w:rPr>
          <w:rFonts w:hint="eastAsia"/>
        </w:rPr>
      </w:pPr>
    </w:p>
    <w:p w14:paraId="26BBB20D">
      <w:pPr>
        <w:rPr>
          <w:rFonts w:hint="eastAsia"/>
        </w:rPr>
      </w:pPr>
      <w:r>
        <w:rPr>
          <w:rFonts w:hint="eastAsia"/>
        </w:rPr>
        <w:t>破伤风，这个由破伤风梭状芽孢杆菌引发的疾病，在自然界中犹如隐匿的杀手。它广泛分布于土壤、灰尘、人或哺乳动物的肠道、粪便以及表皮等介质中，伺机而动，经外伤伤口或孕妇生产时的产道撕裂伤口等途径侵入人体。一旦发病，患者的预后往往较差，死亡率居高不下。重症患者会面临喉痉挛、窒息、肺部感染和器官功能衰竭等致命威胁，在无医疗干预的情况下，病死率近乎100%，即便经过积极综合治疗，全球平均病死率仍在30%-50%，新生儿及老年人的病死率更是高得惊人。因此，预防破伤风的发生成为医学领域的重要课题。</w:t>
      </w:r>
    </w:p>
    <w:p w14:paraId="51493576">
      <w:pPr>
        <w:rPr>
          <w:rFonts w:hint="eastAsia"/>
        </w:rPr>
      </w:pPr>
    </w:p>
    <w:p w14:paraId="305B4F6F">
      <w:pPr>
        <w:rPr>
          <w:rFonts w:hint="eastAsia"/>
        </w:rPr>
      </w:pPr>
      <w:r>
        <w:rPr>
          <w:rFonts w:hint="eastAsia"/>
        </w:rPr>
        <w:t>在斯泰度塔单抗注射液问世之前，破伤风被动免疫制剂主要依赖血液制品，如破伤风抗毒素（TAT）和破伤风人免疫球蛋白（HTIG）。然而，这些传统制剂存在着诸多局限性。TAT作为马血源性制品，过敏反应发生率在5% - 30%，使用前需进行皮试，给患者带来不便与痛苦；HTIG虽相对安全，但因制备依赖人的血浆，面临血浆供应限制和批间效价差异较大的问题，时常出现“一针难求”的困境。</w:t>
      </w:r>
    </w:p>
    <w:p w14:paraId="3EB94A8F">
      <w:pPr>
        <w:rPr>
          <w:rFonts w:hint="eastAsia"/>
        </w:rPr>
      </w:pPr>
    </w:p>
    <w:p w14:paraId="689C77AA">
      <w:pPr>
        <w:rPr>
          <w:rFonts w:hint="eastAsia"/>
        </w:rPr>
      </w:pPr>
      <w:r>
        <w:rPr>
          <w:rFonts w:hint="eastAsia"/>
        </w:rPr>
        <w:t>斯泰度塔单抗注射液的诞生，彻底打破了这一僵局。它是泰诺麦博自主开发的全球首款重组抗破伤风毒素单抗药物，采用基因工程技术，通过结合破伤风毒素的AB片段，阻断破伤风毒素的转运并抑制其对VAMP - 2（突触小泡缔合性膜蛋白）的酶切活性，从而起到被动免疫作用 。这一创新的作用机制，赋予了它诸多优势。</w:t>
      </w:r>
    </w:p>
    <w:p w14:paraId="532241E9">
      <w:pPr>
        <w:rPr>
          <w:rFonts w:hint="eastAsia"/>
        </w:rPr>
      </w:pPr>
    </w:p>
    <w:p w14:paraId="27F80E27">
      <w:pPr>
        <w:rPr>
          <w:rFonts w:hint="eastAsia"/>
        </w:rPr>
      </w:pPr>
      <w:r>
        <w:rPr>
          <w:rFonts w:hint="eastAsia"/>
        </w:rPr>
        <w:t>从临床数据来看，斯泰度塔单抗注射液表现卓越。成人受试者接受单次肌肉注射后，血清药物暴露量与剂量基本呈线性关系。在多中心、随机、双盲、平行、阳性对照的III期临床试验中，与传统的破伤风人免疫球蛋白相比，它能更快地达到具有保护作用的抗破伤风中和抗体水平，中和抗体的滴度水平更高，保护性中和抗体持续时间更长，能覆盖更长的潜伏期。给药后12小时，约95.4%的受试者达到中和抗体最低保护水平，抗破伤风中和抗体滴度≥0.01IU/mL的维持时间中位值为132天。</w:t>
      </w:r>
    </w:p>
    <w:p w14:paraId="67D82FC6">
      <w:pPr>
        <w:rPr>
          <w:rFonts w:hint="eastAsia"/>
        </w:rPr>
      </w:pPr>
    </w:p>
    <w:p w14:paraId="2A7E3033">
      <w:pPr>
        <w:rPr>
          <w:rFonts w:hint="eastAsia"/>
        </w:rPr>
      </w:pPr>
      <w:r>
        <w:rPr>
          <w:rFonts w:hint="eastAsia"/>
        </w:rPr>
        <w:t>在使用便利性上，斯泰度塔单抗注射液同样表现出色。它供臀部肌内注射，不得用作静脉注射，使用前无需做皮试，成人单次使用剂量为10mg，无需区分体重和伤口大小，一针一次给药，即可达到全程保护。门诊患者无需留观，大大节省了时间和医疗资源，提高了患者的依从性。</w:t>
      </w:r>
    </w:p>
    <w:p w14:paraId="7B2B31C2">
      <w:pPr>
        <w:rPr>
          <w:rFonts w:hint="eastAsia"/>
        </w:rPr>
      </w:pPr>
    </w:p>
    <w:p w14:paraId="70C43DA8">
      <w:pPr>
        <w:rPr>
          <w:rFonts w:hint="eastAsia"/>
        </w:rPr>
      </w:pPr>
      <w:r>
        <w:rPr>
          <w:rFonts w:hint="eastAsia"/>
        </w:rPr>
        <w:t>在安全性方面，截至目前，不良反应收集于注册临床试验。在III期临床试验中，试验组与阳性对照组均无患者发生严重的不良反应以及严重程度为重度的不良反应，亦无患者因不良反应而提前退出研究 。虽然与所有治疗性蛋白类似，可能具有免疫原性，但Ⅰ - Ⅲ期临床试验结果显示，抗药抗体的发生率为4%，未观察到中和抗体，且未发现抗药抗体对药代动力学及抗破伤风中和抗体水平产生有临床意义的影响，亦未显示由抗药抗体引起的免疫相关不良反应。</w:t>
      </w:r>
    </w:p>
    <w:p w14:paraId="5FC6AA88">
      <w:pPr>
        <w:rPr>
          <w:rFonts w:hint="eastAsia"/>
        </w:rPr>
      </w:pPr>
    </w:p>
    <w:p w14:paraId="68220478">
      <w:pPr>
        <w:rPr>
          <w:sz w:val="34"/>
          <w:szCs w:val="34"/>
        </w:rPr>
      </w:pPr>
      <w:r>
        <w:rPr>
          <w:rFonts w:hint="eastAsia"/>
        </w:rPr>
        <w:t>斯泰度塔单抗注射液的获批上市，是破伤风预防领域的重大里程碑。它为临床医生提供了更有力的武器，为破伤风暴露人群带来了更安全、高效、可及性更高的预防方案。随着这一创新药物的广泛应用，有望在全球范围内降低破伤风的发病率和死亡率，为人类健康事业做出巨大贡献，让更多人免受破伤风的威胁，拥抱健康生活。</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2025-08-25T12:25:38Z</dcterms:created>
  <dc:creator>iPhone</dc:creator>
  <cp:lastModifiedBy>iPhone</cp:lastModifiedBy>
  <dcterms:modified xsi:type="dcterms:W3CDTF">2025-08-25T12:25:50Z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2052-12.22.0</vt:lpwstr>
  </property>
  <property fmtid="{D5CDD505-2E9C-101B-9397-08002B2CF9AE}" pid="3" name="ICV">
    <vt:lpwstr>08470E33330CD2C9C2E5AB68C9E8180D_31</vt:lpwstr>
  </property>
</Properties>
</file>